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68BA" w14:textId="2E429674" w:rsidR="00675608" w:rsidRPr="007E79E2" w:rsidRDefault="000F4F53" w:rsidP="007E79E2">
      <w:pPr>
        <w:pStyle w:val="Title"/>
        <w:rPr>
          <w:rFonts w:ascii="Arial" w:hAnsi="Arial" w:cs="Arial"/>
          <w:sz w:val="20"/>
          <w:szCs w:val="20"/>
        </w:rPr>
      </w:pPr>
      <w:bookmarkStart w:id="0" w:name="_Hlk152241863"/>
      <w:r w:rsidRPr="007E79E2">
        <w:rPr>
          <w:rFonts w:ascii="Arial" w:hAnsi="Arial" w:cs="Arial"/>
          <w:sz w:val="20"/>
          <w:szCs w:val="20"/>
        </w:rPr>
        <w:t>A</w:t>
      </w:r>
      <w:r w:rsidR="00EC7D5B" w:rsidRPr="007E79E2">
        <w:rPr>
          <w:rFonts w:ascii="Arial" w:hAnsi="Arial" w:cs="Arial"/>
          <w:sz w:val="20"/>
          <w:szCs w:val="20"/>
        </w:rPr>
        <w:t xml:space="preserve"> </w:t>
      </w:r>
      <w:r w:rsidRPr="007E79E2">
        <w:rPr>
          <w:rFonts w:ascii="Arial" w:hAnsi="Arial" w:cs="Arial"/>
          <w:sz w:val="20"/>
          <w:szCs w:val="20"/>
        </w:rPr>
        <w:t>C</w:t>
      </w:r>
      <w:r w:rsidR="00EC7D5B" w:rsidRPr="007E79E2">
        <w:rPr>
          <w:rFonts w:ascii="Arial" w:hAnsi="Arial" w:cs="Arial"/>
          <w:sz w:val="20"/>
          <w:szCs w:val="20"/>
        </w:rPr>
        <w:t xml:space="preserve">omparison of </w:t>
      </w:r>
      <w:r w:rsidRPr="007E79E2">
        <w:rPr>
          <w:rFonts w:ascii="Arial" w:hAnsi="Arial" w:cs="Arial"/>
          <w:sz w:val="20"/>
          <w:szCs w:val="20"/>
        </w:rPr>
        <w:t>Gambling Behaviours Among S</w:t>
      </w:r>
      <w:r w:rsidR="00EC7D5B" w:rsidRPr="007E79E2">
        <w:rPr>
          <w:rFonts w:ascii="Arial" w:hAnsi="Arial" w:cs="Arial"/>
          <w:sz w:val="20"/>
          <w:szCs w:val="20"/>
        </w:rPr>
        <w:t>port-</w:t>
      </w:r>
      <w:r w:rsidRPr="007E79E2">
        <w:rPr>
          <w:rFonts w:ascii="Arial" w:hAnsi="Arial" w:cs="Arial"/>
          <w:sz w:val="20"/>
          <w:szCs w:val="20"/>
        </w:rPr>
        <w:t>B</w:t>
      </w:r>
      <w:r w:rsidR="00EC7D5B" w:rsidRPr="007E79E2">
        <w:rPr>
          <w:rFonts w:ascii="Arial" w:hAnsi="Arial" w:cs="Arial"/>
          <w:sz w:val="20"/>
          <w:szCs w:val="20"/>
        </w:rPr>
        <w:t xml:space="preserve">ased and </w:t>
      </w:r>
      <w:r w:rsidRPr="007E79E2">
        <w:rPr>
          <w:rFonts w:ascii="Arial" w:hAnsi="Arial" w:cs="Arial"/>
          <w:sz w:val="20"/>
          <w:szCs w:val="20"/>
        </w:rPr>
        <w:t>N</w:t>
      </w:r>
      <w:r w:rsidR="00EC7D5B" w:rsidRPr="007E79E2">
        <w:rPr>
          <w:rFonts w:ascii="Arial" w:hAnsi="Arial" w:cs="Arial"/>
          <w:sz w:val="20"/>
          <w:szCs w:val="20"/>
        </w:rPr>
        <w:t>on-</w:t>
      </w:r>
      <w:r w:rsidRPr="007E79E2">
        <w:rPr>
          <w:rFonts w:ascii="Arial" w:hAnsi="Arial" w:cs="Arial"/>
          <w:sz w:val="20"/>
          <w:szCs w:val="20"/>
        </w:rPr>
        <w:t>Sp</w:t>
      </w:r>
      <w:r w:rsidR="00B5733E" w:rsidRPr="007E79E2">
        <w:rPr>
          <w:rFonts w:ascii="Arial" w:hAnsi="Arial" w:cs="Arial"/>
          <w:sz w:val="20"/>
          <w:szCs w:val="20"/>
        </w:rPr>
        <w:t>ort-</w:t>
      </w:r>
      <w:r w:rsidR="0020770A" w:rsidRPr="007E79E2">
        <w:rPr>
          <w:rFonts w:ascii="Arial" w:hAnsi="Arial" w:cs="Arial"/>
          <w:sz w:val="20"/>
          <w:szCs w:val="20"/>
        </w:rPr>
        <w:t>B</w:t>
      </w:r>
      <w:r w:rsidR="00B5733E" w:rsidRPr="007E79E2">
        <w:rPr>
          <w:rFonts w:ascii="Arial" w:hAnsi="Arial" w:cs="Arial"/>
          <w:sz w:val="20"/>
          <w:szCs w:val="20"/>
        </w:rPr>
        <w:t>ased</w:t>
      </w:r>
      <w:r w:rsidR="00EC7D5B" w:rsidRPr="007E79E2">
        <w:rPr>
          <w:rFonts w:ascii="Arial" w:hAnsi="Arial" w:cs="Arial"/>
          <w:sz w:val="20"/>
          <w:szCs w:val="20"/>
        </w:rPr>
        <w:t xml:space="preserve"> </w:t>
      </w:r>
      <w:r w:rsidR="0020770A" w:rsidRPr="007E79E2">
        <w:rPr>
          <w:rFonts w:ascii="Arial" w:hAnsi="Arial" w:cs="Arial"/>
          <w:sz w:val="20"/>
          <w:szCs w:val="20"/>
        </w:rPr>
        <w:t>S</w:t>
      </w:r>
      <w:r w:rsidR="00EC7D5B" w:rsidRPr="007E79E2">
        <w:rPr>
          <w:rFonts w:ascii="Arial" w:hAnsi="Arial" w:cs="Arial"/>
          <w:sz w:val="20"/>
          <w:szCs w:val="20"/>
        </w:rPr>
        <w:t>tudents</w:t>
      </w:r>
      <w:r w:rsidR="0020770A" w:rsidRPr="007E79E2">
        <w:rPr>
          <w:rFonts w:ascii="Arial" w:hAnsi="Arial" w:cs="Arial"/>
          <w:sz w:val="20"/>
          <w:szCs w:val="20"/>
        </w:rPr>
        <w:t xml:space="preserve"> in the UK</w:t>
      </w:r>
      <w:r w:rsidR="00EC7D5B" w:rsidRPr="007E79E2">
        <w:rPr>
          <w:rFonts w:ascii="Arial" w:hAnsi="Arial" w:cs="Arial"/>
          <w:sz w:val="20"/>
          <w:szCs w:val="20"/>
        </w:rPr>
        <w:t xml:space="preserve"> </w:t>
      </w:r>
      <w:r w:rsidR="00133F7C" w:rsidRPr="007E79E2">
        <w:rPr>
          <w:rFonts w:ascii="Arial" w:hAnsi="Arial" w:cs="Arial"/>
          <w:sz w:val="20"/>
          <w:szCs w:val="20"/>
        </w:rPr>
        <w:t xml:space="preserve"> </w:t>
      </w:r>
    </w:p>
    <w:bookmarkEnd w:id="0"/>
    <w:p w14:paraId="5928885A" w14:textId="5BAFCC1F" w:rsidR="00935A43" w:rsidRPr="00D4016B" w:rsidRDefault="00935A43" w:rsidP="00935A43">
      <w:pPr>
        <w:rPr>
          <w:rFonts w:ascii="Arial" w:hAnsi="Arial" w:cs="Arial"/>
          <w:sz w:val="20"/>
          <w:szCs w:val="20"/>
        </w:rPr>
      </w:pPr>
      <w:r w:rsidRPr="00D4016B">
        <w:rPr>
          <w:rFonts w:ascii="Arial" w:hAnsi="Arial" w:cs="Arial"/>
          <w:sz w:val="20"/>
          <w:szCs w:val="20"/>
        </w:rPr>
        <w:t>Dr Paul McGivern</w:t>
      </w:r>
      <w:r w:rsidR="006B0805" w:rsidRPr="00D4016B">
        <w:rPr>
          <w:rFonts w:ascii="Arial" w:hAnsi="Arial" w:cs="Arial"/>
          <w:sz w:val="20"/>
          <w:szCs w:val="20"/>
          <w:vertAlign w:val="superscript"/>
        </w:rPr>
        <w:t>1</w:t>
      </w:r>
      <w:r w:rsidR="006B0805" w:rsidRPr="00D4016B">
        <w:rPr>
          <w:rFonts w:ascii="Arial" w:hAnsi="Arial" w:cs="Arial"/>
          <w:sz w:val="20"/>
          <w:szCs w:val="20"/>
        </w:rPr>
        <w:t>*</w:t>
      </w:r>
      <w:r w:rsidRPr="00D4016B">
        <w:rPr>
          <w:rFonts w:ascii="Arial" w:hAnsi="Arial" w:cs="Arial"/>
          <w:sz w:val="20"/>
          <w:szCs w:val="20"/>
        </w:rPr>
        <w:t xml:space="preserve"> </w:t>
      </w:r>
    </w:p>
    <w:p w14:paraId="0303C2A9" w14:textId="77777777" w:rsidR="00935A43" w:rsidRPr="00D4016B" w:rsidRDefault="00935A43" w:rsidP="00935A43">
      <w:pPr>
        <w:rPr>
          <w:rFonts w:ascii="Arial" w:hAnsi="Arial" w:cs="Arial"/>
          <w:sz w:val="20"/>
          <w:szCs w:val="20"/>
          <w:vertAlign w:val="superscript"/>
        </w:rPr>
      </w:pPr>
      <w:r w:rsidRPr="00D4016B">
        <w:rPr>
          <w:rFonts w:ascii="Arial" w:hAnsi="Arial" w:cs="Arial"/>
          <w:sz w:val="20"/>
          <w:szCs w:val="20"/>
        </w:rPr>
        <w:t>Dr Mark Mierzwinski</w:t>
      </w:r>
      <w:r w:rsidRPr="00D4016B">
        <w:rPr>
          <w:rFonts w:ascii="Arial" w:hAnsi="Arial" w:cs="Arial"/>
          <w:sz w:val="20"/>
          <w:szCs w:val="20"/>
          <w:vertAlign w:val="superscript"/>
        </w:rPr>
        <w:t>2</w:t>
      </w:r>
    </w:p>
    <w:p w14:paraId="7E6B4E6D" w14:textId="4085F825" w:rsidR="00935A43" w:rsidRPr="00D4016B" w:rsidRDefault="00935A43" w:rsidP="00935A43">
      <w:pPr>
        <w:spacing w:before="240" w:after="0"/>
        <w:rPr>
          <w:rFonts w:ascii="Arial" w:hAnsi="Arial" w:cs="Arial"/>
          <w:sz w:val="20"/>
          <w:szCs w:val="20"/>
        </w:rPr>
      </w:pPr>
      <w:r w:rsidRPr="00D4016B">
        <w:rPr>
          <w:rFonts w:ascii="Arial" w:hAnsi="Arial" w:cs="Arial"/>
          <w:sz w:val="20"/>
          <w:szCs w:val="20"/>
          <w:vertAlign w:val="superscript"/>
        </w:rPr>
        <w:t>1</w:t>
      </w:r>
      <w:r w:rsidRPr="00D4016B">
        <w:rPr>
          <w:rFonts w:ascii="Arial" w:hAnsi="Arial" w:cs="Arial"/>
          <w:sz w:val="20"/>
          <w:szCs w:val="20"/>
        </w:rPr>
        <w:t>School of Psychology, Faculty of Social Sciences</w:t>
      </w:r>
      <w:r w:rsidR="00303D8E" w:rsidRPr="00D4016B">
        <w:rPr>
          <w:rFonts w:ascii="Arial" w:hAnsi="Arial" w:cs="Arial"/>
          <w:sz w:val="20"/>
          <w:szCs w:val="20"/>
        </w:rPr>
        <w:t xml:space="preserve"> and Education</w:t>
      </w:r>
      <w:r w:rsidRPr="00D4016B">
        <w:rPr>
          <w:rFonts w:ascii="Arial" w:hAnsi="Arial" w:cs="Arial"/>
          <w:sz w:val="20"/>
          <w:szCs w:val="20"/>
        </w:rPr>
        <w:t>, Leeds Trinity University, Leeds, UK</w:t>
      </w:r>
    </w:p>
    <w:p w14:paraId="22FFA997" w14:textId="77777777" w:rsidR="00D06976" w:rsidRPr="00D4016B" w:rsidRDefault="00D06976" w:rsidP="00D06976">
      <w:pPr>
        <w:pStyle w:val="NoSpacing"/>
        <w:rPr>
          <w:rFonts w:ascii="Arial" w:hAnsi="Arial" w:cs="Arial"/>
          <w:sz w:val="20"/>
          <w:szCs w:val="20"/>
        </w:rPr>
      </w:pPr>
    </w:p>
    <w:p w14:paraId="75ACB949" w14:textId="77777777" w:rsidR="00935A43" w:rsidRPr="00D4016B" w:rsidRDefault="00935A43" w:rsidP="00935A43">
      <w:pPr>
        <w:rPr>
          <w:rFonts w:ascii="Arial" w:hAnsi="Arial" w:cs="Arial"/>
          <w:color w:val="000000"/>
          <w:spacing w:val="-9"/>
          <w:sz w:val="20"/>
          <w:szCs w:val="20"/>
        </w:rPr>
      </w:pPr>
      <w:r w:rsidRPr="00D4016B">
        <w:rPr>
          <w:rFonts w:ascii="Arial" w:hAnsi="Arial" w:cs="Arial"/>
          <w:color w:val="000000"/>
          <w:spacing w:val="-9"/>
          <w:sz w:val="20"/>
          <w:szCs w:val="20"/>
          <w:vertAlign w:val="superscript"/>
        </w:rPr>
        <w:t xml:space="preserve">2 </w:t>
      </w:r>
      <w:r w:rsidRPr="00D4016B">
        <w:rPr>
          <w:rFonts w:ascii="Arial" w:hAnsi="Arial" w:cs="Arial"/>
          <w:color w:val="000000"/>
          <w:spacing w:val="-9"/>
          <w:sz w:val="20"/>
          <w:szCs w:val="20"/>
        </w:rPr>
        <w:t>School of Science, Technology and Health, York St John University, York, UK</w:t>
      </w:r>
    </w:p>
    <w:p w14:paraId="2A3011FB" w14:textId="77777777" w:rsidR="000C2E89" w:rsidRPr="00D4016B" w:rsidRDefault="000C2E89" w:rsidP="000C2E89">
      <w:pPr>
        <w:rPr>
          <w:rFonts w:ascii="Arial" w:hAnsi="Arial" w:cs="Arial"/>
          <w:sz w:val="20"/>
          <w:szCs w:val="20"/>
        </w:rPr>
      </w:pPr>
    </w:p>
    <w:p w14:paraId="0490BB51" w14:textId="137AF6DF" w:rsidR="000C2E89" w:rsidRPr="007E79E2" w:rsidRDefault="006B0805" w:rsidP="000C2E89">
      <w:pPr>
        <w:rPr>
          <w:rStyle w:val="Hyperlink"/>
          <w:rFonts w:ascii="Arial" w:hAnsi="Arial" w:cs="Arial"/>
          <w:color w:val="auto"/>
          <w:sz w:val="20"/>
          <w:szCs w:val="20"/>
        </w:rPr>
      </w:pPr>
      <w:r w:rsidRPr="00D4016B">
        <w:rPr>
          <w:rFonts w:ascii="Arial" w:hAnsi="Arial" w:cs="Arial"/>
          <w:sz w:val="20"/>
          <w:szCs w:val="20"/>
        </w:rPr>
        <w:t>*</w:t>
      </w:r>
      <w:r w:rsidR="000C2E89" w:rsidRPr="00D4016B">
        <w:rPr>
          <w:rFonts w:ascii="Arial" w:hAnsi="Arial" w:cs="Arial"/>
          <w:sz w:val="20"/>
          <w:szCs w:val="20"/>
        </w:rPr>
        <w:t xml:space="preserve">For correspondence. Email </w:t>
      </w:r>
      <w:hyperlink r:id="rId6" w:history="1">
        <w:r w:rsidR="000C2E89" w:rsidRPr="007E79E2">
          <w:rPr>
            <w:rStyle w:val="Hyperlink"/>
            <w:rFonts w:ascii="Arial" w:hAnsi="Arial" w:cs="Arial"/>
            <w:color w:val="auto"/>
            <w:sz w:val="20"/>
            <w:szCs w:val="20"/>
          </w:rPr>
          <w:t>p.mcgivern@leedstrinity.ac.uk</w:t>
        </w:r>
      </w:hyperlink>
    </w:p>
    <w:p w14:paraId="4717C8B1" w14:textId="77777777" w:rsidR="00A57F6E" w:rsidRDefault="00A57F6E">
      <w:pPr>
        <w:rPr>
          <w:rFonts w:ascii="Arial" w:hAnsi="Arial" w:cs="Arial"/>
          <w:b/>
          <w:bCs/>
          <w:sz w:val="20"/>
          <w:szCs w:val="20"/>
        </w:rPr>
      </w:pPr>
    </w:p>
    <w:p w14:paraId="1CB43BFA" w14:textId="392121BB" w:rsidR="00345981" w:rsidRPr="007E79E2" w:rsidRDefault="00345981" w:rsidP="007E79E2">
      <w:pPr>
        <w:pStyle w:val="Heading1"/>
        <w:rPr>
          <w:rFonts w:ascii="Arial" w:hAnsi="Arial" w:cs="Arial"/>
          <w:color w:val="auto"/>
          <w:sz w:val="20"/>
          <w:szCs w:val="20"/>
        </w:rPr>
      </w:pPr>
      <w:r w:rsidRPr="007E79E2">
        <w:rPr>
          <w:rFonts w:ascii="Arial" w:hAnsi="Arial" w:cs="Arial"/>
          <w:color w:val="auto"/>
          <w:sz w:val="20"/>
          <w:szCs w:val="20"/>
        </w:rPr>
        <w:t>Abstract</w:t>
      </w:r>
    </w:p>
    <w:p w14:paraId="20A20C6A" w14:textId="0668329B" w:rsidR="00D2472A" w:rsidRDefault="00695803" w:rsidP="00D03246">
      <w:pPr>
        <w:jc w:val="both"/>
        <w:rPr>
          <w:rFonts w:ascii="Arial" w:hAnsi="Arial" w:cs="Arial"/>
          <w:sz w:val="20"/>
          <w:szCs w:val="20"/>
        </w:rPr>
      </w:pPr>
      <w:r w:rsidRPr="00695803">
        <w:rPr>
          <w:rFonts w:ascii="Arial" w:hAnsi="Arial" w:cs="Arial"/>
          <w:b/>
          <w:bCs/>
          <w:sz w:val="20"/>
          <w:szCs w:val="20"/>
        </w:rPr>
        <w:t>Purpose</w:t>
      </w:r>
      <w:r>
        <w:rPr>
          <w:rFonts w:ascii="Arial" w:hAnsi="Arial" w:cs="Arial"/>
          <w:sz w:val="20"/>
          <w:szCs w:val="20"/>
        </w:rPr>
        <w:t xml:space="preserve">: </w:t>
      </w:r>
      <w:r w:rsidR="00986724">
        <w:rPr>
          <w:rFonts w:ascii="Arial" w:hAnsi="Arial" w:cs="Arial"/>
          <w:sz w:val="20"/>
          <w:szCs w:val="20"/>
        </w:rPr>
        <w:t>In recent years, g</w:t>
      </w:r>
      <w:r w:rsidR="002E6AE3" w:rsidRPr="00D03246">
        <w:rPr>
          <w:rFonts w:ascii="Arial" w:hAnsi="Arial" w:cs="Arial"/>
          <w:sz w:val="20"/>
          <w:szCs w:val="20"/>
        </w:rPr>
        <w:t xml:space="preserve">ambling among university students has received significant focus </w:t>
      </w:r>
      <w:r w:rsidR="001B1D76">
        <w:rPr>
          <w:rFonts w:ascii="Arial" w:hAnsi="Arial" w:cs="Arial"/>
          <w:sz w:val="20"/>
          <w:szCs w:val="20"/>
        </w:rPr>
        <w:t>as</w:t>
      </w:r>
      <w:r w:rsidR="002E6AE3" w:rsidRPr="00D03246">
        <w:rPr>
          <w:rFonts w:ascii="Arial" w:hAnsi="Arial" w:cs="Arial"/>
          <w:sz w:val="20"/>
          <w:szCs w:val="20"/>
        </w:rPr>
        <w:t xml:space="preserve"> it may be viewed as an attractive</w:t>
      </w:r>
      <w:r w:rsidR="00F17ED5" w:rsidRPr="00D03246">
        <w:rPr>
          <w:rFonts w:ascii="Arial" w:hAnsi="Arial" w:cs="Arial"/>
          <w:sz w:val="20"/>
          <w:szCs w:val="20"/>
        </w:rPr>
        <w:t xml:space="preserve"> and exciting form of income whilst studying. </w:t>
      </w:r>
      <w:r w:rsidR="005B4B6F" w:rsidRPr="00D03246">
        <w:rPr>
          <w:rFonts w:ascii="Arial" w:hAnsi="Arial" w:cs="Arial"/>
          <w:sz w:val="20"/>
          <w:szCs w:val="20"/>
        </w:rPr>
        <w:t xml:space="preserve">Given this, stakeholders in </w:t>
      </w:r>
      <w:r w:rsidR="00246DA4" w:rsidRPr="00D03246">
        <w:rPr>
          <w:rFonts w:ascii="Arial" w:hAnsi="Arial" w:cs="Arial"/>
          <w:sz w:val="20"/>
          <w:szCs w:val="20"/>
        </w:rPr>
        <w:t xml:space="preserve">protection from gambling-related </w:t>
      </w:r>
      <w:r w:rsidR="004E5C21" w:rsidRPr="00D03246">
        <w:rPr>
          <w:rFonts w:ascii="Arial" w:hAnsi="Arial" w:cs="Arial"/>
          <w:sz w:val="20"/>
          <w:szCs w:val="20"/>
        </w:rPr>
        <w:t xml:space="preserve">harm </w:t>
      </w:r>
      <w:r w:rsidR="00B75935" w:rsidRPr="00D03246">
        <w:rPr>
          <w:rFonts w:ascii="Arial" w:hAnsi="Arial" w:cs="Arial"/>
          <w:sz w:val="20"/>
          <w:szCs w:val="20"/>
        </w:rPr>
        <w:t>need to better understand student gambling behaviours</w:t>
      </w:r>
      <w:r w:rsidR="00CC7530" w:rsidRPr="00D03246">
        <w:rPr>
          <w:rFonts w:ascii="Arial" w:hAnsi="Arial" w:cs="Arial"/>
          <w:sz w:val="20"/>
          <w:szCs w:val="20"/>
        </w:rPr>
        <w:t xml:space="preserve">. </w:t>
      </w:r>
      <w:r w:rsidR="009D0CBB">
        <w:rPr>
          <w:rFonts w:ascii="Arial" w:hAnsi="Arial" w:cs="Arial"/>
          <w:sz w:val="20"/>
          <w:szCs w:val="20"/>
        </w:rPr>
        <w:t xml:space="preserve">This understanding should include </w:t>
      </w:r>
      <w:r w:rsidR="003A7C5F" w:rsidRPr="00D03246">
        <w:rPr>
          <w:rFonts w:ascii="Arial" w:hAnsi="Arial" w:cs="Arial"/>
          <w:sz w:val="20"/>
          <w:szCs w:val="20"/>
        </w:rPr>
        <w:t>s</w:t>
      </w:r>
      <w:r w:rsidR="00D37C01" w:rsidRPr="00D03246">
        <w:rPr>
          <w:rFonts w:ascii="Arial" w:hAnsi="Arial" w:cs="Arial"/>
          <w:sz w:val="20"/>
          <w:szCs w:val="20"/>
        </w:rPr>
        <w:t xml:space="preserve">tudents on sports-based programmes </w:t>
      </w:r>
      <w:r w:rsidR="008C35D3" w:rsidRPr="00D03246">
        <w:rPr>
          <w:rFonts w:ascii="Arial" w:hAnsi="Arial" w:cs="Arial"/>
          <w:sz w:val="20"/>
          <w:szCs w:val="20"/>
        </w:rPr>
        <w:t>given th</w:t>
      </w:r>
      <w:r w:rsidR="008D0677" w:rsidRPr="00D03246">
        <w:rPr>
          <w:rFonts w:ascii="Arial" w:hAnsi="Arial" w:cs="Arial"/>
          <w:sz w:val="20"/>
          <w:szCs w:val="20"/>
        </w:rPr>
        <w:t>eir</w:t>
      </w:r>
      <w:r w:rsidR="00D43C57" w:rsidRPr="00D03246">
        <w:rPr>
          <w:rFonts w:ascii="Arial" w:hAnsi="Arial" w:cs="Arial"/>
          <w:sz w:val="20"/>
          <w:szCs w:val="20"/>
        </w:rPr>
        <w:t xml:space="preserve"> closer connection to sporting events</w:t>
      </w:r>
      <w:r w:rsidR="005F54ED">
        <w:rPr>
          <w:rFonts w:ascii="Arial" w:hAnsi="Arial" w:cs="Arial"/>
          <w:sz w:val="20"/>
          <w:szCs w:val="20"/>
        </w:rPr>
        <w:t xml:space="preserve">, </w:t>
      </w:r>
      <w:r w:rsidR="00FA18FB">
        <w:rPr>
          <w:rFonts w:ascii="Arial" w:hAnsi="Arial" w:cs="Arial"/>
          <w:sz w:val="20"/>
          <w:szCs w:val="20"/>
        </w:rPr>
        <w:t>heightened sense of competition among such cohorts</w:t>
      </w:r>
      <w:r w:rsidR="00522F5A">
        <w:rPr>
          <w:rFonts w:ascii="Arial" w:hAnsi="Arial" w:cs="Arial"/>
          <w:sz w:val="20"/>
          <w:szCs w:val="20"/>
        </w:rPr>
        <w:t>, and often gendered cohorts</w:t>
      </w:r>
      <w:r w:rsidR="00BB6DA0" w:rsidRPr="00D03246">
        <w:rPr>
          <w:rFonts w:ascii="Arial" w:hAnsi="Arial" w:cs="Arial"/>
          <w:sz w:val="20"/>
          <w:szCs w:val="20"/>
        </w:rPr>
        <w:t xml:space="preserve">. </w:t>
      </w:r>
    </w:p>
    <w:p w14:paraId="02441839" w14:textId="6D1E639A" w:rsidR="00D2472A" w:rsidRDefault="00D2472A" w:rsidP="00D03246">
      <w:pPr>
        <w:jc w:val="both"/>
        <w:rPr>
          <w:rFonts w:ascii="Arial" w:hAnsi="Arial" w:cs="Arial"/>
          <w:sz w:val="20"/>
          <w:szCs w:val="20"/>
        </w:rPr>
      </w:pPr>
      <w:r w:rsidRPr="00D2472A">
        <w:rPr>
          <w:rFonts w:ascii="Arial" w:hAnsi="Arial" w:cs="Arial"/>
          <w:b/>
          <w:bCs/>
          <w:sz w:val="20"/>
          <w:szCs w:val="20"/>
        </w:rPr>
        <w:t>Design/methodology/approach:</w:t>
      </w:r>
      <w:r w:rsidRPr="00D03246">
        <w:rPr>
          <w:rFonts w:ascii="Arial" w:hAnsi="Arial" w:cs="Arial"/>
          <w:sz w:val="20"/>
          <w:szCs w:val="20"/>
        </w:rPr>
        <w:t xml:space="preserve"> The</w:t>
      </w:r>
      <w:r w:rsidR="00BB6DA0" w:rsidRPr="00D03246">
        <w:rPr>
          <w:rFonts w:ascii="Arial" w:hAnsi="Arial" w:cs="Arial"/>
          <w:sz w:val="20"/>
          <w:szCs w:val="20"/>
        </w:rPr>
        <w:t xml:space="preserve"> present</w:t>
      </w:r>
      <w:r w:rsidR="000C2382" w:rsidRPr="00D03246">
        <w:rPr>
          <w:rFonts w:ascii="Arial" w:hAnsi="Arial" w:cs="Arial"/>
          <w:sz w:val="20"/>
          <w:szCs w:val="20"/>
        </w:rPr>
        <w:t xml:space="preserve"> </w:t>
      </w:r>
      <w:r w:rsidR="008C1DAD" w:rsidRPr="00D03246">
        <w:rPr>
          <w:rFonts w:ascii="Arial" w:hAnsi="Arial" w:cs="Arial"/>
          <w:sz w:val="20"/>
          <w:szCs w:val="20"/>
        </w:rPr>
        <w:t xml:space="preserve">pilot </w:t>
      </w:r>
      <w:r w:rsidR="001305DA" w:rsidRPr="00D03246">
        <w:rPr>
          <w:rFonts w:ascii="Arial" w:hAnsi="Arial" w:cs="Arial"/>
          <w:sz w:val="20"/>
          <w:szCs w:val="20"/>
        </w:rPr>
        <w:t>study</w:t>
      </w:r>
      <w:r w:rsidR="004E1572">
        <w:rPr>
          <w:rFonts w:ascii="Arial" w:hAnsi="Arial" w:cs="Arial"/>
          <w:sz w:val="20"/>
          <w:szCs w:val="20"/>
        </w:rPr>
        <w:t xml:space="preserve"> </w:t>
      </w:r>
      <w:r w:rsidR="000C2382" w:rsidRPr="00D03246">
        <w:rPr>
          <w:rFonts w:ascii="Arial" w:hAnsi="Arial" w:cs="Arial"/>
          <w:sz w:val="20"/>
          <w:szCs w:val="20"/>
        </w:rPr>
        <w:t>comprised 210</w:t>
      </w:r>
      <w:r w:rsidR="00C215D5" w:rsidRPr="00D03246">
        <w:rPr>
          <w:rFonts w:ascii="Arial" w:hAnsi="Arial" w:cs="Arial"/>
          <w:sz w:val="20"/>
          <w:szCs w:val="20"/>
        </w:rPr>
        <w:t xml:space="preserve"> </w:t>
      </w:r>
      <w:r w:rsidR="0093631A">
        <w:rPr>
          <w:rFonts w:ascii="Arial" w:hAnsi="Arial" w:cs="Arial"/>
          <w:sz w:val="20"/>
          <w:szCs w:val="20"/>
        </w:rPr>
        <w:t xml:space="preserve">university </w:t>
      </w:r>
      <w:r w:rsidR="0093631A" w:rsidRPr="00D03246">
        <w:rPr>
          <w:rFonts w:ascii="Arial" w:hAnsi="Arial" w:cs="Arial"/>
          <w:sz w:val="20"/>
          <w:szCs w:val="20"/>
        </w:rPr>
        <w:t>students on sports-based and non-sport-based programmes</w:t>
      </w:r>
      <w:r w:rsidR="0093631A">
        <w:rPr>
          <w:rFonts w:ascii="Arial" w:hAnsi="Arial" w:cs="Arial"/>
          <w:sz w:val="20"/>
          <w:szCs w:val="20"/>
        </w:rPr>
        <w:t>.</w:t>
      </w:r>
      <w:r w:rsidR="00BB499D">
        <w:rPr>
          <w:rFonts w:ascii="Arial" w:hAnsi="Arial" w:cs="Arial"/>
          <w:sz w:val="20"/>
          <w:szCs w:val="20"/>
        </w:rPr>
        <w:t xml:space="preserve"> </w:t>
      </w:r>
      <w:r w:rsidR="00A839EF">
        <w:rPr>
          <w:rFonts w:ascii="Arial" w:hAnsi="Arial" w:cs="Arial"/>
          <w:sz w:val="20"/>
          <w:szCs w:val="20"/>
        </w:rPr>
        <w:t>P</w:t>
      </w:r>
      <w:r w:rsidR="00653B5A" w:rsidRPr="00D03246">
        <w:rPr>
          <w:rFonts w:ascii="Arial" w:hAnsi="Arial" w:cs="Arial"/>
          <w:sz w:val="20"/>
          <w:szCs w:val="20"/>
        </w:rPr>
        <w:t>articipants</w:t>
      </w:r>
      <w:r w:rsidR="00981402" w:rsidRPr="00D03246">
        <w:rPr>
          <w:rFonts w:ascii="Arial" w:hAnsi="Arial" w:cs="Arial"/>
          <w:sz w:val="20"/>
          <w:szCs w:val="20"/>
        </w:rPr>
        <w:t xml:space="preserve"> </w:t>
      </w:r>
      <w:r w:rsidR="004E72A2">
        <w:rPr>
          <w:rFonts w:ascii="Arial" w:hAnsi="Arial" w:cs="Arial"/>
          <w:sz w:val="20"/>
          <w:szCs w:val="20"/>
        </w:rPr>
        <w:t xml:space="preserve">self-reported </w:t>
      </w:r>
      <w:r w:rsidR="00F26ED0" w:rsidRPr="00D03246">
        <w:rPr>
          <w:rFonts w:ascii="Arial" w:hAnsi="Arial" w:cs="Arial"/>
          <w:sz w:val="20"/>
          <w:szCs w:val="20"/>
        </w:rPr>
        <w:t xml:space="preserve">frequencies of </w:t>
      </w:r>
      <w:r w:rsidR="00AF5D54" w:rsidRPr="00D03246">
        <w:rPr>
          <w:rFonts w:ascii="Arial" w:hAnsi="Arial" w:cs="Arial"/>
          <w:sz w:val="20"/>
          <w:szCs w:val="20"/>
        </w:rPr>
        <w:t>g</w:t>
      </w:r>
      <w:r w:rsidR="00F26ED0" w:rsidRPr="00D03246">
        <w:rPr>
          <w:rFonts w:ascii="Arial" w:hAnsi="Arial" w:cs="Arial"/>
          <w:sz w:val="20"/>
          <w:szCs w:val="20"/>
        </w:rPr>
        <w:t xml:space="preserve">ambling </w:t>
      </w:r>
      <w:r w:rsidR="00027911" w:rsidRPr="00D03246">
        <w:rPr>
          <w:rFonts w:ascii="Arial" w:hAnsi="Arial" w:cs="Arial"/>
          <w:sz w:val="20"/>
          <w:szCs w:val="20"/>
        </w:rPr>
        <w:t xml:space="preserve">activity and expenditure </w:t>
      </w:r>
      <w:r w:rsidR="00A839EF">
        <w:rPr>
          <w:rFonts w:ascii="Arial" w:hAnsi="Arial" w:cs="Arial"/>
          <w:sz w:val="20"/>
          <w:szCs w:val="20"/>
        </w:rPr>
        <w:t>via an online survey</w:t>
      </w:r>
      <w:r w:rsidR="00027911" w:rsidRPr="00D03246">
        <w:rPr>
          <w:rFonts w:ascii="Arial" w:hAnsi="Arial" w:cs="Arial"/>
          <w:sz w:val="20"/>
          <w:szCs w:val="20"/>
        </w:rPr>
        <w:t xml:space="preserve">. </w:t>
      </w:r>
    </w:p>
    <w:p w14:paraId="6AC3EE2F" w14:textId="38B4B849" w:rsidR="00B336FA" w:rsidRDefault="00D2472A" w:rsidP="00D03246">
      <w:pPr>
        <w:jc w:val="both"/>
        <w:rPr>
          <w:rFonts w:ascii="Arial" w:hAnsi="Arial" w:cs="Arial"/>
          <w:sz w:val="20"/>
          <w:szCs w:val="20"/>
        </w:rPr>
      </w:pPr>
      <w:r w:rsidRPr="00D2472A">
        <w:rPr>
          <w:rFonts w:ascii="Arial" w:hAnsi="Arial" w:cs="Arial"/>
          <w:b/>
          <w:bCs/>
          <w:sz w:val="20"/>
          <w:szCs w:val="20"/>
        </w:rPr>
        <w:t>Findings:</w:t>
      </w:r>
      <w:r>
        <w:rPr>
          <w:rFonts w:ascii="Arial" w:hAnsi="Arial" w:cs="Arial"/>
          <w:sz w:val="20"/>
          <w:szCs w:val="20"/>
        </w:rPr>
        <w:t xml:space="preserve"> </w:t>
      </w:r>
      <w:r w:rsidR="00D149EA" w:rsidRPr="00D03246">
        <w:rPr>
          <w:rFonts w:ascii="Arial" w:hAnsi="Arial" w:cs="Arial"/>
          <w:sz w:val="20"/>
          <w:szCs w:val="20"/>
        </w:rPr>
        <w:t>Results showed a</w:t>
      </w:r>
      <w:r w:rsidR="005057A9" w:rsidRPr="00D03246">
        <w:rPr>
          <w:rFonts w:ascii="Arial" w:hAnsi="Arial" w:cs="Arial"/>
          <w:sz w:val="20"/>
          <w:szCs w:val="20"/>
        </w:rPr>
        <w:t xml:space="preserve"> significantly</w:t>
      </w:r>
      <w:r w:rsidR="00D149EA" w:rsidRPr="00D03246">
        <w:rPr>
          <w:rFonts w:ascii="Arial" w:hAnsi="Arial" w:cs="Arial"/>
          <w:sz w:val="20"/>
          <w:szCs w:val="20"/>
        </w:rPr>
        <w:t xml:space="preserve"> </w:t>
      </w:r>
      <w:r w:rsidR="002F761D" w:rsidRPr="00D03246">
        <w:rPr>
          <w:rFonts w:ascii="Arial" w:hAnsi="Arial" w:cs="Arial"/>
          <w:sz w:val="20"/>
          <w:szCs w:val="20"/>
        </w:rPr>
        <w:t>greater</w:t>
      </w:r>
      <w:r w:rsidR="00D149EA" w:rsidRPr="00D03246">
        <w:rPr>
          <w:rFonts w:ascii="Arial" w:hAnsi="Arial" w:cs="Arial"/>
          <w:sz w:val="20"/>
          <w:szCs w:val="20"/>
        </w:rPr>
        <w:t xml:space="preserve"> frequency of female student non-gamblers on non-sports-based degree programmes and a high frequency of male student gamblers on sports-based degree programmes</w:t>
      </w:r>
      <w:r w:rsidR="00560D2B" w:rsidRPr="00D03246">
        <w:rPr>
          <w:rFonts w:ascii="Arial" w:hAnsi="Arial" w:cs="Arial"/>
          <w:sz w:val="20"/>
          <w:szCs w:val="20"/>
        </w:rPr>
        <w:t xml:space="preserve"> (p</w:t>
      </w:r>
      <w:r w:rsidR="00695803">
        <w:rPr>
          <w:rFonts w:ascii="Arial" w:hAnsi="Arial" w:cs="Arial"/>
          <w:sz w:val="20"/>
          <w:szCs w:val="20"/>
        </w:rPr>
        <w:t xml:space="preserve"> </w:t>
      </w:r>
      <w:r w:rsidR="001054C7" w:rsidRPr="00D03246">
        <w:rPr>
          <w:rFonts w:ascii="Arial" w:hAnsi="Arial" w:cs="Arial"/>
          <w:sz w:val="20"/>
          <w:szCs w:val="20"/>
        </w:rPr>
        <w:t>=</w:t>
      </w:r>
      <w:r w:rsidR="00695803">
        <w:rPr>
          <w:rFonts w:ascii="Arial" w:hAnsi="Arial" w:cs="Arial"/>
          <w:sz w:val="20"/>
          <w:szCs w:val="20"/>
        </w:rPr>
        <w:t xml:space="preserve"> </w:t>
      </w:r>
      <w:r w:rsidR="00560D2B" w:rsidRPr="00D03246">
        <w:rPr>
          <w:rFonts w:ascii="Arial" w:hAnsi="Arial" w:cs="Arial"/>
          <w:sz w:val="20"/>
          <w:szCs w:val="20"/>
        </w:rPr>
        <w:t>0.0</w:t>
      </w:r>
      <w:r w:rsidR="001054C7" w:rsidRPr="00D03246">
        <w:rPr>
          <w:rFonts w:ascii="Arial" w:hAnsi="Arial" w:cs="Arial"/>
          <w:sz w:val="20"/>
          <w:szCs w:val="20"/>
        </w:rPr>
        <w:t>2</w:t>
      </w:r>
      <w:r w:rsidR="00560D2B" w:rsidRPr="00D03246">
        <w:rPr>
          <w:rFonts w:ascii="Arial" w:hAnsi="Arial" w:cs="Arial"/>
          <w:sz w:val="20"/>
          <w:szCs w:val="20"/>
        </w:rPr>
        <w:t>)</w:t>
      </w:r>
      <w:r w:rsidR="00F97C66" w:rsidRPr="00D03246">
        <w:rPr>
          <w:rFonts w:ascii="Arial" w:hAnsi="Arial" w:cs="Arial"/>
          <w:sz w:val="20"/>
          <w:szCs w:val="20"/>
        </w:rPr>
        <w:t xml:space="preserve">. </w:t>
      </w:r>
      <w:r w:rsidR="001054C7" w:rsidRPr="00D03246">
        <w:rPr>
          <w:rFonts w:ascii="Arial" w:hAnsi="Arial" w:cs="Arial"/>
          <w:sz w:val="20"/>
          <w:szCs w:val="20"/>
        </w:rPr>
        <w:t>S</w:t>
      </w:r>
      <w:r w:rsidR="00527B6F" w:rsidRPr="00D03246">
        <w:rPr>
          <w:rFonts w:ascii="Arial" w:hAnsi="Arial" w:cs="Arial"/>
          <w:sz w:val="20"/>
          <w:szCs w:val="20"/>
        </w:rPr>
        <w:t xml:space="preserve">ports-based students </w:t>
      </w:r>
      <w:r w:rsidR="001054C7" w:rsidRPr="00D03246">
        <w:rPr>
          <w:rFonts w:ascii="Arial" w:hAnsi="Arial" w:cs="Arial"/>
          <w:sz w:val="20"/>
          <w:szCs w:val="20"/>
        </w:rPr>
        <w:t>also reported</w:t>
      </w:r>
      <w:r w:rsidR="00527B6F" w:rsidRPr="00D03246">
        <w:rPr>
          <w:rFonts w:ascii="Arial" w:hAnsi="Arial" w:cs="Arial"/>
          <w:sz w:val="20"/>
          <w:szCs w:val="20"/>
        </w:rPr>
        <w:t xml:space="preserve"> significantly greater scores on the </w:t>
      </w:r>
      <w:r w:rsidR="00343A67" w:rsidRPr="00D03246">
        <w:rPr>
          <w:rFonts w:ascii="Arial" w:hAnsi="Arial" w:cs="Arial"/>
          <w:sz w:val="20"/>
          <w:szCs w:val="20"/>
        </w:rPr>
        <w:t>Problem Gambling Severity Index (PGSI) than</w:t>
      </w:r>
      <w:r w:rsidR="00775B19" w:rsidRPr="00D03246">
        <w:rPr>
          <w:rFonts w:ascii="Arial" w:hAnsi="Arial" w:cs="Arial"/>
          <w:sz w:val="20"/>
          <w:szCs w:val="20"/>
        </w:rPr>
        <w:t xml:space="preserve"> </w:t>
      </w:r>
      <w:r w:rsidR="00343A67" w:rsidRPr="00D03246">
        <w:rPr>
          <w:rFonts w:ascii="Arial" w:hAnsi="Arial" w:cs="Arial"/>
          <w:sz w:val="20"/>
          <w:szCs w:val="20"/>
        </w:rPr>
        <w:t>non-sports students (p</w:t>
      </w:r>
      <w:r w:rsidR="00695803">
        <w:rPr>
          <w:rFonts w:ascii="Arial" w:hAnsi="Arial" w:cs="Arial"/>
          <w:sz w:val="20"/>
          <w:szCs w:val="20"/>
        </w:rPr>
        <w:t xml:space="preserve"> </w:t>
      </w:r>
      <w:r w:rsidR="00343A67" w:rsidRPr="00D03246">
        <w:rPr>
          <w:rFonts w:ascii="Arial" w:hAnsi="Arial" w:cs="Arial"/>
          <w:sz w:val="20"/>
          <w:szCs w:val="20"/>
        </w:rPr>
        <w:t>&lt;</w:t>
      </w:r>
      <w:r w:rsidR="00695803">
        <w:rPr>
          <w:rFonts w:ascii="Arial" w:hAnsi="Arial" w:cs="Arial"/>
          <w:sz w:val="20"/>
          <w:szCs w:val="20"/>
        </w:rPr>
        <w:t xml:space="preserve"> </w:t>
      </w:r>
      <w:r w:rsidR="00343A67" w:rsidRPr="00D03246">
        <w:rPr>
          <w:rFonts w:ascii="Arial" w:hAnsi="Arial" w:cs="Arial"/>
          <w:sz w:val="20"/>
          <w:szCs w:val="20"/>
        </w:rPr>
        <w:t>0.01)</w:t>
      </w:r>
      <w:r w:rsidR="00AE7267">
        <w:rPr>
          <w:rFonts w:ascii="Arial" w:hAnsi="Arial" w:cs="Arial"/>
          <w:sz w:val="20"/>
          <w:szCs w:val="20"/>
        </w:rPr>
        <w:t>.</w:t>
      </w:r>
      <w:r w:rsidR="0007089A" w:rsidRPr="00D03246">
        <w:rPr>
          <w:rFonts w:ascii="Arial" w:hAnsi="Arial" w:cs="Arial"/>
          <w:sz w:val="20"/>
          <w:szCs w:val="20"/>
        </w:rPr>
        <w:t xml:space="preserve"> </w:t>
      </w:r>
      <w:r w:rsidR="00FD0151" w:rsidRPr="00D03246">
        <w:rPr>
          <w:rFonts w:ascii="Arial" w:hAnsi="Arial" w:cs="Arial"/>
          <w:sz w:val="20"/>
          <w:szCs w:val="20"/>
        </w:rPr>
        <w:t>Finally,</w:t>
      </w:r>
      <w:r w:rsidR="00B85435" w:rsidRPr="00D03246">
        <w:rPr>
          <w:rFonts w:ascii="Arial" w:hAnsi="Arial" w:cs="Arial"/>
          <w:sz w:val="20"/>
          <w:szCs w:val="20"/>
        </w:rPr>
        <w:t xml:space="preserve"> gambling expenditure</w:t>
      </w:r>
      <w:r w:rsidR="008A1D5A" w:rsidRPr="00D03246">
        <w:rPr>
          <w:rFonts w:ascii="Arial" w:hAnsi="Arial" w:cs="Arial"/>
          <w:sz w:val="20"/>
          <w:szCs w:val="20"/>
        </w:rPr>
        <w:t xml:space="preserve"> (</w:t>
      </w:r>
      <w:r w:rsidR="00337E9C" w:rsidRPr="00D03246">
        <w:rPr>
          <w:rFonts w:ascii="Arial" w:hAnsi="Arial" w:cs="Arial"/>
          <w:sz w:val="20"/>
          <w:szCs w:val="20"/>
        </w:rPr>
        <w:t>p</w:t>
      </w:r>
      <w:r w:rsidR="00695803">
        <w:rPr>
          <w:rFonts w:ascii="Arial" w:hAnsi="Arial" w:cs="Arial"/>
          <w:sz w:val="20"/>
          <w:szCs w:val="20"/>
        </w:rPr>
        <w:t xml:space="preserve"> </w:t>
      </w:r>
      <w:r w:rsidR="00337E9C" w:rsidRPr="00D03246">
        <w:rPr>
          <w:rFonts w:ascii="Arial" w:hAnsi="Arial" w:cs="Arial"/>
          <w:sz w:val="20"/>
          <w:szCs w:val="20"/>
        </w:rPr>
        <w:t>&lt;</w:t>
      </w:r>
      <w:r w:rsidR="00695803">
        <w:rPr>
          <w:rFonts w:ascii="Arial" w:hAnsi="Arial" w:cs="Arial"/>
          <w:sz w:val="20"/>
          <w:szCs w:val="20"/>
        </w:rPr>
        <w:t xml:space="preserve"> </w:t>
      </w:r>
      <w:r w:rsidR="00337E9C" w:rsidRPr="00D03246">
        <w:rPr>
          <w:rFonts w:ascii="Arial" w:hAnsi="Arial" w:cs="Arial"/>
          <w:sz w:val="20"/>
          <w:szCs w:val="20"/>
        </w:rPr>
        <w:t>0.01)</w:t>
      </w:r>
      <w:r w:rsidR="00B85435" w:rsidRPr="00D03246">
        <w:rPr>
          <w:rFonts w:ascii="Arial" w:hAnsi="Arial" w:cs="Arial"/>
          <w:sz w:val="20"/>
          <w:szCs w:val="20"/>
        </w:rPr>
        <w:t xml:space="preserve"> and regularity</w:t>
      </w:r>
      <w:r w:rsidR="00337E9C" w:rsidRPr="00D03246">
        <w:rPr>
          <w:rFonts w:ascii="Arial" w:hAnsi="Arial" w:cs="Arial"/>
          <w:sz w:val="20"/>
          <w:szCs w:val="20"/>
        </w:rPr>
        <w:t xml:space="preserve"> (p</w:t>
      </w:r>
      <w:r w:rsidR="00695803">
        <w:rPr>
          <w:rFonts w:ascii="Arial" w:hAnsi="Arial" w:cs="Arial"/>
          <w:sz w:val="20"/>
          <w:szCs w:val="20"/>
        </w:rPr>
        <w:t xml:space="preserve"> </w:t>
      </w:r>
      <w:r w:rsidR="00337E9C" w:rsidRPr="00D03246">
        <w:rPr>
          <w:rFonts w:ascii="Arial" w:hAnsi="Arial" w:cs="Arial"/>
          <w:sz w:val="20"/>
          <w:szCs w:val="20"/>
        </w:rPr>
        <w:t>&lt;</w:t>
      </w:r>
      <w:r w:rsidR="00695803">
        <w:rPr>
          <w:rFonts w:ascii="Arial" w:hAnsi="Arial" w:cs="Arial"/>
          <w:sz w:val="20"/>
          <w:szCs w:val="20"/>
        </w:rPr>
        <w:t xml:space="preserve"> </w:t>
      </w:r>
      <w:r w:rsidR="00337E9C" w:rsidRPr="00D03246">
        <w:rPr>
          <w:rFonts w:ascii="Arial" w:hAnsi="Arial" w:cs="Arial"/>
          <w:sz w:val="20"/>
          <w:szCs w:val="20"/>
        </w:rPr>
        <w:t>0.01)</w:t>
      </w:r>
      <w:r w:rsidR="00B85435" w:rsidRPr="00D03246">
        <w:rPr>
          <w:rFonts w:ascii="Arial" w:hAnsi="Arial" w:cs="Arial"/>
          <w:sz w:val="20"/>
          <w:szCs w:val="20"/>
        </w:rPr>
        <w:t xml:space="preserve"> was significantly </w:t>
      </w:r>
      <w:r w:rsidR="008A1D5A" w:rsidRPr="00D03246">
        <w:rPr>
          <w:rFonts w:ascii="Arial" w:hAnsi="Arial" w:cs="Arial"/>
          <w:sz w:val="20"/>
          <w:szCs w:val="20"/>
        </w:rPr>
        <w:t xml:space="preserve">lower </w:t>
      </w:r>
      <w:r w:rsidR="00337E9C" w:rsidRPr="00D03246">
        <w:rPr>
          <w:rFonts w:ascii="Arial" w:hAnsi="Arial" w:cs="Arial"/>
          <w:sz w:val="20"/>
          <w:szCs w:val="20"/>
        </w:rPr>
        <w:t>among</w:t>
      </w:r>
      <w:r w:rsidR="00FD0151" w:rsidRPr="00D03246">
        <w:rPr>
          <w:rFonts w:ascii="Arial" w:hAnsi="Arial" w:cs="Arial"/>
          <w:sz w:val="20"/>
          <w:szCs w:val="20"/>
        </w:rPr>
        <w:t xml:space="preserve"> </w:t>
      </w:r>
      <w:r w:rsidR="002E7B66">
        <w:rPr>
          <w:rFonts w:ascii="Arial" w:hAnsi="Arial" w:cs="Arial"/>
          <w:sz w:val="20"/>
          <w:szCs w:val="20"/>
        </w:rPr>
        <w:t xml:space="preserve">students </w:t>
      </w:r>
      <w:r w:rsidR="00FD0151" w:rsidRPr="00D03246">
        <w:rPr>
          <w:rFonts w:ascii="Arial" w:hAnsi="Arial" w:cs="Arial"/>
          <w:sz w:val="20"/>
          <w:szCs w:val="20"/>
        </w:rPr>
        <w:t>studying non-sports degree programmes</w:t>
      </w:r>
      <w:r w:rsidR="00337E9C" w:rsidRPr="00D03246">
        <w:rPr>
          <w:rFonts w:ascii="Arial" w:hAnsi="Arial" w:cs="Arial"/>
          <w:sz w:val="20"/>
          <w:szCs w:val="20"/>
        </w:rPr>
        <w:t>.</w:t>
      </w:r>
      <w:r w:rsidR="00775B19" w:rsidRPr="00D03246">
        <w:rPr>
          <w:rFonts w:ascii="Arial" w:hAnsi="Arial" w:cs="Arial"/>
          <w:sz w:val="20"/>
          <w:szCs w:val="20"/>
        </w:rPr>
        <w:t xml:space="preserve"> </w:t>
      </w:r>
    </w:p>
    <w:p w14:paraId="6294058E" w14:textId="33F61AEA" w:rsidR="003C15F6" w:rsidRDefault="00B336FA" w:rsidP="00D03246">
      <w:pPr>
        <w:jc w:val="both"/>
        <w:rPr>
          <w:rFonts w:ascii="Arial" w:hAnsi="Arial" w:cs="Arial"/>
          <w:sz w:val="20"/>
          <w:szCs w:val="20"/>
        </w:rPr>
      </w:pPr>
      <w:r w:rsidRPr="00B336FA">
        <w:rPr>
          <w:rFonts w:ascii="Arial" w:hAnsi="Arial" w:cs="Arial"/>
          <w:b/>
          <w:bCs/>
          <w:sz w:val="20"/>
          <w:szCs w:val="20"/>
        </w:rPr>
        <w:t>Originality</w:t>
      </w:r>
      <w:r>
        <w:rPr>
          <w:rFonts w:ascii="Arial" w:hAnsi="Arial" w:cs="Arial"/>
          <w:b/>
          <w:bCs/>
          <w:sz w:val="20"/>
          <w:szCs w:val="20"/>
        </w:rPr>
        <w:t>/value</w:t>
      </w:r>
      <w:r w:rsidRPr="00B336FA">
        <w:rPr>
          <w:rFonts w:ascii="Arial" w:hAnsi="Arial" w:cs="Arial"/>
          <w:b/>
          <w:bCs/>
          <w:sz w:val="20"/>
          <w:szCs w:val="20"/>
        </w:rPr>
        <w:t>:</w:t>
      </w:r>
      <w:r>
        <w:rPr>
          <w:rFonts w:ascii="Arial" w:hAnsi="Arial" w:cs="Arial"/>
          <w:sz w:val="20"/>
          <w:szCs w:val="20"/>
        </w:rPr>
        <w:t xml:space="preserve"> </w:t>
      </w:r>
      <w:r w:rsidR="00775B19" w:rsidRPr="00D03246">
        <w:rPr>
          <w:rFonts w:ascii="Arial" w:hAnsi="Arial" w:cs="Arial"/>
          <w:sz w:val="20"/>
          <w:szCs w:val="20"/>
        </w:rPr>
        <w:t xml:space="preserve">The findings of </w:t>
      </w:r>
      <w:r w:rsidR="002E7B66">
        <w:rPr>
          <w:rFonts w:ascii="Arial" w:hAnsi="Arial" w:cs="Arial"/>
          <w:sz w:val="20"/>
          <w:szCs w:val="20"/>
        </w:rPr>
        <w:t xml:space="preserve">the </w:t>
      </w:r>
      <w:r w:rsidR="00775B19" w:rsidRPr="00D03246">
        <w:rPr>
          <w:rFonts w:ascii="Arial" w:hAnsi="Arial" w:cs="Arial"/>
          <w:sz w:val="20"/>
          <w:szCs w:val="20"/>
        </w:rPr>
        <w:t>present stud</w:t>
      </w:r>
      <w:r w:rsidR="008869D9" w:rsidRPr="00D03246">
        <w:rPr>
          <w:rFonts w:ascii="Arial" w:hAnsi="Arial" w:cs="Arial"/>
          <w:sz w:val="20"/>
          <w:szCs w:val="20"/>
        </w:rPr>
        <w:t xml:space="preserve">y </w:t>
      </w:r>
      <w:r w:rsidR="002C1ACE">
        <w:rPr>
          <w:rFonts w:ascii="Arial" w:hAnsi="Arial" w:cs="Arial"/>
          <w:sz w:val="20"/>
          <w:szCs w:val="20"/>
        </w:rPr>
        <w:t xml:space="preserve">provide evidence to </w:t>
      </w:r>
      <w:r w:rsidR="008869D9" w:rsidRPr="00D03246">
        <w:rPr>
          <w:rFonts w:ascii="Arial" w:hAnsi="Arial" w:cs="Arial"/>
          <w:sz w:val="20"/>
          <w:szCs w:val="20"/>
        </w:rPr>
        <w:t xml:space="preserve">warrant </w:t>
      </w:r>
      <w:r w:rsidR="00461593" w:rsidRPr="00D03246">
        <w:rPr>
          <w:rFonts w:ascii="Arial" w:hAnsi="Arial" w:cs="Arial"/>
          <w:sz w:val="20"/>
          <w:szCs w:val="20"/>
        </w:rPr>
        <w:t xml:space="preserve">further investigation </w:t>
      </w:r>
      <w:r w:rsidR="002E7B66">
        <w:rPr>
          <w:rFonts w:ascii="Arial" w:hAnsi="Arial" w:cs="Arial"/>
          <w:sz w:val="20"/>
          <w:szCs w:val="20"/>
        </w:rPr>
        <w:t>into</w:t>
      </w:r>
      <w:r w:rsidR="0098026F" w:rsidRPr="00D03246">
        <w:rPr>
          <w:rFonts w:ascii="Arial" w:hAnsi="Arial" w:cs="Arial"/>
          <w:sz w:val="20"/>
          <w:szCs w:val="20"/>
        </w:rPr>
        <w:t xml:space="preserve"> gambling </w:t>
      </w:r>
      <w:r w:rsidR="004E5C21" w:rsidRPr="00D03246">
        <w:rPr>
          <w:rFonts w:ascii="Arial" w:hAnsi="Arial" w:cs="Arial"/>
          <w:sz w:val="20"/>
          <w:szCs w:val="20"/>
        </w:rPr>
        <w:t>perceptions</w:t>
      </w:r>
      <w:r w:rsidR="001A6F61" w:rsidRPr="00D03246">
        <w:rPr>
          <w:rFonts w:ascii="Arial" w:hAnsi="Arial" w:cs="Arial"/>
          <w:sz w:val="20"/>
          <w:szCs w:val="20"/>
        </w:rPr>
        <w:t xml:space="preserve"> and behaviours among students on sports-based programmes, with a view to </w:t>
      </w:r>
      <w:r w:rsidR="004E5C21" w:rsidRPr="00D03246">
        <w:rPr>
          <w:rFonts w:ascii="Arial" w:hAnsi="Arial" w:cs="Arial"/>
          <w:sz w:val="20"/>
          <w:szCs w:val="20"/>
        </w:rPr>
        <w:t xml:space="preserve">assessing the </w:t>
      </w:r>
      <w:r>
        <w:rPr>
          <w:rFonts w:ascii="Arial" w:hAnsi="Arial" w:cs="Arial"/>
          <w:sz w:val="20"/>
          <w:szCs w:val="20"/>
        </w:rPr>
        <w:t xml:space="preserve">potential </w:t>
      </w:r>
      <w:r w:rsidR="004E5C21" w:rsidRPr="00D03246">
        <w:rPr>
          <w:rFonts w:ascii="Arial" w:hAnsi="Arial" w:cs="Arial"/>
          <w:sz w:val="20"/>
          <w:szCs w:val="20"/>
        </w:rPr>
        <w:t xml:space="preserve">need for </w:t>
      </w:r>
      <w:r w:rsidR="002B0F96">
        <w:rPr>
          <w:rFonts w:ascii="Arial" w:hAnsi="Arial" w:cs="Arial"/>
          <w:sz w:val="20"/>
          <w:szCs w:val="20"/>
        </w:rPr>
        <w:t xml:space="preserve">targeted awareness, </w:t>
      </w:r>
      <w:r w:rsidR="004E5C21" w:rsidRPr="00D03246">
        <w:rPr>
          <w:rFonts w:ascii="Arial" w:hAnsi="Arial" w:cs="Arial"/>
          <w:sz w:val="20"/>
          <w:szCs w:val="20"/>
        </w:rPr>
        <w:t>tailored support</w:t>
      </w:r>
      <w:r w:rsidR="002B0F96">
        <w:rPr>
          <w:rFonts w:ascii="Arial" w:hAnsi="Arial" w:cs="Arial"/>
          <w:sz w:val="20"/>
          <w:szCs w:val="20"/>
        </w:rPr>
        <w:t>,</w:t>
      </w:r>
      <w:r w:rsidR="004E5C21" w:rsidRPr="00D03246">
        <w:rPr>
          <w:rFonts w:ascii="Arial" w:hAnsi="Arial" w:cs="Arial"/>
          <w:sz w:val="20"/>
          <w:szCs w:val="20"/>
        </w:rPr>
        <w:t xml:space="preserve"> and how</w:t>
      </w:r>
      <w:r w:rsidR="002B0F96">
        <w:rPr>
          <w:rFonts w:ascii="Arial" w:hAnsi="Arial" w:cs="Arial"/>
          <w:sz w:val="20"/>
          <w:szCs w:val="20"/>
        </w:rPr>
        <w:t xml:space="preserve"> both can most effectively </w:t>
      </w:r>
      <w:r w:rsidR="004E5C21" w:rsidRPr="00D03246">
        <w:rPr>
          <w:rFonts w:ascii="Arial" w:hAnsi="Arial" w:cs="Arial"/>
          <w:sz w:val="20"/>
          <w:szCs w:val="20"/>
        </w:rPr>
        <w:t xml:space="preserve">be provided. </w:t>
      </w:r>
    </w:p>
    <w:p w14:paraId="70187825" w14:textId="0EB2118A" w:rsidR="00B336FA" w:rsidRDefault="00AA66A7" w:rsidP="00D03246">
      <w:pPr>
        <w:jc w:val="both"/>
        <w:rPr>
          <w:rFonts w:ascii="Arial" w:hAnsi="Arial" w:cs="Arial"/>
          <w:b/>
          <w:bCs/>
          <w:sz w:val="20"/>
          <w:szCs w:val="20"/>
        </w:rPr>
      </w:pPr>
      <w:r>
        <w:rPr>
          <w:rFonts w:ascii="Arial" w:hAnsi="Arial" w:cs="Arial"/>
          <w:b/>
          <w:bCs/>
          <w:sz w:val="20"/>
          <w:szCs w:val="20"/>
        </w:rPr>
        <w:t xml:space="preserve">Keywords: </w:t>
      </w:r>
      <w:r w:rsidR="002B0F96">
        <w:rPr>
          <w:rFonts w:ascii="Arial" w:hAnsi="Arial" w:cs="Arial"/>
          <w:sz w:val="20"/>
          <w:szCs w:val="20"/>
        </w:rPr>
        <w:t xml:space="preserve">Problem </w:t>
      </w:r>
      <w:r w:rsidRPr="00DB2510">
        <w:rPr>
          <w:rFonts w:ascii="Arial" w:hAnsi="Arial" w:cs="Arial"/>
          <w:sz w:val="20"/>
          <w:szCs w:val="20"/>
        </w:rPr>
        <w:t xml:space="preserve">Gambling, </w:t>
      </w:r>
      <w:r w:rsidR="002B0F96" w:rsidRPr="00DB2510">
        <w:rPr>
          <w:rFonts w:ascii="Arial" w:hAnsi="Arial" w:cs="Arial"/>
          <w:sz w:val="20"/>
          <w:szCs w:val="20"/>
        </w:rPr>
        <w:t xml:space="preserve">Students, </w:t>
      </w:r>
      <w:r w:rsidRPr="00DB2510">
        <w:rPr>
          <w:rFonts w:ascii="Arial" w:hAnsi="Arial" w:cs="Arial"/>
          <w:sz w:val="20"/>
          <w:szCs w:val="20"/>
        </w:rPr>
        <w:t xml:space="preserve">University, </w:t>
      </w:r>
      <w:r w:rsidR="008F2478" w:rsidRPr="00DB2510">
        <w:rPr>
          <w:rFonts w:ascii="Arial" w:hAnsi="Arial" w:cs="Arial"/>
          <w:sz w:val="20"/>
          <w:szCs w:val="20"/>
        </w:rPr>
        <w:t>Sports, Student Athletes, Responsible Gambling</w:t>
      </w:r>
      <w:r w:rsidR="002B0F96">
        <w:rPr>
          <w:rFonts w:ascii="Arial" w:hAnsi="Arial" w:cs="Arial"/>
          <w:sz w:val="20"/>
          <w:szCs w:val="20"/>
        </w:rPr>
        <w:t>.</w:t>
      </w:r>
    </w:p>
    <w:p w14:paraId="42B72B3A" w14:textId="77777777" w:rsidR="00DB2510" w:rsidRPr="00D03246" w:rsidRDefault="00DB2510" w:rsidP="00D03246">
      <w:pPr>
        <w:jc w:val="both"/>
        <w:rPr>
          <w:rFonts w:ascii="Arial" w:hAnsi="Arial" w:cs="Arial"/>
          <w:b/>
          <w:bCs/>
          <w:sz w:val="20"/>
          <w:szCs w:val="20"/>
        </w:rPr>
      </w:pPr>
    </w:p>
    <w:p w14:paraId="0A544BF4" w14:textId="5931B25A" w:rsidR="00A947A6" w:rsidRPr="00D4016B" w:rsidRDefault="00A947A6">
      <w:pPr>
        <w:rPr>
          <w:rFonts w:ascii="Arial" w:hAnsi="Arial" w:cs="Arial"/>
          <w:b/>
          <w:bCs/>
          <w:sz w:val="20"/>
          <w:szCs w:val="20"/>
        </w:rPr>
      </w:pPr>
      <w:r w:rsidRPr="00D4016B">
        <w:rPr>
          <w:rFonts w:ascii="Arial" w:hAnsi="Arial" w:cs="Arial"/>
          <w:b/>
          <w:bCs/>
          <w:sz w:val="20"/>
          <w:szCs w:val="20"/>
        </w:rPr>
        <w:t>Introduction</w:t>
      </w:r>
    </w:p>
    <w:p w14:paraId="347B7A63" w14:textId="64BC477D" w:rsidR="00FC2FBA" w:rsidRDefault="00182B6C" w:rsidP="00401AE4">
      <w:pPr>
        <w:jc w:val="both"/>
        <w:rPr>
          <w:rFonts w:ascii="Arial" w:hAnsi="Arial" w:cs="Arial"/>
          <w:sz w:val="20"/>
          <w:szCs w:val="20"/>
        </w:rPr>
      </w:pPr>
      <w:r w:rsidRPr="00D4016B">
        <w:rPr>
          <w:rFonts w:ascii="Arial" w:hAnsi="Arial" w:cs="Arial"/>
          <w:sz w:val="20"/>
          <w:szCs w:val="20"/>
        </w:rPr>
        <w:t xml:space="preserve">Recent </w:t>
      </w:r>
      <w:r w:rsidR="00EC7D5B">
        <w:rPr>
          <w:rFonts w:ascii="Arial" w:hAnsi="Arial" w:cs="Arial"/>
          <w:sz w:val="20"/>
          <w:szCs w:val="20"/>
        </w:rPr>
        <w:t xml:space="preserve">reports </w:t>
      </w:r>
      <w:r w:rsidR="00DE066F">
        <w:rPr>
          <w:rFonts w:ascii="Arial" w:hAnsi="Arial" w:cs="Arial"/>
          <w:sz w:val="20"/>
          <w:szCs w:val="20"/>
        </w:rPr>
        <w:t xml:space="preserve">detail </w:t>
      </w:r>
      <w:r w:rsidR="00B5733E">
        <w:rPr>
          <w:rFonts w:ascii="Arial" w:hAnsi="Arial" w:cs="Arial"/>
          <w:sz w:val="20"/>
          <w:szCs w:val="20"/>
        </w:rPr>
        <w:t>how many students gamble whilst attending UK</w:t>
      </w:r>
      <w:r w:rsidR="00B00D3C" w:rsidRPr="00D4016B">
        <w:rPr>
          <w:rFonts w:ascii="Arial" w:hAnsi="Arial" w:cs="Arial"/>
          <w:sz w:val="20"/>
          <w:szCs w:val="20"/>
        </w:rPr>
        <w:t xml:space="preserve"> </w:t>
      </w:r>
      <w:r w:rsidR="00E01170" w:rsidRPr="00D4016B">
        <w:rPr>
          <w:rFonts w:ascii="Arial" w:hAnsi="Arial" w:cs="Arial"/>
          <w:sz w:val="20"/>
          <w:szCs w:val="20"/>
        </w:rPr>
        <w:t>universit</w:t>
      </w:r>
      <w:r w:rsidR="00B5733E">
        <w:rPr>
          <w:rFonts w:ascii="Arial" w:hAnsi="Arial" w:cs="Arial"/>
          <w:sz w:val="20"/>
          <w:szCs w:val="20"/>
        </w:rPr>
        <w:t>ies.</w:t>
      </w:r>
      <w:r w:rsidR="00EC7D5B">
        <w:rPr>
          <w:rFonts w:ascii="Arial" w:hAnsi="Arial" w:cs="Arial"/>
          <w:sz w:val="20"/>
          <w:szCs w:val="20"/>
        </w:rPr>
        <w:t xml:space="preserve"> Data from the Gambling Commission (2019</w:t>
      </w:r>
      <w:r w:rsidR="009E11E7">
        <w:rPr>
          <w:rFonts w:ascii="Arial" w:hAnsi="Arial" w:cs="Arial"/>
          <w:sz w:val="20"/>
          <w:szCs w:val="20"/>
        </w:rPr>
        <w:t>a</w:t>
      </w:r>
      <w:r w:rsidR="00EC7D5B">
        <w:rPr>
          <w:rFonts w:ascii="Arial" w:hAnsi="Arial" w:cs="Arial"/>
          <w:sz w:val="20"/>
          <w:szCs w:val="20"/>
        </w:rPr>
        <w:t xml:space="preserve">) </w:t>
      </w:r>
      <w:r w:rsidR="0011230D">
        <w:rPr>
          <w:rFonts w:ascii="Arial" w:hAnsi="Arial" w:cs="Arial"/>
          <w:sz w:val="20"/>
          <w:szCs w:val="20"/>
        </w:rPr>
        <w:t>reported</w:t>
      </w:r>
      <w:r w:rsidR="00FC2FBA">
        <w:rPr>
          <w:rFonts w:ascii="Arial" w:hAnsi="Arial" w:cs="Arial"/>
          <w:sz w:val="20"/>
          <w:szCs w:val="20"/>
        </w:rPr>
        <w:t xml:space="preserve"> </w:t>
      </w:r>
      <w:r w:rsidR="00EC7D5B">
        <w:rPr>
          <w:rFonts w:ascii="Arial" w:hAnsi="Arial" w:cs="Arial"/>
          <w:sz w:val="20"/>
          <w:szCs w:val="20"/>
        </w:rPr>
        <w:t xml:space="preserve">that </w:t>
      </w:r>
      <w:r w:rsidR="00EC7D5B" w:rsidRPr="00EC7D5B">
        <w:rPr>
          <w:rFonts w:ascii="Arial" w:hAnsi="Arial" w:cs="Arial"/>
          <w:sz w:val="20"/>
          <w:szCs w:val="20"/>
        </w:rPr>
        <w:t xml:space="preserve">approximately </w:t>
      </w:r>
      <w:r w:rsidR="008A2EAF">
        <w:rPr>
          <w:rFonts w:ascii="Arial" w:hAnsi="Arial" w:cs="Arial"/>
          <w:sz w:val="20"/>
          <w:szCs w:val="20"/>
        </w:rPr>
        <w:t xml:space="preserve">1.2 million students gamble, equating to </w:t>
      </w:r>
      <w:r w:rsidR="00EC7D5B" w:rsidRPr="00EC7D5B">
        <w:rPr>
          <w:rFonts w:ascii="Arial" w:hAnsi="Arial" w:cs="Arial"/>
          <w:sz w:val="20"/>
          <w:szCs w:val="20"/>
        </w:rPr>
        <w:t>two in every three students</w:t>
      </w:r>
      <w:r w:rsidR="008A2EAF">
        <w:rPr>
          <w:rFonts w:ascii="Arial" w:hAnsi="Arial" w:cs="Arial"/>
          <w:sz w:val="20"/>
          <w:szCs w:val="20"/>
        </w:rPr>
        <w:t>. Similarly, the</w:t>
      </w:r>
      <w:r w:rsidR="00EC7D5B">
        <w:rPr>
          <w:rFonts w:ascii="Arial" w:hAnsi="Arial" w:cs="Arial"/>
          <w:sz w:val="20"/>
          <w:szCs w:val="20"/>
        </w:rPr>
        <w:t xml:space="preserve"> </w:t>
      </w:r>
      <w:r w:rsidR="00EC7D5B" w:rsidRPr="00EC7D5B">
        <w:rPr>
          <w:rFonts w:ascii="Arial" w:hAnsi="Arial" w:cs="Arial"/>
          <w:sz w:val="20"/>
          <w:szCs w:val="20"/>
        </w:rPr>
        <w:t xml:space="preserve">Young Gamers and Gamblers Education Trust </w:t>
      </w:r>
      <w:r w:rsidR="00EC7D5B">
        <w:rPr>
          <w:rFonts w:ascii="Arial" w:hAnsi="Arial" w:cs="Arial"/>
          <w:sz w:val="20"/>
          <w:szCs w:val="20"/>
        </w:rPr>
        <w:t>(</w:t>
      </w:r>
      <w:r w:rsidR="00EC7D5B" w:rsidRPr="00EC7D5B">
        <w:rPr>
          <w:rFonts w:ascii="Arial" w:hAnsi="Arial" w:cs="Arial"/>
          <w:sz w:val="20"/>
          <w:szCs w:val="20"/>
        </w:rPr>
        <w:t>2019</w:t>
      </w:r>
      <w:r w:rsidR="00EC7D5B">
        <w:rPr>
          <w:rFonts w:ascii="Arial" w:hAnsi="Arial" w:cs="Arial"/>
          <w:sz w:val="20"/>
          <w:szCs w:val="20"/>
        </w:rPr>
        <w:t xml:space="preserve">) found </w:t>
      </w:r>
      <w:r w:rsidR="00EC7D5B" w:rsidRPr="00EC7D5B">
        <w:rPr>
          <w:rFonts w:ascii="Arial" w:hAnsi="Arial" w:cs="Arial"/>
          <w:sz w:val="20"/>
          <w:szCs w:val="20"/>
        </w:rPr>
        <w:t>that 47% of students had gambled in the past month, with 16% of those being at-risk or problem gamblers.</w:t>
      </w:r>
      <w:r w:rsidR="000C6CAB">
        <w:rPr>
          <w:rFonts w:ascii="Arial" w:hAnsi="Arial" w:cs="Arial"/>
          <w:sz w:val="20"/>
          <w:szCs w:val="20"/>
        </w:rPr>
        <w:t xml:space="preserve"> </w:t>
      </w:r>
      <w:r w:rsidR="008B6910">
        <w:rPr>
          <w:rFonts w:ascii="Arial" w:hAnsi="Arial" w:cs="Arial"/>
          <w:sz w:val="20"/>
          <w:szCs w:val="20"/>
        </w:rPr>
        <w:t>Whilst insightful, t</w:t>
      </w:r>
      <w:r w:rsidR="00FC2FBA">
        <w:rPr>
          <w:rFonts w:ascii="Arial" w:hAnsi="Arial" w:cs="Arial"/>
          <w:sz w:val="20"/>
          <w:szCs w:val="20"/>
        </w:rPr>
        <w:t>hese figures may be modest given the self-report nature underpinning such statistics</w:t>
      </w:r>
      <w:r w:rsidR="00A04BE2">
        <w:rPr>
          <w:rFonts w:ascii="Arial" w:hAnsi="Arial" w:cs="Arial"/>
          <w:sz w:val="20"/>
          <w:szCs w:val="20"/>
        </w:rPr>
        <w:t xml:space="preserve">, and they </w:t>
      </w:r>
      <w:r w:rsidR="00F46009">
        <w:rPr>
          <w:rFonts w:ascii="Arial" w:hAnsi="Arial" w:cs="Arial"/>
          <w:sz w:val="20"/>
          <w:szCs w:val="20"/>
        </w:rPr>
        <w:t>lack demographic variances</w:t>
      </w:r>
      <w:r w:rsidR="00F263C6">
        <w:rPr>
          <w:rFonts w:ascii="Arial" w:hAnsi="Arial" w:cs="Arial"/>
          <w:sz w:val="20"/>
          <w:szCs w:val="20"/>
        </w:rPr>
        <w:t xml:space="preserve">. </w:t>
      </w:r>
      <w:r w:rsidR="00415D90">
        <w:rPr>
          <w:rFonts w:ascii="Arial" w:hAnsi="Arial" w:cs="Arial"/>
          <w:sz w:val="20"/>
          <w:szCs w:val="20"/>
        </w:rPr>
        <w:t xml:space="preserve">Understanding such variance in </w:t>
      </w:r>
      <w:r w:rsidR="00415D90" w:rsidRPr="00415D90">
        <w:rPr>
          <w:rFonts w:ascii="Arial" w:hAnsi="Arial" w:cs="Arial"/>
          <w:sz w:val="20"/>
          <w:szCs w:val="20"/>
        </w:rPr>
        <w:t>at-risk or problem gamblers</w:t>
      </w:r>
      <w:r w:rsidR="00415D90">
        <w:rPr>
          <w:rFonts w:ascii="Arial" w:hAnsi="Arial" w:cs="Arial"/>
          <w:sz w:val="20"/>
          <w:szCs w:val="20"/>
        </w:rPr>
        <w:t xml:space="preserve"> is im</w:t>
      </w:r>
      <w:r w:rsidR="00401AE4">
        <w:rPr>
          <w:rFonts w:ascii="Arial" w:hAnsi="Arial" w:cs="Arial"/>
          <w:sz w:val="20"/>
          <w:szCs w:val="20"/>
        </w:rPr>
        <w:t xml:space="preserve">portant given </w:t>
      </w:r>
      <w:r w:rsidR="00F263C6" w:rsidRPr="00F263C6">
        <w:rPr>
          <w:rFonts w:ascii="Arial" w:hAnsi="Arial" w:cs="Arial"/>
          <w:sz w:val="20"/>
          <w:szCs w:val="20"/>
        </w:rPr>
        <w:t>evidence that gambling among students studying sport and/or sport-related topics may be more pervasive and problematic</w:t>
      </w:r>
      <w:r w:rsidR="00F263C6">
        <w:rPr>
          <w:rFonts w:ascii="Arial" w:hAnsi="Arial" w:cs="Arial"/>
          <w:sz w:val="20"/>
          <w:szCs w:val="20"/>
        </w:rPr>
        <w:t xml:space="preserve"> than those students on non-sport-related degree programmes</w:t>
      </w:r>
      <w:r w:rsidR="00F263C6" w:rsidRPr="00F263C6">
        <w:rPr>
          <w:rFonts w:ascii="Arial" w:hAnsi="Arial" w:cs="Arial"/>
          <w:sz w:val="20"/>
          <w:szCs w:val="20"/>
        </w:rPr>
        <w:t xml:space="preserve"> (Ellenbogen </w:t>
      </w:r>
      <w:r w:rsidR="00F263C6" w:rsidRPr="004E2734">
        <w:rPr>
          <w:rFonts w:ascii="Arial" w:hAnsi="Arial" w:cs="Arial"/>
          <w:i/>
          <w:iCs/>
          <w:sz w:val="20"/>
          <w:szCs w:val="20"/>
        </w:rPr>
        <w:t>et al</w:t>
      </w:r>
      <w:r w:rsidR="00F263C6" w:rsidRPr="00F263C6">
        <w:rPr>
          <w:rFonts w:ascii="Arial" w:hAnsi="Arial" w:cs="Arial"/>
          <w:sz w:val="20"/>
          <w:szCs w:val="20"/>
        </w:rPr>
        <w:t xml:space="preserve">., 2008; Martin </w:t>
      </w:r>
      <w:r w:rsidR="00F263C6" w:rsidRPr="004E2734">
        <w:rPr>
          <w:rFonts w:ascii="Arial" w:hAnsi="Arial" w:cs="Arial"/>
          <w:i/>
          <w:iCs/>
          <w:sz w:val="20"/>
          <w:szCs w:val="20"/>
        </w:rPr>
        <w:t>et al</w:t>
      </w:r>
      <w:r w:rsidR="00F263C6" w:rsidRPr="00F263C6">
        <w:rPr>
          <w:rFonts w:ascii="Arial" w:hAnsi="Arial" w:cs="Arial"/>
          <w:sz w:val="20"/>
          <w:szCs w:val="20"/>
        </w:rPr>
        <w:t xml:space="preserve">., 2016; St-Pierre </w:t>
      </w:r>
      <w:r w:rsidR="00F263C6" w:rsidRPr="004E2734">
        <w:rPr>
          <w:rFonts w:ascii="Arial" w:hAnsi="Arial" w:cs="Arial"/>
          <w:i/>
          <w:iCs/>
          <w:sz w:val="20"/>
          <w:szCs w:val="20"/>
        </w:rPr>
        <w:t>et al</w:t>
      </w:r>
      <w:r w:rsidR="00F263C6" w:rsidRPr="00F263C6">
        <w:rPr>
          <w:rFonts w:ascii="Arial" w:hAnsi="Arial" w:cs="Arial"/>
          <w:sz w:val="20"/>
          <w:szCs w:val="20"/>
        </w:rPr>
        <w:t>., 2014).</w:t>
      </w:r>
      <w:r w:rsidR="00F263C6">
        <w:rPr>
          <w:rFonts w:ascii="Arial" w:hAnsi="Arial" w:cs="Arial"/>
          <w:sz w:val="20"/>
          <w:szCs w:val="20"/>
        </w:rPr>
        <w:t xml:space="preserve"> Th</w:t>
      </w:r>
      <w:r w:rsidR="00E701F8">
        <w:rPr>
          <w:rFonts w:ascii="Arial" w:hAnsi="Arial" w:cs="Arial"/>
          <w:sz w:val="20"/>
          <w:szCs w:val="20"/>
        </w:rPr>
        <w:t xml:space="preserve">ere </w:t>
      </w:r>
      <w:r w:rsidR="00F263C6">
        <w:rPr>
          <w:rFonts w:ascii="Arial" w:hAnsi="Arial" w:cs="Arial"/>
          <w:sz w:val="20"/>
          <w:szCs w:val="20"/>
        </w:rPr>
        <w:t xml:space="preserve">is </w:t>
      </w:r>
      <w:r w:rsidR="00E701F8">
        <w:rPr>
          <w:rFonts w:ascii="Arial" w:hAnsi="Arial" w:cs="Arial"/>
          <w:sz w:val="20"/>
          <w:szCs w:val="20"/>
        </w:rPr>
        <w:t xml:space="preserve">a need to explore this </w:t>
      </w:r>
      <w:r w:rsidR="009A2DA9">
        <w:rPr>
          <w:rFonts w:ascii="Arial" w:hAnsi="Arial" w:cs="Arial"/>
          <w:sz w:val="20"/>
          <w:szCs w:val="20"/>
        </w:rPr>
        <w:t>variance i</w:t>
      </w:r>
      <w:r w:rsidR="00E701F8">
        <w:rPr>
          <w:rFonts w:ascii="Arial" w:hAnsi="Arial" w:cs="Arial"/>
          <w:sz w:val="20"/>
          <w:szCs w:val="20"/>
        </w:rPr>
        <w:t>n a UK context to better equip</w:t>
      </w:r>
      <w:r w:rsidR="0078070D">
        <w:rPr>
          <w:rFonts w:ascii="Arial" w:hAnsi="Arial" w:cs="Arial"/>
          <w:sz w:val="20"/>
          <w:szCs w:val="20"/>
        </w:rPr>
        <w:t xml:space="preserve"> key stakeholders in</w:t>
      </w:r>
      <w:r w:rsidR="00E701F8">
        <w:rPr>
          <w:rFonts w:ascii="Arial" w:hAnsi="Arial" w:cs="Arial"/>
          <w:sz w:val="20"/>
          <w:szCs w:val="20"/>
        </w:rPr>
        <w:t xml:space="preserve"> </w:t>
      </w:r>
      <w:r w:rsidR="0078070D" w:rsidRPr="0078070D">
        <w:rPr>
          <w:rFonts w:ascii="Arial" w:hAnsi="Arial" w:cs="Arial"/>
          <w:sz w:val="20"/>
          <w:szCs w:val="20"/>
        </w:rPr>
        <w:t>stakeholders in protection from gambling-related harm.</w:t>
      </w:r>
      <w:r w:rsidR="00BF59E9">
        <w:rPr>
          <w:rFonts w:ascii="Arial" w:hAnsi="Arial" w:cs="Arial"/>
          <w:sz w:val="20"/>
          <w:szCs w:val="20"/>
        </w:rPr>
        <w:t xml:space="preserve"> Before further framing this variance, </w:t>
      </w:r>
      <w:r w:rsidR="007675C3">
        <w:rPr>
          <w:rFonts w:ascii="Arial" w:hAnsi="Arial" w:cs="Arial"/>
          <w:sz w:val="20"/>
          <w:szCs w:val="20"/>
        </w:rPr>
        <w:t xml:space="preserve">it is necessary to outline </w:t>
      </w:r>
      <w:r w:rsidR="00F263C6">
        <w:rPr>
          <w:rFonts w:ascii="Arial" w:hAnsi="Arial" w:cs="Arial"/>
          <w:sz w:val="20"/>
          <w:szCs w:val="20"/>
        </w:rPr>
        <w:t xml:space="preserve">why students offer a pertinent social group from which to examine gambling behaviours. </w:t>
      </w:r>
    </w:p>
    <w:p w14:paraId="69E0B5B0" w14:textId="77EE6063" w:rsidR="00CD2535" w:rsidRDefault="007B135A" w:rsidP="00CD2535">
      <w:pPr>
        <w:jc w:val="both"/>
        <w:rPr>
          <w:rFonts w:ascii="Arial" w:hAnsi="Arial" w:cs="Arial"/>
          <w:sz w:val="20"/>
          <w:szCs w:val="20"/>
        </w:rPr>
      </w:pPr>
      <w:r>
        <w:rPr>
          <w:rFonts w:ascii="Arial" w:hAnsi="Arial" w:cs="Arial"/>
          <w:sz w:val="20"/>
          <w:szCs w:val="20"/>
        </w:rPr>
        <w:lastRenderedPageBreak/>
        <w:t>Students’ propensity to gamble can be partly explained by the lifestyle, financial circumstances and greater independence commonly associated with university life. For many students, going to university involves having greater financial independence and managing greater levels</w:t>
      </w:r>
      <w:r w:rsidR="00F263C6">
        <w:rPr>
          <w:rFonts w:ascii="Arial" w:hAnsi="Arial" w:cs="Arial"/>
          <w:sz w:val="20"/>
          <w:szCs w:val="20"/>
        </w:rPr>
        <w:t xml:space="preserve"> of</w:t>
      </w:r>
      <w:r>
        <w:rPr>
          <w:rFonts w:ascii="Arial" w:hAnsi="Arial" w:cs="Arial"/>
          <w:sz w:val="20"/>
          <w:szCs w:val="20"/>
        </w:rPr>
        <w:t xml:space="preserve"> money via </w:t>
      </w:r>
      <w:r w:rsidR="00D63FB8">
        <w:rPr>
          <w:rFonts w:ascii="Arial" w:hAnsi="Arial" w:cs="Arial"/>
          <w:sz w:val="20"/>
          <w:szCs w:val="20"/>
        </w:rPr>
        <w:t>s</w:t>
      </w:r>
      <w:r>
        <w:rPr>
          <w:rFonts w:ascii="Arial" w:hAnsi="Arial" w:cs="Arial"/>
          <w:sz w:val="20"/>
          <w:szCs w:val="20"/>
        </w:rPr>
        <w:t xml:space="preserve">tudent </w:t>
      </w:r>
      <w:r w:rsidR="00D63FB8">
        <w:rPr>
          <w:rFonts w:ascii="Arial" w:hAnsi="Arial" w:cs="Arial"/>
          <w:sz w:val="20"/>
          <w:szCs w:val="20"/>
        </w:rPr>
        <w:t>l</w:t>
      </w:r>
      <w:r>
        <w:rPr>
          <w:rFonts w:ascii="Arial" w:hAnsi="Arial" w:cs="Arial"/>
          <w:sz w:val="20"/>
          <w:szCs w:val="20"/>
        </w:rPr>
        <w:t>oan payments</w:t>
      </w:r>
      <w:r w:rsidR="009856E1">
        <w:rPr>
          <w:rFonts w:ascii="Arial" w:hAnsi="Arial" w:cs="Arial"/>
          <w:sz w:val="20"/>
          <w:szCs w:val="20"/>
        </w:rPr>
        <w:t>,</w:t>
      </w:r>
      <w:r>
        <w:rPr>
          <w:rFonts w:ascii="Arial" w:hAnsi="Arial" w:cs="Arial"/>
          <w:sz w:val="20"/>
          <w:szCs w:val="20"/>
        </w:rPr>
        <w:t xml:space="preserve"> part-time employment</w:t>
      </w:r>
      <w:r w:rsidR="009856E1">
        <w:rPr>
          <w:rFonts w:ascii="Arial" w:hAnsi="Arial" w:cs="Arial"/>
          <w:sz w:val="20"/>
          <w:szCs w:val="20"/>
        </w:rPr>
        <w:t xml:space="preserve"> and/or living costs</w:t>
      </w:r>
      <w:r>
        <w:rPr>
          <w:rFonts w:ascii="Arial" w:hAnsi="Arial" w:cs="Arial"/>
          <w:sz w:val="20"/>
          <w:szCs w:val="20"/>
        </w:rPr>
        <w:t>.</w:t>
      </w:r>
      <w:r w:rsidR="00761CA2">
        <w:rPr>
          <w:rFonts w:ascii="Arial" w:hAnsi="Arial" w:cs="Arial"/>
          <w:sz w:val="20"/>
          <w:szCs w:val="20"/>
        </w:rPr>
        <w:t xml:space="preserve"> However, poor budgeting has been identified as an issue amongst students (Vien, 2015).</w:t>
      </w:r>
      <w:r>
        <w:rPr>
          <w:rFonts w:ascii="Arial" w:hAnsi="Arial" w:cs="Arial"/>
          <w:sz w:val="20"/>
          <w:szCs w:val="20"/>
        </w:rPr>
        <w:t xml:space="preserve"> </w:t>
      </w:r>
      <w:r w:rsidR="009856E1">
        <w:rPr>
          <w:rFonts w:ascii="Arial" w:hAnsi="Arial" w:cs="Arial"/>
          <w:sz w:val="20"/>
          <w:szCs w:val="20"/>
        </w:rPr>
        <w:t>The</w:t>
      </w:r>
      <w:r w:rsidR="00E31E65">
        <w:rPr>
          <w:rFonts w:ascii="Arial" w:hAnsi="Arial" w:cs="Arial"/>
          <w:sz w:val="20"/>
          <w:szCs w:val="20"/>
        </w:rPr>
        <w:t xml:space="preserve">refore, one of the three key reasons </w:t>
      </w:r>
      <w:r w:rsidR="009856E1">
        <w:rPr>
          <w:rFonts w:ascii="Arial" w:hAnsi="Arial" w:cs="Arial"/>
          <w:sz w:val="20"/>
          <w:szCs w:val="20"/>
        </w:rPr>
        <w:t>s</w:t>
      </w:r>
      <w:r>
        <w:rPr>
          <w:rFonts w:ascii="Arial" w:hAnsi="Arial" w:cs="Arial"/>
          <w:sz w:val="20"/>
          <w:szCs w:val="20"/>
        </w:rPr>
        <w:t xml:space="preserve">tudents opt for </w:t>
      </w:r>
      <w:r w:rsidR="0011132B">
        <w:rPr>
          <w:rFonts w:ascii="Arial" w:hAnsi="Arial" w:cs="Arial"/>
          <w:sz w:val="20"/>
          <w:szCs w:val="20"/>
        </w:rPr>
        <w:t xml:space="preserve">gambling as </w:t>
      </w:r>
      <w:r w:rsidR="00B336FA">
        <w:rPr>
          <w:rFonts w:ascii="Arial" w:hAnsi="Arial" w:cs="Arial"/>
          <w:sz w:val="20"/>
          <w:szCs w:val="20"/>
        </w:rPr>
        <w:t>a particular</w:t>
      </w:r>
      <w:r>
        <w:rPr>
          <w:rFonts w:ascii="Arial" w:hAnsi="Arial" w:cs="Arial"/>
          <w:sz w:val="20"/>
          <w:szCs w:val="20"/>
        </w:rPr>
        <w:t xml:space="preserve"> pastime </w:t>
      </w:r>
      <w:r w:rsidR="00436F62">
        <w:rPr>
          <w:rFonts w:ascii="Arial" w:hAnsi="Arial" w:cs="Arial"/>
          <w:sz w:val="20"/>
          <w:szCs w:val="20"/>
        </w:rPr>
        <w:t xml:space="preserve">is to seek an alternative source of income, along with </w:t>
      </w:r>
      <w:r>
        <w:rPr>
          <w:rFonts w:ascii="Arial" w:hAnsi="Arial" w:cs="Arial"/>
          <w:sz w:val="20"/>
          <w:szCs w:val="20"/>
        </w:rPr>
        <w:t>boredom busting</w:t>
      </w:r>
      <w:r w:rsidR="00436F62">
        <w:rPr>
          <w:rFonts w:ascii="Arial" w:hAnsi="Arial" w:cs="Arial"/>
          <w:sz w:val="20"/>
          <w:szCs w:val="20"/>
        </w:rPr>
        <w:t xml:space="preserve"> and</w:t>
      </w:r>
      <w:r>
        <w:rPr>
          <w:rFonts w:ascii="Arial" w:hAnsi="Arial" w:cs="Arial"/>
          <w:sz w:val="20"/>
          <w:szCs w:val="20"/>
        </w:rPr>
        <w:t xml:space="preserve"> conformity to social norms (</w:t>
      </w:r>
      <w:proofErr w:type="spellStart"/>
      <w:r w:rsidR="006C6003" w:rsidRPr="006C6003">
        <w:rPr>
          <w:rFonts w:ascii="Arial" w:hAnsi="Arial" w:cs="Arial"/>
          <w:sz w:val="20"/>
          <w:szCs w:val="20"/>
          <w:lang w:eastAsia="en-GB"/>
        </w:rPr>
        <w:t>Švegar</w:t>
      </w:r>
      <w:proofErr w:type="spellEnd"/>
      <w:r w:rsidR="006C6003" w:rsidRPr="000C6CAB">
        <w:rPr>
          <w:rFonts w:ascii="Arial" w:hAnsi="Arial" w:cs="Arial"/>
          <w:sz w:val="20"/>
          <w:szCs w:val="20"/>
        </w:rPr>
        <w:t xml:space="preserve"> </w:t>
      </w:r>
      <w:r w:rsidRPr="004E2734">
        <w:rPr>
          <w:rFonts w:ascii="Arial" w:hAnsi="Arial" w:cs="Arial"/>
          <w:i/>
          <w:iCs/>
          <w:sz w:val="20"/>
          <w:szCs w:val="20"/>
        </w:rPr>
        <w:t>et al</w:t>
      </w:r>
      <w:r w:rsidRPr="000C6CAB">
        <w:rPr>
          <w:rFonts w:ascii="Arial" w:hAnsi="Arial" w:cs="Arial"/>
          <w:sz w:val="20"/>
          <w:szCs w:val="20"/>
        </w:rPr>
        <w:t>., 2017</w:t>
      </w:r>
      <w:r>
        <w:rPr>
          <w:rFonts w:ascii="Arial" w:hAnsi="Arial" w:cs="Arial"/>
          <w:sz w:val="20"/>
          <w:szCs w:val="20"/>
        </w:rPr>
        <w:t>;</w:t>
      </w:r>
      <w:r w:rsidRPr="000C6CAB">
        <w:rPr>
          <w:rFonts w:ascii="Arial" w:hAnsi="Arial" w:cs="Arial"/>
          <w:sz w:val="20"/>
          <w:szCs w:val="20"/>
        </w:rPr>
        <w:t xml:space="preserve"> </w:t>
      </w:r>
      <w:proofErr w:type="spellStart"/>
      <w:r w:rsidRPr="000C6CAB">
        <w:rPr>
          <w:rFonts w:ascii="Arial" w:hAnsi="Arial" w:cs="Arial"/>
          <w:sz w:val="20"/>
          <w:szCs w:val="20"/>
        </w:rPr>
        <w:t>Neighbors</w:t>
      </w:r>
      <w:proofErr w:type="spellEnd"/>
      <w:r w:rsidRPr="000C6CAB">
        <w:rPr>
          <w:rFonts w:ascii="Arial" w:hAnsi="Arial" w:cs="Arial"/>
          <w:sz w:val="20"/>
          <w:szCs w:val="20"/>
        </w:rPr>
        <w:t xml:space="preserve"> and Lostutter, 2002</w:t>
      </w:r>
      <w:r>
        <w:rPr>
          <w:rFonts w:ascii="Arial" w:hAnsi="Arial" w:cs="Arial"/>
          <w:sz w:val="20"/>
          <w:szCs w:val="20"/>
        </w:rPr>
        <w:t xml:space="preserve">; </w:t>
      </w:r>
      <w:r w:rsidRPr="00504206">
        <w:rPr>
          <w:rFonts w:ascii="Arial" w:hAnsi="Arial" w:cs="Arial"/>
          <w:sz w:val="20"/>
          <w:szCs w:val="20"/>
        </w:rPr>
        <w:t>NUS, 2019</w:t>
      </w:r>
      <w:r w:rsidRPr="000C6CAB">
        <w:rPr>
          <w:rFonts w:ascii="Arial" w:hAnsi="Arial" w:cs="Arial"/>
          <w:sz w:val="20"/>
          <w:szCs w:val="20"/>
        </w:rPr>
        <w:t xml:space="preserve">). </w:t>
      </w:r>
      <w:r>
        <w:rPr>
          <w:rFonts w:ascii="Arial" w:hAnsi="Arial" w:cs="Arial"/>
          <w:sz w:val="20"/>
          <w:szCs w:val="20"/>
        </w:rPr>
        <w:t xml:space="preserve">The </w:t>
      </w:r>
      <w:r w:rsidRPr="007F4CF3">
        <w:rPr>
          <w:rFonts w:ascii="Arial" w:hAnsi="Arial" w:cs="Arial"/>
          <w:sz w:val="20"/>
          <w:szCs w:val="20"/>
        </w:rPr>
        <w:t>Young Gamers and Gamblers</w:t>
      </w:r>
      <w:r>
        <w:rPr>
          <w:rFonts w:ascii="Arial" w:hAnsi="Arial" w:cs="Arial"/>
          <w:sz w:val="20"/>
          <w:szCs w:val="20"/>
        </w:rPr>
        <w:t xml:space="preserve"> </w:t>
      </w:r>
      <w:r w:rsidRPr="007F4CF3">
        <w:rPr>
          <w:rFonts w:ascii="Arial" w:hAnsi="Arial" w:cs="Arial"/>
          <w:sz w:val="20"/>
          <w:szCs w:val="20"/>
        </w:rPr>
        <w:t xml:space="preserve">Education Trust </w:t>
      </w:r>
      <w:r>
        <w:rPr>
          <w:rFonts w:ascii="Arial" w:hAnsi="Arial" w:cs="Arial"/>
          <w:sz w:val="20"/>
          <w:szCs w:val="20"/>
        </w:rPr>
        <w:t>(</w:t>
      </w:r>
      <w:r w:rsidRPr="007F4CF3">
        <w:rPr>
          <w:rFonts w:ascii="Arial" w:hAnsi="Arial" w:cs="Arial"/>
          <w:sz w:val="20"/>
          <w:szCs w:val="20"/>
        </w:rPr>
        <w:t>2019)</w:t>
      </w:r>
      <w:r>
        <w:rPr>
          <w:rFonts w:ascii="Arial" w:hAnsi="Arial" w:cs="Arial"/>
          <w:sz w:val="20"/>
          <w:szCs w:val="20"/>
        </w:rPr>
        <w:t xml:space="preserve"> report f</w:t>
      </w:r>
      <w:r w:rsidR="00BF0B1B">
        <w:rPr>
          <w:rFonts w:ascii="Arial" w:hAnsi="Arial" w:cs="Arial"/>
          <w:sz w:val="20"/>
          <w:szCs w:val="20"/>
        </w:rPr>
        <w:t>ound</w:t>
      </w:r>
      <w:r>
        <w:rPr>
          <w:rFonts w:ascii="Arial" w:hAnsi="Arial" w:cs="Arial"/>
          <w:sz w:val="20"/>
          <w:szCs w:val="20"/>
        </w:rPr>
        <w:t xml:space="preserve"> that </w:t>
      </w:r>
      <w:r w:rsidRPr="007F4CF3">
        <w:rPr>
          <w:rFonts w:ascii="Arial" w:hAnsi="Arial" w:cs="Arial"/>
          <w:sz w:val="20"/>
          <w:szCs w:val="20"/>
        </w:rPr>
        <w:t>over half of student</w:t>
      </w:r>
      <w:r>
        <w:rPr>
          <w:rFonts w:ascii="Arial" w:hAnsi="Arial" w:cs="Arial"/>
          <w:sz w:val="20"/>
          <w:szCs w:val="20"/>
        </w:rPr>
        <w:t>s</w:t>
      </w:r>
      <w:r w:rsidRPr="007F4CF3">
        <w:rPr>
          <w:rFonts w:ascii="Arial" w:hAnsi="Arial" w:cs="Arial"/>
          <w:sz w:val="20"/>
          <w:szCs w:val="20"/>
        </w:rPr>
        <w:t xml:space="preserve"> (52%)</w:t>
      </w:r>
      <w:r>
        <w:rPr>
          <w:rFonts w:ascii="Arial" w:hAnsi="Arial" w:cs="Arial"/>
          <w:sz w:val="20"/>
          <w:szCs w:val="20"/>
        </w:rPr>
        <w:t xml:space="preserve"> stated </w:t>
      </w:r>
      <w:r w:rsidRPr="007F4CF3">
        <w:rPr>
          <w:rFonts w:ascii="Arial" w:hAnsi="Arial" w:cs="Arial"/>
          <w:sz w:val="20"/>
          <w:szCs w:val="20"/>
        </w:rPr>
        <w:t xml:space="preserve">winning money </w:t>
      </w:r>
      <w:r>
        <w:rPr>
          <w:rFonts w:ascii="Arial" w:hAnsi="Arial" w:cs="Arial"/>
          <w:sz w:val="20"/>
          <w:szCs w:val="20"/>
        </w:rPr>
        <w:t>a</w:t>
      </w:r>
      <w:r w:rsidRPr="007F4CF3">
        <w:rPr>
          <w:rFonts w:ascii="Arial" w:hAnsi="Arial" w:cs="Arial"/>
          <w:sz w:val="20"/>
          <w:szCs w:val="20"/>
        </w:rPr>
        <w:t xml:space="preserve">s one </w:t>
      </w:r>
      <w:r>
        <w:rPr>
          <w:rFonts w:ascii="Arial" w:hAnsi="Arial" w:cs="Arial"/>
          <w:sz w:val="20"/>
          <w:szCs w:val="20"/>
        </w:rPr>
        <w:t xml:space="preserve">of </w:t>
      </w:r>
      <w:r w:rsidRPr="007F4CF3">
        <w:rPr>
          <w:rFonts w:ascii="Arial" w:hAnsi="Arial" w:cs="Arial"/>
          <w:sz w:val="20"/>
          <w:szCs w:val="20"/>
        </w:rPr>
        <w:t xml:space="preserve">the </w:t>
      </w:r>
      <w:r>
        <w:rPr>
          <w:rFonts w:ascii="Arial" w:hAnsi="Arial" w:cs="Arial"/>
          <w:sz w:val="20"/>
          <w:szCs w:val="20"/>
        </w:rPr>
        <w:t xml:space="preserve">main </w:t>
      </w:r>
      <w:r w:rsidRPr="007F4CF3">
        <w:rPr>
          <w:rFonts w:ascii="Arial" w:hAnsi="Arial" w:cs="Arial"/>
          <w:sz w:val="20"/>
          <w:szCs w:val="20"/>
        </w:rPr>
        <w:t>reasons for gambling</w:t>
      </w:r>
      <w:r>
        <w:rPr>
          <w:rFonts w:ascii="Arial" w:hAnsi="Arial" w:cs="Arial"/>
          <w:sz w:val="20"/>
          <w:szCs w:val="20"/>
        </w:rPr>
        <w:t xml:space="preserve">. This primary reason </w:t>
      </w:r>
      <w:r w:rsidR="009856E1">
        <w:rPr>
          <w:rFonts w:ascii="Arial" w:hAnsi="Arial" w:cs="Arial"/>
          <w:sz w:val="20"/>
          <w:szCs w:val="20"/>
        </w:rPr>
        <w:t>can</w:t>
      </w:r>
      <w:r>
        <w:rPr>
          <w:rFonts w:ascii="Arial" w:hAnsi="Arial" w:cs="Arial"/>
          <w:sz w:val="20"/>
          <w:szCs w:val="20"/>
        </w:rPr>
        <w:t xml:space="preserve"> </w:t>
      </w:r>
      <w:r w:rsidR="009856E1">
        <w:rPr>
          <w:rFonts w:ascii="Arial" w:hAnsi="Arial" w:cs="Arial"/>
          <w:sz w:val="20"/>
          <w:szCs w:val="20"/>
        </w:rPr>
        <w:t xml:space="preserve">be </w:t>
      </w:r>
      <w:r>
        <w:rPr>
          <w:rFonts w:ascii="Arial" w:hAnsi="Arial" w:cs="Arial"/>
          <w:sz w:val="20"/>
          <w:szCs w:val="20"/>
        </w:rPr>
        <w:t xml:space="preserve">more amplified for those </w:t>
      </w:r>
      <w:r w:rsidR="00EE0FC5">
        <w:rPr>
          <w:rFonts w:ascii="Arial" w:hAnsi="Arial" w:cs="Arial"/>
          <w:sz w:val="20"/>
          <w:szCs w:val="20"/>
        </w:rPr>
        <w:t xml:space="preserve">81% of </w:t>
      </w:r>
      <w:r>
        <w:rPr>
          <w:rFonts w:ascii="Arial" w:hAnsi="Arial" w:cs="Arial"/>
          <w:sz w:val="20"/>
          <w:szCs w:val="20"/>
        </w:rPr>
        <w:t xml:space="preserve">students </w:t>
      </w:r>
      <w:r w:rsidR="00C212A8">
        <w:rPr>
          <w:rFonts w:ascii="Arial" w:hAnsi="Arial" w:cs="Arial"/>
          <w:sz w:val="20"/>
          <w:szCs w:val="20"/>
        </w:rPr>
        <w:t xml:space="preserve">reporting as being affected </w:t>
      </w:r>
      <w:r>
        <w:rPr>
          <w:rFonts w:ascii="Arial" w:hAnsi="Arial" w:cs="Arial"/>
          <w:sz w:val="20"/>
          <w:szCs w:val="20"/>
        </w:rPr>
        <w:t xml:space="preserve">by the UK’s current </w:t>
      </w:r>
      <w:r w:rsidRPr="007F4CF3">
        <w:rPr>
          <w:rFonts w:ascii="Arial" w:hAnsi="Arial" w:cs="Arial"/>
          <w:sz w:val="20"/>
          <w:szCs w:val="20"/>
        </w:rPr>
        <w:t>cost of living crisis</w:t>
      </w:r>
      <w:r w:rsidR="00C212A8">
        <w:rPr>
          <w:rFonts w:ascii="Arial" w:hAnsi="Arial" w:cs="Arial"/>
          <w:sz w:val="20"/>
          <w:szCs w:val="20"/>
        </w:rPr>
        <w:t xml:space="preserve"> (</w:t>
      </w:r>
      <w:r w:rsidR="00CD2535" w:rsidRPr="00CD2535">
        <w:rPr>
          <w:rFonts w:ascii="Arial" w:hAnsi="Arial" w:cs="Arial"/>
          <w:sz w:val="20"/>
          <w:szCs w:val="20"/>
        </w:rPr>
        <w:t>Russell Group Cost-of-Living Survey</w:t>
      </w:r>
      <w:r w:rsidR="00C212A8">
        <w:rPr>
          <w:rFonts w:ascii="Arial" w:hAnsi="Arial" w:cs="Arial"/>
          <w:sz w:val="20"/>
          <w:szCs w:val="20"/>
        </w:rPr>
        <w:t>,</w:t>
      </w:r>
      <w:r w:rsidR="00CD2535" w:rsidRPr="00CD2535">
        <w:rPr>
          <w:rFonts w:ascii="Arial" w:hAnsi="Arial" w:cs="Arial"/>
          <w:sz w:val="20"/>
          <w:szCs w:val="20"/>
        </w:rPr>
        <w:t xml:space="preserve"> 2023)</w:t>
      </w:r>
      <w:r w:rsidR="00C212A8">
        <w:rPr>
          <w:rFonts w:ascii="Arial" w:hAnsi="Arial" w:cs="Arial"/>
          <w:sz w:val="20"/>
          <w:szCs w:val="20"/>
        </w:rPr>
        <w:t>.</w:t>
      </w:r>
    </w:p>
    <w:p w14:paraId="0AA2A3E1" w14:textId="60A27E0E" w:rsidR="002C438D" w:rsidRDefault="0058636C" w:rsidP="2770E8E9">
      <w:pPr>
        <w:jc w:val="both"/>
        <w:rPr>
          <w:rFonts w:ascii="Arial" w:hAnsi="Arial" w:cs="Arial"/>
          <w:sz w:val="20"/>
          <w:szCs w:val="20"/>
        </w:rPr>
      </w:pPr>
      <w:r>
        <w:rPr>
          <w:rFonts w:ascii="Arial" w:hAnsi="Arial" w:cs="Arial"/>
          <w:sz w:val="20"/>
          <w:szCs w:val="20"/>
        </w:rPr>
        <w:t xml:space="preserve">Student access to gambling </w:t>
      </w:r>
      <w:r w:rsidR="008A2EAF">
        <w:rPr>
          <w:rFonts w:ascii="Arial" w:hAnsi="Arial" w:cs="Arial"/>
          <w:sz w:val="20"/>
          <w:szCs w:val="20"/>
        </w:rPr>
        <w:t xml:space="preserve">can </w:t>
      </w:r>
      <w:r w:rsidR="00D55489">
        <w:rPr>
          <w:rFonts w:ascii="Arial" w:hAnsi="Arial" w:cs="Arial"/>
          <w:sz w:val="20"/>
          <w:szCs w:val="20"/>
        </w:rPr>
        <w:t xml:space="preserve">also </w:t>
      </w:r>
      <w:r w:rsidR="008A2EAF">
        <w:rPr>
          <w:rFonts w:ascii="Arial" w:hAnsi="Arial" w:cs="Arial"/>
          <w:sz w:val="20"/>
          <w:szCs w:val="20"/>
        </w:rPr>
        <w:t>part</w:t>
      </w:r>
      <w:r w:rsidR="00C11C87">
        <w:rPr>
          <w:rFonts w:ascii="Arial" w:hAnsi="Arial" w:cs="Arial"/>
          <w:sz w:val="20"/>
          <w:szCs w:val="20"/>
        </w:rPr>
        <w:t>ly</w:t>
      </w:r>
      <w:r w:rsidR="008A2EAF">
        <w:rPr>
          <w:rFonts w:ascii="Arial" w:hAnsi="Arial" w:cs="Arial"/>
          <w:sz w:val="20"/>
          <w:szCs w:val="20"/>
        </w:rPr>
        <w:t xml:space="preserve"> be explained by </w:t>
      </w:r>
      <w:r w:rsidR="00932FE8">
        <w:rPr>
          <w:rFonts w:ascii="Arial" w:hAnsi="Arial" w:cs="Arial"/>
          <w:sz w:val="20"/>
          <w:szCs w:val="20"/>
        </w:rPr>
        <w:t>the UK’s liberal attitudes towards gambling law</w:t>
      </w:r>
      <w:r w:rsidR="00E525F9">
        <w:rPr>
          <w:rFonts w:ascii="Arial" w:hAnsi="Arial" w:cs="Arial"/>
          <w:sz w:val="20"/>
          <w:szCs w:val="20"/>
        </w:rPr>
        <w:t>s,</w:t>
      </w:r>
      <w:r w:rsidR="00932FE8">
        <w:rPr>
          <w:rFonts w:ascii="Arial" w:hAnsi="Arial" w:cs="Arial"/>
          <w:sz w:val="20"/>
          <w:szCs w:val="20"/>
        </w:rPr>
        <w:t xml:space="preserve"> and t</w:t>
      </w:r>
      <w:r w:rsidR="00932FE8" w:rsidRPr="009E11E7">
        <w:rPr>
          <w:rFonts w:ascii="Arial" w:hAnsi="Arial" w:cs="Arial"/>
          <w:sz w:val="20"/>
          <w:szCs w:val="20"/>
        </w:rPr>
        <w:t xml:space="preserve">echnological advances </w:t>
      </w:r>
      <w:r w:rsidR="00932FE8">
        <w:rPr>
          <w:rFonts w:ascii="Arial" w:hAnsi="Arial" w:cs="Arial"/>
          <w:sz w:val="20"/>
          <w:szCs w:val="20"/>
        </w:rPr>
        <w:t xml:space="preserve">in </w:t>
      </w:r>
      <w:r w:rsidR="00932FE8" w:rsidRPr="009E11E7">
        <w:rPr>
          <w:rFonts w:ascii="Arial" w:hAnsi="Arial" w:cs="Arial"/>
          <w:sz w:val="20"/>
          <w:szCs w:val="20"/>
        </w:rPr>
        <w:t xml:space="preserve">online gambling </w:t>
      </w:r>
      <w:r w:rsidR="00932FE8">
        <w:rPr>
          <w:rFonts w:ascii="Arial" w:hAnsi="Arial" w:cs="Arial"/>
          <w:sz w:val="20"/>
          <w:szCs w:val="20"/>
        </w:rPr>
        <w:t xml:space="preserve">and e-banking (Drakeford, 2015; </w:t>
      </w:r>
      <w:proofErr w:type="spellStart"/>
      <w:r w:rsidR="00932FE8">
        <w:rPr>
          <w:rFonts w:ascii="Arial" w:hAnsi="Arial" w:cs="Arial"/>
          <w:sz w:val="20"/>
          <w:szCs w:val="20"/>
        </w:rPr>
        <w:t>Roshler</w:t>
      </w:r>
      <w:proofErr w:type="spellEnd"/>
      <w:r w:rsidR="00932FE8">
        <w:rPr>
          <w:rFonts w:ascii="Arial" w:hAnsi="Arial" w:cs="Arial"/>
          <w:sz w:val="20"/>
          <w:szCs w:val="20"/>
        </w:rPr>
        <w:t xml:space="preserve">, 2022; The House of Lords, 2021). </w:t>
      </w:r>
      <w:r w:rsidR="005E6CC5">
        <w:rPr>
          <w:rFonts w:ascii="Arial" w:hAnsi="Arial" w:cs="Arial"/>
          <w:sz w:val="20"/>
          <w:szCs w:val="20"/>
        </w:rPr>
        <w:t xml:space="preserve">Already </w:t>
      </w:r>
      <w:r w:rsidR="00740915">
        <w:rPr>
          <w:rFonts w:ascii="Arial" w:hAnsi="Arial" w:cs="Arial"/>
          <w:sz w:val="20"/>
          <w:szCs w:val="20"/>
        </w:rPr>
        <w:t>owning a smartphone, f</w:t>
      </w:r>
      <w:r w:rsidR="00470414">
        <w:rPr>
          <w:rFonts w:ascii="Arial" w:hAnsi="Arial" w:cs="Arial"/>
          <w:sz w:val="20"/>
          <w:szCs w:val="20"/>
        </w:rPr>
        <w:t xml:space="preserve">or many students, entering university coincides with reaching the legal age to gamble and set-up a betting account. </w:t>
      </w:r>
      <w:r w:rsidR="00932FE8">
        <w:rPr>
          <w:rFonts w:ascii="Arial" w:hAnsi="Arial" w:cs="Arial"/>
          <w:sz w:val="20"/>
          <w:szCs w:val="20"/>
        </w:rPr>
        <w:t xml:space="preserve">As often young adults, students can be enticed by the free bets offer when registering a betting account, one of many targeted </w:t>
      </w:r>
      <w:r w:rsidR="008A2EAF">
        <w:rPr>
          <w:rFonts w:ascii="Arial" w:hAnsi="Arial" w:cs="Arial"/>
          <w:sz w:val="20"/>
          <w:szCs w:val="20"/>
        </w:rPr>
        <w:t xml:space="preserve">advertising </w:t>
      </w:r>
      <w:r w:rsidR="00932FE8">
        <w:rPr>
          <w:rFonts w:ascii="Arial" w:hAnsi="Arial" w:cs="Arial"/>
          <w:sz w:val="20"/>
          <w:szCs w:val="20"/>
        </w:rPr>
        <w:t>betting companies aim at young people (Guillou-</w:t>
      </w:r>
      <w:proofErr w:type="spellStart"/>
      <w:r w:rsidR="00932FE8">
        <w:rPr>
          <w:rFonts w:ascii="Arial" w:hAnsi="Arial" w:cs="Arial"/>
          <w:sz w:val="20"/>
          <w:szCs w:val="20"/>
        </w:rPr>
        <w:t>Landreat</w:t>
      </w:r>
      <w:proofErr w:type="spellEnd"/>
      <w:r w:rsidR="00932FE8">
        <w:rPr>
          <w:rFonts w:ascii="Arial" w:hAnsi="Arial" w:cs="Arial"/>
          <w:sz w:val="20"/>
          <w:szCs w:val="20"/>
        </w:rPr>
        <w:t xml:space="preserve"> </w:t>
      </w:r>
      <w:r w:rsidR="00932FE8" w:rsidRPr="004E2734">
        <w:rPr>
          <w:rFonts w:ascii="Arial" w:hAnsi="Arial" w:cs="Arial"/>
          <w:i/>
          <w:iCs/>
          <w:sz w:val="20"/>
          <w:szCs w:val="20"/>
        </w:rPr>
        <w:t>et al</w:t>
      </w:r>
      <w:r w:rsidR="00932FE8">
        <w:rPr>
          <w:rFonts w:ascii="Arial" w:hAnsi="Arial" w:cs="Arial"/>
          <w:sz w:val="20"/>
          <w:szCs w:val="20"/>
        </w:rPr>
        <w:t xml:space="preserve">. 2021; Killick and Griffiths, 2022; Oduor, </w:t>
      </w:r>
      <w:proofErr w:type="spellStart"/>
      <w:r w:rsidR="00932FE8">
        <w:rPr>
          <w:rFonts w:ascii="Arial" w:hAnsi="Arial" w:cs="Arial"/>
          <w:sz w:val="20"/>
          <w:szCs w:val="20"/>
        </w:rPr>
        <w:t>Mberia</w:t>
      </w:r>
      <w:proofErr w:type="spellEnd"/>
      <w:r w:rsidR="00932FE8">
        <w:rPr>
          <w:rFonts w:ascii="Arial" w:hAnsi="Arial" w:cs="Arial"/>
          <w:sz w:val="20"/>
          <w:szCs w:val="20"/>
        </w:rPr>
        <w:t xml:space="preserve"> and </w:t>
      </w:r>
      <w:proofErr w:type="spellStart"/>
      <w:r w:rsidR="00932FE8">
        <w:rPr>
          <w:rFonts w:ascii="Arial" w:hAnsi="Arial" w:cs="Arial"/>
          <w:sz w:val="20"/>
          <w:szCs w:val="20"/>
        </w:rPr>
        <w:t>Ndavula</w:t>
      </w:r>
      <w:proofErr w:type="spellEnd"/>
      <w:r w:rsidR="00932FE8">
        <w:rPr>
          <w:rFonts w:ascii="Arial" w:hAnsi="Arial" w:cs="Arial"/>
          <w:sz w:val="20"/>
          <w:szCs w:val="20"/>
        </w:rPr>
        <w:t xml:space="preserve">, 2023). </w:t>
      </w:r>
      <w:r w:rsidR="007B135A">
        <w:rPr>
          <w:rFonts w:ascii="Arial" w:hAnsi="Arial" w:cs="Arial"/>
          <w:sz w:val="20"/>
          <w:szCs w:val="20"/>
        </w:rPr>
        <w:t xml:space="preserve">However, </w:t>
      </w:r>
      <w:r w:rsidR="00735590">
        <w:rPr>
          <w:rFonts w:ascii="Arial" w:hAnsi="Arial" w:cs="Arial"/>
          <w:sz w:val="20"/>
          <w:szCs w:val="20"/>
        </w:rPr>
        <w:t xml:space="preserve">the UK government’s attitude </w:t>
      </w:r>
      <w:r w:rsidR="00D7441E">
        <w:rPr>
          <w:rFonts w:ascii="Arial" w:hAnsi="Arial" w:cs="Arial"/>
          <w:sz w:val="20"/>
          <w:szCs w:val="20"/>
        </w:rPr>
        <w:t xml:space="preserve">and approach </w:t>
      </w:r>
      <w:r w:rsidR="00735590">
        <w:rPr>
          <w:rFonts w:ascii="Arial" w:hAnsi="Arial" w:cs="Arial"/>
          <w:sz w:val="20"/>
          <w:szCs w:val="20"/>
        </w:rPr>
        <w:t>towards gambling is not fixed and has been</w:t>
      </w:r>
      <w:r w:rsidR="00D7441E">
        <w:rPr>
          <w:rFonts w:ascii="Arial" w:hAnsi="Arial" w:cs="Arial"/>
          <w:sz w:val="20"/>
          <w:szCs w:val="20"/>
        </w:rPr>
        <w:t xml:space="preserve"> informed by many gambling awareness lobby groups</w:t>
      </w:r>
      <w:r w:rsidR="007A7D48">
        <w:rPr>
          <w:rFonts w:ascii="Arial" w:hAnsi="Arial" w:cs="Arial"/>
          <w:sz w:val="20"/>
          <w:szCs w:val="20"/>
        </w:rPr>
        <w:t xml:space="preserve">, such as </w:t>
      </w:r>
      <w:r w:rsidR="001F1F4A">
        <w:rPr>
          <w:rFonts w:ascii="Arial" w:hAnsi="Arial" w:cs="Arial"/>
          <w:sz w:val="20"/>
          <w:szCs w:val="20"/>
        </w:rPr>
        <w:t xml:space="preserve">Bet No More UK, Gamble Aware and </w:t>
      </w:r>
      <w:r w:rsidR="003C17E6" w:rsidRPr="003C17E6">
        <w:rPr>
          <w:rFonts w:ascii="Arial" w:hAnsi="Arial" w:cs="Arial"/>
          <w:sz w:val="20"/>
          <w:szCs w:val="20"/>
        </w:rPr>
        <w:t>The Betting and Gaming Council</w:t>
      </w:r>
      <w:r w:rsidR="003C17E6">
        <w:rPr>
          <w:rFonts w:ascii="Arial" w:hAnsi="Arial" w:cs="Arial"/>
          <w:sz w:val="20"/>
          <w:szCs w:val="20"/>
        </w:rPr>
        <w:t xml:space="preserve">. </w:t>
      </w:r>
      <w:r w:rsidR="00951F87">
        <w:rPr>
          <w:rFonts w:ascii="Arial" w:hAnsi="Arial" w:cs="Arial"/>
          <w:sz w:val="20"/>
          <w:szCs w:val="20"/>
        </w:rPr>
        <w:t xml:space="preserve">Therefore, it is necessary to note that </w:t>
      </w:r>
      <w:r w:rsidR="007B135A">
        <w:rPr>
          <w:rFonts w:ascii="Arial" w:hAnsi="Arial" w:cs="Arial"/>
          <w:sz w:val="20"/>
          <w:szCs w:val="20"/>
        </w:rPr>
        <w:t>s</w:t>
      </w:r>
      <w:r w:rsidR="00932FE8">
        <w:rPr>
          <w:rFonts w:ascii="Arial" w:hAnsi="Arial" w:cs="Arial"/>
          <w:sz w:val="20"/>
          <w:szCs w:val="20"/>
        </w:rPr>
        <w:t xml:space="preserve">tudent gambling </w:t>
      </w:r>
      <w:r w:rsidR="00951F87">
        <w:rPr>
          <w:rFonts w:ascii="Arial" w:hAnsi="Arial" w:cs="Arial"/>
          <w:sz w:val="20"/>
          <w:szCs w:val="20"/>
        </w:rPr>
        <w:t>currently</w:t>
      </w:r>
      <w:r w:rsidR="00470414">
        <w:rPr>
          <w:rFonts w:ascii="Arial" w:hAnsi="Arial" w:cs="Arial"/>
          <w:sz w:val="20"/>
          <w:szCs w:val="20"/>
        </w:rPr>
        <w:t xml:space="preserve"> </w:t>
      </w:r>
      <w:r w:rsidR="00932FE8">
        <w:rPr>
          <w:rFonts w:ascii="Arial" w:hAnsi="Arial" w:cs="Arial"/>
          <w:sz w:val="20"/>
          <w:szCs w:val="20"/>
        </w:rPr>
        <w:t xml:space="preserve">take place in the context of emerging </w:t>
      </w:r>
      <w:r w:rsidR="008A2EAF">
        <w:rPr>
          <w:rFonts w:ascii="Arial" w:hAnsi="Arial" w:cs="Arial"/>
          <w:sz w:val="20"/>
          <w:szCs w:val="20"/>
        </w:rPr>
        <w:t xml:space="preserve">stricter policy and legislation regarding gambling products, the rise of </w:t>
      </w:r>
      <w:r w:rsidR="00932FE8" w:rsidRPr="009E11E7">
        <w:rPr>
          <w:rFonts w:ascii="Arial" w:hAnsi="Arial" w:cs="Arial"/>
          <w:sz w:val="20"/>
          <w:szCs w:val="20"/>
        </w:rPr>
        <w:t>Responsible Gambling (RG) devices,</w:t>
      </w:r>
      <w:r w:rsidR="00932FE8">
        <w:rPr>
          <w:rFonts w:ascii="Arial" w:hAnsi="Arial" w:cs="Arial"/>
          <w:sz w:val="20"/>
          <w:szCs w:val="20"/>
        </w:rPr>
        <w:t xml:space="preserve"> and the development of data-tracking systems (</w:t>
      </w:r>
      <w:r w:rsidR="00932FE8" w:rsidRPr="009E11E7">
        <w:rPr>
          <w:rFonts w:ascii="Arial" w:hAnsi="Arial" w:cs="Arial"/>
          <w:sz w:val="20"/>
          <w:szCs w:val="20"/>
        </w:rPr>
        <w:t>Chagas and Gomes, 2017</w:t>
      </w:r>
      <w:r w:rsidR="00932FE8">
        <w:rPr>
          <w:rFonts w:ascii="Arial" w:hAnsi="Arial" w:cs="Arial"/>
          <w:sz w:val="20"/>
          <w:szCs w:val="20"/>
        </w:rPr>
        <w:t xml:space="preserve">; </w:t>
      </w:r>
      <w:proofErr w:type="spellStart"/>
      <w:r w:rsidR="00932FE8" w:rsidRPr="009E11E7">
        <w:rPr>
          <w:rFonts w:ascii="Arial" w:hAnsi="Arial" w:cs="Arial"/>
          <w:sz w:val="20"/>
          <w:szCs w:val="20"/>
        </w:rPr>
        <w:t>Gainsbury</w:t>
      </w:r>
      <w:proofErr w:type="spellEnd"/>
      <w:r w:rsidR="00932FE8" w:rsidRPr="009E11E7">
        <w:rPr>
          <w:rFonts w:ascii="Arial" w:hAnsi="Arial" w:cs="Arial"/>
          <w:sz w:val="20"/>
          <w:szCs w:val="20"/>
        </w:rPr>
        <w:t xml:space="preserve"> </w:t>
      </w:r>
      <w:r w:rsidR="00932FE8" w:rsidRPr="004E2734">
        <w:rPr>
          <w:rFonts w:ascii="Arial" w:hAnsi="Arial" w:cs="Arial"/>
          <w:i/>
          <w:iCs/>
          <w:sz w:val="20"/>
          <w:szCs w:val="20"/>
        </w:rPr>
        <w:t>et al</w:t>
      </w:r>
      <w:r w:rsidR="00932FE8" w:rsidRPr="009E11E7">
        <w:rPr>
          <w:rFonts w:ascii="Arial" w:hAnsi="Arial" w:cs="Arial"/>
          <w:sz w:val="20"/>
          <w:szCs w:val="20"/>
        </w:rPr>
        <w:t>., 2014; The Gambling Commission, 2019b)</w:t>
      </w:r>
      <w:r w:rsidR="00932FE8">
        <w:rPr>
          <w:rFonts w:ascii="Arial" w:hAnsi="Arial" w:cs="Arial"/>
          <w:sz w:val="20"/>
          <w:szCs w:val="20"/>
        </w:rPr>
        <w:t>.</w:t>
      </w:r>
      <w:r w:rsidR="009856E1">
        <w:rPr>
          <w:rFonts w:ascii="Arial" w:hAnsi="Arial" w:cs="Arial"/>
          <w:sz w:val="20"/>
          <w:szCs w:val="20"/>
        </w:rPr>
        <w:t xml:space="preserve"> </w:t>
      </w:r>
    </w:p>
    <w:p w14:paraId="6570A0C0" w14:textId="54CACC41" w:rsidR="00EC7D5B" w:rsidRDefault="00932FE8" w:rsidP="2770E8E9">
      <w:pPr>
        <w:jc w:val="both"/>
        <w:rPr>
          <w:rFonts w:ascii="Arial" w:hAnsi="Arial" w:cs="Arial"/>
          <w:sz w:val="20"/>
          <w:szCs w:val="20"/>
        </w:rPr>
      </w:pPr>
      <w:r>
        <w:rPr>
          <w:rFonts w:ascii="Arial" w:hAnsi="Arial" w:cs="Arial"/>
          <w:sz w:val="20"/>
          <w:szCs w:val="20"/>
        </w:rPr>
        <w:t>D</w:t>
      </w:r>
      <w:r w:rsidRPr="009E11E7">
        <w:rPr>
          <w:rFonts w:ascii="Arial" w:hAnsi="Arial" w:cs="Arial"/>
          <w:sz w:val="20"/>
          <w:szCs w:val="20"/>
        </w:rPr>
        <w:t>espite the</w:t>
      </w:r>
      <w:r>
        <w:rPr>
          <w:rFonts w:ascii="Arial" w:hAnsi="Arial" w:cs="Arial"/>
          <w:sz w:val="20"/>
          <w:szCs w:val="20"/>
        </w:rPr>
        <w:t xml:space="preserve">se </w:t>
      </w:r>
      <w:r w:rsidR="00951F87">
        <w:rPr>
          <w:rFonts w:ascii="Arial" w:hAnsi="Arial" w:cs="Arial"/>
          <w:sz w:val="20"/>
          <w:szCs w:val="20"/>
        </w:rPr>
        <w:t xml:space="preserve">regulatory and </w:t>
      </w:r>
      <w:r w:rsidR="003278C2">
        <w:rPr>
          <w:rFonts w:ascii="Arial" w:hAnsi="Arial" w:cs="Arial"/>
          <w:sz w:val="20"/>
          <w:szCs w:val="20"/>
        </w:rPr>
        <w:t xml:space="preserve">technological </w:t>
      </w:r>
      <w:r w:rsidR="007B135A">
        <w:rPr>
          <w:rFonts w:ascii="Arial" w:hAnsi="Arial" w:cs="Arial"/>
          <w:sz w:val="20"/>
          <w:szCs w:val="20"/>
        </w:rPr>
        <w:t>developments</w:t>
      </w:r>
      <w:r w:rsidRPr="009E11E7">
        <w:rPr>
          <w:rFonts w:ascii="Arial" w:hAnsi="Arial" w:cs="Arial"/>
          <w:sz w:val="20"/>
          <w:szCs w:val="20"/>
        </w:rPr>
        <w:t xml:space="preserve">, many </w:t>
      </w:r>
      <w:r w:rsidR="00761CA2">
        <w:rPr>
          <w:rFonts w:ascii="Arial" w:hAnsi="Arial" w:cs="Arial"/>
          <w:sz w:val="20"/>
          <w:szCs w:val="20"/>
        </w:rPr>
        <w:t xml:space="preserve">young </w:t>
      </w:r>
      <w:r w:rsidRPr="009E11E7">
        <w:rPr>
          <w:rFonts w:ascii="Arial" w:hAnsi="Arial" w:cs="Arial"/>
          <w:sz w:val="20"/>
          <w:szCs w:val="20"/>
        </w:rPr>
        <w:t>people suffer from unaffordable monetary losses and</w:t>
      </w:r>
      <w:r>
        <w:rPr>
          <w:rFonts w:ascii="Arial" w:hAnsi="Arial" w:cs="Arial"/>
          <w:sz w:val="20"/>
          <w:szCs w:val="20"/>
        </w:rPr>
        <w:t xml:space="preserve"> </w:t>
      </w:r>
      <w:r w:rsidRPr="009E11E7">
        <w:rPr>
          <w:rFonts w:ascii="Arial" w:hAnsi="Arial" w:cs="Arial"/>
          <w:sz w:val="20"/>
          <w:szCs w:val="20"/>
        </w:rPr>
        <w:t xml:space="preserve">gambling-related </w:t>
      </w:r>
      <w:r>
        <w:rPr>
          <w:rFonts w:ascii="Arial" w:hAnsi="Arial" w:cs="Arial"/>
          <w:sz w:val="20"/>
          <w:szCs w:val="20"/>
        </w:rPr>
        <w:t xml:space="preserve">psychological </w:t>
      </w:r>
      <w:r w:rsidRPr="009E11E7">
        <w:rPr>
          <w:rFonts w:ascii="Arial" w:hAnsi="Arial" w:cs="Arial"/>
          <w:sz w:val="20"/>
          <w:szCs w:val="20"/>
        </w:rPr>
        <w:t>issues that detrimental</w:t>
      </w:r>
      <w:r>
        <w:rPr>
          <w:rFonts w:ascii="Arial" w:hAnsi="Arial" w:cs="Arial"/>
          <w:sz w:val="20"/>
          <w:szCs w:val="20"/>
        </w:rPr>
        <w:t>ly</w:t>
      </w:r>
      <w:r w:rsidRPr="009E11E7">
        <w:rPr>
          <w:rFonts w:ascii="Arial" w:hAnsi="Arial" w:cs="Arial"/>
          <w:sz w:val="20"/>
          <w:szCs w:val="20"/>
        </w:rPr>
        <w:t xml:space="preserve"> </w:t>
      </w:r>
      <w:r>
        <w:rPr>
          <w:rFonts w:ascii="Arial" w:hAnsi="Arial" w:cs="Arial"/>
          <w:sz w:val="20"/>
          <w:szCs w:val="20"/>
        </w:rPr>
        <w:t xml:space="preserve">effects their mental </w:t>
      </w:r>
      <w:r w:rsidRPr="009E11E7">
        <w:rPr>
          <w:rFonts w:ascii="Arial" w:hAnsi="Arial" w:cs="Arial"/>
          <w:sz w:val="20"/>
          <w:szCs w:val="20"/>
        </w:rPr>
        <w:t>health and</w:t>
      </w:r>
      <w:r>
        <w:rPr>
          <w:rFonts w:ascii="Arial" w:hAnsi="Arial" w:cs="Arial"/>
          <w:sz w:val="20"/>
          <w:szCs w:val="20"/>
        </w:rPr>
        <w:t xml:space="preserve"> </w:t>
      </w:r>
      <w:r w:rsidRPr="009E11E7">
        <w:rPr>
          <w:rFonts w:ascii="Arial" w:hAnsi="Arial" w:cs="Arial"/>
          <w:sz w:val="20"/>
          <w:szCs w:val="20"/>
        </w:rPr>
        <w:t>well-being</w:t>
      </w:r>
      <w:r>
        <w:rPr>
          <w:rFonts w:ascii="Arial" w:hAnsi="Arial" w:cs="Arial"/>
          <w:sz w:val="20"/>
          <w:szCs w:val="20"/>
        </w:rPr>
        <w:t>, as well as those close to them</w:t>
      </w:r>
      <w:r w:rsidRPr="009E11E7">
        <w:rPr>
          <w:rFonts w:ascii="Arial" w:hAnsi="Arial" w:cs="Arial"/>
          <w:sz w:val="20"/>
          <w:szCs w:val="20"/>
        </w:rPr>
        <w:t xml:space="preserve"> (Holdsworth et al., 2013</w:t>
      </w:r>
      <w:r>
        <w:rPr>
          <w:rFonts w:ascii="Arial" w:hAnsi="Arial" w:cs="Arial"/>
          <w:sz w:val="20"/>
          <w:szCs w:val="20"/>
        </w:rPr>
        <w:t xml:space="preserve">; </w:t>
      </w:r>
      <w:r w:rsidRPr="009E11E7">
        <w:rPr>
          <w:rFonts w:ascii="Arial" w:hAnsi="Arial" w:cs="Arial"/>
          <w:sz w:val="20"/>
          <w:szCs w:val="20"/>
        </w:rPr>
        <w:t>Messerlian and Byrne, 2004)</w:t>
      </w:r>
      <w:r>
        <w:rPr>
          <w:rFonts w:ascii="Arial" w:hAnsi="Arial" w:cs="Arial"/>
          <w:sz w:val="20"/>
          <w:szCs w:val="20"/>
        </w:rPr>
        <w:t xml:space="preserve">. </w:t>
      </w:r>
      <w:r w:rsidR="002B0610">
        <w:rPr>
          <w:rFonts w:ascii="Arial" w:hAnsi="Arial" w:cs="Arial"/>
          <w:sz w:val="20"/>
          <w:szCs w:val="20"/>
        </w:rPr>
        <w:t>This can subsequently</w:t>
      </w:r>
      <w:r w:rsidR="0084667A">
        <w:rPr>
          <w:rFonts w:ascii="Arial" w:hAnsi="Arial" w:cs="Arial"/>
          <w:sz w:val="20"/>
          <w:szCs w:val="20"/>
        </w:rPr>
        <w:t xml:space="preserve"> </w:t>
      </w:r>
      <w:r w:rsidR="00F45B79">
        <w:rPr>
          <w:rFonts w:ascii="Arial" w:hAnsi="Arial" w:cs="Arial"/>
          <w:sz w:val="20"/>
          <w:szCs w:val="20"/>
        </w:rPr>
        <w:t xml:space="preserve">impact </w:t>
      </w:r>
      <w:r w:rsidR="00A5550A">
        <w:rPr>
          <w:rFonts w:ascii="Arial" w:hAnsi="Arial" w:cs="Arial"/>
          <w:sz w:val="20"/>
          <w:szCs w:val="20"/>
        </w:rPr>
        <w:t>students’ university experience</w:t>
      </w:r>
      <w:r w:rsidR="00B75D8C">
        <w:rPr>
          <w:rFonts w:ascii="Arial" w:hAnsi="Arial" w:cs="Arial"/>
          <w:sz w:val="20"/>
          <w:szCs w:val="20"/>
        </w:rPr>
        <w:t>s</w:t>
      </w:r>
      <w:r w:rsidR="00A5550A">
        <w:rPr>
          <w:rFonts w:ascii="Arial" w:hAnsi="Arial" w:cs="Arial"/>
          <w:sz w:val="20"/>
          <w:szCs w:val="20"/>
        </w:rPr>
        <w:t xml:space="preserve">, </w:t>
      </w:r>
      <w:r w:rsidR="00B66B36">
        <w:rPr>
          <w:rFonts w:ascii="Arial" w:hAnsi="Arial" w:cs="Arial"/>
          <w:sz w:val="20"/>
          <w:szCs w:val="20"/>
        </w:rPr>
        <w:t>achievements</w:t>
      </w:r>
      <w:r w:rsidR="0084667A">
        <w:rPr>
          <w:rFonts w:ascii="Arial" w:hAnsi="Arial" w:cs="Arial"/>
          <w:sz w:val="20"/>
          <w:szCs w:val="20"/>
        </w:rPr>
        <w:t>,</w:t>
      </w:r>
      <w:r w:rsidR="00A5550A">
        <w:rPr>
          <w:rFonts w:ascii="Arial" w:hAnsi="Arial" w:cs="Arial"/>
          <w:sz w:val="20"/>
          <w:szCs w:val="20"/>
        </w:rPr>
        <w:t xml:space="preserve"> and </w:t>
      </w:r>
      <w:r w:rsidR="00B66B36">
        <w:rPr>
          <w:rFonts w:ascii="Arial" w:hAnsi="Arial" w:cs="Arial"/>
          <w:sz w:val="20"/>
          <w:szCs w:val="20"/>
        </w:rPr>
        <w:t>engagement</w:t>
      </w:r>
      <w:r w:rsidR="00A5550A">
        <w:rPr>
          <w:rFonts w:ascii="Arial" w:hAnsi="Arial" w:cs="Arial"/>
          <w:sz w:val="20"/>
          <w:szCs w:val="20"/>
        </w:rPr>
        <w:t>.</w:t>
      </w:r>
      <w:r w:rsidR="00470414">
        <w:rPr>
          <w:rFonts w:ascii="Arial" w:hAnsi="Arial" w:cs="Arial"/>
          <w:sz w:val="20"/>
          <w:szCs w:val="20"/>
        </w:rPr>
        <w:t xml:space="preserve"> </w:t>
      </w:r>
      <w:r w:rsidR="003D1987">
        <w:rPr>
          <w:rFonts w:ascii="Arial" w:hAnsi="Arial" w:cs="Arial"/>
          <w:sz w:val="20"/>
          <w:szCs w:val="20"/>
        </w:rPr>
        <w:t xml:space="preserve">Whilst over the last few decades many universities have </w:t>
      </w:r>
      <w:r w:rsidR="003D1987" w:rsidRPr="003D1987">
        <w:rPr>
          <w:rFonts w:ascii="Arial" w:hAnsi="Arial" w:cs="Arial"/>
          <w:sz w:val="20"/>
          <w:szCs w:val="20"/>
        </w:rPr>
        <w:t>expanded the</w:t>
      </w:r>
      <w:r w:rsidR="003D1987">
        <w:rPr>
          <w:rFonts w:ascii="Arial" w:hAnsi="Arial" w:cs="Arial"/>
          <w:sz w:val="20"/>
          <w:szCs w:val="20"/>
        </w:rPr>
        <w:t xml:space="preserve">ir </w:t>
      </w:r>
      <w:r w:rsidR="003D1987" w:rsidRPr="003D1987">
        <w:rPr>
          <w:rFonts w:ascii="Arial" w:hAnsi="Arial" w:cs="Arial"/>
          <w:sz w:val="20"/>
          <w:szCs w:val="20"/>
        </w:rPr>
        <w:t>focus on student well-being,</w:t>
      </w:r>
      <w:r w:rsidR="003D1987">
        <w:rPr>
          <w:rFonts w:ascii="Arial" w:hAnsi="Arial" w:cs="Arial"/>
          <w:sz w:val="20"/>
          <w:szCs w:val="20"/>
        </w:rPr>
        <w:t xml:space="preserve"> </w:t>
      </w:r>
      <w:r w:rsidR="003D1987" w:rsidRPr="003D1987">
        <w:rPr>
          <w:rFonts w:ascii="Arial" w:hAnsi="Arial" w:cs="Arial"/>
          <w:sz w:val="20"/>
          <w:szCs w:val="20"/>
        </w:rPr>
        <w:t>study support and health services (Laws and Fiedler, 2012)</w:t>
      </w:r>
      <w:r w:rsidR="003D1987">
        <w:rPr>
          <w:rFonts w:ascii="Arial" w:hAnsi="Arial" w:cs="Arial"/>
          <w:sz w:val="20"/>
          <w:szCs w:val="20"/>
        </w:rPr>
        <w:t xml:space="preserve">, </w:t>
      </w:r>
      <w:r w:rsidR="007F4CF3">
        <w:rPr>
          <w:rFonts w:ascii="Arial" w:hAnsi="Arial" w:cs="Arial"/>
          <w:sz w:val="20"/>
          <w:szCs w:val="20"/>
        </w:rPr>
        <w:t xml:space="preserve">there have been calls </w:t>
      </w:r>
      <w:r w:rsidR="007F4CF3" w:rsidRPr="007F4CF3">
        <w:rPr>
          <w:rFonts w:ascii="Arial" w:hAnsi="Arial" w:cs="Arial"/>
          <w:sz w:val="20"/>
          <w:szCs w:val="20"/>
        </w:rPr>
        <w:t xml:space="preserve">for </w:t>
      </w:r>
      <w:r w:rsidR="007F4CF3">
        <w:rPr>
          <w:rFonts w:ascii="Arial" w:hAnsi="Arial" w:cs="Arial"/>
          <w:sz w:val="20"/>
          <w:szCs w:val="20"/>
        </w:rPr>
        <w:t xml:space="preserve">universities </w:t>
      </w:r>
      <w:r w:rsidR="003278C2">
        <w:rPr>
          <w:rFonts w:ascii="Arial" w:hAnsi="Arial" w:cs="Arial"/>
          <w:sz w:val="20"/>
          <w:szCs w:val="20"/>
        </w:rPr>
        <w:t xml:space="preserve">to </w:t>
      </w:r>
      <w:r w:rsidR="007F4CF3">
        <w:rPr>
          <w:rFonts w:ascii="Arial" w:hAnsi="Arial" w:cs="Arial"/>
          <w:sz w:val="20"/>
          <w:szCs w:val="20"/>
        </w:rPr>
        <w:t xml:space="preserve">be </w:t>
      </w:r>
      <w:r w:rsidR="007F4CF3" w:rsidRPr="007F4CF3">
        <w:rPr>
          <w:rFonts w:ascii="Arial" w:hAnsi="Arial" w:cs="Arial"/>
          <w:sz w:val="20"/>
          <w:szCs w:val="20"/>
        </w:rPr>
        <w:t>more proactive in</w:t>
      </w:r>
      <w:r w:rsidR="007F4CF3">
        <w:rPr>
          <w:rFonts w:ascii="Arial" w:hAnsi="Arial" w:cs="Arial"/>
          <w:sz w:val="20"/>
          <w:szCs w:val="20"/>
        </w:rPr>
        <w:t xml:space="preserve"> addressing students</w:t>
      </w:r>
      <w:r w:rsidR="007F4CF3" w:rsidRPr="007F4CF3">
        <w:rPr>
          <w:rFonts w:ascii="Arial" w:hAnsi="Arial" w:cs="Arial"/>
          <w:sz w:val="20"/>
          <w:szCs w:val="20"/>
        </w:rPr>
        <w:t xml:space="preserve"> gambling-related issues </w:t>
      </w:r>
      <w:r w:rsidR="007F4CF3">
        <w:rPr>
          <w:rFonts w:ascii="Arial" w:hAnsi="Arial" w:cs="Arial"/>
          <w:sz w:val="20"/>
          <w:szCs w:val="20"/>
        </w:rPr>
        <w:t>through specific policies and support (</w:t>
      </w:r>
      <w:r w:rsidR="008E7F84">
        <w:rPr>
          <w:rFonts w:ascii="Arial" w:hAnsi="Arial" w:cs="Arial"/>
          <w:sz w:val="20"/>
          <w:szCs w:val="20"/>
        </w:rPr>
        <w:t xml:space="preserve">Moore </w:t>
      </w:r>
      <w:r w:rsidR="008E7F84" w:rsidRPr="004E2734">
        <w:rPr>
          <w:rFonts w:ascii="Arial" w:hAnsi="Arial" w:cs="Arial"/>
          <w:i/>
          <w:iCs/>
          <w:sz w:val="20"/>
          <w:szCs w:val="20"/>
        </w:rPr>
        <w:t>et al</w:t>
      </w:r>
      <w:r w:rsidR="008E7F84">
        <w:rPr>
          <w:rFonts w:ascii="Arial" w:hAnsi="Arial" w:cs="Arial"/>
          <w:sz w:val="20"/>
          <w:szCs w:val="20"/>
        </w:rPr>
        <w:t xml:space="preserve">., 2013; </w:t>
      </w:r>
      <w:r w:rsidR="007F4CF3" w:rsidRPr="007F4CF3">
        <w:rPr>
          <w:rFonts w:ascii="Arial" w:hAnsi="Arial" w:cs="Arial"/>
          <w:sz w:val="20"/>
          <w:szCs w:val="20"/>
        </w:rPr>
        <w:t xml:space="preserve">Sherba </w:t>
      </w:r>
      <w:r w:rsidR="00295B54">
        <w:rPr>
          <w:rFonts w:ascii="Arial" w:hAnsi="Arial" w:cs="Arial"/>
          <w:sz w:val="20"/>
          <w:szCs w:val="20"/>
        </w:rPr>
        <w:t>and</w:t>
      </w:r>
      <w:r w:rsidR="007F4CF3" w:rsidRPr="007F4CF3">
        <w:rPr>
          <w:rFonts w:ascii="Arial" w:hAnsi="Arial" w:cs="Arial"/>
          <w:sz w:val="20"/>
          <w:szCs w:val="20"/>
        </w:rPr>
        <w:t xml:space="preserve"> </w:t>
      </w:r>
      <w:proofErr w:type="spellStart"/>
      <w:r w:rsidR="007F4CF3" w:rsidRPr="007F4CF3">
        <w:rPr>
          <w:rFonts w:ascii="Arial" w:hAnsi="Arial" w:cs="Arial"/>
          <w:sz w:val="20"/>
          <w:szCs w:val="20"/>
        </w:rPr>
        <w:t>Gersper</w:t>
      </w:r>
      <w:proofErr w:type="spellEnd"/>
      <w:r w:rsidR="007F4CF3">
        <w:rPr>
          <w:rFonts w:ascii="Arial" w:hAnsi="Arial" w:cs="Arial"/>
          <w:sz w:val="20"/>
          <w:szCs w:val="20"/>
        </w:rPr>
        <w:t>,</w:t>
      </w:r>
      <w:r w:rsidR="007F4CF3" w:rsidRPr="007F4CF3">
        <w:rPr>
          <w:rFonts w:ascii="Arial" w:hAnsi="Arial" w:cs="Arial"/>
          <w:sz w:val="20"/>
          <w:szCs w:val="20"/>
        </w:rPr>
        <w:t xml:space="preserve"> 2017</w:t>
      </w:r>
      <w:r w:rsidR="007B135A">
        <w:rPr>
          <w:rFonts w:ascii="Arial" w:hAnsi="Arial" w:cs="Arial"/>
          <w:sz w:val="20"/>
          <w:szCs w:val="20"/>
        </w:rPr>
        <w:t xml:space="preserve">, McGivern </w:t>
      </w:r>
      <w:r w:rsidR="007B135A" w:rsidRPr="004E2734">
        <w:rPr>
          <w:rFonts w:ascii="Arial" w:hAnsi="Arial" w:cs="Arial"/>
          <w:i/>
          <w:iCs/>
          <w:sz w:val="20"/>
          <w:szCs w:val="20"/>
        </w:rPr>
        <w:t>et al</w:t>
      </w:r>
      <w:r w:rsidR="007B135A">
        <w:rPr>
          <w:rFonts w:ascii="Arial" w:hAnsi="Arial" w:cs="Arial"/>
          <w:sz w:val="20"/>
          <w:szCs w:val="20"/>
        </w:rPr>
        <w:t>. 2023</w:t>
      </w:r>
      <w:r w:rsidR="007F4CF3" w:rsidRPr="007F4CF3">
        <w:rPr>
          <w:rFonts w:ascii="Arial" w:hAnsi="Arial" w:cs="Arial"/>
          <w:sz w:val="20"/>
          <w:szCs w:val="20"/>
        </w:rPr>
        <w:t>)</w:t>
      </w:r>
      <w:r w:rsidR="007B135A">
        <w:rPr>
          <w:rFonts w:ascii="Arial" w:hAnsi="Arial" w:cs="Arial"/>
          <w:sz w:val="20"/>
          <w:szCs w:val="20"/>
        </w:rPr>
        <w:t>.</w:t>
      </w:r>
      <w:r w:rsidR="009856E1">
        <w:rPr>
          <w:rFonts w:ascii="Arial" w:hAnsi="Arial" w:cs="Arial"/>
          <w:sz w:val="20"/>
          <w:szCs w:val="20"/>
        </w:rPr>
        <w:t xml:space="preserve"> However, </w:t>
      </w:r>
      <w:r w:rsidR="003278C2">
        <w:rPr>
          <w:rFonts w:ascii="Arial" w:hAnsi="Arial" w:cs="Arial"/>
          <w:sz w:val="20"/>
          <w:szCs w:val="20"/>
        </w:rPr>
        <w:t xml:space="preserve">at risk and problematic </w:t>
      </w:r>
      <w:r w:rsidR="009856E1" w:rsidRPr="009856E1">
        <w:rPr>
          <w:rFonts w:ascii="Arial" w:hAnsi="Arial" w:cs="Arial"/>
          <w:sz w:val="20"/>
          <w:szCs w:val="20"/>
        </w:rPr>
        <w:t>gambling is more</w:t>
      </w:r>
      <w:r w:rsidR="009856E1">
        <w:rPr>
          <w:rFonts w:ascii="Arial" w:hAnsi="Arial" w:cs="Arial"/>
          <w:sz w:val="20"/>
          <w:szCs w:val="20"/>
        </w:rPr>
        <w:t xml:space="preserve"> </w:t>
      </w:r>
      <w:r w:rsidR="009856E1" w:rsidRPr="009856E1">
        <w:rPr>
          <w:rFonts w:ascii="Arial" w:hAnsi="Arial" w:cs="Arial"/>
          <w:sz w:val="20"/>
          <w:szCs w:val="20"/>
        </w:rPr>
        <w:t xml:space="preserve">difficult for peers and university staff to detect </w:t>
      </w:r>
      <w:r w:rsidR="009856E1">
        <w:rPr>
          <w:rFonts w:ascii="Arial" w:hAnsi="Arial" w:cs="Arial"/>
          <w:sz w:val="20"/>
          <w:szCs w:val="20"/>
        </w:rPr>
        <w:t xml:space="preserve">compared </w:t>
      </w:r>
      <w:r w:rsidR="00D55489">
        <w:rPr>
          <w:rFonts w:ascii="Arial" w:hAnsi="Arial" w:cs="Arial"/>
          <w:sz w:val="20"/>
          <w:szCs w:val="20"/>
        </w:rPr>
        <w:t xml:space="preserve">to other issues such as </w:t>
      </w:r>
      <w:r w:rsidR="009856E1" w:rsidRPr="009856E1">
        <w:rPr>
          <w:rFonts w:ascii="Arial" w:hAnsi="Arial" w:cs="Arial"/>
          <w:sz w:val="20"/>
          <w:szCs w:val="20"/>
        </w:rPr>
        <w:t>drug or alcohol misuse</w:t>
      </w:r>
      <w:r w:rsidR="009856E1">
        <w:rPr>
          <w:rFonts w:ascii="Arial" w:hAnsi="Arial" w:cs="Arial"/>
          <w:sz w:val="20"/>
          <w:szCs w:val="20"/>
        </w:rPr>
        <w:t xml:space="preserve"> </w:t>
      </w:r>
      <w:r w:rsidR="009856E1" w:rsidRPr="009856E1">
        <w:rPr>
          <w:rFonts w:ascii="Arial" w:hAnsi="Arial" w:cs="Arial"/>
          <w:sz w:val="20"/>
          <w:szCs w:val="20"/>
        </w:rPr>
        <w:t xml:space="preserve">(Hing </w:t>
      </w:r>
      <w:r w:rsidR="004E2734">
        <w:rPr>
          <w:rFonts w:ascii="Arial" w:hAnsi="Arial" w:cs="Arial"/>
          <w:sz w:val="20"/>
          <w:szCs w:val="20"/>
        </w:rPr>
        <w:t>and</w:t>
      </w:r>
      <w:r w:rsidR="009856E1" w:rsidRPr="009856E1">
        <w:rPr>
          <w:rFonts w:ascii="Arial" w:hAnsi="Arial" w:cs="Arial"/>
          <w:sz w:val="20"/>
          <w:szCs w:val="20"/>
        </w:rPr>
        <w:t xml:space="preserve"> Nuske, 2012; Ladouceur, 2004).</w:t>
      </w:r>
      <w:r w:rsidR="00281F12">
        <w:rPr>
          <w:rFonts w:ascii="Arial" w:hAnsi="Arial" w:cs="Arial"/>
          <w:sz w:val="20"/>
          <w:szCs w:val="20"/>
        </w:rPr>
        <w:t xml:space="preserve"> </w:t>
      </w:r>
      <w:r w:rsidR="003962F4">
        <w:rPr>
          <w:rFonts w:ascii="Arial" w:hAnsi="Arial" w:cs="Arial"/>
          <w:sz w:val="20"/>
          <w:szCs w:val="20"/>
        </w:rPr>
        <w:t xml:space="preserve">Given these </w:t>
      </w:r>
      <w:r w:rsidR="00E009AF">
        <w:rPr>
          <w:rFonts w:ascii="Arial" w:hAnsi="Arial" w:cs="Arial"/>
          <w:sz w:val="20"/>
          <w:szCs w:val="20"/>
        </w:rPr>
        <w:t>circumstances</w:t>
      </w:r>
      <w:r w:rsidR="003962F4">
        <w:rPr>
          <w:rFonts w:ascii="Arial" w:hAnsi="Arial" w:cs="Arial"/>
          <w:sz w:val="20"/>
          <w:szCs w:val="20"/>
        </w:rPr>
        <w:t xml:space="preserve">, </w:t>
      </w:r>
      <w:r w:rsidR="00213001">
        <w:rPr>
          <w:rFonts w:ascii="Arial" w:hAnsi="Arial" w:cs="Arial"/>
          <w:sz w:val="20"/>
          <w:szCs w:val="20"/>
        </w:rPr>
        <w:t xml:space="preserve">there is a growing need to continue research concerning </w:t>
      </w:r>
      <w:r w:rsidR="003962F4">
        <w:rPr>
          <w:rFonts w:ascii="Arial" w:hAnsi="Arial" w:cs="Arial"/>
          <w:sz w:val="20"/>
          <w:szCs w:val="20"/>
        </w:rPr>
        <w:t>students</w:t>
      </w:r>
      <w:r w:rsidR="001B0FCF">
        <w:rPr>
          <w:rFonts w:ascii="Arial" w:hAnsi="Arial" w:cs="Arial"/>
          <w:sz w:val="20"/>
          <w:szCs w:val="20"/>
        </w:rPr>
        <w:t>’</w:t>
      </w:r>
      <w:r w:rsidR="00213001">
        <w:rPr>
          <w:rFonts w:ascii="Arial" w:hAnsi="Arial" w:cs="Arial"/>
          <w:sz w:val="20"/>
          <w:szCs w:val="20"/>
        </w:rPr>
        <w:t xml:space="preserve"> gambling behaviours</w:t>
      </w:r>
      <w:r w:rsidR="003962F4">
        <w:rPr>
          <w:rFonts w:ascii="Arial" w:hAnsi="Arial" w:cs="Arial"/>
          <w:sz w:val="20"/>
          <w:szCs w:val="20"/>
        </w:rPr>
        <w:t xml:space="preserve"> </w:t>
      </w:r>
      <w:r w:rsidR="009E11E7">
        <w:rPr>
          <w:rFonts w:ascii="Arial" w:hAnsi="Arial" w:cs="Arial"/>
          <w:sz w:val="20"/>
          <w:szCs w:val="20"/>
        </w:rPr>
        <w:t>at UK universities</w:t>
      </w:r>
      <w:r w:rsidR="003962F4">
        <w:rPr>
          <w:rFonts w:ascii="Arial" w:hAnsi="Arial" w:cs="Arial"/>
          <w:sz w:val="20"/>
          <w:szCs w:val="20"/>
        </w:rPr>
        <w:t xml:space="preserve">. </w:t>
      </w:r>
    </w:p>
    <w:p w14:paraId="166AD945" w14:textId="1266B9B4" w:rsidR="00483E5E" w:rsidRDefault="00044B4E" w:rsidP="2770E8E9">
      <w:pPr>
        <w:jc w:val="both"/>
        <w:rPr>
          <w:rFonts w:ascii="Arial" w:hAnsi="Arial" w:cs="Arial"/>
          <w:sz w:val="20"/>
          <w:szCs w:val="20"/>
        </w:rPr>
      </w:pPr>
      <w:r>
        <w:rPr>
          <w:rFonts w:ascii="Arial" w:hAnsi="Arial" w:cs="Arial"/>
          <w:sz w:val="20"/>
          <w:szCs w:val="20"/>
        </w:rPr>
        <w:t>Positive correlations have been found a</w:t>
      </w:r>
      <w:r w:rsidRPr="00044B4E">
        <w:rPr>
          <w:rFonts w:ascii="Arial" w:hAnsi="Arial" w:cs="Arial"/>
          <w:sz w:val="20"/>
          <w:szCs w:val="20"/>
        </w:rPr>
        <w:t>mongst student-athletes</w:t>
      </w:r>
      <w:r>
        <w:rPr>
          <w:rFonts w:ascii="Arial" w:hAnsi="Arial" w:cs="Arial"/>
          <w:sz w:val="20"/>
          <w:szCs w:val="20"/>
        </w:rPr>
        <w:t xml:space="preserve"> </w:t>
      </w:r>
      <w:r w:rsidRPr="00044B4E">
        <w:rPr>
          <w:rFonts w:ascii="Arial" w:hAnsi="Arial" w:cs="Arial"/>
          <w:sz w:val="20"/>
          <w:szCs w:val="20"/>
        </w:rPr>
        <w:t xml:space="preserve">increased gambling behaviour and other </w:t>
      </w:r>
      <w:r>
        <w:rPr>
          <w:rFonts w:ascii="Arial" w:hAnsi="Arial" w:cs="Arial"/>
          <w:sz w:val="20"/>
          <w:szCs w:val="20"/>
        </w:rPr>
        <w:t>high-risk health behaviours</w:t>
      </w:r>
      <w:r w:rsidR="00C52219">
        <w:rPr>
          <w:rFonts w:ascii="Arial" w:hAnsi="Arial" w:cs="Arial"/>
          <w:sz w:val="20"/>
          <w:szCs w:val="20"/>
        </w:rPr>
        <w:t>,</w:t>
      </w:r>
      <w:r>
        <w:rPr>
          <w:rFonts w:ascii="Arial" w:hAnsi="Arial" w:cs="Arial"/>
          <w:sz w:val="20"/>
          <w:szCs w:val="20"/>
        </w:rPr>
        <w:t xml:space="preserve"> such as </w:t>
      </w:r>
      <w:r w:rsidRPr="00044B4E">
        <w:rPr>
          <w:rFonts w:ascii="Arial" w:hAnsi="Arial" w:cs="Arial"/>
          <w:sz w:val="20"/>
          <w:szCs w:val="20"/>
        </w:rPr>
        <w:t>unprotected sex and substance misuse</w:t>
      </w:r>
      <w:r w:rsidRPr="00044B4E">
        <w:t xml:space="preserve"> </w:t>
      </w:r>
      <w:r>
        <w:t>(</w:t>
      </w:r>
      <w:r w:rsidRPr="00044B4E">
        <w:rPr>
          <w:rFonts w:ascii="Arial" w:hAnsi="Arial" w:cs="Arial"/>
          <w:sz w:val="20"/>
          <w:szCs w:val="20"/>
        </w:rPr>
        <w:t xml:space="preserve">Huang </w:t>
      </w:r>
      <w:r w:rsidRPr="004E2734">
        <w:rPr>
          <w:rFonts w:ascii="Arial" w:hAnsi="Arial" w:cs="Arial"/>
          <w:i/>
          <w:iCs/>
          <w:sz w:val="20"/>
          <w:szCs w:val="20"/>
        </w:rPr>
        <w:t>et al.,</w:t>
      </w:r>
      <w:r w:rsidRPr="00044B4E">
        <w:rPr>
          <w:rFonts w:ascii="Arial" w:hAnsi="Arial" w:cs="Arial"/>
          <w:sz w:val="20"/>
          <w:szCs w:val="20"/>
        </w:rPr>
        <w:t xml:space="preserve"> 2007b</w:t>
      </w:r>
      <w:r>
        <w:rPr>
          <w:rFonts w:ascii="Arial" w:hAnsi="Arial" w:cs="Arial"/>
          <w:sz w:val="20"/>
          <w:szCs w:val="20"/>
        </w:rPr>
        <w:t xml:space="preserve">; </w:t>
      </w:r>
      <w:r w:rsidRPr="00044B4E">
        <w:rPr>
          <w:rFonts w:ascii="Arial" w:hAnsi="Arial" w:cs="Arial"/>
          <w:sz w:val="20"/>
          <w:szCs w:val="20"/>
        </w:rPr>
        <w:t xml:space="preserve">Stuhldreher </w:t>
      </w:r>
      <w:r w:rsidRPr="004E2734">
        <w:rPr>
          <w:rFonts w:ascii="Arial" w:hAnsi="Arial" w:cs="Arial"/>
          <w:i/>
          <w:iCs/>
          <w:sz w:val="20"/>
          <w:szCs w:val="20"/>
        </w:rPr>
        <w:t>et al.,</w:t>
      </w:r>
      <w:r w:rsidRPr="00044B4E">
        <w:rPr>
          <w:rFonts w:ascii="Arial" w:hAnsi="Arial" w:cs="Arial"/>
          <w:sz w:val="20"/>
          <w:szCs w:val="20"/>
        </w:rPr>
        <w:t xml:space="preserve"> 2007</w:t>
      </w:r>
      <w:r w:rsidR="008E7F84">
        <w:rPr>
          <w:rFonts w:ascii="Arial" w:hAnsi="Arial" w:cs="Arial"/>
          <w:sz w:val="20"/>
          <w:szCs w:val="20"/>
        </w:rPr>
        <w:t xml:space="preserve">). </w:t>
      </w:r>
      <w:r w:rsidR="007E189B">
        <w:rPr>
          <w:rFonts w:ascii="Arial" w:hAnsi="Arial" w:cs="Arial"/>
          <w:sz w:val="20"/>
          <w:szCs w:val="20"/>
        </w:rPr>
        <w:t xml:space="preserve">This correlation </w:t>
      </w:r>
      <w:r w:rsidR="008E7F84">
        <w:rPr>
          <w:rFonts w:ascii="Arial" w:hAnsi="Arial" w:cs="Arial"/>
          <w:sz w:val="20"/>
          <w:szCs w:val="20"/>
        </w:rPr>
        <w:t xml:space="preserve">may be </w:t>
      </w:r>
      <w:r w:rsidR="00846804">
        <w:rPr>
          <w:rFonts w:ascii="Arial" w:hAnsi="Arial" w:cs="Arial"/>
          <w:sz w:val="20"/>
          <w:szCs w:val="20"/>
        </w:rPr>
        <w:t>due to</w:t>
      </w:r>
      <w:r w:rsidR="008E7F84">
        <w:rPr>
          <w:rFonts w:ascii="Arial" w:hAnsi="Arial" w:cs="Arial"/>
          <w:sz w:val="20"/>
          <w:szCs w:val="20"/>
        </w:rPr>
        <w:t xml:space="preserve"> subjective norms, the prevalence and ease to bet on sports, and the social elements involved in student gambling behaviours (</w:t>
      </w:r>
      <w:r w:rsidR="008E7F84" w:rsidRPr="008E7F84">
        <w:rPr>
          <w:rFonts w:ascii="Arial" w:hAnsi="Arial" w:cs="Arial"/>
          <w:sz w:val="20"/>
          <w:szCs w:val="20"/>
        </w:rPr>
        <w:t xml:space="preserve">Huang </w:t>
      </w:r>
      <w:r w:rsidR="008E7F84" w:rsidRPr="004E2734">
        <w:rPr>
          <w:rFonts w:ascii="Arial" w:hAnsi="Arial" w:cs="Arial"/>
          <w:i/>
          <w:iCs/>
          <w:sz w:val="20"/>
          <w:szCs w:val="20"/>
        </w:rPr>
        <w:t>et al.,</w:t>
      </w:r>
      <w:r w:rsidR="008E7F84">
        <w:rPr>
          <w:rFonts w:ascii="Arial" w:hAnsi="Arial" w:cs="Arial"/>
          <w:sz w:val="20"/>
          <w:szCs w:val="20"/>
        </w:rPr>
        <w:t xml:space="preserve"> </w:t>
      </w:r>
      <w:r w:rsidR="008E7F84" w:rsidRPr="008E7F84">
        <w:rPr>
          <w:rFonts w:ascii="Arial" w:hAnsi="Arial" w:cs="Arial"/>
          <w:sz w:val="20"/>
          <w:szCs w:val="20"/>
        </w:rPr>
        <w:t>2007a</w:t>
      </w:r>
      <w:r w:rsidR="008E7F84">
        <w:rPr>
          <w:rFonts w:ascii="Arial" w:hAnsi="Arial" w:cs="Arial"/>
          <w:sz w:val="20"/>
          <w:szCs w:val="20"/>
        </w:rPr>
        <w:t xml:space="preserve">; </w:t>
      </w:r>
      <w:r w:rsidR="008E7F84" w:rsidRPr="008E7F84">
        <w:rPr>
          <w:rFonts w:ascii="Arial" w:hAnsi="Arial" w:cs="Arial"/>
          <w:sz w:val="20"/>
          <w:szCs w:val="20"/>
        </w:rPr>
        <w:t>Lafferty et al</w:t>
      </w:r>
      <w:r w:rsidR="008E7F84">
        <w:rPr>
          <w:rFonts w:ascii="Arial" w:hAnsi="Arial" w:cs="Arial"/>
          <w:sz w:val="20"/>
          <w:szCs w:val="20"/>
        </w:rPr>
        <w:t xml:space="preserve">., </w:t>
      </w:r>
      <w:r w:rsidR="008E7F84" w:rsidRPr="008E7F84">
        <w:rPr>
          <w:rFonts w:ascii="Arial" w:hAnsi="Arial" w:cs="Arial"/>
          <w:sz w:val="20"/>
          <w:szCs w:val="20"/>
        </w:rPr>
        <w:t>2017</w:t>
      </w:r>
      <w:r w:rsidR="008E7F84">
        <w:rPr>
          <w:rFonts w:ascii="Arial" w:hAnsi="Arial" w:cs="Arial"/>
          <w:sz w:val="20"/>
          <w:szCs w:val="20"/>
        </w:rPr>
        <w:t>;</w:t>
      </w:r>
      <w:r w:rsidR="008E7F84" w:rsidRPr="008E7F84">
        <w:rPr>
          <w:rFonts w:ascii="Arial" w:hAnsi="Arial" w:cs="Arial"/>
          <w:sz w:val="20"/>
          <w:szCs w:val="20"/>
        </w:rPr>
        <w:t xml:space="preserve"> Wang </w:t>
      </w:r>
      <w:r w:rsidR="008E7F84" w:rsidRPr="004E2734">
        <w:rPr>
          <w:rFonts w:ascii="Arial" w:hAnsi="Arial" w:cs="Arial"/>
          <w:i/>
          <w:iCs/>
          <w:sz w:val="20"/>
          <w:szCs w:val="20"/>
        </w:rPr>
        <w:t>et al.,</w:t>
      </w:r>
      <w:r w:rsidR="008E7F84">
        <w:rPr>
          <w:rFonts w:ascii="Arial" w:hAnsi="Arial" w:cs="Arial"/>
          <w:sz w:val="20"/>
          <w:szCs w:val="20"/>
        </w:rPr>
        <w:t xml:space="preserve"> </w:t>
      </w:r>
      <w:r w:rsidR="008E7F84" w:rsidRPr="008E7F84">
        <w:rPr>
          <w:rFonts w:ascii="Arial" w:hAnsi="Arial" w:cs="Arial"/>
          <w:sz w:val="20"/>
          <w:szCs w:val="20"/>
        </w:rPr>
        <w:t>2021</w:t>
      </w:r>
      <w:r w:rsidR="008E7F84">
        <w:rPr>
          <w:rFonts w:ascii="Arial" w:hAnsi="Arial" w:cs="Arial"/>
          <w:sz w:val="20"/>
          <w:szCs w:val="20"/>
        </w:rPr>
        <w:t xml:space="preserve">). </w:t>
      </w:r>
      <w:r w:rsidR="00BF4A98">
        <w:rPr>
          <w:rFonts w:ascii="Arial" w:hAnsi="Arial" w:cs="Arial"/>
          <w:sz w:val="20"/>
          <w:szCs w:val="20"/>
        </w:rPr>
        <w:t>T</w:t>
      </w:r>
      <w:r w:rsidR="008E7F84">
        <w:rPr>
          <w:rFonts w:ascii="Arial" w:hAnsi="Arial" w:cs="Arial"/>
          <w:sz w:val="20"/>
          <w:szCs w:val="20"/>
        </w:rPr>
        <w:t>h</w:t>
      </w:r>
      <w:r w:rsidR="00862B75">
        <w:rPr>
          <w:rFonts w:ascii="Arial" w:hAnsi="Arial" w:cs="Arial"/>
          <w:sz w:val="20"/>
          <w:szCs w:val="20"/>
        </w:rPr>
        <w:t>is correl</w:t>
      </w:r>
      <w:r w:rsidR="00A36BD9">
        <w:rPr>
          <w:rFonts w:ascii="Arial" w:hAnsi="Arial" w:cs="Arial"/>
          <w:sz w:val="20"/>
          <w:szCs w:val="20"/>
        </w:rPr>
        <w:t xml:space="preserve">ation </w:t>
      </w:r>
      <w:r w:rsidR="00BF4A98">
        <w:rPr>
          <w:rFonts w:ascii="Arial" w:hAnsi="Arial" w:cs="Arial"/>
          <w:sz w:val="20"/>
          <w:szCs w:val="20"/>
        </w:rPr>
        <w:t xml:space="preserve">may also be </w:t>
      </w:r>
      <w:r w:rsidR="00A36BD9">
        <w:rPr>
          <w:rFonts w:ascii="Arial" w:hAnsi="Arial" w:cs="Arial"/>
          <w:sz w:val="20"/>
          <w:szCs w:val="20"/>
        </w:rPr>
        <w:t xml:space="preserve">due to the </w:t>
      </w:r>
      <w:r w:rsidR="00BF4A98">
        <w:rPr>
          <w:rFonts w:ascii="Arial" w:hAnsi="Arial" w:cs="Arial"/>
          <w:sz w:val="20"/>
          <w:szCs w:val="20"/>
        </w:rPr>
        <w:t xml:space="preserve">gendered </w:t>
      </w:r>
      <w:r w:rsidR="00A36BD9">
        <w:rPr>
          <w:rFonts w:ascii="Arial" w:hAnsi="Arial" w:cs="Arial"/>
          <w:sz w:val="20"/>
          <w:szCs w:val="20"/>
        </w:rPr>
        <w:t xml:space="preserve">student-athlete cohort </w:t>
      </w:r>
      <w:r w:rsidR="00BE68C3">
        <w:rPr>
          <w:rFonts w:ascii="Arial" w:hAnsi="Arial" w:cs="Arial"/>
          <w:sz w:val="20"/>
          <w:szCs w:val="20"/>
        </w:rPr>
        <w:t xml:space="preserve">in the UK. </w:t>
      </w:r>
      <w:r w:rsidR="00BF4A98">
        <w:rPr>
          <w:rFonts w:ascii="Arial" w:hAnsi="Arial" w:cs="Arial"/>
          <w:sz w:val="20"/>
          <w:szCs w:val="20"/>
        </w:rPr>
        <w:t>Male gamblers have been found to be more risky gamblers (</w:t>
      </w:r>
      <w:r w:rsidR="00BF4A98" w:rsidRPr="00731F51">
        <w:rPr>
          <w:rFonts w:ascii="Arial" w:hAnsi="Arial" w:cs="Arial"/>
          <w:sz w:val="20"/>
          <w:szCs w:val="20"/>
        </w:rPr>
        <w:t xml:space="preserve">Wong </w:t>
      </w:r>
      <w:r w:rsidR="00BF4A98" w:rsidRPr="004E2734">
        <w:rPr>
          <w:rFonts w:ascii="Arial" w:hAnsi="Arial" w:cs="Arial"/>
          <w:i/>
          <w:iCs/>
          <w:sz w:val="20"/>
          <w:szCs w:val="20"/>
        </w:rPr>
        <w:t>et al.,</w:t>
      </w:r>
      <w:r w:rsidR="00BF4A98" w:rsidRPr="00731F51">
        <w:rPr>
          <w:rFonts w:ascii="Arial" w:hAnsi="Arial" w:cs="Arial"/>
          <w:sz w:val="20"/>
          <w:szCs w:val="20"/>
        </w:rPr>
        <w:t xml:space="preserve"> 2013),</w:t>
      </w:r>
      <w:r w:rsidR="00BF4A98" w:rsidRPr="00B75AEF">
        <w:rPr>
          <w:rFonts w:ascii="Arial" w:hAnsi="Arial" w:cs="Arial"/>
          <w:color w:val="FF0000"/>
          <w:sz w:val="20"/>
          <w:szCs w:val="20"/>
        </w:rPr>
        <w:t xml:space="preserve"> </w:t>
      </w:r>
      <w:r w:rsidR="008C6D2A">
        <w:rPr>
          <w:rFonts w:ascii="Arial" w:hAnsi="Arial" w:cs="Arial"/>
          <w:sz w:val="20"/>
          <w:szCs w:val="20"/>
        </w:rPr>
        <w:t xml:space="preserve">and </w:t>
      </w:r>
      <w:r w:rsidR="00BF4A98">
        <w:rPr>
          <w:rFonts w:ascii="Arial" w:hAnsi="Arial" w:cs="Arial"/>
          <w:sz w:val="20"/>
          <w:szCs w:val="20"/>
        </w:rPr>
        <w:t xml:space="preserve">more likely than females to </w:t>
      </w:r>
      <w:r w:rsidR="00BF4A98" w:rsidRPr="00BF4A98">
        <w:rPr>
          <w:rFonts w:ascii="Arial" w:hAnsi="Arial" w:cs="Arial"/>
          <w:sz w:val="20"/>
          <w:szCs w:val="20"/>
        </w:rPr>
        <w:t>gamble online</w:t>
      </w:r>
      <w:r w:rsidR="00BF4A98">
        <w:rPr>
          <w:rFonts w:ascii="Arial" w:hAnsi="Arial" w:cs="Arial"/>
          <w:sz w:val="20"/>
          <w:szCs w:val="20"/>
        </w:rPr>
        <w:t xml:space="preserve">, for longer periods and </w:t>
      </w:r>
      <w:r w:rsidR="00BF4A98" w:rsidRPr="00BF4A98">
        <w:rPr>
          <w:rFonts w:ascii="Arial" w:hAnsi="Arial" w:cs="Arial"/>
          <w:sz w:val="20"/>
          <w:szCs w:val="20"/>
        </w:rPr>
        <w:t>develop gambling-related</w:t>
      </w:r>
      <w:r w:rsidR="00BF4A98">
        <w:rPr>
          <w:rFonts w:ascii="Arial" w:hAnsi="Arial" w:cs="Arial"/>
          <w:sz w:val="20"/>
          <w:szCs w:val="20"/>
        </w:rPr>
        <w:t xml:space="preserve"> </w:t>
      </w:r>
      <w:r w:rsidR="00BF4A98" w:rsidRPr="00BF4A98">
        <w:rPr>
          <w:rFonts w:ascii="Arial" w:hAnsi="Arial" w:cs="Arial"/>
          <w:sz w:val="20"/>
          <w:szCs w:val="20"/>
        </w:rPr>
        <w:t>problems</w:t>
      </w:r>
      <w:r w:rsidR="003D1987">
        <w:rPr>
          <w:rFonts w:ascii="Arial" w:hAnsi="Arial" w:cs="Arial"/>
          <w:sz w:val="20"/>
          <w:szCs w:val="20"/>
        </w:rPr>
        <w:t>, whilst feeling less guilt or shame from their gambling activities</w:t>
      </w:r>
      <w:r w:rsidR="00BF4A98">
        <w:rPr>
          <w:rFonts w:ascii="Arial" w:hAnsi="Arial" w:cs="Arial"/>
          <w:sz w:val="20"/>
          <w:szCs w:val="20"/>
        </w:rPr>
        <w:t xml:space="preserve"> (</w:t>
      </w:r>
      <w:r w:rsidR="00BF4A98" w:rsidRPr="00BF4A98">
        <w:rPr>
          <w:rFonts w:ascii="Arial" w:hAnsi="Arial" w:cs="Arial"/>
          <w:sz w:val="20"/>
          <w:szCs w:val="20"/>
        </w:rPr>
        <w:t xml:space="preserve">McCormack </w:t>
      </w:r>
      <w:r w:rsidR="00BF4A98" w:rsidRPr="004E2734">
        <w:rPr>
          <w:rFonts w:ascii="Arial" w:hAnsi="Arial" w:cs="Arial"/>
          <w:i/>
          <w:iCs/>
          <w:sz w:val="20"/>
          <w:szCs w:val="20"/>
        </w:rPr>
        <w:t>et al.</w:t>
      </w:r>
      <w:r w:rsidR="00BF4A98">
        <w:rPr>
          <w:rFonts w:ascii="Arial" w:hAnsi="Arial" w:cs="Arial"/>
          <w:sz w:val="20"/>
          <w:szCs w:val="20"/>
        </w:rPr>
        <w:t xml:space="preserve"> </w:t>
      </w:r>
      <w:r w:rsidR="00BF4A98" w:rsidRPr="00BF4A98">
        <w:rPr>
          <w:rFonts w:ascii="Arial" w:hAnsi="Arial" w:cs="Arial"/>
          <w:sz w:val="20"/>
          <w:szCs w:val="20"/>
        </w:rPr>
        <w:t xml:space="preserve">2014). </w:t>
      </w:r>
      <w:r w:rsidR="00F019D3">
        <w:rPr>
          <w:rFonts w:ascii="Arial" w:hAnsi="Arial" w:cs="Arial"/>
          <w:sz w:val="20"/>
          <w:szCs w:val="20"/>
        </w:rPr>
        <w:t xml:space="preserve">Student male athletes are also </w:t>
      </w:r>
      <w:r w:rsidR="000508D0">
        <w:rPr>
          <w:rFonts w:ascii="Arial" w:hAnsi="Arial" w:cs="Arial"/>
          <w:sz w:val="20"/>
          <w:szCs w:val="20"/>
        </w:rPr>
        <w:t xml:space="preserve">more likely </w:t>
      </w:r>
      <w:r w:rsidR="00A15B2C">
        <w:rPr>
          <w:rFonts w:ascii="Arial" w:hAnsi="Arial" w:cs="Arial"/>
          <w:sz w:val="20"/>
          <w:szCs w:val="20"/>
        </w:rPr>
        <w:t xml:space="preserve">to gamble </w:t>
      </w:r>
      <w:r w:rsidR="000508D0">
        <w:rPr>
          <w:rFonts w:ascii="Arial" w:hAnsi="Arial" w:cs="Arial"/>
          <w:sz w:val="20"/>
          <w:szCs w:val="20"/>
        </w:rPr>
        <w:t xml:space="preserve">than </w:t>
      </w:r>
      <w:r w:rsidR="00A26FF5">
        <w:rPr>
          <w:rFonts w:ascii="Arial" w:hAnsi="Arial" w:cs="Arial"/>
          <w:sz w:val="20"/>
          <w:szCs w:val="20"/>
        </w:rPr>
        <w:t xml:space="preserve">female </w:t>
      </w:r>
      <w:r w:rsidR="00731F51">
        <w:rPr>
          <w:rFonts w:ascii="Arial" w:hAnsi="Arial" w:cs="Arial"/>
          <w:sz w:val="20"/>
          <w:szCs w:val="20"/>
        </w:rPr>
        <w:t>athletes</w:t>
      </w:r>
      <w:r w:rsidR="00A26FF5">
        <w:rPr>
          <w:rFonts w:ascii="Arial" w:hAnsi="Arial" w:cs="Arial"/>
          <w:sz w:val="20"/>
          <w:szCs w:val="20"/>
        </w:rPr>
        <w:t xml:space="preserve"> </w:t>
      </w:r>
      <w:r w:rsidR="00731F51" w:rsidRPr="00731F51">
        <w:rPr>
          <w:rFonts w:ascii="Arial" w:hAnsi="Arial" w:cs="Arial"/>
          <w:sz w:val="20"/>
          <w:szCs w:val="20"/>
        </w:rPr>
        <w:t>(</w:t>
      </w:r>
      <w:r w:rsidR="00A26FF5" w:rsidRPr="00731F51">
        <w:rPr>
          <w:rFonts w:ascii="Arial" w:hAnsi="Arial" w:cs="Arial"/>
          <w:sz w:val="20"/>
          <w:szCs w:val="20"/>
          <w:shd w:val="clear" w:color="auto" w:fill="FFFFFF"/>
        </w:rPr>
        <w:t>Vinberg</w:t>
      </w:r>
      <w:r w:rsidR="00A26FF5" w:rsidRPr="00731F51">
        <w:rPr>
          <w:rFonts w:ascii="Arial" w:hAnsi="Arial" w:cs="Arial"/>
          <w:sz w:val="20"/>
          <w:szCs w:val="20"/>
        </w:rPr>
        <w:t xml:space="preserve"> </w:t>
      </w:r>
      <w:r w:rsidR="00A26FF5" w:rsidRPr="004E2734">
        <w:rPr>
          <w:rFonts w:ascii="Arial" w:hAnsi="Arial" w:cs="Arial"/>
          <w:i/>
          <w:iCs/>
          <w:sz w:val="20"/>
          <w:szCs w:val="20"/>
        </w:rPr>
        <w:t>et al.,</w:t>
      </w:r>
      <w:r w:rsidR="00731F51" w:rsidRPr="00731F51">
        <w:rPr>
          <w:rFonts w:ascii="Arial" w:hAnsi="Arial" w:cs="Arial"/>
          <w:sz w:val="20"/>
          <w:szCs w:val="20"/>
        </w:rPr>
        <w:t xml:space="preserve"> 2023)</w:t>
      </w:r>
      <w:r w:rsidR="0000741D">
        <w:rPr>
          <w:rFonts w:ascii="Arial" w:hAnsi="Arial" w:cs="Arial"/>
          <w:sz w:val="20"/>
          <w:szCs w:val="20"/>
        </w:rPr>
        <w:t xml:space="preserve">, but </w:t>
      </w:r>
      <w:r w:rsidR="003D1987">
        <w:rPr>
          <w:rFonts w:ascii="Arial" w:hAnsi="Arial" w:cs="Arial"/>
          <w:sz w:val="20"/>
          <w:szCs w:val="20"/>
        </w:rPr>
        <w:t>gambling among f</w:t>
      </w:r>
      <w:r w:rsidR="008C6D2A" w:rsidRPr="008C6D2A">
        <w:rPr>
          <w:rFonts w:ascii="Arial" w:hAnsi="Arial" w:cs="Arial"/>
          <w:sz w:val="20"/>
          <w:szCs w:val="20"/>
        </w:rPr>
        <w:t xml:space="preserve">emales </w:t>
      </w:r>
      <w:r w:rsidR="003D1987">
        <w:rPr>
          <w:rFonts w:ascii="Arial" w:hAnsi="Arial" w:cs="Arial"/>
          <w:sz w:val="20"/>
          <w:szCs w:val="20"/>
        </w:rPr>
        <w:t xml:space="preserve">is increasing, though they are </w:t>
      </w:r>
      <w:r w:rsidR="008C6D2A" w:rsidRPr="008C6D2A">
        <w:rPr>
          <w:rFonts w:ascii="Arial" w:hAnsi="Arial" w:cs="Arial"/>
          <w:sz w:val="20"/>
          <w:szCs w:val="20"/>
        </w:rPr>
        <w:t>more likely to gamble on gambling machines rather than sports</w:t>
      </w:r>
      <w:r w:rsidR="008C6D2A">
        <w:rPr>
          <w:rFonts w:ascii="Arial" w:hAnsi="Arial" w:cs="Arial"/>
          <w:sz w:val="20"/>
          <w:szCs w:val="20"/>
        </w:rPr>
        <w:t xml:space="preserve"> betting</w:t>
      </w:r>
      <w:r w:rsidR="0000741D">
        <w:rPr>
          <w:rFonts w:ascii="Arial" w:hAnsi="Arial" w:cs="Arial"/>
          <w:sz w:val="20"/>
          <w:szCs w:val="20"/>
        </w:rPr>
        <w:t xml:space="preserve"> (REF needed)</w:t>
      </w:r>
      <w:r w:rsidR="004E37E0">
        <w:rPr>
          <w:rFonts w:ascii="Arial" w:hAnsi="Arial" w:cs="Arial"/>
          <w:sz w:val="20"/>
          <w:szCs w:val="20"/>
        </w:rPr>
        <w:t>.</w:t>
      </w:r>
      <w:r w:rsidR="003D1987">
        <w:rPr>
          <w:rFonts w:ascii="Arial" w:hAnsi="Arial" w:cs="Arial"/>
          <w:sz w:val="20"/>
          <w:szCs w:val="20"/>
        </w:rPr>
        <w:t xml:space="preserve"> </w:t>
      </w:r>
      <w:r w:rsidR="00F4188E">
        <w:rPr>
          <w:rFonts w:ascii="Arial" w:hAnsi="Arial" w:cs="Arial"/>
          <w:sz w:val="20"/>
          <w:szCs w:val="20"/>
        </w:rPr>
        <w:t>However,</w:t>
      </w:r>
      <w:r w:rsidR="003D1987">
        <w:rPr>
          <w:rFonts w:ascii="Arial" w:hAnsi="Arial" w:cs="Arial"/>
          <w:sz w:val="20"/>
          <w:szCs w:val="20"/>
        </w:rPr>
        <w:t xml:space="preserve"> </w:t>
      </w:r>
      <w:r w:rsidR="00CC1B81">
        <w:rPr>
          <w:rFonts w:ascii="Arial" w:hAnsi="Arial" w:cs="Arial"/>
          <w:sz w:val="20"/>
          <w:szCs w:val="20"/>
        </w:rPr>
        <w:t>precise</w:t>
      </w:r>
      <w:r w:rsidR="003D1987">
        <w:rPr>
          <w:rFonts w:ascii="Arial" w:hAnsi="Arial" w:cs="Arial"/>
          <w:sz w:val="20"/>
          <w:szCs w:val="20"/>
        </w:rPr>
        <w:t xml:space="preserve"> data concerning student populations is lacking</w:t>
      </w:r>
      <w:r w:rsidR="008C6D2A">
        <w:rPr>
          <w:rFonts w:ascii="Arial" w:hAnsi="Arial" w:cs="Arial"/>
          <w:sz w:val="20"/>
          <w:szCs w:val="20"/>
        </w:rPr>
        <w:t xml:space="preserve"> (</w:t>
      </w:r>
      <w:r w:rsidR="008C6D2A" w:rsidRPr="008C6D2A">
        <w:rPr>
          <w:rFonts w:ascii="Arial" w:hAnsi="Arial" w:cs="Arial"/>
          <w:sz w:val="20"/>
          <w:szCs w:val="20"/>
        </w:rPr>
        <w:t xml:space="preserve">Baggio </w:t>
      </w:r>
      <w:r w:rsidR="008C6D2A" w:rsidRPr="004E2734">
        <w:rPr>
          <w:rFonts w:ascii="Arial" w:hAnsi="Arial" w:cs="Arial"/>
          <w:i/>
          <w:iCs/>
          <w:sz w:val="20"/>
          <w:szCs w:val="20"/>
        </w:rPr>
        <w:t>et al.</w:t>
      </w:r>
      <w:r w:rsidR="004E2734" w:rsidRPr="004E2734">
        <w:rPr>
          <w:rFonts w:ascii="Arial" w:hAnsi="Arial" w:cs="Arial"/>
          <w:i/>
          <w:iCs/>
          <w:sz w:val="20"/>
          <w:szCs w:val="20"/>
        </w:rPr>
        <w:t>,</w:t>
      </w:r>
      <w:r w:rsidR="008C6D2A" w:rsidRPr="008C6D2A">
        <w:rPr>
          <w:rFonts w:ascii="Arial" w:hAnsi="Arial" w:cs="Arial"/>
          <w:sz w:val="20"/>
          <w:szCs w:val="20"/>
        </w:rPr>
        <w:t xml:space="preserve"> 2018)</w:t>
      </w:r>
      <w:r w:rsidR="00F4188E">
        <w:rPr>
          <w:rFonts w:ascii="Arial" w:hAnsi="Arial" w:cs="Arial"/>
          <w:sz w:val="20"/>
          <w:szCs w:val="20"/>
        </w:rPr>
        <w:t>,</w:t>
      </w:r>
      <w:r w:rsidR="00CB7E37">
        <w:rPr>
          <w:rFonts w:ascii="Arial" w:hAnsi="Arial" w:cs="Arial"/>
          <w:sz w:val="20"/>
          <w:szCs w:val="20"/>
        </w:rPr>
        <w:t xml:space="preserve"> and</w:t>
      </w:r>
      <w:r w:rsidR="00483E5E" w:rsidRPr="00483E5E">
        <w:rPr>
          <w:rFonts w:ascii="Arial" w:hAnsi="Arial" w:cs="Arial"/>
          <w:sz w:val="20"/>
          <w:szCs w:val="20"/>
        </w:rPr>
        <w:t xml:space="preserve"> much of this research has been conducted either in the United States (US) or Australia, highlighting a paucity of research</w:t>
      </w:r>
      <w:r w:rsidR="00CB7E37">
        <w:rPr>
          <w:rFonts w:ascii="Arial" w:hAnsi="Arial" w:cs="Arial"/>
          <w:sz w:val="20"/>
          <w:szCs w:val="20"/>
        </w:rPr>
        <w:t xml:space="preserve"> </w:t>
      </w:r>
      <w:r w:rsidR="00483E5E" w:rsidRPr="00483E5E">
        <w:rPr>
          <w:rFonts w:ascii="Arial" w:hAnsi="Arial" w:cs="Arial"/>
          <w:sz w:val="20"/>
          <w:szCs w:val="20"/>
        </w:rPr>
        <w:t>among UK university samples</w:t>
      </w:r>
      <w:r w:rsidR="002553D2">
        <w:rPr>
          <w:rFonts w:ascii="Arial" w:hAnsi="Arial" w:cs="Arial"/>
          <w:sz w:val="20"/>
          <w:szCs w:val="20"/>
        </w:rPr>
        <w:t>.</w:t>
      </w:r>
    </w:p>
    <w:p w14:paraId="7CE65D86" w14:textId="74B5F6D3" w:rsidR="00F35567" w:rsidRDefault="007762BD" w:rsidP="00F35567">
      <w:pPr>
        <w:jc w:val="both"/>
        <w:rPr>
          <w:rFonts w:ascii="Arial" w:hAnsi="Arial" w:cs="Arial"/>
          <w:sz w:val="20"/>
          <w:szCs w:val="20"/>
        </w:rPr>
      </w:pPr>
      <w:r>
        <w:rPr>
          <w:rFonts w:ascii="Arial" w:hAnsi="Arial" w:cs="Arial"/>
          <w:sz w:val="20"/>
          <w:szCs w:val="20"/>
        </w:rPr>
        <w:t xml:space="preserve">Given the preceding findings, this study aimed to further explore </w:t>
      </w:r>
      <w:r w:rsidR="00F35567">
        <w:rPr>
          <w:rFonts w:ascii="Arial" w:hAnsi="Arial" w:cs="Arial"/>
          <w:sz w:val="20"/>
          <w:szCs w:val="20"/>
        </w:rPr>
        <w:t>g</w:t>
      </w:r>
      <w:r w:rsidR="00F35567" w:rsidRPr="00213001">
        <w:rPr>
          <w:rFonts w:ascii="Arial" w:hAnsi="Arial" w:cs="Arial"/>
          <w:sz w:val="20"/>
          <w:szCs w:val="20"/>
        </w:rPr>
        <w:t xml:space="preserve">ambling </w:t>
      </w:r>
      <w:r w:rsidR="00F35567">
        <w:rPr>
          <w:rFonts w:ascii="Arial" w:hAnsi="Arial" w:cs="Arial"/>
          <w:sz w:val="20"/>
          <w:szCs w:val="20"/>
        </w:rPr>
        <w:t>b</w:t>
      </w:r>
      <w:r w:rsidR="00F35567" w:rsidRPr="00213001">
        <w:rPr>
          <w:rFonts w:ascii="Arial" w:hAnsi="Arial" w:cs="Arial"/>
          <w:sz w:val="20"/>
          <w:szCs w:val="20"/>
        </w:rPr>
        <w:t xml:space="preserve">ehaviours of </w:t>
      </w:r>
      <w:r w:rsidR="00CB7E37">
        <w:rPr>
          <w:rFonts w:ascii="Arial" w:hAnsi="Arial" w:cs="Arial"/>
          <w:sz w:val="20"/>
          <w:szCs w:val="20"/>
        </w:rPr>
        <w:t xml:space="preserve">students on sports-based and </w:t>
      </w:r>
      <w:r w:rsidR="00F35567">
        <w:rPr>
          <w:rFonts w:ascii="Arial" w:hAnsi="Arial" w:cs="Arial"/>
          <w:sz w:val="20"/>
          <w:szCs w:val="20"/>
        </w:rPr>
        <w:t xml:space="preserve">non-sport students </w:t>
      </w:r>
      <w:r w:rsidR="00293116">
        <w:rPr>
          <w:rFonts w:ascii="Arial" w:hAnsi="Arial" w:cs="Arial"/>
          <w:sz w:val="20"/>
          <w:szCs w:val="20"/>
        </w:rPr>
        <w:t>in the</w:t>
      </w:r>
      <w:r w:rsidR="00F35567">
        <w:rPr>
          <w:rFonts w:ascii="Arial" w:hAnsi="Arial" w:cs="Arial"/>
          <w:sz w:val="20"/>
          <w:szCs w:val="20"/>
        </w:rPr>
        <w:t xml:space="preserve"> UK universities. This knowledge could prove beneficial for universities proactively seeking to </w:t>
      </w:r>
      <w:r w:rsidR="00877569">
        <w:rPr>
          <w:rFonts w:ascii="Arial" w:hAnsi="Arial" w:cs="Arial"/>
          <w:sz w:val="20"/>
          <w:szCs w:val="20"/>
        </w:rPr>
        <w:t xml:space="preserve">provide more </w:t>
      </w:r>
      <w:r w:rsidR="00F35567">
        <w:rPr>
          <w:rFonts w:ascii="Arial" w:hAnsi="Arial" w:cs="Arial"/>
          <w:sz w:val="20"/>
          <w:szCs w:val="20"/>
        </w:rPr>
        <w:t xml:space="preserve">targeted </w:t>
      </w:r>
      <w:r w:rsidR="00F35567" w:rsidRPr="008E7F84">
        <w:rPr>
          <w:rFonts w:ascii="Arial" w:hAnsi="Arial" w:cs="Arial"/>
          <w:sz w:val="20"/>
          <w:szCs w:val="20"/>
        </w:rPr>
        <w:t>gambling-related advice</w:t>
      </w:r>
      <w:r w:rsidR="00F35567">
        <w:rPr>
          <w:rFonts w:ascii="Arial" w:hAnsi="Arial" w:cs="Arial"/>
          <w:sz w:val="20"/>
          <w:szCs w:val="20"/>
        </w:rPr>
        <w:t>,</w:t>
      </w:r>
      <w:r w:rsidR="00F35567" w:rsidRPr="008E7F84">
        <w:rPr>
          <w:rFonts w:ascii="Arial" w:hAnsi="Arial" w:cs="Arial"/>
          <w:sz w:val="20"/>
          <w:szCs w:val="20"/>
        </w:rPr>
        <w:t xml:space="preserve"> support</w:t>
      </w:r>
      <w:r w:rsidR="00F35567">
        <w:rPr>
          <w:rFonts w:ascii="Arial" w:hAnsi="Arial" w:cs="Arial"/>
          <w:sz w:val="20"/>
          <w:szCs w:val="20"/>
        </w:rPr>
        <w:t>, and campaigning.</w:t>
      </w:r>
    </w:p>
    <w:p w14:paraId="7B652139" w14:textId="1FB8CE53" w:rsidR="00F30AE7" w:rsidRDefault="00A947A6" w:rsidP="00897E4D">
      <w:pPr>
        <w:tabs>
          <w:tab w:val="left" w:pos="2445"/>
        </w:tabs>
        <w:jc w:val="both"/>
        <w:rPr>
          <w:rFonts w:ascii="Arial" w:hAnsi="Arial" w:cs="Arial"/>
          <w:b/>
          <w:bCs/>
          <w:sz w:val="20"/>
          <w:szCs w:val="20"/>
        </w:rPr>
      </w:pPr>
      <w:r w:rsidRPr="00D4016B">
        <w:rPr>
          <w:rFonts w:ascii="Arial" w:hAnsi="Arial" w:cs="Arial"/>
          <w:b/>
          <w:bCs/>
          <w:sz w:val="20"/>
          <w:szCs w:val="20"/>
        </w:rPr>
        <w:lastRenderedPageBreak/>
        <w:t>Methods</w:t>
      </w:r>
    </w:p>
    <w:p w14:paraId="71B8739A" w14:textId="77777777" w:rsidR="00F30AE7" w:rsidRPr="00D4016B" w:rsidRDefault="00F30AE7" w:rsidP="00F30AE7">
      <w:pPr>
        <w:tabs>
          <w:tab w:val="left" w:pos="2445"/>
        </w:tabs>
        <w:jc w:val="both"/>
        <w:rPr>
          <w:rFonts w:ascii="Arial" w:hAnsi="Arial" w:cs="Arial"/>
          <w:i/>
          <w:iCs/>
          <w:sz w:val="20"/>
          <w:szCs w:val="20"/>
        </w:rPr>
      </w:pPr>
      <w:r w:rsidRPr="00D4016B">
        <w:rPr>
          <w:rFonts w:ascii="Arial" w:hAnsi="Arial" w:cs="Arial"/>
          <w:i/>
          <w:iCs/>
          <w:sz w:val="20"/>
          <w:szCs w:val="20"/>
        </w:rPr>
        <w:t xml:space="preserve">Design &amp; Materials </w:t>
      </w:r>
    </w:p>
    <w:p w14:paraId="284BBE10" w14:textId="6C3416D7" w:rsidR="001D4C3B" w:rsidRDefault="00F30AE7" w:rsidP="00F30AE7">
      <w:pPr>
        <w:tabs>
          <w:tab w:val="left" w:pos="2445"/>
        </w:tabs>
        <w:jc w:val="both"/>
        <w:rPr>
          <w:rFonts w:ascii="Arial" w:hAnsi="Arial" w:cs="Arial"/>
          <w:sz w:val="20"/>
          <w:szCs w:val="20"/>
        </w:rPr>
      </w:pPr>
      <w:r w:rsidRPr="00D4016B">
        <w:rPr>
          <w:rFonts w:ascii="Arial" w:hAnsi="Arial" w:cs="Arial"/>
          <w:sz w:val="20"/>
          <w:szCs w:val="20"/>
        </w:rPr>
        <w:t>A survey was designed</w:t>
      </w:r>
      <w:r w:rsidR="00A44421">
        <w:rPr>
          <w:rFonts w:ascii="Arial" w:hAnsi="Arial" w:cs="Arial"/>
          <w:sz w:val="20"/>
          <w:szCs w:val="20"/>
        </w:rPr>
        <w:t xml:space="preserve"> and administered</w:t>
      </w:r>
      <w:r w:rsidRPr="00D4016B">
        <w:rPr>
          <w:rFonts w:ascii="Arial" w:hAnsi="Arial" w:cs="Arial"/>
          <w:sz w:val="20"/>
          <w:szCs w:val="20"/>
        </w:rPr>
        <w:t xml:space="preserve"> to gather data for this study. </w:t>
      </w:r>
      <w:r w:rsidR="00F46009">
        <w:rPr>
          <w:rFonts w:ascii="Arial" w:hAnsi="Arial" w:cs="Arial"/>
          <w:sz w:val="20"/>
          <w:szCs w:val="20"/>
        </w:rPr>
        <w:t>T</w:t>
      </w:r>
      <w:r w:rsidRPr="00D4016B">
        <w:rPr>
          <w:rFonts w:ascii="Arial" w:hAnsi="Arial" w:cs="Arial"/>
          <w:sz w:val="20"/>
          <w:szCs w:val="20"/>
        </w:rPr>
        <w:t xml:space="preserve">he survey explored student gambling perceptions and behaviours, which included the 9-item </w:t>
      </w:r>
      <w:r w:rsidR="00A44421">
        <w:rPr>
          <w:rFonts w:ascii="Arial" w:hAnsi="Arial" w:cs="Arial"/>
          <w:sz w:val="20"/>
          <w:szCs w:val="20"/>
        </w:rPr>
        <w:t>Problem Gambling Severity Index (</w:t>
      </w:r>
      <w:r w:rsidRPr="00D4016B">
        <w:rPr>
          <w:rFonts w:ascii="Arial" w:hAnsi="Arial" w:cs="Arial"/>
          <w:sz w:val="20"/>
          <w:szCs w:val="20"/>
        </w:rPr>
        <w:t>PGSI</w:t>
      </w:r>
      <w:r w:rsidR="00A44421">
        <w:rPr>
          <w:rFonts w:ascii="Arial" w:hAnsi="Arial" w:cs="Arial"/>
          <w:sz w:val="20"/>
          <w:szCs w:val="20"/>
        </w:rPr>
        <w:t>)</w:t>
      </w:r>
      <w:r w:rsidR="00BC13FD">
        <w:rPr>
          <w:rFonts w:ascii="Arial" w:hAnsi="Arial" w:cs="Arial"/>
          <w:sz w:val="20"/>
          <w:szCs w:val="20"/>
        </w:rPr>
        <w:t xml:space="preserve"> </w:t>
      </w:r>
      <w:r w:rsidR="00D51A20">
        <w:rPr>
          <w:rFonts w:ascii="Arial" w:hAnsi="Arial" w:cs="Arial"/>
          <w:sz w:val="20"/>
          <w:szCs w:val="20"/>
        </w:rPr>
        <w:t xml:space="preserve">(Ferris </w:t>
      </w:r>
      <w:r w:rsidR="004E2734">
        <w:rPr>
          <w:rFonts w:ascii="Arial" w:hAnsi="Arial" w:cs="Arial"/>
          <w:sz w:val="20"/>
          <w:szCs w:val="20"/>
        </w:rPr>
        <w:t>and</w:t>
      </w:r>
      <w:r w:rsidR="00D51A20">
        <w:rPr>
          <w:rFonts w:ascii="Arial" w:hAnsi="Arial" w:cs="Arial"/>
          <w:sz w:val="20"/>
          <w:szCs w:val="20"/>
        </w:rPr>
        <w:t xml:space="preserve"> Wynne, 2001)</w:t>
      </w:r>
      <w:r w:rsidRPr="00D4016B">
        <w:rPr>
          <w:rFonts w:ascii="Arial" w:hAnsi="Arial" w:cs="Arial"/>
          <w:sz w:val="20"/>
          <w:szCs w:val="20"/>
        </w:rPr>
        <w:t xml:space="preserve">. </w:t>
      </w:r>
      <w:r w:rsidR="00F46009" w:rsidRPr="00F46009">
        <w:rPr>
          <w:rFonts w:ascii="Arial" w:hAnsi="Arial" w:cs="Arial"/>
          <w:sz w:val="20"/>
          <w:szCs w:val="20"/>
        </w:rPr>
        <w:t xml:space="preserve">To establish the gambling-status of each participant, </w:t>
      </w:r>
      <w:r w:rsidR="00F46009">
        <w:rPr>
          <w:rFonts w:ascii="Arial" w:hAnsi="Arial" w:cs="Arial"/>
          <w:sz w:val="20"/>
          <w:szCs w:val="20"/>
        </w:rPr>
        <w:t>t</w:t>
      </w:r>
      <w:r w:rsidR="001D4C3B">
        <w:rPr>
          <w:rFonts w:ascii="Arial" w:hAnsi="Arial" w:cs="Arial"/>
          <w:sz w:val="20"/>
          <w:szCs w:val="20"/>
        </w:rPr>
        <w:t xml:space="preserve">he survey comprised 14 questions </w:t>
      </w:r>
      <w:r w:rsidR="00E53934">
        <w:rPr>
          <w:rFonts w:ascii="Arial" w:hAnsi="Arial" w:cs="Arial"/>
          <w:sz w:val="20"/>
          <w:szCs w:val="20"/>
        </w:rPr>
        <w:t xml:space="preserve">focused on gambling expenditure, frequency, and general </w:t>
      </w:r>
      <w:r w:rsidR="006070C2">
        <w:rPr>
          <w:rFonts w:ascii="Arial" w:hAnsi="Arial" w:cs="Arial"/>
          <w:sz w:val="20"/>
          <w:szCs w:val="20"/>
        </w:rPr>
        <w:t>gambling behaviours (</w:t>
      </w:r>
      <w:r w:rsidR="0006008C">
        <w:rPr>
          <w:rFonts w:ascii="Arial" w:hAnsi="Arial" w:cs="Arial"/>
          <w:sz w:val="20"/>
          <w:szCs w:val="20"/>
        </w:rPr>
        <w:t>i.e.,</w:t>
      </w:r>
      <w:r w:rsidR="006070C2">
        <w:rPr>
          <w:rFonts w:ascii="Arial" w:hAnsi="Arial" w:cs="Arial"/>
          <w:sz w:val="20"/>
          <w:szCs w:val="20"/>
        </w:rPr>
        <w:t xml:space="preserve"> Preferred modes of gambling, forms of gambling)</w:t>
      </w:r>
      <w:r w:rsidR="00234C6B">
        <w:rPr>
          <w:rFonts w:ascii="Arial" w:hAnsi="Arial" w:cs="Arial"/>
          <w:sz w:val="20"/>
          <w:szCs w:val="20"/>
        </w:rPr>
        <w:t>. To be eligible to take part in the study, participants had to be aged 18 years or over, be an active student</w:t>
      </w:r>
      <w:r w:rsidR="00F46009">
        <w:rPr>
          <w:rFonts w:ascii="Arial" w:hAnsi="Arial" w:cs="Arial"/>
          <w:sz w:val="20"/>
          <w:szCs w:val="20"/>
        </w:rPr>
        <w:t xml:space="preserve"> at a UK university</w:t>
      </w:r>
      <w:r w:rsidR="0006008C">
        <w:rPr>
          <w:rFonts w:ascii="Arial" w:hAnsi="Arial" w:cs="Arial"/>
          <w:sz w:val="20"/>
          <w:szCs w:val="20"/>
        </w:rPr>
        <w:t xml:space="preserve">, and have an interest in the topic of student gambling. The study was approved by the local university ethics committee. </w:t>
      </w:r>
    </w:p>
    <w:p w14:paraId="540F592A" w14:textId="168AA730" w:rsidR="00C32170" w:rsidRPr="00D4016B" w:rsidRDefault="00C32170" w:rsidP="00897E4D">
      <w:pPr>
        <w:tabs>
          <w:tab w:val="left" w:pos="2445"/>
        </w:tabs>
        <w:jc w:val="both"/>
        <w:rPr>
          <w:rFonts w:ascii="Arial" w:hAnsi="Arial" w:cs="Arial"/>
          <w:i/>
          <w:iCs/>
          <w:sz w:val="20"/>
          <w:szCs w:val="20"/>
        </w:rPr>
      </w:pPr>
      <w:r w:rsidRPr="00D4016B">
        <w:rPr>
          <w:rFonts w:ascii="Arial" w:hAnsi="Arial" w:cs="Arial"/>
          <w:i/>
          <w:iCs/>
          <w:sz w:val="20"/>
          <w:szCs w:val="20"/>
        </w:rPr>
        <w:t>Participants</w:t>
      </w:r>
    </w:p>
    <w:p w14:paraId="1A1924B1" w14:textId="507A3B96" w:rsidR="00567316" w:rsidRPr="00D4016B" w:rsidRDefault="001D1C0F" w:rsidP="00567316">
      <w:pPr>
        <w:jc w:val="both"/>
        <w:rPr>
          <w:rFonts w:ascii="Arial" w:hAnsi="Arial" w:cs="Arial"/>
          <w:sz w:val="20"/>
          <w:szCs w:val="20"/>
        </w:rPr>
      </w:pPr>
      <w:r w:rsidRPr="00D4016B">
        <w:rPr>
          <w:rFonts w:ascii="Arial" w:hAnsi="Arial" w:cs="Arial"/>
          <w:sz w:val="20"/>
          <w:szCs w:val="20"/>
        </w:rPr>
        <w:t xml:space="preserve">A total of </w:t>
      </w:r>
      <w:r w:rsidR="002638C5">
        <w:rPr>
          <w:rFonts w:ascii="Arial" w:hAnsi="Arial" w:cs="Arial"/>
          <w:sz w:val="20"/>
          <w:szCs w:val="20"/>
        </w:rPr>
        <w:t>210</w:t>
      </w:r>
      <w:r w:rsidRPr="00D4016B">
        <w:rPr>
          <w:rFonts w:ascii="Arial" w:hAnsi="Arial" w:cs="Arial"/>
          <w:sz w:val="20"/>
          <w:szCs w:val="20"/>
        </w:rPr>
        <w:t xml:space="preserve"> </w:t>
      </w:r>
      <w:r w:rsidR="00682A52">
        <w:rPr>
          <w:rFonts w:ascii="Arial" w:hAnsi="Arial" w:cs="Arial"/>
          <w:sz w:val="20"/>
          <w:szCs w:val="20"/>
        </w:rPr>
        <w:t>university students</w:t>
      </w:r>
      <w:r w:rsidR="004E4FAA">
        <w:rPr>
          <w:rFonts w:ascii="Arial" w:hAnsi="Arial" w:cs="Arial"/>
          <w:sz w:val="20"/>
          <w:szCs w:val="20"/>
        </w:rPr>
        <w:t xml:space="preserve"> studying in the UK</w:t>
      </w:r>
      <w:r w:rsidR="00682A52">
        <w:rPr>
          <w:rFonts w:ascii="Arial" w:hAnsi="Arial" w:cs="Arial"/>
          <w:sz w:val="20"/>
          <w:szCs w:val="20"/>
        </w:rPr>
        <w:t xml:space="preserve"> </w:t>
      </w:r>
      <w:r w:rsidR="004E4FAA">
        <w:rPr>
          <w:rFonts w:ascii="Arial" w:hAnsi="Arial" w:cs="Arial"/>
          <w:sz w:val="20"/>
          <w:szCs w:val="20"/>
        </w:rPr>
        <w:t>participated in the study</w:t>
      </w:r>
      <w:r w:rsidRPr="00D4016B">
        <w:rPr>
          <w:rFonts w:ascii="Arial" w:hAnsi="Arial" w:cs="Arial"/>
          <w:sz w:val="20"/>
          <w:szCs w:val="20"/>
        </w:rPr>
        <w:t xml:space="preserve"> (</w:t>
      </w:r>
      <w:r w:rsidR="00103FC5">
        <w:rPr>
          <w:rFonts w:ascii="Arial" w:hAnsi="Arial" w:cs="Arial"/>
          <w:sz w:val="20"/>
          <w:szCs w:val="20"/>
        </w:rPr>
        <w:t>m</w:t>
      </w:r>
      <w:r w:rsidRPr="00D4016B">
        <w:rPr>
          <w:rFonts w:ascii="Arial" w:hAnsi="Arial" w:cs="Arial"/>
          <w:sz w:val="20"/>
          <w:szCs w:val="20"/>
        </w:rPr>
        <w:t>ale</w:t>
      </w:r>
      <w:r w:rsidR="00135726" w:rsidRPr="00D4016B">
        <w:rPr>
          <w:rFonts w:ascii="Arial" w:hAnsi="Arial" w:cs="Arial"/>
          <w:sz w:val="20"/>
          <w:szCs w:val="20"/>
        </w:rPr>
        <w:t>,</w:t>
      </w:r>
      <w:r w:rsidRPr="00D4016B">
        <w:rPr>
          <w:rFonts w:ascii="Arial" w:hAnsi="Arial" w:cs="Arial"/>
          <w:sz w:val="20"/>
          <w:szCs w:val="20"/>
        </w:rPr>
        <w:t xml:space="preserve"> </w:t>
      </w:r>
      <w:r w:rsidR="009F0A35" w:rsidRPr="00D4016B">
        <w:rPr>
          <w:rFonts w:ascii="Arial" w:hAnsi="Arial" w:cs="Arial"/>
          <w:sz w:val="20"/>
          <w:szCs w:val="20"/>
        </w:rPr>
        <w:t xml:space="preserve">n </w:t>
      </w:r>
      <w:r w:rsidRPr="00D4016B">
        <w:rPr>
          <w:rFonts w:ascii="Arial" w:hAnsi="Arial" w:cs="Arial"/>
          <w:sz w:val="20"/>
          <w:szCs w:val="20"/>
        </w:rPr>
        <w:t xml:space="preserve">= </w:t>
      </w:r>
      <w:r w:rsidR="002638C5">
        <w:rPr>
          <w:rFonts w:ascii="Arial" w:hAnsi="Arial" w:cs="Arial"/>
          <w:sz w:val="20"/>
          <w:szCs w:val="20"/>
        </w:rPr>
        <w:t>78</w:t>
      </w:r>
      <w:r w:rsidRPr="00D4016B">
        <w:rPr>
          <w:rFonts w:ascii="Arial" w:hAnsi="Arial" w:cs="Arial"/>
          <w:sz w:val="20"/>
          <w:szCs w:val="20"/>
        </w:rPr>
        <w:t xml:space="preserve">, </w:t>
      </w:r>
      <w:r w:rsidR="00103FC5">
        <w:rPr>
          <w:rFonts w:ascii="Arial" w:hAnsi="Arial" w:cs="Arial"/>
          <w:sz w:val="20"/>
          <w:szCs w:val="20"/>
        </w:rPr>
        <w:t>f</w:t>
      </w:r>
      <w:r w:rsidRPr="00D4016B">
        <w:rPr>
          <w:rFonts w:ascii="Arial" w:hAnsi="Arial" w:cs="Arial"/>
          <w:sz w:val="20"/>
          <w:szCs w:val="20"/>
        </w:rPr>
        <w:t>emale</w:t>
      </w:r>
      <w:r w:rsidR="00135726" w:rsidRPr="00D4016B">
        <w:rPr>
          <w:rFonts w:ascii="Arial" w:hAnsi="Arial" w:cs="Arial"/>
          <w:sz w:val="20"/>
          <w:szCs w:val="20"/>
        </w:rPr>
        <w:t>,</w:t>
      </w:r>
      <w:r w:rsidRPr="00D4016B">
        <w:rPr>
          <w:rFonts w:ascii="Arial" w:hAnsi="Arial" w:cs="Arial"/>
          <w:sz w:val="20"/>
          <w:szCs w:val="20"/>
        </w:rPr>
        <w:t xml:space="preserve"> </w:t>
      </w:r>
      <w:r w:rsidR="009F0A35" w:rsidRPr="00D4016B">
        <w:rPr>
          <w:rFonts w:ascii="Arial" w:hAnsi="Arial" w:cs="Arial"/>
          <w:sz w:val="20"/>
          <w:szCs w:val="20"/>
        </w:rPr>
        <w:t xml:space="preserve">n </w:t>
      </w:r>
      <w:r w:rsidRPr="00D4016B">
        <w:rPr>
          <w:rFonts w:ascii="Arial" w:hAnsi="Arial" w:cs="Arial"/>
          <w:sz w:val="20"/>
          <w:szCs w:val="20"/>
        </w:rPr>
        <w:t xml:space="preserve">= </w:t>
      </w:r>
      <w:r w:rsidR="002638C5">
        <w:rPr>
          <w:rFonts w:ascii="Arial" w:hAnsi="Arial" w:cs="Arial"/>
          <w:sz w:val="20"/>
          <w:szCs w:val="20"/>
        </w:rPr>
        <w:t>129</w:t>
      </w:r>
      <w:r w:rsidR="2626DFA5" w:rsidRPr="00D4016B">
        <w:rPr>
          <w:rFonts w:ascii="Arial" w:hAnsi="Arial" w:cs="Arial"/>
          <w:sz w:val="20"/>
          <w:szCs w:val="20"/>
        </w:rPr>
        <w:t xml:space="preserve">, n = </w:t>
      </w:r>
      <w:r w:rsidR="00921691">
        <w:rPr>
          <w:rFonts w:ascii="Arial" w:hAnsi="Arial" w:cs="Arial"/>
          <w:sz w:val="20"/>
          <w:szCs w:val="20"/>
        </w:rPr>
        <w:t>2</w:t>
      </w:r>
      <w:r w:rsidR="2626DFA5" w:rsidRPr="00D4016B">
        <w:rPr>
          <w:rFonts w:ascii="Arial" w:hAnsi="Arial" w:cs="Arial"/>
          <w:sz w:val="20"/>
          <w:szCs w:val="20"/>
        </w:rPr>
        <w:t xml:space="preserve"> </w:t>
      </w:r>
      <w:r w:rsidR="00103FC5">
        <w:rPr>
          <w:rFonts w:ascii="Arial" w:hAnsi="Arial" w:cs="Arial"/>
          <w:sz w:val="20"/>
          <w:szCs w:val="20"/>
        </w:rPr>
        <w:t>d</w:t>
      </w:r>
      <w:r w:rsidR="2626DFA5" w:rsidRPr="00D4016B">
        <w:rPr>
          <w:rFonts w:ascii="Arial" w:hAnsi="Arial" w:cs="Arial"/>
          <w:sz w:val="20"/>
          <w:szCs w:val="20"/>
        </w:rPr>
        <w:t>id not wish to state</w:t>
      </w:r>
      <w:r w:rsidR="00103FC5">
        <w:rPr>
          <w:rFonts w:ascii="Arial" w:hAnsi="Arial" w:cs="Arial"/>
          <w:sz w:val="20"/>
          <w:szCs w:val="20"/>
        </w:rPr>
        <w:t xml:space="preserve"> their gender,</w:t>
      </w:r>
      <w:r w:rsidR="00921691">
        <w:rPr>
          <w:rFonts w:ascii="Arial" w:hAnsi="Arial" w:cs="Arial"/>
          <w:sz w:val="20"/>
          <w:szCs w:val="20"/>
        </w:rPr>
        <w:t xml:space="preserve"> n = 1 identified as non-binary</w:t>
      </w:r>
      <w:r w:rsidRPr="00D4016B">
        <w:rPr>
          <w:rFonts w:ascii="Arial" w:hAnsi="Arial" w:cs="Arial"/>
          <w:sz w:val="20"/>
          <w:szCs w:val="20"/>
        </w:rPr>
        <w:t xml:space="preserve">). </w:t>
      </w:r>
      <w:r w:rsidR="00F46009">
        <w:rPr>
          <w:rFonts w:ascii="Arial" w:hAnsi="Arial" w:cs="Arial"/>
          <w:sz w:val="20"/>
          <w:szCs w:val="20"/>
        </w:rPr>
        <w:t xml:space="preserve">The mean age of </w:t>
      </w:r>
      <w:r w:rsidR="00FD0CAD" w:rsidRPr="00D4016B">
        <w:rPr>
          <w:rFonts w:ascii="Arial" w:hAnsi="Arial" w:cs="Arial"/>
          <w:sz w:val="20"/>
          <w:szCs w:val="20"/>
        </w:rPr>
        <w:t>participants</w:t>
      </w:r>
      <w:r w:rsidRPr="00D4016B">
        <w:rPr>
          <w:rFonts w:ascii="Arial" w:hAnsi="Arial" w:cs="Arial"/>
          <w:sz w:val="20"/>
          <w:szCs w:val="20"/>
        </w:rPr>
        <w:t xml:space="preserve"> </w:t>
      </w:r>
      <w:r w:rsidR="00F46009">
        <w:rPr>
          <w:rFonts w:ascii="Arial" w:hAnsi="Arial" w:cs="Arial"/>
          <w:sz w:val="20"/>
          <w:szCs w:val="20"/>
        </w:rPr>
        <w:t xml:space="preserve">was </w:t>
      </w:r>
      <w:r w:rsidR="009158DF" w:rsidRPr="00D4016B">
        <w:rPr>
          <w:rFonts w:ascii="Arial" w:hAnsi="Arial" w:cs="Arial"/>
          <w:sz w:val="20"/>
          <w:szCs w:val="20"/>
        </w:rPr>
        <w:t>2</w:t>
      </w:r>
      <w:r w:rsidR="005F03DD">
        <w:rPr>
          <w:rFonts w:ascii="Arial" w:hAnsi="Arial" w:cs="Arial"/>
          <w:sz w:val="20"/>
          <w:szCs w:val="20"/>
        </w:rPr>
        <w:t>2</w:t>
      </w:r>
      <w:r w:rsidR="009158DF" w:rsidRPr="00D4016B">
        <w:rPr>
          <w:rFonts w:ascii="Arial" w:hAnsi="Arial" w:cs="Arial"/>
          <w:sz w:val="20"/>
          <w:szCs w:val="20"/>
        </w:rPr>
        <w:t>.</w:t>
      </w:r>
      <w:r w:rsidR="005F03DD">
        <w:rPr>
          <w:rFonts w:ascii="Arial" w:hAnsi="Arial" w:cs="Arial"/>
          <w:sz w:val="20"/>
          <w:szCs w:val="20"/>
        </w:rPr>
        <w:t>69</w:t>
      </w:r>
      <w:r w:rsidR="009158DF" w:rsidRPr="00D4016B">
        <w:rPr>
          <w:rFonts w:ascii="Arial" w:hAnsi="Arial" w:cs="Arial"/>
          <w:sz w:val="20"/>
          <w:szCs w:val="20"/>
        </w:rPr>
        <w:t xml:space="preserve"> years</w:t>
      </w:r>
      <w:r w:rsidRPr="00D4016B">
        <w:rPr>
          <w:rFonts w:ascii="Arial" w:hAnsi="Arial" w:cs="Arial"/>
          <w:sz w:val="20"/>
          <w:szCs w:val="20"/>
        </w:rPr>
        <w:t xml:space="preserve">, </w:t>
      </w:r>
      <w:r w:rsidR="00F46009">
        <w:rPr>
          <w:rFonts w:ascii="Arial" w:hAnsi="Arial" w:cs="Arial"/>
          <w:sz w:val="20"/>
          <w:szCs w:val="20"/>
        </w:rPr>
        <w:t xml:space="preserve">with a standard deviation of </w:t>
      </w:r>
      <w:r w:rsidR="00AD7E78" w:rsidRPr="00D4016B">
        <w:rPr>
          <w:rFonts w:ascii="Arial" w:hAnsi="Arial" w:cs="Arial"/>
          <w:sz w:val="20"/>
          <w:szCs w:val="20"/>
        </w:rPr>
        <w:t>6</w:t>
      </w:r>
      <w:r w:rsidR="009158DF" w:rsidRPr="00D4016B">
        <w:rPr>
          <w:rFonts w:ascii="Arial" w:hAnsi="Arial" w:cs="Arial"/>
          <w:sz w:val="20"/>
          <w:szCs w:val="20"/>
        </w:rPr>
        <w:t>.</w:t>
      </w:r>
      <w:r w:rsidR="005F03DD">
        <w:rPr>
          <w:rFonts w:ascii="Arial" w:hAnsi="Arial" w:cs="Arial"/>
          <w:sz w:val="20"/>
          <w:szCs w:val="20"/>
        </w:rPr>
        <w:t>33</w:t>
      </w:r>
      <w:r w:rsidR="009158DF" w:rsidRPr="00D4016B">
        <w:rPr>
          <w:rFonts w:ascii="Arial" w:hAnsi="Arial" w:cs="Arial"/>
          <w:sz w:val="20"/>
          <w:szCs w:val="20"/>
        </w:rPr>
        <w:t xml:space="preserve">. </w:t>
      </w:r>
      <w:r w:rsidR="00F46009">
        <w:rPr>
          <w:rFonts w:ascii="Arial" w:hAnsi="Arial" w:cs="Arial"/>
          <w:sz w:val="20"/>
          <w:szCs w:val="20"/>
        </w:rPr>
        <w:t>P</w:t>
      </w:r>
      <w:r w:rsidR="00110809" w:rsidRPr="00D4016B">
        <w:rPr>
          <w:rFonts w:ascii="Arial" w:hAnsi="Arial" w:cs="Arial"/>
          <w:sz w:val="20"/>
          <w:szCs w:val="20"/>
        </w:rPr>
        <w:t xml:space="preserve">articipants </w:t>
      </w:r>
      <w:r w:rsidR="002A648B" w:rsidRPr="00D4016B">
        <w:rPr>
          <w:rFonts w:ascii="Arial" w:hAnsi="Arial" w:cs="Arial"/>
          <w:sz w:val="20"/>
          <w:szCs w:val="20"/>
        </w:rPr>
        <w:t>self-</w:t>
      </w:r>
      <w:r w:rsidR="00110809" w:rsidRPr="00D4016B">
        <w:rPr>
          <w:rFonts w:ascii="Arial" w:hAnsi="Arial" w:cs="Arial"/>
          <w:sz w:val="20"/>
          <w:szCs w:val="20"/>
        </w:rPr>
        <w:t>identified as White</w:t>
      </w:r>
      <w:r w:rsidR="00BF3DFA">
        <w:rPr>
          <w:rFonts w:ascii="Arial" w:hAnsi="Arial" w:cs="Arial"/>
          <w:sz w:val="20"/>
          <w:szCs w:val="20"/>
        </w:rPr>
        <w:t xml:space="preserve"> British</w:t>
      </w:r>
      <w:r w:rsidR="00110809" w:rsidRPr="00D4016B">
        <w:rPr>
          <w:rFonts w:ascii="Arial" w:hAnsi="Arial" w:cs="Arial"/>
          <w:sz w:val="20"/>
          <w:szCs w:val="20"/>
        </w:rPr>
        <w:t xml:space="preserve"> </w:t>
      </w:r>
      <w:r w:rsidR="00BF3DFA">
        <w:rPr>
          <w:rFonts w:ascii="Arial" w:hAnsi="Arial" w:cs="Arial"/>
          <w:sz w:val="20"/>
          <w:szCs w:val="20"/>
        </w:rPr>
        <w:t>(</w:t>
      </w:r>
      <w:r w:rsidR="00110809" w:rsidRPr="00D4016B">
        <w:rPr>
          <w:rFonts w:ascii="Arial" w:hAnsi="Arial" w:cs="Arial"/>
          <w:sz w:val="20"/>
          <w:szCs w:val="20"/>
        </w:rPr>
        <w:t xml:space="preserve">n = </w:t>
      </w:r>
      <w:r w:rsidR="00BF3DFA">
        <w:rPr>
          <w:rFonts w:ascii="Arial" w:hAnsi="Arial" w:cs="Arial"/>
          <w:sz w:val="20"/>
          <w:szCs w:val="20"/>
        </w:rPr>
        <w:t xml:space="preserve">184), </w:t>
      </w:r>
      <w:r w:rsidR="00110809" w:rsidRPr="00D4016B">
        <w:rPr>
          <w:rFonts w:ascii="Arial" w:hAnsi="Arial" w:cs="Arial"/>
          <w:sz w:val="20"/>
          <w:szCs w:val="20"/>
        </w:rPr>
        <w:t xml:space="preserve">Other White background </w:t>
      </w:r>
      <w:r w:rsidR="00BF3DFA">
        <w:rPr>
          <w:rFonts w:ascii="Arial" w:hAnsi="Arial" w:cs="Arial"/>
          <w:sz w:val="20"/>
          <w:szCs w:val="20"/>
        </w:rPr>
        <w:t>(</w:t>
      </w:r>
      <w:r w:rsidR="00110809" w:rsidRPr="00D4016B">
        <w:rPr>
          <w:rFonts w:ascii="Arial" w:hAnsi="Arial" w:cs="Arial"/>
          <w:sz w:val="20"/>
          <w:szCs w:val="20"/>
        </w:rPr>
        <w:t xml:space="preserve">n = </w:t>
      </w:r>
      <w:r w:rsidR="00BF3DFA">
        <w:rPr>
          <w:rFonts w:ascii="Arial" w:hAnsi="Arial" w:cs="Arial"/>
          <w:sz w:val="20"/>
          <w:szCs w:val="20"/>
        </w:rPr>
        <w:t>3)</w:t>
      </w:r>
      <w:r w:rsidR="00110809" w:rsidRPr="00D4016B">
        <w:rPr>
          <w:rFonts w:ascii="Arial" w:hAnsi="Arial" w:cs="Arial"/>
          <w:sz w:val="20"/>
          <w:szCs w:val="20"/>
        </w:rPr>
        <w:t xml:space="preserve">, Black </w:t>
      </w:r>
      <w:r w:rsidR="006351B1">
        <w:rPr>
          <w:rFonts w:ascii="Arial" w:hAnsi="Arial" w:cs="Arial"/>
          <w:sz w:val="20"/>
          <w:szCs w:val="20"/>
        </w:rPr>
        <w:t>(</w:t>
      </w:r>
      <w:r w:rsidR="00110809" w:rsidRPr="00D4016B">
        <w:rPr>
          <w:rFonts w:ascii="Arial" w:hAnsi="Arial" w:cs="Arial"/>
          <w:sz w:val="20"/>
          <w:szCs w:val="20"/>
        </w:rPr>
        <w:t>n</w:t>
      </w:r>
      <w:r w:rsidR="006351B1">
        <w:rPr>
          <w:rFonts w:ascii="Arial" w:hAnsi="Arial" w:cs="Arial"/>
          <w:sz w:val="20"/>
          <w:szCs w:val="20"/>
        </w:rPr>
        <w:t xml:space="preserve"> </w:t>
      </w:r>
      <w:r w:rsidR="00110809" w:rsidRPr="00D4016B">
        <w:rPr>
          <w:rFonts w:ascii="Arial" w:hAnsi="Arial" w:cs="Arial"/>
          <w:sz w:val="20"/>
          <w:szCs w:val="20"/>
        </w:rPr>
        <w:t xml:space="preserve">= </w:t>
      </w:r>
      <w:r w:rsidR="006351B1">
        <w:rPr>
          <w:rFonts w:ascii="Arial" w:hAnsi="Arial" w:cs="Arial"/>
          <w:sz w:val="20"/>
          <w:szCs w:val="20"/>
        </w:rPr>
        <w:t>2)</w:t>
      </w:r>
      <w:r w:rsidR="00110809" w:rsidRPr="00D4016B">
        <w:rPr>
          <w:rFonts w:ascii="Arial" w:hAnsi="Arial" w:cs="Arial"/>
          <w:sz w:val="20"/>
          <w:szCs w:val="20"/>
        </w:rPr>
        <w:t xml:space="preserve">, </w:t>
      </w:r>
      <w:r w:rsidR="006351B1">
        <w:rPr>
          <w:rFonts w:ascii="Arial" w:hAnsi="Arial" w:cs="Arial"/>
          <w:sz w:val="20"/>
          <w:szCs w:val="20"/>
        </w:rPr>
        <w:t xml:space="preserve">Caribbean (n = 2), </w:t>
      </w:r>
      <w:r w:rsidR="00E13E9E">
        <w:rPr>
          <w:rFonts w:ascii="Arial" w:hAnsi="Arial" w:cs="Arial"/>
          <w:sz w:val="20"/>
          <w:szCs w:val="20"/>
        </w:rPr>
        <w:t>African (n = 1), White and Black African (n = 2), White and Asian (n</w:t>
      </w:r>
      <w:r w:rsidR="000C0671">
        <w:rPr>
          <w:rFonts w:ascii="Arial" w:hAnsi="Arial" w:cs="Arial"/>
          <w:sz w:val="20"/>
          <w:szCs w:val="20"/>
        </w:rPr>
        <w:t xml:space="preserve"> = 2), Indian (n = 4), Bangladeshi (n = 1), Ch</w:t>
      </w:r>
      <w:r w:rsidR="00110809" w:rsidRPr="00D4016B">
        <w:rPr>
          <w:rFonts w:ascii="Arial" w:hAnsi="Arial" w:cs="Arial"/>
          <w:sz w:val="20"/>
          <w:szCs w:val="20"/>
        </w:rPr>
        <w:t xml:space="preserve">inese </w:t>
      </w:r>
      <w:r w:rsidR="000C0671">
        <w:rPr>
          <w:rFonts w:ascii="Arial" w:hAnsi="Arial" w:cs="Arial"/>
          <w:sz w:val="20"/>
          <w:szCs w:val="20"/>
        </w:rPr>
        <w:t>(</w:t>
      </w:r>
      <w:r w:rsidR="00110809" w:rsidRPr="00D4016B">
        <w:rPr>
          <w:rFonts w:ascii="Arial" w:hAnsi="Arial" w:cs="Arial"/>
          <w:sz w:val="20"/>
          <w:szCs w:val="20"/>
        </w:rPr>
        <w:t>n = 1</w:t>
      </w:r>
      <w:r w:rsidR="000C0671">
        <w:rPr>
          <w:rFonts w:ascii="Arial" w:hAnsi="Arial" w:cs="Arial"/>
          <w:sz w:val="20"/>
          <w:szCs w:val="20"/>
        </w:rPr>
        <w:t>)</w:t>
      </w:r>
      <w:r w:rsidR="00110809" w:rsidRPr="00D4016B">
        <w:rPr>
          <w:rFonts w:ascii="Arial" w:hAnsi="Arial" w:cs="Arial"/>
          <w:sz w:val="20"/>
          <w:szCs w:val="20"/>
        </w:rPr>
        <w:t>,</w:t>
      </w:r>
      <w:r w:rsidR="00777339">
        <w:rPr>
          <w:rFonts w:ascii="Arial" w:hAnsi="Arial" w:cs="Arial"/>
          <w:sz w:val="20"/>
          <w:szCs w:val="20"/>
        </w:rPr>
        <w:t xml:space="preserve"> Arabian (n =1), </w:t>
      </w:r>
      <w:r w:rsidR="001B5354" w:rsidRPr="00D4016B">
        <w:rPr>
          <w:rFonts w:ascii="Arial" w:hAnsi="Arial" w:cs="Arial"/>
          <w:sz w:val="20"/>
          <w:szCs w:val="20"/>
        </w:rPr>
        <w:t xml:space="preserve">Other </w:t>
      </w:r>
      <w:r w:rsidR="00777339">
        <w:rPr>
          <w:rFonts w:ascii="Arial" w:hAnsi="Arial" w:cs="Arial"/>
          <w:sz w:val="20"/>
          <w:szCs w:val="20"/>
        </w:rPr>
        <w:t>Black</w:t>
      </w:r>
      <w:r w:rsidR="001B5354" w:rsidRPr="00D4016B">
        <w:rPr>
          <w:rFonts w:ascii="Arial" w:hAnsi="Arial" w:cs="Arial"/>
          <w:sz w:val="20"/>
          <w:szCs w:val="20"/>
        </w:rPr>
        <w:t xml:space="preserve"> Background </w:t>
      </w:r>
      <w:r w:rsidR="00777339">
        <w:rPr>
          <w:rFonts w:ascii="Arial" w:hAnsi="Arial" w:cs="Arial"/>
          <w:sz w:val="20"/>
          <w:szCs w:val="20"/>
        </w:rPr>
        <w:t>(</w:t>
      </w:r>
      <w:r w:rsidR="001B5354" w:rsidRPr="00D4016B">
        <w:rPr>
          <w:rFonts w:ascii="Arial" w:hAnsi="Arial" w:cs="Arial"/>
          <w:sz w:val="20"/>
          <w:szCs w:val="20"/>
        </w:rPr>
        <w:t>n =1</w:t>
      </w:r>
      <w:r w:rsidR="00777339">
        <w:rPr>
          <w:rFonts w:ascii="Arial" w:hAnsi="Arial" w:cs="Arial"/>
          <w:sz w:val="20"/>
          <w:szCs w:val="20"/>
        </w:rPr>
        <w:t>)</w:t>
      </w:r>
      <w:r w:rsidR="001B5354" w:rsidRPr="00D4016B">
        <w:rPr>
          <w:rFonts w:ascii="Arial" w:hAnsi="Arial" w:cs="Arial"/>
          <w:sz w:val="20"/>
          <w:szCs w:val="20"/>
        </w:rPr>
        <w:t>,</w:t>
      </w:r>
      <w:r w:rsidR="00811D12">
        <w:rPr>
          <w:rFonts w:ascii="Arial" w:hAnsi="Arial" w:cs="Arial"/>
          <w:sz w:val="20"/>
          <w:szCs w:val="20"/>
        </w:rPr>
        <w:t xml:space="preserve"> Other Asian Background (n = 1),</w:t>
      </w:r>
      <w:r w:rsidR="001B5354" w:rsidRPr="00D4016B">
        <w:rPr>
          <w:rFonts w:ascii="Arial" w:hAnsi="Arial" w:cs="Arial"/>
          <w:sz w:val="20"/>
          <w:szCs w:val="20"/>
        </w:rPr>
        <w:t xml:space="preserve"> Any </w:t>
      </w:r>
      <w:r w:rsidR="00811D12">
        <w:rPr>
          <w:rFonts w:ascii="Arial" w:hAnsi="Arial" w:cs="Arial"/>
          <w:sz w:val="20"/>
          <w:szCs w:val="20"/>
        </w:rPr>
        <w:t>Mixed</w:t>
      </w:r>
      <w:r w:rsidR="001B5354" w:rsidRPr="00D4016B">
        <w:rPr>
          <w:rFonts w:ascii="Arial" w:hAnsi="Arial" w:cs="Arial"/>
          <w:sz w:val="20"/>
          <w:szCs w:val="20"/>
        </w:rPr>
        <w:t xml:space="preserve"> </w:t>
      </w:r>
      <w:r w:rsidR="00811D12">
        <w:rPr>
          <w:rFonts w:ascii="Arial" w:hAnsi="Arial" w:cs="Arial"/>
          <w:sz w:val="20"/>
          <w:szCs w:val="20"/>
        </w:rPr>
        <w:t>Background (</w:t>
      </w:r>
      <w:r w:rsidR="6349203B" w:rsidRPr="00D4016B">
        <w:rPr>
          <w:rFonts w:ascii="Arial" w:hAnsi="Arial" w:cs="Arial"/>
          <w:sz w:val="20"/>
          <w:szCs w:val="20"/>
        </w:rPr>
        <w:t xml:space="preserve">n = </w:t>
      </w:r>
      <w:r w:rsidR="001B5354" w:rsidRPr="00D4016B">
        <w:rPr>
          <w:rFonts w:ascii="Arial" w:hAnsi="Arial" w:cs="Arial"/>
          <w:sz w:val="20"/>
          <w:szCs w:val="20"/>
        </w:rPr>
        <w:t>2</w:t>
      </w:r>
      <w:r w:rsidR="00D93B5F">
        <w:rPr>
          <w:rFonts w:ascii="Arial" w:hAnsi="Arial" w:cs="Arial"/>
          <w:sz w:val="20"/>
          <w:szCs w:val="20"/>
        </w:rPr>
        <w:t>), Other Ethnic Group or Background (n = 2)</w:t>
      </w:r>
      <w:r w:rsidR="001D5DA1">
        <w:rPr>
          <w:rFonts w:ascii="Arial" w:hAnsi="Arial" w:cs="Arial"/>
          <w:sz w:val="20"/>
          <w:szCs w:val="20"/>
        </w:rPr>
        <w:t>, Did not specify (n = 1)</w:t>
      </w:r>
      <w:r w:rsidR="00110809" w:rsidRPr="00D4016B">
        <w:rPr>
          <w:rFonts w:ascii="Arial" w:hAnsi="Arial" w:cs="Arial"/>
          <w:sz w:val="20"/>
          <w:szCs w:val="20"/>
        </w:rPr>
        <w:t>.</w:t>
      </w:r>
      <w:r w:rsidR="00567316" w:rsidRPr="00D4016B">
        <w:rPr>
          <w:rFonts w:ascii="Arial" w:hAnsi="Arial" w:cs="Arial"/>
          <w:sz w:val="20"/>
          <w:szCs w:val="20"/>
        </w:rPr>
        <w:t xml:space="preserve"> </w:t>
      </w:r>
      <w:r w:rsidR="00A76A31">
        <w:rPr>
          <w:rFonts w:ascii="Arial" w:hAnsi="Arial" w:cs="Arial"/>
          <w:sz w:val="20"/>
          <w:szCs w:val="20"/>
        </w:rPr>
        <w:t>This s</w:t>
      </w:r>
      <w:r w:rsidR="00F969BC">
        <w:rPr>
          <w:rFonts w:ascii="Arial" w:hAnsi="Arial" w:cs="Arial"/>
          <w:sz w:val="20"/>
          <w:szCs w:val="20"/>
        </w:rPr>
        <w:t>ample size</w:t>
      </w:r>
      <w:r w:rsidR="00A76A31">
        <w:rPr>
          <w:rFonts w:ascii="Arial" w:hAnsi="Arial" w:cs="Arial"/>
          <w:sz w:val="20"/>
          <w:szCs w:val="20"/>
        </w:rPr>
        <w:t xml:space="preserve"> is </w:t>
      </w:r>
      <w:r w:rsidR="00BF59F7">
        <w:rPr>
          <w:rFonts w:ascii="Arial" w:hAnsi="Arial" w:cs="Arial"/>
          <w:sz w:val="20"/>
          <w:szCs w:val="20"/>
        </w:rPr>
        <w:t>similar</w:t>
      </w:r>
      <w:r w:rsidR="00A76A31">
        <w:rPr>
          <w:rFonts w:ascii="Arial" w:hAnsi="Arial" w:cs="Arial"/>
          <w:sz w:val="20"/>
          <w:szCs w:val="20"/>
        </w:rPr>
        <w:t xml:space="preserve"> to other </w:t>
      </w:r>
      <w:r w:rsidR="00BF59F7">
        <w:rPr>
          <w:rFonts w:ascii="Arial" w:hAnsi="Arial" w:cs="Arial"/>
          <w:sz w:val="20"/>
          <w:szCs w:val="20"/>
        </w:rPr>
        <w:t xml:space="preserve">studies in this </w:t>
      </w:r>
      <w:r w:rsidR="00BF59F7" w:rsidRPr="00B83CF0">
        <w:rPr>
          <w:rFonts w:ascii="Arial" w:hAnsi="Arial" w:cs="Arial"/>
          <w:sz w:val="20"/>
          <w:szCs w:val="20"/>
        </w:rPr>
        <w:t>are</w:t>
      </w:r>
      <w:r w:rsidR="00A76A31">
        <w:rPr>
          <w:rFonts w:ascii="Arial" w:hAnsi="Arial" w:cs="Arial"/>
          <w:sz w:val="20"/>
          <w:szCs w:val="20"/>
        </w:rPr>
        <w:t>a</w:t>
      </w:r>
      <w:r w:rsidR="00BF59F7" w:rsidRPr="00B83CF0">
        <w:rPr>
          <w:rFonts w:ascii="Arial" w:hAnsi="Arial" w:cs="Arial"/>
          <w:sz w:val="20"/>
          <w:szCs w:val="20"/>
        </w:rPr>
        <w:t xml:space="preserve"> (</w:t>
      </w:r>
      <w:r w:rsidR="00B83CF0" w:rsidRPr="00B83CF0">
        <w:rPr>
          <w:rFonts w:ascii="Arial" w:hAnsi="Arial" w:cs="Arial"/>
          <w:sz w:val="20"/>
          <w:szCs w:val="20"/>
        </w:rPr>
        <w:t xml:space="preserve">e.g., </w:t>
      </w:r>
      <w:r w:rsidR="00B83CF0" w:rsidRPr="00B83CF0">
        <w:rPr>
          <w:rFonts w:ascii="Arial" w:hAnsi="Arial" w:cs="Arial"/>
          <w:sz w:val="20"/>
          <w:szCs w:val="20"/>
          <w:shd w:val="clear" w:color="auto" w:fill="FFFFFF"/>
        </w:rPr>
        <w:t xml:space="preserve">Mateo-Flor, </w:t>
      </w:r>
      <w:r w:rsidR="00B83CF0" w:rsidRPr="00F65896">
        <w:rPr>
          <w:rFonts w:ascii="Arial" w:hAnsi="Arial" w:cs="Arial"/>
          <w:i/>
          <w:iCs/>
          <w:sz w:val="20"/>
          <w:szCs w:val="20"/>
          <w:shd w:val="clear" w:color="auto" w:fill="FFFFFF"/>
        </w:rPr>
        <w:t>et al.,</w:t>
      </w:r>
      <w:r w:rsidR="00B83CF0" w:rsidRPr="00B83CF0">
        <w:rPr>
          <w:rFonts w:ascii="Arial" w:hAnsi="Arial" w:cs="Arial"/>
          <w:sz w:val="20"/>
          <w:szCs w:val="20"/>
          <w:shd w:val="clear" w:color="auto" w:fill="FFFFFF"/>
        </w:rPr>
        <w:t xml:space="preserve"> 2020</w:t>
      </w:r>
      <w:r w:rsidR="00BF59F7" w:rsidRPr="00B83CF0">
        <w:rPr>
          <w:rFonts w:ascii="Arial" w:hAnsi="Arial" w:cs="Arial"/>
          <w:sz w:val="20"/>
          <w:szCs w:val="20"/>
        </w:rPr>
        <w:t>).</w:t>
      </w:r>
    </w:p>
    <w:p w14:paraId="0D7AE2C0" w14:textId="1306370D" w:rsidR="00C32170" w:rsidRPr="00D4016B" w:rsidRDefault="00782025" w:rsidP="00897E4D">
      <w:pPr>
        <w:tabs>
          <w:tab w:val="left" w:pos="2445"/>
        </w:tabs>
        <w:jc w:val="both"/>
        <w:rPr>
          <w:rFonts w:ascii="Arial" w:hAnsi="Arial" w:cs="Arial"/>
          <w:i/>
          <w:iCs/>
          <w:sz w:val="20"/>
          <w:szCs w:val="20"/>
        </w:rPr>
      </w:pPr>
      <w:r w:rsidRPr="00D4016B">
        <w:rPr>
          <w:rFonts w:ascii="Arial" w:hAnsi="Arial" w:cs="Arial"/>
          <w:i/>
          <w:iCs/>
          <w:sz w:val="20"/>
          <w:szCs w:val="20"/>
        </w:rPr>
        <w:t>Procedure</w:t>
      </w:r>
    </w:p>
    <w:p w14:paraId="78D42AB8" w14:textId="501D8EDA" w:rsidR="001D1C0F" w:rsidRPr="00D4016B" w:rsidRDefault="00F371DE" w:rsidP="00897E4D">
      <w:pPr>
        <w:tabs>
          <w:tab w:val="left" w:pos="2445"/>
        </w:tabs>
        <w:jc w:val="both"/>
        <w:rPr>
          <w:rFonts w:ascii="Arial" w:hAnsi="Arial" w:cs="Arial"/>
          <w:sz w:val="20"/>
          <w:szCs w:val="20"/>
        </w:rPr>
      </w:pPr>
      <w:r>
        <w:rPr>
          <w:rFonts w:ascii="Arial" w:hAnsi="Arial" w:cs="Arial"/>
          <w:sz w:val="20"/>
          <w:szCs w:val="20"/>
        </w:rPr>
        <w:t>E</w:t>
      </w:r>
      <w:r w:rsidR="00135726" w:rsidRPr="00D4016B">
        <w:rPr>
          <w:rFonts w:ascii="Arial" w:hAnsi="Arial" w:cs="Arial"/>
          <w:sz w:val="20"/>
          <w:szCs w:val="20"/>
        </w:rPr>
        <w:t>ach</w:t>
      </w:r>
      <w:r>
        <w:rPr>
          <w:rFonts w:ascii="Arial" w:hAnsi="Arial" w:cs="Arial"/>
          <w:sz w:val="20"/>
          <w:szCs w:val="20"/>
        </w:rPr>
        <w:t xml:space="preserve"> participant</w:t>
      </w:r>
      <w:r w:rsidR="00135726" w:rsidRPr="00D4016B">
        <w:rPr>
          <w:rFonts w:ascii="Arial" w:hAnsi="Arial" w:cs="Arial"/>
          <w:sz w:val="20"/>
          <w:szCs w:val="20"/>
        </w:rPr>
        <w:t xml:space="preserve"> received a URL weblink to access the survey</w:t>
      </w:r>
      <w:r w:rsidR="0014596A" w:rsidRPr="00D4016B">
        <w:rPr>
          <w:rFonts w:ascii="Arial" w:hAnsi="Arial" w:cs="Arial"/>
          <w:sz w:val="20"/>
          <w:szCs w:val="20"/>
        </w:rPr>
        <w:t>, which too</w:t>
      </w:r>
      <w:r w:rsidR="00993E8D" w:rsidRPr="00D4016B">
        <w:rPr>
          <w:rFonts w:ascii="Arial" w:hAnsi="Arial" w:cs="Arial"/>
          <w:sz w:val="20"/>
          <w:szCs w:val="20"/>
        </w:rPr>
        <w:t>k</w:t>
      </w:r>
      <w:r w:rsidR="00276CB3" w:rsidRPr="00D4016B">
        <w:rPr>
          <w:rFonts w:ascii="Arial" w:hAnsi="Arial" w:cs="Arial"/>
          <w:sz w:val="20"/>
          <w:szCs w:val="20"/>
        </w:rPr>
        <w:t xml:space="preserve"> approximately</w:t>
      </w:r>
      <w:r w:rsidR="0014596A" w:rsidRPr="00D4016B">
        <w:rPr>
          <w:rFonts w:ascii="Arial" w:hAnsi="Arial" w:cs="Arial"/>
          <w:sz w:val="20"/>
          <w:szCs w:val="20"/>
        </w:rPr>
        <w:t xml:space="preserve"> </w:t>
      </w:r>
      <w:r w:rsidR="00125DF4">
        <w:rPr>
          <w:rFonts w:ascii="Arial" w:hAnsi="Arial" w:cs="Arial"/>
          <w:sz w:val="20"/>
          <w:szCs w:val="20"/>
        </w:rPr>
        <w:t>ten</w:t>
      </w:r>
      <w:r w:rsidR="0014596A" w:rsidRPr="00D4016B">
        <w:rPr>
          <w:rFonts w:ascii="Arial" w:hAnsi="Arial" w:cs="Arial"/>
          <w:sz w:val="20"/>
          <w:szCs w:val="20"/>
        </w:rPr>
        <w:t xml:space="preserve"> minutes to complete</w:t>
      </w:r>
      <w:r w:rsidR="00135726" w:rsidRPr="00D4016B">
        <w:rPr>
          <w:rFonts w:ascii="Arial" w:hAnsi="Arial" w:cs="Arial"/>
          <w:sz w:val="20"/>
          <w:szCs w:val="20"/>
        </w:rPr>
        <w:t>.</w:t>
      </w:r>
      <w:r w:rsidR="00FE57DC" w:rsidRPr="00D4016B">
        <w:rPr>
          <w:rFonts w:ascii="Arial" w:hAnsi="Arial" w:cs="Arial"/>
          <w:sz w:val="20"/>
          <w:szCs w:val="20"/>
        </w:rPr>
        <w:t xml:space="preserve"> URLs were </w:t>
      </w:r>
      <w:r w:rsidR="0014596A" w:rsidRPr="00D4016B">
        <w:rPr>
          <w:rFonts w:ascii="Arial" w:hAnsi="Arial" w:cs="Arial"/>
          <w:sz w:val="20"/>
          <w:szCs w:val="20"/>
        </w:rPr>
        <w:t>made available via university channels of communication to ensure that participants were active UK university students.</w:t>
      </w:r>
      <w:r w:rsidR="00A76A31">
        <w:rPr>
          <w:rFonts w:ascii="Arial" w:hAnsi="Arial" w:cs="Arial"/>
          <w:sz w:val="20"/>
          <w:szCs w:val="20"/>
        </w:rPr>
        <w:t xml:space="preserve"> </w:t>
      </w:r>
      <w:r w:rsidR="00135726" w:rsidRPr="00D4016B">
        <w:rPr>
          <w:rFonts w:ascii="Arial" w:hAnsi="Arial" w:cs="Arial"/>
          <w:sz w:val="20"/>
          <w:szCs w:val="20"/>
        </w:rPr>
        <w:t>The opening screen of the survey explained the aims of the study and practical aspects of taking part. Participants were informed</w:t>
      </w:r>
      <w:r w:rsidR="0014596A" w:rsidRPr="00D4016B">
        <w:rPr>
          <w:rFonts w:ascii="Arial" w:hAnsi="Arial" w:cs="Arial"/>
          <w:sz w:val="20"/>
          <w:szCs w:val="20"/>
        </w:rPr>
        <w:t xml:space="preserve"> that</w:t>
      </w:r>
      <w:r w:rsidR="00135726" w:rsidRPr="00D4016B">
        <w:rPr>
          <w:rFonts w:ascii="Arial" w:hAnsi="Arial" w:cs="Arial"/>
          <w:sz w:val="20"/>
          <w:szCs w:val="20"/>
        </w:rPr>
        <w:t xml:space="preserve"> </w:t>
      </w:r>
      <w:r w:rsidR="00612746" w:rsidRPr="00D4016B">
        <w:rPr>
          <w:rFonts w:ascii="Arial" w:hAnsi="Arial" w:cs="Arial"/>
          <w:sz w:val="20"/>
          <w:szCs w:val="20"/>
        </w:rPr>
        <w:t>their involvement</w:t>
      </w:r>
      <w:r w:rsidR="00135726" w:rsidRPr="00D4016B">
        <w:rPr>
          <w:rFonts w:ascii="Arial" w:hAnsi="Arial" w:cs="Arial"/>
          <w:sz w:val="20"/>
          <w:szCs w:val="20"/>
        </w:rPr>
        <w:t xml:space="preserve"> </w:t>
      </w:r>
      <w:r w:rsidR="00612746" w:rsidRPr="00D4016B">
        <w:rPr>
          <w:rFonts w:ascii="Arial" w:hAnsi="Arial" w:cs="Arial"/>
          <w:sz w:val="20"/>
          <w:szCs w:val="20"/>
        </w:rPr>
        <w:t xml:space="preserve">in the study </w:t>
      </w:r>
      <w:r w:rsidR="00135726" w:rsidRPr="00D4016B">
        <w:rPr>
          <w:rFonts w:ascii="Arial" w:hAnsi="Arial" w:cs="Arial"/>
          <w:sz w:val="20"/>
          <w:szCs w:val="20"/>
        </w:rPr>
        <w:t xml:space="preserve">was </w:t>
      </w:r>
      <w:r w:rsidR="0014596A" w:rsidRPr="00D4016B">
        <w:rPr>
          <w:rFonts w:ascii="Arial" w:hAnsi="Arial" w:cs="Arial"/>
          <w:sz w:val="20"/>
          <w:szCs w:val="20"/>
        </w:rPr>
        <w:t>voluntary,</w:t>
      </w:r>
      <w:r w:rsidR="00135726" w:rsidRPr="00D4016B">
        <w:rPr>
          <w:rFonts w:ascii="Arial" w:hAnsi="Arial" w:cs="Arial"/>
          <w:sz w:val="20"/>
          <w:szCs w:val="20"/>
        </w:rPr>
        <w:t xml:space="preserve"> and that all data would be anonymised. Participants were able to withdraw from the study at any</w:t>
      </w:r>
      <w:r w:rsidR="0014596A" w:rsidRPr="00D4016B">
        <w:rPr>
          <w:rFonts w:ascii="Arial" w:hAnsi="Arial" w:cs="Arial"/>
          <w:sz w:val="20"/>
          <w:szCs w:val="20"/>
        </w:rPr>
        <w:t xml:space="preserve"> </w:t>
      </w:r>
      <w:r w:rsidR="00135726" w:rsidRPr="00D4016B">
        <w:rPr>
          <w:rFonts w:ascii="Arial" w:hAnsi="Arial" w:cs="Arial"/>
          <w:sz w:val="20"/>
          <w:szCs w:val="20"/>
        </w:rPr>
        <w:t xml:space="preserve">time and up to two weeks after taking part (zero participants met this criterion). </w:t>
      </w:r>
      <w:r w:rsidR="0014596A" w:rsidRPr="00D4016B">
        <w:rPr>
          <w:rFonts w:ascii="Arial" w:hAnsi="Arial" w:cs="Arial"/>
          <w:sz w:val="20"/>
          <w:szCs w:val="20"/>
        </w:rPr>
        <w:t>Consent was obtained electronically</w:t>
      </w:r>
      <w:r w:rsidR="004969A4" w:rsidRPr="00D4016B">
        <w:rPr>
          <w:rFonts w:ascii="Arial" w:hAnsi="Arial" w:cs="Arial"/>
          <w:sz w:val="20"/>
          <w:szCs w:val="20"/>
        </w:rPr>
        <w:t xml:space="preserve">. </w:t>
      </w:r>
      <w:r w:rsidR="00135726" w:rsidRPr="00D4016B">
        <w:rPr>
          <w:rFonts w:ascii="Arial" w:hAnsi="Arial" w:cs="Arial"/>
          <w:sz w:val="20"/>
          <w:szCs w:val="20"/>
        </w:rPr>
        <w:t>After providing consent, each participant responded to a series of questions pertaining to gambling.</w:t>
      </w:r>
      <w:r w:rsidR="0014596A" w:rsidRPr="00D4016B">
        <w:rPr>
          <w:rFonts w:ascii="Arial" w:hAnsi="Arial" w:cs="Arial"/>
          <w:sz w:val="20"/>
          <w:szCs w:val="20"/>
        </w:rPr>
        <w:t xml:space="preserve"> At the end of the study, participants were debriefed and thanked for their participation. </w:t>
      </w:r>
    </w:p>
    <w:p w14:paraId="5C30053D" w14:textId="01CB5E53" w:rsidR="00BA76B7" w:rsidRPr="00AA026D" w:rsidRDefault="005222C5" w:rsidP="00897E4D">
      <w:pPr>
        <w:tabs>
          <w:tab w:val="left" w:pos="2445"/>
        </w:tabs>
        <w:jc w:val="both"/>
        <w:rPr>
          <w:rFonts w:ascii="Arial" w:hAnsi="Arial" w:cs="Arial"/>
          <w:i/>
          <w:iCs/>
          <w:sz w:val="20"/>
          <w:szCs w:val="20"/>
        </w:rPr>
      </w:pPr>
      <w:r w:rsidRPr="00AA026D">
        <w:rPr>
          <w:rFonts w:ascii="Arial" w:hAnsi="Arial" w:cs="Arial"/>
          <w:i/>
          <w:iCs/>
          <w:sz w:val="20"/>
          <w:szCs w:val="20"/>
        </w:rPr>
        <w:t>Data Analysis Strategy</w:t>
      </w:r>
    </w:p>
    <w:p w14:paraId="63A7B501" w14:textId="0BE24CD6" w:rsidR="00AA026D" w:rsidRDefault="00AA026D" w:rsidP="00C9699B">
      <w:pPr>
        <w:jc w:val="both"/>
        <w:rPr>
          <w:rFonts w:ascii="Arial" w:hAnsi="Arial" w:cs="Arial"/>
          <w:sz w:val="20"/>
          <w:szCs w:val="20"/>
        </w:rPr>
      </w:pPr>
      <w:r w:rsidRPr="00C9699B">
        <w:rPr>
          <w:rFonts w:ascii="Arial" w:hAnsi="Arial" w:cs="Arial"/>
          <w:i/>
          <w:iCs/>
          <w:sz w:val="20"/>
          <w:szCs w:val="20"/>
        </w:rPr>
        <w:t>H</w:t>
      </w:r>
      <w:r w:rsidR="00570D5D">
        <w:rPr>
          <w:rFonts w:ascii="Arial" w:hAnsi="Arial" w:cs="Arial"/>
          <w:i/>
          <w:iCs/>
          <w:sz w:val="20"/>
          <w:szCs w:val="20"/>
        </w:rPr>
        <w:t>1</w:t>
      </w:r>
      <w:r w:rsidR="00C9699B" w:rsidRPr="00C9699B">
        <w:rPr>
          <w:rFonts w:ascii="Arial" w:hAnsi="Arial" w:cs="Arial"/>
          <w:i/>
          <w:iCs/>
          <w:sz w:val="20"/>
          <w:szCs w:val="20"/>
        </w:rPr>
        <w:t>:</w:t>
      </w:r>
      <w:r w:rsidRPr="00C9699B">
        <w:rPr>
          <w:rFonts w:ascii="Arial" w:hAnsi="Arial" w:cs="Arial"/>
          <w:sz w:val="20"/>
          <w:szCs w:val="20"/>
        </w:rPr>
        <w:t xml:space="preserve"> </w:t>
      </w:r>
      <w:r w:rsidR="009C2E92" w:rsidRPr="00C9699B">
        <w:rPr>
          <w:rFonts w:ascii="Arial" w:hAnsi="Arial" w:cs="Arial"/>
          <w:sz w:val="20"/>
          <w:szCs w:val="20"/>
        </w:rPr>
        <w:t>There will be a</w:t>
      </w:r>
      <w:r w:rsidR="0084333D">
        <w:rPr>
          <w:rFonts w:ascii="Arial" w:hAnsi="Arial" w:cs="Arial"/>
          <w:sz w:val="20"/>
          <w:szCs w:val="20"/>
        </w:rPr>
        <w:t xml:space="preserve"> significant</w:t>
      </w:r>
      <w:r w:rsidR="00856EA5">
        <w:rPr>
          <w:rFonts w:ascii="Arial" w:hAnsi="Arial" w:cs="Arial"/>
          <w:sz w:val="20"/>
          <w:szCs w:val="20"/>
        </w:rPr>
        <w:t xml:space="preserve"> </w:t>
      </w:r>
      <w:r w:rsidR="0084333D">
        <w:rPr>
          <w:rFonts w:ascii="Arial" w:hAnsi="Arial" w:cs="Arial"/>
          <w:sz w:val="20"/>
          <w:szCs w:val="20"/>
        </w:rPr>
        <w:t>association</w:t>
      </w:r>
      <w:r w:rsidR="009C2E92" w:rsidRPr="00C9699B">
        <w:rPr>
          <w:rFonts w:ascii="Arial" w:hAnsi="Arial" w:cs="Arial"/>
          <w:sz w:val="20"/>
          <w:szCs w:val="20"/>
        </w:rPr>
        <w:t xml:space="preserve"> </w:t>
      </w:r>
      <w:r w:rsidR="0084333D">
        <w:rPr>
          <w:rFonts w:ascii="Arial" w:hAnsi="Arial" w:cs="Arial"/>
          <w:sz w:val="20"/>
          <w:szCs w:val="20"/>
        </w:rPr>
        <w:t>between</w:t>
      </w:r>
      <w:r w:rsidR="009C2E92" w:rsidRPr="00C9699B">
        <w:rPr>
          <w:rFonts w:ascii="Arial" w:hAnsi="Arial" w:cs="Arial"/>
          <w:sz w:val="20"/>
          <w:szCs w:val="20"/>
        </w:rPr>
        <w:t xml:space="preserve"> students</w:t>
      </w:r>
      <w:r w:rsidR="00B448C9">
        <w:rPr>
          <w:rFonts w:ascii="Arial" w:hAnsi="Arial" w:cs="Arial"/>
          <w:sz w:val="20"/>
          <w:szCs w:val="20"/>
        </w:rPr>
        <w:t xml:space="preserve"> on sports-based degree programmes</w:t>
      </w:r>
      <w:r w:rsidR="009C2E92" w:rsidRPr="00C9699B">
        <w:rPr>
          <w:rFonts w:ascii="Arial" w:hAnsi="Arial" w:cs="Arial"/>
          <w:sz w:val="20"/>
          <w:szCs w:val="20"/>
        </w:rPr>
        <w:t xml:space="preserve"> </w:t>
      </w:r>
      <w:r w:rsidR="009C2E92">
        <w:rPr>
          <w:rFonts w:ascii="Arial" w:hAnsi="Arial" w:cs="Arial"/>
          <w:sz w:val="20"/>
          <w:szCs w:val="20"/>
        </w:rPr>
        <w:t>who gamble</w:t>
      </w:r>
      <w:r w:rsidR="00C65646">
        <w:rPr>
          <w:rFonts w:ascii="Arial" w:hAnsi="Arial" w:cs="Arial"/>
          <w:sz w:val="20"/>
          <w:szCs w:val="20"/>
        </w:rPr>
        <w:t xml:space="preserve"> compared to non-gamblers</w:t>
      </w:r>
      <w:r w:rsidR="00931A6E">
        <w:rPr>
          <w:rFonts w:ascii="Arial" w:hAnsi="Arial" w:cs="Arial"/>
          <w:sz w:val="20"/>
          <w:szCs w:val="20"/>
        </w:rPr>
        <w:t>,</w:t>
      </w:r>
      <w:r w:rsidR="00F06208">
        <w:rPr>
          <w:rFonts w:ascii="Arial" w:hAnsi="Arial" w:cs="Arial"/>
          <w:sz w:val="20"/>
          <w:szCs w:val="20"/>
        </w:rPr>
        <w:t xml:space="preserve"> </w:t>
      </w:r>
      <w:r w:rsidR="00EA5305">
        <w:rPr>
          <w:rFonts w:ascii="Arial" w:hAnsi="Arial" w:cs="Arial"/>
          <w:sz w:val="20"/>
          <w:szCs w:val="20"/>
        </w:rPr>
        <w:t xml:space="preserve">when grouped by gender and </w:t>
      </w:r>
      <w:r w:rsidR="00931A6E">
        <w:rPr>
          <w:rFonts w:ascii="Arial" w:hAnsi="Arial" w:cs="Arial"/>
          <w:sz w:val="20"/>
          <w:szCs w:val="20"/>
        </w:rPr>
        <w:t>degree programme</w:t>
      </w:r>
      <w:r w:rsidR="009C2E92" w:rsidRPr="00C9699B">
        <w:rPr>
          <w:rFonts w:ascii="Arial" w:hAnsi="Arial" w:cs="Arial"/>
          <w:sz w:val="20"/>
          <w:szCs w:val="20"/>
        </w:rPr>
        <w:t>.</w:t>
      </w:r>
      <w:r w:rsidR="00101FDE">
        <w:rPr>
          <w:rFonts w:ascii="Arial" w:hAnsi="Arial" w:cs="Arial"/>
          <w:sz w:val="20"/>
          <w:szCs w:val="20"/>
        </w:rPr>
        <w:t xml:space="preserve"> Given low participation rates of non-binary participants, </w:t>
      </w:r>
      <w:r w:rsidR="00B448C9">
        <w:rPr>
          <w:rFonts w:ascii="Arial" w:hAnsi="Arial" w:cs="Arial"/>
          <w:sz w:val="20"/>
          <w:szCs w:val="20"/>
        </w:rPr>
        <w:t xml:space="preserve">it was not possible to </w:t>
      </w:r>
      <w:r w:rsidR="00101FDE">
        <w:rPr>
          <w:rFonts w:ascii="Arial" w:hAnsi="Arial" w:cs="Arial"/>
          <w:sz w:val="20"/>
          <w:szCs w:val="20"/>
        </w:rPr>
        <w:t>include</w:t>
      </w:r>
      <w:r w:rsidR="00B448C9">
        <w:rPr>
          <w:rFonts w:ascii="Arial" w:hAnsi="Arial" w:cs="Arial"/>
          <w:sz w:val="20"/>
          <w:szCs w:val="20"/>
        </w:rPr>
        <w:t xml:space="preserve"> these data</w:t>
      </w:r>
      <w:r w:rsidR="00101FDE">
        <w:rPr>
          <w:rFonts w:ascii="Arial" w:hAnsi="Arial" w:cs="Arial"/>
          <w:sz w:val="20"/>
          <w:szCs w:val="20"/>
        </w:rPr>
        <w:t xml:space="preserve"> in </w:t>
      </w:r>
      <w:r w:rsidR="00B448C9">
        <w:rPr>
          <w:rFonts w:ascii="Arial" w:hAnsi="Arial" w:cs="Arial"/>
          <w:sz w:val="20"/>
          <w:szCs w:val="20"/>
        </w:rPr>
        <w:t xml:space="preserve">the </w:t>
      </w:r>
      <w:r w:rsidR="00101FDE">
        <w:rPr>
          <w:rFonts w:ascii="Arial" w:hAnsi="Arial" w:cs="Arial"/>
          <w:sz w:val="20"/>
          <w:szCs w:val="20"/>
        </w:rPr>
        <w:t>analysis.</w:t>
      </w:r>
      <w:r w:rsidR="009C2E92" w:rsidRPr="00C9699B">
        <w:rPr>
          <w:rFonts w:ascii="Arial" w:hAnsi="Arial" w:cs="Arial"/>
          <w:sz w:val="20"/>
          <w:szCs w:val="20"/>
        </w:rPr>
        <w:t xml:space="preserve"> A </w:t>
      </w:r>
      <w:r w:rsidR="009C2E92">
        <w:rPr>
          <w:rFonts w:ascii="Arial" w:hAnsi="Arial" w:cs="Arial"/>
          <w:sz w:val="20"/>
          <w:szCs w:val="20"/>
        </w:rPr>
        <w:t>2x</w:t>
      </w:r>
      <w:r w:rsidR="00C65646">
        <w:rPr>
          <w:rFonts w:ascii="Arial" w:hAnsi="Arial" w:cs="Arial"/>
          <w:sz w:val="20"/>
          <w:szCs w:val="20"/>
        </w:rPr>
        <w:t>4</w:t>
      </w:r>
      <w:r w:rsidR="009C2E92">
        <w:rPr>
          <w:rFonts w:ascii="Arial" w:hAnsi="Arial" w:cs="Arial"/>
          <w:sz w:val="20"/>
          <w:szCs w:val="20"/>
        </w:rPr>
        <w:t xml:space="preserve"> </w:t>
      </w:r>
      <w:r w:rsidR="009C2E92" w:rsidRPr="00C9699B">
        <w:rPr>
          <w:rFonts w:ascii="Arial" w:hAnsi="Arial" w:cs="Arial"/>
          <w:sz w:val="20"/>
          <w:szCs w:val="20"/>
        </w:rPr>
        <w:t xml:space="preserve">Chi-Square test was used to examine if there was an association between </w:t>
      </w:r>
      <w:r w:rsidR="00F06208">
        <w:rPr>
          <w:rFonts w:ascii="Arial" w:hAnsi="Arial" w:cs="Arial"/>
          <w:sz w:val="20"/>
          <w:szCs w:val="20"/>
        </w:rPr>
        <w:t xml:space="preserve">Gambler Status (Yes/No) and </w:t>
      </w:r>
      <w:r w:rsidR="00931A6E">
        <w:rPr>
          <w:rFonts w:ascii="Arial" w:hAnsi="Arial" w:cs="Arial"/>
          <w:sz w:val="20"/>
          <w:szCs w:val="20"/>
        </w:rPr>
        <w:t>Degree programme</w:t>
      </w:r>
      <w:r w:rsidR="00791EBA">
        <w:rPr>
          <w:rFonts w:ascii="Arial" w:hAnsi="Arial" w:cs="Arial"/>
          <w:sz w:val="20"/>
          <w:szCs w:val="20"/>
        </w:rPr>
        <w:t xml:space="preserve"> by </w:t>
      </w:r>
      <w:r w:rsidR="00931A6E">
        <w:rPr>
          <w:rFonts w:ascii="Arial" w:hAnsi="Arial" w:cs="Arial"/>
          <w:sz w:val="20"/>
          <w:szCs w:val="20"/>
        </w:rPr>
        <w:t>g</w:t>
      </w:r>
      <w:r w:rsidR="00791EBA">
        <w:rPr>
          <w:rFonts w:ascii="Arial" w:hAnsi="Arial" w:cs="Arial"/>
          <w:sz w:val="20"/>
          <w:szCs w:val="20"/>
        </w:rPr>
        <w:t>ender</w:t>
      </w:r>
      <w:r w:rsidR="009C2E92" w:rsidRPr="00C9699B">
        <w:rPr>
          <w:rFonts w:ascii="Arial" w:hAnsi="Arial" w:cs="Arial"/>
          <w:sz w:val="20"/>
          <w:szCs w:val="20"/>
        </w:rPr>
        <w:t xml:space="preserve"> (</w:t>
      </w:r>
      <w:r w:rsidR="00791EBA">
        <w:rPr>
          <w:rFonts w:ascii="Arial" w:hAnsi="Arial" w:cs="Arial"/>
          <w:sz w:val="20"/>
          <w:szCs w:val="20"/>
        </w:rPr>
        <w:t>Male</w:t>
      </w:r>
      <w:r w:rsidR="002270BD">
        <w:rPr>
          <w:rFonts w:ascii="Arial" w:hAnsi="Arial" w:cs="Arial"/>
          <w:sz w:val="20"/>
          <w:szCs w:val="20"/>
        </w:rPr>
        <w:t xml:space="preserve"> s</w:t>
      </w:r>
      <w:r w:rsidR="009C2E92" w:rsidRPr="00C9699B">
        <w:rPr>
          <w:rFonts w:ascii="Arial" w:hAnsi="Arial" w:cs="Arial"/>
          <w:sz w:val="20"/>
          <w:szCs w:val="20"/>
        </w:rPr>
        <w:t>port</w:t>
      </w:r>
      <w:r w:rsidR="009C2E92">
        <w:rPr>
          <w:rFonts w:ascii="Arial" w:hAnsi="Arial" w:cs="Arial"/>
          <w:sz w:val="20"/>
          <w:szCs w:val="20"/>
        </w:rPr>
        <w:t xml:space="preserve">, </w:t>
      </w:r>
      <w:r w:rsidR="00791EBA">
        <w:rPr>
          <w:rFonts w:ascii="Arial" w:hAnsi="Arial" w:cs="Arial"/>
          <w:sz w:val="20"/>
          <w:szCs w:val="20"/>
        </w:rPr>
        <w:t xml:space="preserve">Male </w:t>
      </w:r>
      <w:r w:rsidR="009C2E92">
        <w:rPr>
          <w:rFonts w:ascii="Arial" w:hAnsi="Arial" w:cs="Arial"/>
          <w:sz w:val="20"/>
          <w:szCs w:val="20"/>
        </w:rPr>
        <w:t>N</w:t>
      </w:r>
      <w:r w:rsidR="009C2E92" w:rsidRPr="00C9699B">
        <w:rPr>
          <w:rFonts w:ascii="Arial" w:hAnsi="Arial" w:cs="Arial"/>
          <w:sz w:val="20"/>
          <w:szCs w:val="20"/>
        </w:rPr>
        <w:t>on-sport</w:t>
      </w:r>
      <w:r w:rsidR="002270BD">
        <w:rPr>
          <w:rFonts w:ascii="Arial" w:hAnsi="Arial" w:cs="Arial"/>
          <w:sz w:val="20"/>
          <w:szCs w:val="20"/>
        </w:rPr>
        <w:t>, Female Sport, Female non-sport</w:t>
      </w:r>
      <w:r w:rsidR="009C2E92" w:rsidRPr="00C9699B">
        <w:rPr>
          <w:rFonts w:ascii="Arial" w:hAnsi="Arial" w:cs="Arial"/>
          <w:sz w:val="20"/>
          <w:szCs w:val="20"/>
        </w:rPr>
        <w:t xml:space="preserve">). </w:t>
      </w:r>
      <w:r w:rsidR="00323838">
        <w:rPr>
          <w:rFonts w:ascii="Arial" w:hAnsi="Arial" w:cs="Arial"/>
          <w:sz w:val="20"/>
          <w:szCs w:val="20"/>
        </w:rPr>
        <w:t xml:space="preserve">Criteria to run this test were met, in accordance with Yates </w:t>
      </w:r>
      <w:r w:rsidR="00323838" w:rsidRPr="004E2734">
        <w:rPr>
          <w:rFonts w:ascii="Arial" w:hAnsi="Arial" w:cs="Arial"/>
          <w:i/>
          <w:iCs/>
          <w:sz w:val="20"/>
          <w:szCs w:val="20"/>
        </w:rPr>
        <w:t>et al.</w:t>
      </w:r>
      <w:r w:rsidR="00323838">
        <w:rPr>
          <w:rFonts w:ascii="Arial" w:hAnsi="Arial" w:cs="Arial"/>
          <w:sz w:val="20"/>
          <w:szCs w:val="20"/>
        </w:rPr>
        <w:t xml:space="preserve"> </w:t>
      </w:r>
      <w:r w:rsidR="007F0B13">
        <w:rPr>
          <w:rFonts w:ascii="Arial" w:hAnsi="Arial" w:cs="Arial"/>
          <w:sz w:val="20"/>
          <w:szCs w:val="20"/>
        </w:rPr>
        <w:t>(1999).</w:t>
      </w:r>
    </w:p>
    <w:p w14:paraId="743FF2A3" w14:textId="03224117" w:rsidR="00A4221C" w:rsidRPr="00C9699B" w:rsidRDefault="00A4221C" w:rsidP="00A4221C">
      <w:pPr>
        <w:jc w:val="both"/>
        <w:rPr>
          <w:rFonts w:ascii="Arial" w:hAnsi="Arial" w:cs="Arial"/>
          <w:sz w:val="20"/>
          <w:szCs w:val="20"/>
        </w:rPr>
      </w:pPr>
      <w:r w:rsidRPr="00C9699B">
        <w:rPr>
          <w:rFonts w:ascii="Arial" w:hAnsi="Arial" w:cs="Arial"/>
          <w:i/>
          <w:iCs/>
          <w:sz w:val="20"/>
          <w:szCs w:val="20"/>
        </w:rPr>
        <w:t>H</w:t>
      </w:r>
      <w:r>
        <w:rPr>
          <w:rFonts w:ascii="Arial" w:hAnsi="Arial" w:cs="Arial"/>
          <w:i/>
          <w:iCs/>
          <w:sz w:val="20"/>
          <w:szCs w:val="20"/>
        </w:rPr>
        <w:t>2</w:t>
      </w:r>
      <w:r w:rsidRPr="00C9699B">
        <w:rPr>
          <w:rFonts w:ascii="Arial" w:hAnsi="Arial" w:cs="Arial"/>
          <w:i/>
          <w:iCs/>
          <w:sz w:val="20"/>
          <w:szCs w:val="20"/>
        </w:rPr>
        <w:t>:</w:t>
      </w:r>
      <w:r w:rsidRPr="00C9699B">
        <w:rPr>
          <w:rFonts w:ascii="Arial" w:hAnsi="Arial" w:cs="Arial"/>
          <w:sz w:val="20"/>
          <w:szCs w:val="20"/>
        </w:rPr>
        <w:t xml:space="preserve"> There will be </w:t>
      </w:r>
      <w:r>
        <w:rPr>
          <w:rFonts w:ascii="Arial" w:hAnsi="Arial" w:cs="Arial"/>
          <w:sz w:val="20"/>
          <w:szCs w:val="20"/>
        </w:rPr>
        <w:t>a significant association between gambling regularity across</w:t>
      </w:r>
      <w:r w:rsidRPr="00C9699B">
        <w:rPr>
          <w:rFonts w:ascii="Arial" w:hAnsi="Arial" w:cs="Arial"/>
          <w:sz w:val="20"/>
          <w:szCs w:val="20"/>
        </w:rPr>
        <w:t xml:space="preserve"> student</w:t>
      </w:r>
      <w:r>
        <w:rPr>
          <w:rFonts w:ascii="Arial" w:hAnsi="Arial" w:cs="Arial"/>
          <w:sz w:val="20"/>
          <w:szCs w:val="20"/>
        </w:rPr>
        <w:t xml:space="preserve"> gamblers on sports and non-based degree programmes. </w:t>
      </w:r>
      <w:r w:rsidRPr="00C9699B">
        <w:rPr>
          <w:rFonts w:ascii="Arial" w:hAnsi="Arial" w:cs="Arial"/>
          <w:sz w:val="20"/>
          <w:szCs w:val="20"/>
        </w:rPr>
        <w:t xml:space="preserve">A </w:t>
      </w:r>
      <w:r>
        <w:rPr>
          <w:rFonts w:ascii="Arial" w:hAnsi="Arial" w:cs="Arial"/>
          <w:sz w:val="20"/>
          <w:szCs w:val="20"/>
        </w:rPr>
        <w:t xml:space="preserve">2x2 </w:t>
      </w:r>
      <w:r w:rsidRPr="00C9699B">
        <w:rPr>
          <w:rFonts w:ascii="Arial" w:hAnsi="Arial" w:cs="Arial"/>
          <w:sz w:val="20"/>
          <w:szCs w:val="20"/>
        </w:rPr>
        <w:t>Chi-Square test was used to examine if there was an association</w:t>
      </w:r>
      <w:r>
        <w:rPr>
          <w:rFonts w:ascii="Arial" w:hAnsi="Arial" w:cs="Arial"/>
          <w:sz w:val="20"/>
          <w:szCs w:val="20"/>
        </w:rPr>
        <w:t xml:space="preserve"> between Degree Programme (Sports-based, non-sports-based) and Gambling regularity (More than once a week, less than once a week). </w:t>
      </w:r>
    </w:p>
    <w:p w14:paraId="318CF131" w14:textId="10755329" w:rsidR="009F4893" w:rsidRDefault="00AA026D" w:rsidP="00C9699B">
      <w:pPr>
        <w:jc w:val="both"/>
        <w:rPr>
          <w:rFonts w:ascii="Arial" w:hAnsi="Arial" w:cs="Arial"/>
          <w:sz w:val="20"/>
          <w:szCs w:val="20"/>
        </w:rPr>
      </w:pPr>
      <w:r w:rsidRPr="00C9699B">
        <w:rPr>
          <w:rFonts w:ascii="Arial" w:hAnsi="Arial" w:cs="Arial"/>
          <w:i/>
          <w:iCs/>
          <w:sz w:val="20"/>
          <w:szCs w:val="20"/>
        </w:rPr>
        <w:t>H</w:t>
      </w:r>
      <w:r w:rsidR="00C9699B" w:rsidRPr="00C9699B">
        <w:rPr>
          <w:rFonts w:ascii="Arial" w:hAnsi="Arial" w:cs="Arial"/>
          <w:i/>
          <w:iCs/>
          <w:sz w:val="20"/>
          <w:szCs w:val="20"/>
        </w:rPr>
        <w:t>3</w:t>
      </w:r>
      <w:r w:rsidR="008C3236">
        <w:rPr>
          <w:rFonts w:ascii="Arial" w:hAnsi="Arial" w:cs="Arial"/>
          <w:i/>
          <w:iCs/>
          <w:sz w:val="20"/>
          <w:szCs w:val="20"/>
        </w:rPr>
        <w:t>:</w:t>
      </w:r>
      <w:r w:rsidR="00F00AB9" w:rsidRPr="00F00AB9">
        <w:rPr>
          <w:rFonts w:ascii="Arial" w:hAnsi="Arial" w:cs="Arial"/>
          <w:sz w:val="20"/>
          <w:szCs w:val="20"/>
        </w:rPr>
        <w:t xml:space="preserve"> </w:t>
      </w:r>
      <w:r w:rsidR="00F53AA9" w:rsidRPr="00C9699B">
        <w:rPr>
          <w:rFonts w:ascii="Arial" w:hAnsi="Arial" w:cs="Arial"/>
          <w:sz w:val="20"/>
          <w:szCs w:val="20"/>
        </w:rPr>
        <w:t xml:space="preserve">There will be </w:t>
      </w:r>
      <w:r w:rsidR="00376BDB">
        <w:rPr>
          <w:rFonts w:ascii="Arial" w:hAnsi="Arial" w:cs="Arial"/>
          <w:sz w:val="20"/>
          <w:szCs w:val="20"/>
        </w:rPr>
        <w:t xml:space="preserve">a significant association </w:t>
      </w:r>
      <w:r w:rsidR="00866115">
        <w:rPr>
          <w:rFonts w:ascii="Arial" w:hAnsi="Arial" w:cs="Arial"/>
          <w:sz w:val="20"/>
          <w:szCs w:val="20"/>
        </w:rPr>
        <w:t>between</w:t>
      </w:r>
      <w:r w:rsidR="00931A6E">
        <w:rPr>
          <w:rFonts w:ascii="Arial" w:hAnsi="Arial" w:cs="Arial"/>
          <w:sz w:val="20"/>
          <w:szCs w:val="20"/>
        </w:rPr>
        <w:t xml:space="preserve"> </w:t>
      </w:r>
      <w:r w:rsidR="008E64B6">
        <w:rPr>
          <w:rFonts w:ascii="Arial" w:hAnsi="Arial" w:cs="Arial"/>
          <w:sz w:val="20"/>
          <w:szCs w:val="20"/>
        </w:rPr>
        <w:t>gambling expenditure cate</w:t>
      </w:r>
      <w:r w:rsidR="00A15341">
        <w:rPr>
          <w:rFonts w:ascii="Arial" w:hAnsi="Arial" w:cs="Arial"/>
          <w:sz w:val="20"/>
          <w:szCs w:val="20"/>
        </w:rPr>
        <w:t>gories</w:t>
      </w:r>
      <w:r w:rsidR="00F53AA9" w:rsidRPr="00C9699B">
        <w:rPr>
          <w:rFonts w:ascii="Arial" w:hAnsi="Arial" w:cs="Arial"/>
          <w:sz w:val="20"/>
          <w:szCs w:val="20"/>
        </w:rPr>
        <w:t xml:space="preserve"> </w:t>
      </w:r>
      <w:r w:rsidR="00C52F12">
        <w:rPr>
          <w:rFonts w:ascii="Arial" w:hAnsi="Arial" w:cs="Arial"/>
          <w:sz w:val="20"/>
          <w:szCs w:val="20"/>
        </w:rPr>
        <w:t>among</w:t>
      </w:r>
      <w:r w:rsidR="00F53AA9" w:rsidRPr="00C9699B">
        <w:rPr>
          <w:rFonts w:ascii="Arial" w:hAnsi="Arial" w:cs="Arial"/>
          <w:sz w:val="20"/>
          <w:szCs w:val="20"/>
        </w:rPr>
        <w:t xml:space="preserve"> student</w:t>
      </w:r>
      <w:r w:rsidR="00F96696">
        <w:rPr>
          <w:rFonts w:ascii="Arial" w:hAnsi="Arial" w:cs="Arial"/>
          <w:sz w:val="20"/>
          <w:szCs w:val="20"/>
        </w:rPr>
        <w:t xml:space="preserve"> gamblers</w:t>
      </w:r>
      <w:r w:rsidR="00F53AA9">
        <w:rPr>
          <w:rFonts w:ascii="Arial" w:hAnsi="Arial" w:cs="Arial"/>
          <w:sz w:val="20"/>
          <w:szCs w:val="20"/>
        </w:rPr>
        <w:t xml:space="preserve"> on sports</w:t>
      </w:r>
      <w:r w:rsidR="00E379C5">
        <w:rPr>
          <w:rFonts w:ascii="Arial" w:hAnsi="Arial" w:cs="Arial"/>
          <w:sz w:val="20"/>
          <w:szCs w:val="20"/>
        </w:rPr>
        <w:t xml:space="preserve"> and non</w:t>
      </w:r>
      <w:r w:rsidR="00F53AA9">
        <w:rPr>
          <w:rFonts w:ascii="Arial" w:hAnsi="Arial" w:cs="Arial"/>
          <w:sz w:val="20"/>
          <w:szCs w:val="20"/>
        </w:rPr>
        <w:t>-based degree programmes</w:t>
      </w:r>
      <w:r w:rsidR="009F4893" w:rsidRPr="00C9699B">
        <w:rPr>
          <w:rFonts w:ascii="Arial" w:hAnsi="Arial" w:cs="Arial"/>
          <w:sz w:val="20"/>
          <w:szCs w:val="20"/>
        </w:rPr>
        <w:t>.</w:t>
      </w:r>
      <w:r w:rsidR="009F4893" w:rsidRPr="009F4893">
        <w:rPr>
          <w:rFonts w:ascii="Arial" w:hAnsi="Arial" w:cs="Arial"/>
          <w:sz w:val="20"/>
          <w:szCs w:val="20"/>
        </w:rPr>
        <w:t xml:space="preserve"> </w:t>
      </w:r>
      <w:r w:rsidR="001562EF">
        <w:rPr>
          <w:rFonts w:ascii="Arial" w:hAnsi="Arial" w:cs="Arial"/>
          <w:sz w:val="20"/>
          <w:szCs w:val="20"/>
        </w:rPr>
        <w:t xml:space="preserve">A conservative </w:t>
      </w:r>
      <w:r w:rsidR="00A0731F">
        <w:rPr>
          <w:rFonts w:ascii="Arial" w:hAnsi="Arial" w:cs="Arial"/>
          <w:sz w:val="20"/>
          <w:szCs w:val="20"/>
        </w:rPr>
        <w:t xml:space="preserve">threshold of five pounds per week was </w:t>
      </w:r>
      <w:r w:rsidR="005C38D6">
        <w:rPr>
          <w:rFonts w:ascii="Arial" w:hAnsi="Arial" w:cs="Arial"/>
          <w:sz w:val="20"/>
          <w:szCs w:val="20"/>
        </w:rPr>
        <w:t>deemed</w:t>
      </w:r>
      <w:r w:rsidR="006D006F">
        <w:rPr>
          <w:rFonts w:ascii="Arial" w:hAnsi="Arial" w:cs="Arial"/>
          <w:sz w:val="20"/>
          <w:szCs w:val="20"/>
        </w:rPr>
        <w:t xml:space="preserve"> </w:t>
      </w:r>
      <w:r w:rsidR="00294221">
        <w:rPr>
          <w:rFonts w:ascii="Arial" w:hAnsi="Arial" w:cs="Arial"/>
          <w:sz w:val="20"/>
          <w:szCs w:val="20"/>
        </w:rPr>
        <w:t>suitable</w:t>
      </w:r>
      <w:r w:rsidR="006D006F">
        <w:rPr>
          <w:rFonts w:ascii="Arial" w:hAnsi="Arial" w:cs="Arial"/>
          <w:sz w:val="20"/>
          <w:szCs w:val="20"/>
        </w:rPr>
        <w:t xml:space="preserve"> </w:t>
      </w:r>
      <w:r w:rsidR="00294221">
        <w:rPr>
          <w:rFonts w:ascii="Arial" w:hAnsi="Arial" w:cs="Arial"/>
          <w:sz w:val="20"/>
          <w:szCs w:val="20"/>
        </w:rPr>
        <w:t xml:space="preserve">based </w:t>
      </w:r>
      <w:r w:rsidR="003A3611">
        <w:rPr>
          <w:rFonts w:ascii="Arial" w:hAnsi="Arial" w:cs="Arial"/>
          <w:sz w:val="20"/>
          <w:szCs w:val="20"/>
        </w:rPr>
        <w:t xml:space="preserve">on </w:t>
      </w:r>
      <w:r w:rsidR="00AE1C0C">
        <w:rPr>
          <w:rFonts w:ascii="Arial" w:hAnsi="Arial" w:cs="Arial"/>
          <w:sz w:val="20"/>
          <w:szCs w:val="20"/>
        </w:rPr>
        <w:t xml:space="preserve">previous </w:t>
      </w:r>
      <w:r w:rsidR="00294221">
        <w:rPr>
          <w:rFonts w:ascii="Arial" w:hAnsi="Arial" w:cs="Arial"/>
          <w:sz w:val="20"/>
          <w:szCs w:val="20"/>
        </w:rPr>
        <w:t>findings</w:t>
      </w:r>
      <w:r w:rsidR="00B02007">
        <w:rPr>
          <w:rFonts w:ascii="Arial" w:hAnsi="Arial" w:cs="Arial"/>
          <w:sz w:val="20"/>
          <w:szCs w:val="20"/>
        </w:rPr>
        <w:t xml:space="preserve"> among UK university students</w:t>
      </w:r>
      <w:r w:rsidR="005076F4">
        <w:rPr>
          <w:rFonts w:ascii="Arial" w:hAnsi="Arial" w:cs="Arial"/>
          <w:sz w:val="20"/>
          <w:szCs w:val="20"/>
        </w:rPr>
        <w:t xml:space="preserve"> (</w:t>
      </w:r>
      <w:proofErr w:type="spellStart"/>
      <w:r w:rsidR="00BA0901">
        <w:rPr>
          <w:rFonts w:ascii="Arial" w:hAnsi="Arial" w:cs="Arial"/>
          <w:color w:val="222222"/>
          <w:sz w:val="20"/>
          <w:szCs w:val="20"/>
          <w:shd w:val="clear" w:color="auto" w:fill="FFFFFF"/>
        </w:rPr>
        <w:t>YGam</w:t>
      </w:r>
      <w:proofErr w:type="spellEnd"/>
      <w:r w:rsidR="00BA0901">
        <w:rPr>
          <w:rFonts w:ascii="Arial" w:hAnsi="Arial" w:cs="Arial"/>
          <w:color w:val="222222"/>
          <w:sz w:val="20"/>
          <w:szCs w:val="20"/>
          <w:shd w:val="clear" w:color="auto" w:fill="FFFFFF"/>
        </w:rPr>
        <w:t xml:space="preserve"> </w:t>
      </w:r>
      <w:r w:rsidR="004E2734">
        <w:rPr>
          <w:rFonts w:ascii="Arial" w:hAnsi="Arial" w:cs="Arial"/>
          <w:color w:val="222222"/>
          <w:sz w:val="20"/>
          <w:szCs w:val="20"/>
          <w:shd w:val="clear" w:color="auto" w:fill="FFFFFF"/>
        </w:rPr>
        <w:t>and</w:t>
      </w:r>
      <w:r w:rsidR="00BA0901">
        <w:rPr>
          <w:rFonts w:ascii="Arial" w:hAnsi="Arial" w:cs="Arial"/>
          <w:color w:val="222222"/>
          <w:sz w:val="20"/>
          <w:szCs w:val="20"/>
          <w:shd w:val="clear" w:color="auto" w:fill="FFFFFF"/>
        </w:rPr>
        <w:t xml:space="preserve"> GAMSTOP, 2023</w:t>
      </w:r>
      <w:r w:rsidR="005076F4">
        <w:rPr>
          <w:rFonts w:ascii="Arial" w:hAnsi="Arial" w:cs="Arial"/>
          <w:sz w:val="20"/>
          <w:szCs w:val="20"/>
        </w:rPr>
        <w:t>)</w:t>
      </w:r>
      <w:r w:rsidR="001B7DCD">
        <w:rPr>
          <w:rFonts w:ascii="Arial" w:hAnsi="Arial" w:cs="Arial"/>
          <w:sz w:val="20"/>
          <w:szCs w:val="20"/>
        </w:rPr>
        <w:t>.</w:t>
      </w:r>
      <w:r w:rsidR="00027A46">
        <w:rPr>
          <w:rFonts w:ascii="Arial" w:hAnsi="Arial" w:cs="Arial"/>
          <w:sz w:val="20"/>
          <w:szCs w:val="20"/>
        </w:rPr>
        <w:t xml:space="preserve"> </w:t>
      </w:r>
      <w:r w:rsidR="009F4893" w:rsidRPr="00C9699B">
        <w:rPr>
          <w:rFonts w:ascii="Arial" w:hAnsi="Arial" w:cs="Arial"/>
          <w:sz w:val="20"/>
          <w:szCs w:val="20"/>
        </w:rPr>
        <w:t xml:space="preserve">A </w:t>
      </w:r>
      <w:r w:rsidR="009F4893">
        <w:rPr>
          <w:rFonts w:ascii="Arial" w:hAnsi="Arial" w:cs="Arial"/>
          <w:sz w:val="20"/>
          <w:szCs w:val="20"/>
        </w:rPr>
        <w:t xml:space="preserve">2x2 </w:t>
      </w:r>
      <w:r w:rsidR="009F4893" w:rsidRPr="00C9699B">
        <w:rPr>
          <w:rFonts w:ascii="Arial" w:hAnsi="Arial" w:cs="Arial"/>
          <w:sz w:val="20"/>
          <w:szCs w:val="20"/>
        </w:rPr>
        <w:t>Chi-Square test was used to examine if there was an association</w:t>
      </w:r>
      <w:r w:rsidR="009F4893">
        <w:rPr>
          <w:rFonts w:ascii="Arial" w:hAnsi="Arial" w:cs="Arial"/>
          <w:sz w:val="20"/>
          <w:szCs w:val="20"/>
        </w:rPr>
        <w:t xml:space="preserve"> between </w:t>
      </w:r>
      <w:r w:rsidR="00E379C5">
        <w:rPr>
          <w:rFonts w:ascii="Arial" w:hAnsi="Arial" w:cs="Arial"/>
          <w:sz w:val="20"/>
          <w:szCs w:val="20"/>
        </w:rPr>
        <w:t>Degree Programme</w:t>
      </w:r>
      <w:r w:rsidR="009F4893">
        <w:rPr>
          <w:rFonts w:ascii="Arial" w:hAnsi="Arial" w:cs="Arial"/>
          <w:sz w:val="20"/>
          <w:szCs w:val="20"/>
        </w:rPr>
        <w:t xml:space="preserve"> (Sport</w:t>
      </w:r>
      <w:r w:rsidR="00E379C5">
        <w:rPr>
          <w:rFonts w:ascii="Arial" w:hAnsi="Arial" w:cs="Arial"/>
          <w:sz w:val="20"/>
          <w:szCs w:val="20"/>
        </w:rPr>
        <w:t>s-based</w:t>
      </w:r>
      <w:r w:rsidR="009F4893">
        <w:rPr>
          <w:rFonts w:ascii="Arial" w:hAnsi="Arial" w:cs="Arial"/>
          <w:sz w:val="20"/>
          <w:szCs w:val="20"/>
        </w:rPr>
        <w:t xml:space="preserve">, </w:t>
      </w:r>
      <w:r w:rsidR="00CB4B5F">
        <w:rPr>
          <w:rFonts w:ascii="Arial" w:hAnsi="Arial" w:cs="Arial"/>
          <w:sz w:val="20"/>
          <w:szCs w:val="20"/>
        </w:rPr>
        <w:t>non-sports</w:t>
      </w:r>
      <w:r w:rsidR="00E379C5">
        <w:rPr>
          <w:rFonts w:ascii="Arial" w:hAnsi="Arial" w:cs="Arial"/>
          <w:sz w:val="20"/>
          <w:szCs w:val="20"/>
        </w:rPr>
        <w:t>-based</w:t>
      </w:r>
      <w:r w:rsidR="009F4893">
        <w:rPr>
          <w:rFonts w:ascii="Arial" w:hAnsi="Arial" w:cs="Arial"/>
          <w:sz w:val="20"/>
          <w:szCs w:val="20"/>
        </w:rPr>
        <w:t xml:space="preserve">) and </w:t>
      </w:r>
      <w:r w:rsidR="0040449F">
        <w:rPr>
          <w:rFonts w:ascii="Arial" w:hAnsi="Arial" w:cs="Arial"/>
          <w:sz w:val="20"/>
          <w:szCs w:val="20"/>
        </w:rPr>
        <w:t xml:space="preserve">Gambling Expenditure </w:t>
      </w:r>
      <w:r w:rsidR="00E943DF">
        <w:rPr>
          <w:rFonts w:ascii="Arial" w:hAnsi="Arial" w:cs="Arial"/>
          <w:sz w:val="20"/>
          <w:szCs w:val="20"/>
        </w:rPr>
        <w:t>(</w:t>
      </w:r>
      <w:r w:rsidR="00EE2C24">
        <w:rPr>
          <w:rFonts w:ascii="Arial" w:hAnsi="Arial" w:cs="Arial"/>
          <w:sz w:val="20"/>
          <w:szCs w:val="20"/>
        </w:rPr>
        <w:t>L</w:t>
      </w:r>
      <w:r w:rsidR="00936A49">
        <w:rPr>
          <w:rFonts w:ascii="Arial" w:hAnsi="Arial" w:cs="Arial"/>
          <w:sz w:val="20"/>
          <w:szCs w:val="20"/>
        </w:rPr>
        <w:t xml:space="preserve">ess </w:t>
      </w:r>
      <w:r w:rsidR="00EE2C24">
        <w:rPr>
          <w:rFonts w:ascii="Arial" w:hAnsi="Arial" w:cs="Arial"/>
          <w:sz w:val="20"/>
          <w:szCs w:val="20"/>
        </w:rPr>
        <w:t xml:space="preserve">than £5 </w:t>
      </w:r>
      <w:r w:rsidR="00936A49">
        <w:rPr>
          <w:rFonts w:ascii="Arial" w:hAnsi="Arial" w:cs="Arial"/>
          <w:sz w:val="20"/>
          <w:szCs w:val="20"/>
        </w:rPr>
        <w:t>per week, Greater than £5 per week)</w:t>
      </w:r>
      <w:r w:rsidR="007F33BD">
        <w:rPr>
          <w:rFonts w:ascii="Arial" w:hAnsi="Arial" w:cs="Arial"/>
          <w:sz w:val="20"/>
          <w:szCs w:val="20"/>
        </w:rPr>
        <w:t>.</w:t>
      </w:r>
    </w:p>
    <w:p w14:paraId="202BEA0F" w14:textId="60752027" w:rsidR="00A4221C" w:rsidRPr="00C9699B" w:rsidRDefault="00A4221C" w:rsidP="00A4221C">
      <w:pPr>
        <w:jc w:val="both"/>
        <w:rPr>
          <w:rFonts w:ascii="Arial" w:hAnsi="Arial" w:cs="Arial"/>
          <w:sz w:val="20"/>
          <w:szCs w:val="20"/>
        </w:rPr>
      </w:pPr>
      <w:r>
        <w:rPr>
          <w:rFonts w:ascii="Arial" w:hAnsi="Arial" w:cs="Arial"/>
          <w:sz w:val="20"/>
          <w:szCs w:val="20"/>
        </w:rPr>
        <w:t xml:space="preserve">H4: Student gamblers on sports-based degree programmes will be higher risk gamblers than student gamblers on non-sports-based degree programmes. An independent samples t-test was used. The </w:t>
      </w:r>
      <w:r>
        <w:rPr>
          <w:rFonts w:ascii="Arial" w:hAnsi="Arial" w:cs="Arial"/>
          <w:sz w:val="20"/>
          <w:szCs w:val="20"/>
        </w:rPr>
        <w:lastRenderedPageBreak/>
        <w:t xml:space="preserve">independent variable was Degree Programme (Sports-based, non-sports-based). The dependent variable of Risk was based on overall PGSI scores.  </w:t>
      </w:r>
    </w:p>
    <w:p w14:paraId="724F4F26" w14:textId="0703E25D" w:rsidR="00A947A6" w:rsidRDefault="00A947A6" w:rsidP="00897E4D">
      <w:pPr>
        <w:jc w:val="both"/>
        <w:rPr>
          <w:rFonts w:ascii="Arial" w:hAnsi="Arial" w:cs="Arial"/>
          <w:b/>
          <w:bCs/>
          <w:sz w:val="20"/>
          <w:szCs w:val="20"/>
        </w:rPr>
      </w:pPr>
      <w:r w:rsidRPr="00D4016B">
        <w:rPr>
          <w:rFonts w:ascii="Arial" w:hAnsi="Arial" w:cs="Arial"/>
          <w:b/>
          <w:bCs/>
          <w:sz w:val="20"/>
          <w:szCs w:val="20"/>
        </w:rPr>
        <w:t>Results</w:t>
      </w:r>
    </w:p>
    <w:p w14:paraId="5397C184" w14:textId="60E1CEE9" w:rsidR="003C545B" w:rsidRPr="003C545B" w:rsidRDefault="00DD63AD" w:rsidP="00897E4D">
      <w:pPr>
        <w:jc w:val="both"/>
        <w:rPr>
          <w:rFonts w:ascii="Arial" w:hAnsi="Arial" w:cs="Arial"/>
          <w:sz w:val="20"/>
          <w:szCs w:val="20"/>
        </w:rPr>
      </w:pPr>
      <w:r>
        <w:rPr>
          <w:rFonts w:ascii="Arial" w:hAnsi="Arial" w:cs="Arial"/>
          <w:sz w:val="20"/>
          <w:szCs w:val="20"/>
        </w:rPr>
        <w:t>The survey achieved a 94.31% response rate.</w:t>
      </w:r>
      <w:r w:rsidR="009817BB">
        <w:rPr>
          <w:rFonts w:ascii="Arial" w:hAnsi="Arial" w:cs="Arial"/>
          <w:sz w:val="20"/>
          <w:szCs w:val="20"/>
        </w:rPr>
        <w:t xml:space="preserve"> The sample comprised 128 non-gamblers and 82 gamblers. </w:t>
      </w:r>
      <w:r w:rsidR="00FF0FBF">
        <w:rPr>
          <w:rFonts w:ascii="Arial" w:hAnsi="Arial" w:cs="Arial"/>
          <w:sz w:val="20"/>
          <w:szCs w:val="20"/>
        </w:rPr>
        <w:t xml:space="preserve">A total of 199 participants completed the PGSI. </w:t>
      </w:r>
      <w:r w:rsidR="00F23FA0">
        <w:rPr>
          <w:rFonts w:ascii="Arial" w:hAnsi="Arial" w:cs="Arial"/>
          <w:sz w:val="20"/>
          <w:szCs w:val="20"/>
        </w:rPr>
        <w:t>F</w:t>
      </w:r>
      <w:r w:rsidR="00D83D4B">
        <w:rPr>
          <w:rFonts w:ascii="Arial" w:hAnsi="Arial" w:cs="Arial"/>
          <w:sz w:val="20"/>
          <w:szCs w:val="20"/>
        </w:rPr>
        <w:t>requencies</w:t>
      </w:r>
      <w:r w:rsidR="00652630">
        <w:rPr>
          <w:rFonts w:ascii="Arial" w:hAnsi="Arial" w:cs="Arial"/>
          <w:sz w:val="20"/>
          <w:szCs w:val="20"/>
        </w:rPr>
        <w:t xml:space="preserve"> were recorded for each</w:t>
      </w:r>
      <w:r w:rsidR="00F23FA0">
        <w:rPr>
          <w:rFonts w:ascii="Arial" w:hAnsi="Arial" w:cs="Arial"/>
          <w:sz w:val="20"/>
          <w:szCs w:val="20"/>
        </w:rPr>
        <w:t xml:space="preserve"> </w:t>
      </w:r>
      <w:r w:rsidR="00805E72">
        <w:rPr>
          <w:rFonts w:ascii="Arial" w:hAnsi="Arial" w:cs="Arial"/>
          <w:sz w:val="20"/>
          <w:szCs w:val="20"/>
        </w:rPr>
        <w:t>of</w:t>
      </w:r>
      <w:r w:rsidR="00F23FA0">
        <w:rPr>
          <w:rFonts w:ascii="Arial" w:hAnsi="Arial" w:cs="Arial"/>
          <w:sz w:val="20"/>
          <w:szCs w:val="20"/>
        </w:rPr>
        <w:t xml:space="preserve"> the following </w:t>
      </w:r>
      <w:r w:rsidR="00652630">
        <w:rPr>
          <w:rFonts w:ascii="Arial" w:hAnsi="Arial" w:cs="Arial"/>
          <w:sz w:val="20"/>
          <w:szCs w:val="20"/>
        </w:rPr>
        <w:t>cate</w:t>
      </w:r>
      <w:r w:rsidR="00F23FA0">
        <w:rPr>
          <w:rFonts w:ascii="Arial" w:hAnsi="Arial" w:cs="Arial"/>
          <w:sz w:val="20"/>
          <w:szCs w:val="20"/>
        </w:rPr>
        <w:t>gories:</w:t>
      </w:r>
      <w:r w:rsidR="00652630">
        <w:rPr>
          <w:rFonts w:ascii="Arial" w:hAnsi="Arial" w:cs="Arial"/>
          <w:sz w:val="20"/>
          <w:szCs w:val="20"/>
        </w:rPr>
        <w:t xml:space="preserve"> </w:t>
      </w:r>
      <w:r w:rsidR="00D83D4B">
        <w:rPr>
          <w:rFonts w:ascii="Arial" w:hAnsi="Arial" w:cs="Arial"/>
          <w:sz w:val="20"/>
          <w:szCs w:val="20"/>
        </w:rPr>
        <w:t>No risk = 142, Low Risk = 32</w:t>
      </w:r>
      <w:r w:rsidR="00F23FA0">
        <w:rPr>
          <w:rFonts w:ascii="Arial" w:hAnsi="Arial" w:cs="Arial"/>
          <w:sz w:val="20"/>
          <w:szCs w:val="20"/>
        </w:rPr>
        <w:t xml:space="preserve">, Moderate Risk = 19, High Risk = </w:t>
      </w:r>
      <w:r w:rsidR="00805E72">
        <w:rPr>
          <w:rFonts w:ascii="Arial" w:hAnsi="Arial" w:cs="Arial"/>
          <w:sz w:val="20"/>
          <w:szCs w:val="20"/>
        </w:rPr>
        <w:t xml:space="preserve">6. </w:t>
      </w:r>
    </w:p>
    <w:p w14:paraId="55D753BE" w14:textId="3D95D6B7" w:rsidR="007241D1" w:rsidRDefault="00F54E68" w:rsidP="00897E4D">
      <w:pPr>
        <w:jc w:val="both"/>
        <w:rPr>
          <w:rFonts w:ascii="Arial" w:hAnsi="Arial" w:cs="Arial"/>
          <w:sz w:val="20"/>
          <w:szCs w:val="20"/>
        </w:rPr>
      </w:pPr>
      <w:r w:rsidRPr="00D4016B">
        <w:rPr>
          <w:rFonts w:ascii="Arial" w:hAnsi="Arial" w:cs="Arial"/>
          <w:i/>
          <w:iCs/>
          <w:sz w:val="20"/>
          <w:szCs w:val="20"/>
        </w:rPr>
        <w:t>H</w:t>
      </w:r>
      <w:r w:rsidR="00C575F9">
        <w:rPr>
          <w:rFonts w:ascii="Arial" w:hAnsi="Arial" w:cs="Arial"/>
          <w:i/>
          <w:iCs/>
          <w:sz w:val="20"/>
          <w:szCs w:val="20"/>
        </w:rPr>
        <w:t>1</w:t>
      </w:r>
      <w:r w:rsidRPr="00D4016B">
        <w:rPr>
          <w:rFonts w:ascii="Arial" w:hAnsi="Arial" w:cs="Arial"/>
          <w:sz w:val="20"/>
          <w:szCs w:val="20"/>
        </w:rPr>
        <w:t xml:space="preserve">: </w:t>
      </w:r>
      <w:r w:rsidR="00805E72">
        <w:rPr>
          <w:rFonts w:ascii="Arial" w:hAnsi="Arial" w:cs="Arial"/>
          <w:sz w:val="20"/>
          <w:szCs w:val="20"/>
        </w:rPr>
        <w:t xml:space="preserve">Table 1 shows </w:t>
      </w:r>
      <w:r w:rsidR="00824A93">
        <w:rPr>
          <w:rFonts w:ascii="Arial" w:hAnsi="Arial" w:cs="Arial"/>
          <w:sz w:val="20"/>
          <w:szCs w:val="20"/>
        </w:rPr>
        <w:t>the proportion of gamblers and non-gamblers</w:t>
      </w:r>
      <w:r w:rsidR="0095283C">
        <w:rPr>
          <w:rFonts w:ascii="Arial" w:hAnsi="Arial" w:cs="Arial"/>
          <w:sz w:val="20"/>
          <w:szCs w:val="20"/>
        </w:rPr>
        <w:t xml:space="preserve"> when grouped by gender and </w:t>
      </w:r>
      <w:r w:rsidR="006D3C0D">
        <w:rPr>
          <w:rFonts w:ascii="Arial" w:hAnsi="Arial" w:cs="Arial"/>
          <w:sz w:val="20"/>
          <w:szCs w:val="20"/>
        </w:rPr>
        <w:t>degree programme</w:t>
      </w:r>
      <w:r w:rsidR="0095283C">
        <w:rPr>
          <w:rFonts w:ascii="Arial" w:hAnsi="Arial" w:cs="Arial"/>
          <w:sz w:val="20"/>
          <w:szCs w:val="20"/>
        </w:rPr>
        <w:t xml:space="preserve"> (</w:t>
      </w:r>
      <w:r w:rsidR="006D3C0D">
        <w:rPr>
          <w:rFonts w:ascii="Arial" w:hAnsi="Arial" w:cs="Arial"/>
          <w:sz w:val="20"/>
          <w:szCs w:val="20"/>
        </w:rPr>
        <w:t>S</w:t>
      </w:r>
      <w:r w:rsidR="0095283C">
        <w:rPr>
          <w:rFonts w:ascii="Arial" w:hAnsi="Arial" w:cs="Arial"/>
          <w:sz w:val="20"/>
          <w:szCs w:val="20"/>
        </w:rPr>
        <w:t>port</w:t>
      </w:r>
      <w:r w:rsidR="006D3C0D">
        <w:rPr>
          <w:rFonts w:ascii="Arial" w:hAnsi="Arial" w:cs="Arial"/>
          <w:sz w:val="20"/>
          <w:szCs w:val="20"/>
        </w:rPr>
        <w:t xml:space="preserve">s-based, </w:t>
      </w:r>
      <w:r w:rsidR="0095283C">
        <w:rPr>
          <w:rFonts w:ascii="Arial" w:hAnsi="Arial" w:cs="Arial"/>
          <w:sz w:val="20"/>
          <w:szCs w:val="20"/>
        </w:rPr>
        <w:t>non-sport</w:t>
      </w:r>
      <w:r w:rsidR="006D3C0D">
        <w:rPr>
          <w:rFonts w:ascii="Arial" w:hAnsi="Arial" w:cs="Arial"/>
          <w:sz w:val="20"/>
          <w:szCs w:val="20"/>
        </w:rPr>
        <w:t>s-based</w:t>
      </w:r>
      <w:r w:rsidR="0095283C">
        <w:rPr>
          <w:rFonts w:ascii="Arial" w:hAnsi="Arial" w:cs="Arial"/>
          <w:sz w:val="20"/>
          <w:szCs w:val="20"/>
        </w:rPr>
        <w:t xml:space="preserve">). </w:t>
      </w:r>
      <w:r w:rsidR="00FC2712">
        <w:rPr>
          <w:rFonts w:ascii="Arial" w:hAnsi="Arial" w:cs="Arial"/>
          <w:sz w:val="20"/>
          <w:szCs w:val="20"/>
        </w:rPr>
        <w:t xml:space="preserve">A </w:t>
      </w:r>
      <w:r w:rsidR="00E73362">
        <w:rPr>
          <w:rFonts w:ascii="Arial" w:hAnsi="Arial" w:cs="Arial"/>
          <w:sz w:val="20"/>
          <w:szCs w:val="20"/>
        </w:rPr>
        <w:t xml:space="preserve">2x4 </w:t>
      </w:r>
      <w:r w:rsidR="00FC2712">
        <w:rPr>
          <w:rFonts w:ascii="Arial" w:hAnsi="Arial" w:cs="Arial"/>
          <w:sz w:val="20"/>
          <w:szCs w:val="20"/>
        </w:rPr>
        <w:t>chi-square test examined associations betw</w:t>
      </w:r>
      <w:r w:rsidR="00E73362">
        <w:rPr>
          <w:rFonts w:ascii="Arial" w:hAnsi="Arial" w:cs="Arial"/>
          <w:sz w:val="20"/>
          <w:szCs w:val="20"/>
        </w:rPr>
        <w:t xml:space="preserve">een these categories. The relation between these </w:t>
      </w:r>
      <w:r w:rsidR="003B616F">
        <w:rPr>
          <w:rFonts w:ascii="Arial" w:hAnsi="Arial" w:cs="Arial"/>
          <w:sz w:val="20"/>
          <w:szCs w:val="20"/>
        </w:rPr>
        <w:t>variables was significant</w:t>
      </w:r>
      <w:r w:rsidR="00CB0F0C">
        <w:rPr>
          <w:rFonts w:ascii="Arial" w:hAnsi="Arial" w:cs="Arial"/>
          <w:sz w:val="20"/>
          <w:szCs w:val="20"/>
        </w:rPr>
        <w:t xml:space="preserve">, </w:t>
      </w:r>
      <w:r w:rsidR="00CB0F0C" w:rsidRPr="00715960">
        <w:rPr>
          <w:rFonts w:ascii="Arial" w:hAnsi="Arial" w:cs="Arial"/>
          <w:i/>
          <w:iCs/>
          <w:sz w:val="20"/>
          <w:szCs w:val="20"/>
        </w:rPr>
        <w:t>X</w:t>
      </w:r>
      <w:r w:rsidR="00CB0F0C" w:rsidRPr="00715960">
        <w:rPr>
          <w:rFonts w:ascii="Arial" w:hAnsi="Arial" w:cs="Arial"/>
          <w:position w:val="6"/>
          <w:sz w:val="20"/>
          <w:szCs w:val="20"/>
        </w:rPr>
        <w:t>2</w:t>
      </w:r>
      <w:r w:rsidR="00CB0F0C" w:rsidRPr="00715960">
        <w:rPr>
          <w:rFonts w:ascii="Arial" w:hAnsi="Arial" w:cs="Arial"/>
          <w:sz w:val="20"/>
          <w:szCs w:val="20"/>
        </w:rPr>
        <w:t xml:space="preserve"> (</w:t>
      </w:r>
      <w:r w:rsidR="002C3D96">
        <w:rPr>
          <w:rFonts w:ascii="Arial" w:hAnsi="Arial" w:cs="Arial"/>
          <w:sz w:val="20"/>
          <w:szCs w:val="20"/>
        </w:rPr>
        <w:t>3</w:t>
      </w:r>
      <w:r w:rsidR="00CB0F0C" w:rsidRPr="00715960">
        <w:rPr>
          <w:rFonts w:ascii="Arial" w:hAnsi="Arial" w:cs="Arial"/>
          <w:sz w:val="20"/>
          <w:szCs w:val="20"/>
        </w:rPr>
        <w:t>, N = 20</w:t>
      </w:r>
      <w:r w:rsidR="002C3D96">
        <w:rPr>
          <w:rFonts w:ascii="Arial" w:hAnsi="Arial" w:cs="Arial"/>
          <w:sz w:val="20"/>
          <w:szCs w:val="20"/>
        </w:rPr>
        <w:t>7</w:t>
      </w:r>
      <w:r w:rsidR="00CB0F0C" w:rsidRPr="00715960">
        <w:rPr>
          <w:rFonts w:ascii="Arial" w:hAnsi="Arial" w:cs="Arial"/>
          <w:sz w:val="20"/>
          <w:szCs w:val="20"/>
        </w:rPr>
        <w:t xml:space="preserve">) </w:t>
      </w:r>
      <w:r w:rsidR="002C3D96">
        <w:rPr>
          <w:rFonts w:ascii="Arial" w:hAnsi="Arial" w:cs="Arial"/>
          <w:sz w:val="20"/>
          <w:szCs w:val="20"/>
        </w:rPr>
        <w:t>9</w:t>
      </w:r>
      <w:r w:rsidR="00CB0F0C" w:rsidRPr="00715960">
        <w:rPr>
          <w:rFonts w:ascii="Arial" w:hAnsi="Arial" w:cs="Arial"/>
          <w:sz w:val="20"/>
          <w:szCs w:val="20"/>
        </w:rPr>
        <w:t>.2</w:t>
      </w:r>
      <w:r w:rsidR="002C3D96">
        <w:rPr>
          <w:rFonts w:ascii="Arial" w:hAnsi="Arial" w:cs="Arial"/>
          <w:sz w:val="20"/>
          <w:szCs w:val="20"/>
        </w:rPr>
        <w:t>40</w:t>
      </w:r>
      <w:r w:rsidR="00CB0F0C" w:rsidRPr="00715960">
        <w:rPr>
          <w:rFonts w:ascii="Arial" w:hAnsi="Arial" w:cs="Arial"/>
          <w:sz w:val="20"/>
          <w:szCs w:val="20"/>
        </w:rPr>
        <w:t xml:space="preserve">, </w:t>
      </w:r>
      <w:r w:rsidR="00CB0F0C" w:rsidRPr="00715960">
        <w:rPr>
          <w:rFonts w:ascii="Arial" w:hAnsi="Arial" w:cs="Arial"/>
          <w:i/>
          <w:iCs/>
          <w:sz w:val="20"/>
          <w:szCs w:val="20"/>
        </w:rPr>
        <w:t xml:space="preserve">p </w:t>
      </w:r>
      <w:r w:rsidR="00CB0F0C" w:rsidRPr="00715960">
        <w:rPr>
          <w:rFonts w:ascii="Arial" w:hAnsi="Arial" w:cs="Arial"/>
          <w:sz w:val="20"/>
          <w:szCs w:val="20"/>
        </w:rPr>
        <w:t>.0</w:t>
      </w:r>
      <w:r w:rsidR="002C0E7D">
        <w:rPr>
          <w:rFonts w:ascii="Arial" w:hAnsi="Arial" w:cs="Arial"/>
          <w:sz w:val="20"/>
          <w:szCs w:val="20"/>
        </w:rPr>
        <w:t>26</w:t>
      </w:r>
      <w:r w:rsidR="00755E6E">
        <w:rPr>
          <w:rFonts w:ascii="Arial" w:hAnsi="Arial" w:cs="Arial"/>
          <w:sz w:val="20"/>
          <w:szCs w:val="20"/>
        </w:rPr>
        <w:t xml:space="preserve">. Results showed </w:t>
      </w:r>
      <w:r w:rsidR="00026B85">
        <w:rPr>
          <w:rFonts w:ascii="Arial" w:hAnsi="Arial" w:cs="Arial"/>
          <w:sz w:val="20"/>
          <w:szCs w:val="20"/>
        </w:rPr>
        <w:t>a high frequency of female student</w:t>
      </w:r>
      <w:r w:rsidR="00511DAC">
        <w:rPr>
          <w:rFonts w:ascii="Arial" w:hAnsi="Arial" w:cs="Arial"/>
          <w:sz w:val="20"/>
          <w:szCs w:val="20"/>
        </w:rPr>
        <w:t xml:space="preserve"> non-gamblers</w:t>
      </w:r>
      <w:r w:rsidR="008A3242">
        <w:rPr>
          <w:rFonts w:ascii="Arial" w:hAnsi="Arial" w:cs="Arial"/>
          <w:sz w:val="20"/>
          <w:szCs w:val="20"/>
        </w:rPr>
        <w:t xml:space="preserve"> </w:t>
      </w:r>
      <w:r w:rsidR="009349D2">
        <w:rPr>
          <w:rFonts w:ascii="Arial" w:hAnsi="Arial" w:cs="Arial"/>
          <w:sz w:val="20"/>
          <w:szCs w:val="20"/>
        </w:rPr>
        <w:t>on</w:t>
      </w:r>
      <w:r w:rsidR="008A3242">
        <w:rPr>
          <w:rFonts w:ascii="Arial" w:hAnsi="Arial" w:cs="Arial"/>
          <w:sz w:val="20"/>
          <w:szCs w:val="20"/>
        </w:rPr>
        <w:t xml:space="preserve"> non-</w:t>
      </w:r>
      <w:r w:rsidR="001F0B0D">
        <w:rPr>
          <w:rFonts w:ascii="Arial" w:hAnsi="Arial" w:cs="Arial"/>
          <w:sz w:val="20"/>
          <w:szCs w:val="20"/>
        </w:rPr>
        <w:t>sports-based degree programmes</w:t>
      </w:r>
      <w:r w:rsidR="00511DAC">
        <w:rPr>
          <w:rFonts w:ascii="Arial" w:hAnsi="Arial" w:cs="Arial"/>
          <w:sz w:val="20"/>
          <w:szCs w:val="20"/>
        </w:rPr>
        <w:t xml:space="preserve"> and a high frequency of male</w:t>
      </w:r>
      <w:r w:rsidR="008E71EC">
        <w:rPr>
          <w:rFonts w:ascii="Arial" w:hAnsi="Arial" w:cs="Arial"/>
          <w:sz w:val="20"/>
          <w:szCs w:val="20"/>
        </w:rPr>
        <w:t xml:space="preserve"> </w:t>
      </w:r>
      <w:r w:rsidR="001F0B0D">
        <w:rPr>
          <w:rFonts w:ascii="Arial" w:hAnsi="Arial" w:cs="Arial"/>
          <w:sz w:val="20"/>
          <w:szCs w:val="20"/>
        </w:rPr>
        <w:t>student gamblers on sports-based degree programmes</w:t>
      </w:r>
      <w:r w:rsidR="008E71EC">
        <w:rPr>
          <w:rFonts w:ascii="Arial" w:hAnsi="Arial" w:cs="Arial"/>
          <w:sz w:val="20"/>
          <w:szCs w:val="20"/>
        </w:rPr>
        <w:t xml:space="preserve">. </w:t>
      </w:r>
    </w:p>
    <w:p w14:paraId="32BB8551" w14:textId="1B77C0D5" w:rsidR="00C575F9" w:rsidRPr="00D4016B" w:rsidRDefault="00C575F9" w:rsidP="00C575F9">
      <w:pPr>
        <w:pStyle w:val="NoSpacing"/>
        <w:rPr>
          <w:rFonts w:ascii="Arial" w:hAnsi="Arial" w:cs="Arial"/>
          <w:sz w:val="20"/>
          <w:szCs w:val="20"/>
        </w:rPr>
      </w:pPr>
      <w:r w:rsidRPr="00D4016B">
        <w:rPr>
          <w:rFonts w:ascii="Arial" w:hAnsi="Arial" w:cs="Arial"/>
          <w:sz w:val="20"/>
          <w:szCs w:val="20"/>
        </w:rPr>
        <w:t xml:space="preserve">Table 1: </w:t>
      </w:r>
      <w:r w:rsidR="006A1D90">
        <w:rPr>
          <w:rFonts w:ascii="Arial" w:hAnsi="Arial" w:cs="Arial"/>
          <w:sz w:val="20"/>
          <w:szCs w:val="20"/>
        </w:rPr>
        <w:t xml:space="preserve">Gambler status frequencies </w:t>
      </w:r>
      <w:r w:rsidR="00BC10B2">
        <w:rPr>
          <w:rFonts w:ascii="Arial" w:hAnsi="Arial" w:cs="Arial"/>
          <w:sz w:val="20"/>
          <w:szCs w:val="20"/>
        </w:rPr>
        <w:t xml:space="preserve">by gender and </w:t>
      </w:r>
      <w:r w:rsidR="001F0B0D">
        <w:rPr>
          <w:rFonts w:ascii="Arial" w:hAnsi="Arial" w:cs="Arial"/>
          <w:sz w:val="20"/>
          <w:szCs w:val="20"/>
        </w:rPr>
        <w:t xml:space="preserve">degree programme </w:t>
      </w:r>
      <w:r w:rsidR="00BC10B2">
        <w:rPr>
          <w:rFonts w:ascii="Arial" w:hAnsi="Arial" w:cs="Arial"/>
          <w:sz w:val="20"/>
          <w:szCs w:val="20"/>
        </w:rPr>
        <w:t xml:space="preserve"> </w:t>
      </w:r>
    </w:p>
    <w:tbl>
      <w:tblPr>
        <w:tblStyle w:val="TableGrid"/>
        <w:tblW w:w="0" w:type="auto"/>
        <w:jc w:val="center"/>
        <w:tblLook w:val="04A0" w:firstRow="1" w:lastRow="0" w:firstColumn="1" w:lastColumn="0" w:noHBand="0" w:noVBand="1"/>
      </w:tblPr>
      <w:tblGrid>
        <w:gridCol w:w="1028"/>
        <w:gridCol w:w="1104"/>
        <w:gridCol w:w="1097"/>
        <w:gridCol w:w="1165"/>
        <w:gridCol w:w="998"/>
        <w:gridCol w:w="1114"/>
        <w:gridCol w:w="1047"/>
      </w:tblGrid>
      <w:tr w:rsidR="0024728F" w:rsidRPr="00D4016B" w14:paraId="36DCFD74" w14:textId="5B61A270" w:rsidTr="002A7CAC">
        <w:trPr>
          <w:jc w:val="center"/>
        </w:trPr>
        <w:tc>
          <w:tcPr>
            <w:tcW w:w="2087" w:type="dxa"/>
            <w:gridSpan w:val="2"/>
            <w:vMerge w:val="restart"/>
          </w:tcPr>
          <w:p w14:paraId="56A2FD91" w14:textId="77777777" w:rsidR="0024728F" w:rsidRPr="00D4016B" w:rsidRDefault="0024728F" w:rsidP="0041789A">
            <w:pPr>
              <w:jc w:val="center"/>
              <w:rPr>
                <w:rFonts w:ascii="Arial" w:hAnsi="Arial" w:cs="Arial"/>
                <w:sz w:val="20"/>
                <w:szCs w:val="20"/>
              </w:rPr>
            </w:pPr>
          </w:p>
        </w:tc>
        <w:tc>
          <w:tcPr>
            <w:tcW w:w="5421" w:type="dxa"/>
            <w:gridSpan w:val="5"/>
          </w:tcPr>
          <w:p w14:paraId="4BA198D9" w14:textId="02F7CE7B" w:rsidR="0024728F" w:rsidRPr="00F6794D" w:rsidRDefault="001F0B0D" w:rsidP="0041789A">
            <w:pPr>
              <w:jc w:val="center"/>
              <w:rPr>
                <w:rFonts w:ascii="Arial" w:hAnsi="Arial" w:cs="Arial"/>
                <w:b/>
                <w:bCs/>
                <w:sz w:val="20"/>
                <w:szCs w:val="20"/>
              </w:rPr>
            </w:pPr>
            <w:r>
              <w:rPr>
                <w:rFonts w:ascii="Arial" w:hAnsi="Arial" w:cs="Arial"/>
                <w:b/>
                <w:bCs/>
                <w:sz w:val="20"/>
                <w:szCs w:val="20"/>
              </w:rPr>
              <w:t>Degree Programme</w:t>
            </w:r>
            <w:r w:rsidR="0024728F" w:rsidRPr="00F6794D">
              <w:rPr>
                <w:rFonts w:ascii="Arial" w:hAnsi="Arial" w:cs="Arial"/>
                <w:b/>
                <w:bCs/>
                <w:sz w:val="20"/>
                <w:szCs w:val="20"/>
              </w:rPr>
              <w:t xml:space="preserve"> by Gender</w:t>
            </w:r>
          </w:p>
        </w:tc>
      </w:tr>
      <w:tr w:rsidR="00873C37" w:rsidRPr="00D4016B" w14:paraId="6625702F" w14:textId="4F918EE2" w:rsidTr="0024728F">
        <w:trPr>
          <w:jc w:val="center"/>
        </w:trPr>
        <w:tc>
          <w:tcPr>
            <w:tcW w:w="2087" w:type="dxa"/>
            <w:gridSpan w:val="2"/>
            <w:vMerge/>
          </w:tcPr>
          <w:p w14:paraId="56F41924" w14:textId="77777777" w:rsidR="00873C37" w:rsidRPr="00D4016B" w:rsidRDefault="00873C37" w:rsidP="0041789A">
            <w:pPr>
              <w:jc w:val="both"/>
              <w:rPr>
                <w:rFonts w:ascii="Arial" w:hAnsi="Arial" w:cs="Arial"/>
                <w:sz w:val="20"/>
                <w:szCs w:val="20"/>
              </w:rPr>
            </w:pPr>
          </w:p>
        </w:tc>
        <w:tc>
          <w:tcPr>
            <w:tcW w:w="1097" w:type="dxa"/>
            <w:vAlign w:val="center"/>
          </w:tcPr>
          <w:p w14:paraId="6D755749" w14:textId="2E174CF3" w:rsidR="00873C37" w:rsidRPr="00F6794D" w:rsidRDefault="00873C37" w:rsidP="0041789A">
            <w:pPr>
              <w:jc w:val="center"/>
              <w:rPr>
                <w:rFonts w:ascii="Arial" w:hAnsi="Arial" w:cs="Arial"/>
                <w:b/>
                <w:bCs/>
                <w:sz w:val="20"/>
                <w:szCs w:val="20"/>
              </w:rPr>
            </w:pPr>
            <w:r w:rsidRPr="00F6794D">
              <w:rPr>
                <w:rFonts w:ascii="Arial" w:hAnsi="Arial" w:cs="Arial"/>
                <w:b/>
                <w:bCs/>
                <w:sz w:val="20"/>
                <w:szCs w:val="20"/>
              </w:rPr>
              <w:t>Male Sport Student</w:t>
            </w:r>
          </w:p>
        </w:tc>
        <w:tc>
          <w:tcPr>
            <w:tcW w:w="1165" w:type="dxa"/>
            <w:vAlign w:val="center"/>
          </w:tcPr>
          <w:p w14:paraId="49A28A39" w14:textId="1795CC92" w:rsidR="00873C37" w:rsidRPr="00F6794D" w:rsidRDefault="00873C37" w:rsidP="0041789A">
            <w:pPr>
              <w:jc w:val="center"/>
              <w:rPr>
                <w:rFonts w:ascii="Arial" w:hAnsi="Arial" w:cs="Arial"/>
                <w:b/>
                <w:bCs/>
                <w:sz w:val="20"/>
                <w:szCs w:val="20"/>
              </w:rPr>
            </w:pPr>
            <w:r w:rsidRPr="00F6794D">
              <w:rPr>
                <w:rFonts w:ascii="Arial" w:hAnsi="Arial" w:cs="Arial"/>
                <w:b/>
                <w:bCs/>
                <w:sz w:val="20"/>
                <w:szCs w:val="20"/>
              </w:rPr>
              <w:t>Female Sport Student</w:t>
            </w:r>
          </w:p>
        </w:tc>
        <w:tc>
          <w:tcPr>
            <w:tcW w:w="998" w:type="dxa"/>
            <w:vAlign w:val="center"/>
          </w:tcPr>
          <w:p w14:paraId="7B9D8C89" w14:textId="42C6C744" w:rsidR="00873C37" w:rsidRPr="00F6794D" w:rsidRDefault="00873C37" w:rsidP="0041789A">
            <w:pPr>
              <w:jc w:val="center"/>
              <w:rPr>
                <w:rFonts w:ascii="Arial" w:hAnsi="Arial" w:cs="Arial"/>
                <w:b/>
                <w:bCs/>
                <w:sz w:val="20"/>
                <w:szCs w:val="20"/>
              </w:rPr>
            </w:pPr>
            <w:r w:rsidRPr="00F6794D">
              <w:rPr>
                <w:rFonts w:ascii="Arial" w:hAnsi="Arial" w:cs="Arial"/>
                <w:b/>
                <w:bCs/>
                <w:sz w:val="20"/>
                <w:szCs w:val="20"/>
              </w:rPr>
              <w:t>Male Non-sport Student</w:t>
            </w:r>
          </w:p>
        </w:tc>
        <w:tc>
          <w:tcPr>
            <w:tcW w:w="1114" w:type="dxa"/>
            <w:vAlign w:val="center"/>
          </w:tcPr>
          <w:p w14:paraId="0D428414" w14:textId="28388E6B" w:rsidR="00873C37" w:rsidRPr="00F6794D" w:rsidRDefault="00873C37" w:rsidP="0041789A">
            <w:pPr>
              <w:jc w:val="center"/>
              <w:rPr>
                <w:rFonts w:ascii="Arial" w:hAnsi="Arial" w:cs="Arial"/>
                <w:b/>
                <w:bCs/>
                <w:sz w:val="20"/>
                <w:szCs w:val="20"/>
              </w:rPr>
            </w:pPr>
            <w:r w:rsidRPr="00F6794D">
              <w:rPr>
                <w:rFonts w:ascii="Arial" w:hAnsi="Arial" w:cs="Arial"/>
                <w:b/>
                <w:bCs/>
                <w:sz w:val="20"/>
                <w:szCs w:val="20"/>
              </w:rPr>
              <w:t>Female Non-sport Student</w:t>
            </w:r>
          </w:p>
        </w:tc>
        <w:tc>
          <w:tcPr>
            <w:tcW w:w="1047" w:type="dxa"/>
            <w:vAlign w:val="center"/>
          </w:tcPr>
          <w:p w14:paraId="1E234B65" w14:textId="28825645" w:rsidR="00873C37" w:rsidRPr="00F6794D" w:rsidRDefault="0024728F" w:rsidP="0041789A">
            <w:pPr>
              <w:jc w:val="center"/>
              <w:rPr>
                <w:rFonts w:ascii="Arial" w:hAnsi="Arial" w:cs="Arial"/>
                <w:b/>
                <w:bCs/>
                <w:sz w:val="20"/>
                <w:szCs w:val="20"/>
              </w:rPr>
            </w:pPr>
            <w:r w:rsidRPr="00F6794D">
              <w:rPr>
                <w:rFonts w:ascii="Arial" w:hAnsi="Arial" w:cs="Arial"/>
                <w:b/>
                <w:bCs/>
                <w:sz w:val="20"/>
                <w:szCs w:val="20"/>
              </w:rPr>
              <w:t>Total</w:t>
            </w:r>
          </w:p>
        </w:tc>
      </w:tr>
      <w:tr w:rsidR="00873C37" w:rsidRPr="00D4016B" w14:paraId="5213FA8D" w14:textId="1B42626A" w:rsidTr="0024728F">
        <w:trPr>
          <w:trHeight w:val="361"/>
          <w:jc w:val="center"/>
        </w:trPr>
        <w:tc>
          <w:tcPr>
            <w:tcW w:w="983" w:type="dxa"/>
            <w:vMerge w:val="restart"/>
            <w:vAlign w:val="center"/>
          </w:tcPr>
          <w:p w14:paraId="454DA433" w14:textId="24BED73A" w:rsidR="00873C37" w:rsidRPr="00F6794D" w:rsidRDefault="00873C37" w:rsidP="0041789A">
            <w:pPr>
              <w:jc w:val="right"/>
              <w:rPr>
                <w:rFonts w:ascii="Arial" w:hAnsi="Arial" w:cs="Arial"/>
                <w:b/>
                <w:bCs/>
                <w:sz w:val="20"/>
                <w:szCs w:val="20"/>
              </w:rPr>
            </w:pPr>
            <w:r w:rsidRPr="00F6794D">
              <w:rPr>
                <w:rFonts w:ascii="Arial" w:hAnsi="Arial" w:cs="Arial"/>
                <w:b/>
                <w:bCs/>
                <w:sz w:val="20"/>
                <w:szCs w:val="20"/>
              </w:rPr>
              <w:t>Gambler Status</w:t>
            </w:r>
          </w:p>
        </w:tc>
        <w:tc>
          <w:tcPr>
            <w:tcW w:w="1104" w:type="dxa"/>
            <w:vAlign w:val="center"/>
          </w:tcPr>
          <w:p w14:paraId="4EA10C4C" w14:textId="305307A4" w:rsidR="00873C37" w:rsidRPr="00F6794D" w:rsidRDefault="00873C37" w:rsidP="00FE33E8">
            <w:pPr>
              <w:jc w:val="right"/>
              <w:rPr>
                <w:rFonts w:ascii="Arial" w:hAnsi="Arial" w:cs="Arial"/>
                <w:b/>
                <w:bCs/>
                <w:sz w:val="20"/>
                <w:szCs w:val="20"/>
              </w:rPr>
            </w:pPr>
            <w:r w:rsidRPr="00F6794D">
              <w:rPr>
                <w:rFonts w:ascii="Arial" w:hAnsi="Arial" w:cs="Arial"/>
                <w:b/>
                <w:bCs/>
                <w:sz w:val="20"/>
                <w:szCs w:val="20"/>
              </w:rPr>
              <w:t>Gambler</w:t>
            </w:r>
          </w:p>
        </w:tc>
        <w:tc>
          <w:tcPr>
            <w:tcW w:w="1097" w:type="dxa"/>
            <w:vAlign w:val="center"/>
          </w:tcPr>
          <w:p w14:paraId="13619C4C" w14:textId="4A6A81E2" w:rsidR="00873C37" w:rsidRPr="00D4016B" w:rsidRDefault="00C92DFF" w:rsidP="0041789A">
            <w:pPr>
              <w:jc w:val="center"/>
              <w:rPr>
                <w:rFonts w:ascii="Arial" w:hAnsi="Arial" w:cs="Arial"/>
                <w:sz w:val="20"/>
                <w:szCs w:val="20"/>
              </w:rPr>
            </w:pPr>
            <w:r>
              <w:rPr>
                <w:rFonts w:ascii="Arial" w:hAnsi="Arial" w:cs="Arial"/>
                <w:sz w:val="20"/>
                <w:szCs w:val="20"/>
              </w:rPr>
              <w:t>35</w:t>
            </w:r>
          </w:p>
        </w:tc>
        <w:tc>
          <w:tcPr>
            <w:tcW w:w="1165" w:type="dxa"/>
            <w:vAlign w:val="center"/>
          </w:tcPr>
          <w:p w14:paraId="22B5DD89" w14:textId="3B714DB8" w:rsidR="00873C37" w:rsidRPr="00D4016B" w:rsidRDefault="00C92DFF" w:rsidP="0041789A">
            <w:pPr>
              <w:jc w:val="center"/>
              <w:rPr>
                <w:rFonts w:ascii="Arial" w:hAnsi="Arial" w:cs="Arial"/>
                <w:sz w:val="20"/>
                <w:szCs w:val="20"/>
              </w:rPr>
            </w:pPr>
            <w:r>
              <w:rPr>
                <w:rFonts w:ascii="Arial" w:hAnsi="Arial" w:cs="Arial"/>
                <w:sz w:val="20"/>
                <w:szCs w:val="20"/>
              </w:rPr>
              <w:t>17</w:t>
            </w:r>
          </w:p>
        </w:tc>
        <w:tc>
          <w:tcPr>
            <w:tcW w:w="998" w:type="dxa"/>
            <w:vAlign w:val="center"/>
          </w:tcPr>
          <w:p w14:paraId="3600A703" w14:textId="04BF5F65" w:rsidR="00873C37" w:rsidRPr="00D4016B" w:rsidRDefault="00C92DFF" w:rsidP="0041789A">
            <w:pPr>
              <w:jc w:val="center"/>
              <w:rPr>
                <w:rFonts w:ascii="Arial" w:hAnsi="Arial" w:cs="Arial"/>
                <w:sz w:val="20"/>
                <w:szCs w:val="20"/>
              </w:rPr>
            </w:pPr>
            <w:r>
              <w:rPr>
                <w:rFonts w:ascii="Arial" w:hAnsi="Arial" w:cs="Arial"/>
                <w:sz w:val="20"/>
                <w:szCs w:val="20"/>
              </w:rPr>
              <w:t>4</w:t>
            </w:r>
          </w:p>
        </w:tc>
        <w:tc>
          <w:tcPr>
            <w:tcW w:w="1114" w:type="dxa"/>
            <w:vAlign w:val="center"/>
          </w:tcPr>
          <w:p w14:paraId="34E5A1F0" w14:textId="77A3D775" w:rsidR="00873C37" w:rsidRPr="00D4016B" w:rsidRDefault="00C92DFF" w:rsidP="0041789A">
            <w:pPr>
              <w:jc w:val="center"/>
              <w:rPr>
                <w:rFonts w:ascii="Arial" w:hAnsi="Arial" w:cs="Arial"/>
                <w:sz w:val="20"/>
                <w:szCs w:val="20"/>
              </w:rPr>
            </w:pPr>
            <w:r>
              <w:rPr>
                <w:rFonts w:ascii="Arial" w:hAnsi="Arial" w:cs="Arial"/>
                <w:sz w:val="20"/>
                <w:szCs w:val="20"/>
              </w:rPr>
              <w:t>24</w:t>
            </w:r>
          </w:p>
        </w:tc>
        <w:tc>
          <w:tcPr>
            <w:tcW w:w="1047" w:type="dxa"/>
            <w:vAlign w:val="center"/>
          </w:tcPr>
          <w:p w14:paraId="5CC64CE8" w14:textId="4B191093" w:rsidR="00873C37" w:rsidRPr="00D4016B" w:rsidRDefault="00C92DFF" w:rsidP="0041789A">
            <w:pPr>
              <w:jc w:val="center"/>
              <w:rPr>
                <w:rFonts w:ascii="Arial" w:hAnsi="Arial" w:cs="Arial"/>
                <w:sz w:val="20"/>
                <w:szCs w:val="20"/>
              </w:rPr>
            </w:pPr>
            <w:r>
              <w:rPr>
                <w:rFonts w:ascii="Arial" w:hAnsi="Arial" w:cs="Arial"/>
                <w:sz w:val="20"/>
                <w:szCs w:val="20"/>
              </w:rPr>
              <w:t>80</w:t>
            </w:r>
          </w:p>
        </w:tc>
      </w:tr>
      <w:tr w:rsidR="00873C37" w:rsidRPr="00D4016B" w14:paraId="33B9A3A3" w14:textId="514DF9CA" w:rsidTr="0024728F">
        <w:trPr>
          <w:trHeight w:val="350"/>
          <w:jc w:val="center"/>
        </w:trPr>
        <w:tc>
          <w:tcPr>
            <w:tcW w:w="983" w:type="dxa"/>
            <w:vMerge/>
            <w:vAlign w:val="center"/>
          </w:tcPr>
          <w:p w14:paraId="637FD29B" w14:textId="77777777" w:rsidR="00873C37" w:rsidRPr="00F6794D" w:rsidRDefault="00873C37" w:rsidP="0041789A">
            <w:pPr>
              <w:jc w:val="both"/>
              <w:rPr>
                <w:rFonts w:ascii="Arial" w:hAnsi="Arial" w:cs="Arial"/>
                <w:b/>
                <w:bCs/>
                <w:sz w:val="20"/>
                <w:szCs w:val="20"/>
              </w:rPr>
            </w:pPr>
          </w:p>
        </w:tc>
        <w:tc>
          <w:tcPr>
            <w:tcW w:w="1104" w:type="dxa"/>
            <w:vAlign w:val="center"/>
          </w:tcPr>
          <w:p w14:paraId="39BF66EA" w14:textId="4915B5EF" w:rsidR="00873C37" w:rsidRPr="00F6794D" w:rsidRDefault="00873C37" w:rsidP="00FE33E8">
            <w:pPr>
              <w:jc w:val="right"/>
              <w:rPr>
                <w:rFonts w:ascii="Arial" w:hAnsi="Arial" w:cs="Arial"/>
                <w:b/>
                <w:bCs/>
                <w:sz w:val="20"/>
                <w:szCs w:val="20"/>
              </w:rPr>
            </w:pPr>
            <w:r w:rsidRPr="00F6794D">
              <w:rPr>
                <w:rFonts w:ascii="Arial" w:hAnsi="Arial" w:cs="Arial"/>
                <w:b/>
                <w:bCs/>
                <w:sz w:val="20"/>
                <w:szCs w:val="20"/>
              </w:rPr>
              <w:t>Non-Gambler</w:t>
            </w:r>
          </w:p>
        </w:tc>
        <w:tc>
          <w:tcPr>
            <w:tcW w:w="1097" w:type="dxa"/>
            <w:vAlign w:val="center"/>
          </w:tcPr>
          <w:p w14:paraId="7EDBFA58" w14:textId="25795525" w:rsidR="00873C37" w:rsidRPr="00D4016B" w:rsidRDefault="003E78BD" w:rsidP="0041789A">
            <w:pPr>
              <w:jc w:val="center"/>
              <w:rPr>
                <w:rFonts w:ascii="Arial" w:hAnsi="Arial" w:cs="Arial"/>
                <w:sz w:val="20"/>
                <w:szCs w:val="20"/>
              </w:rPr>
            </w:pPr>
            <w:r>
              <w:rPr>
                <w:rFonts w:ascii="Arial" w:hAnsi="Arial" w:cs="Arial"/>
                <w:sz w:val="20"/>
                <w:szCs w:val="20"/>
              </w:rPr>
              <w:t>30</w:t>
            </w:r>
          </w:p>
        </w:tc>
        <w:tc>
          <w:tcPr>
            <w:tcW w:w="1165" w:type="dxa"/>
            <w:vAlign w:val="center"/>
          </w:tcPr>
          <w:p w14:paraId="581FEBEB" w14:textId="7658C7F4" w:rsidR="00873C37" w:rsidRPr="00D4016B" w:rsidRDefault="001F2C6D" w:rsidP="0041789A">
            <w:pPr>
              <w:jc w:val="center"/>
              <w:rPr>
                <w:rFonts w:ascii="Arial" w:hAnsi="Arial" w:cs="Arial"/>
                <w:sz w:val="20"/>
                <w:szCs w:val="20"/>
              </w:rPr>
            </w:pPr>
            <w:r>
              <w:rPr>
                <w:rFonts w:ascii="Arial" w:hAnsi="Arial" w:cs="Arial"/>
                <w:sz w:val="20"/>
                <w:szCs w:val="20"/>
              </w:rPr>
              <w:t>37</w:t>
            </w:r>
          </w:p>
        </w:tc>
        <w:tc>
          <w:tcPr>
            <w:tcW w:w="998" w:type="dxa"/>
            <w:vAlign w:val="center"/>
          </w:tcPr>
          <w:p w14:paraId="5BAA6A37" w14:textId="46FBE38F" w:rsidR="00873C37" w:rsidRPr="00D4016B" w:rsidRDefault="001F2C6D" w:rsidP="0041789A">
            <w:pPr>
              <w:jc w:val="center"/>
              <w:rPr>
                <w:rFonts w:ascii="Arial" w:hAnsi="Arial" w:cs="Arial"/>
                <w:sz w:val="20"/>
                <w:szCs w:val="20"/>
              </w:rPr>
            </w:pPr>
            <w:r>
              <w:rPr>
                <w:rFonts w:ascii="Arial" w:hAnsi="Arial" w:cs="Arial"/>
                <w:sz w:val="20"/>
                <w:szCs w:val="20"/>
              </w:rPr>
              <w:t>9</w:t>
            </w:r>
          </w:p>
        </w:tc>
        <w:tc>
          <w:tcPr>
            <w:tcW w:w="1114" w:type="dxa"/>
            <w:vAlign w:val="center"/>
          </w:tcPr>
          <w:p w14:paraId="7C534C5F" w14:textId="1F64FBF3" w:rsidR="00873C37" w:rsidRPr="00D4016B" w:rsidRDefault="001F2C6D" w:rsidP="0041789A">
            <w:pPr>
              <w:jc w:val="center"/>
              <w:rPr>
                <w:rFonts w:ascii="Arial" w:hAnsi="Arial" w:cs="Arial"/>
                <w:sz w:val="20"/>
                <w:szCs w:val="20"/>
              </w:rPr>
            </w:pPr>
            <w:r>
              <w:rPr>
                <w:rFonts w:ascii="Arial" w:hAnsi="Arial" w:cs="Arial"/>
                <w:sz w:val="20"/>
                <w:szCs w:val="20"/>
              </w:rPr>
              <w:t>51</w:t>
            </w:r>
          </w:p>
        </w:tc>
        <w:tc>
          <w:tcPr>
            <w:tcW w:w="1047" w:type="dxa"/>
            <w:vAlign w:val="center"/>
          </w:tcPr>
          <w:p w14:paraId="37749C04" w14:textId="0D381615" w:rsidR="00873C37" w:rsidRPr="00D4016B" w:rsidRDefault="001F2C6D" w:rsidP="0041789A">
            <w:pPr>
              <w:jc w:val="center"/>
              <w:rPr>
                <w:rFonts w:ascii="Arial" w:hAnsi="Arial" w:cs="Arial"/>
                <w:sz w:val="20"/>
                <w:szCs w:val="20"/>
              </w:rPr>
            </w:pPr>
            <w:r>
              <w:rPr>
                <w:rFonts w:ascii="Arial" w:hAnsi="Arial" w:cs="Arial"/>
                <w:sz w:val="20"/>
                <w:szCs w:val="20"/>
              </w:rPr>
              <w:t>127</w:t>
            </w:r>
          </w:p>
        </w:tc>
      </w:tr>
      <w:tr w:rsidR="00873C37" w:rsidRPr="00D4016B" w14:paraId="43A601FD" w14:textId="2D3C3DCD" w:rsidTr="0024728F">
        <w:trPr>
          <w:jc w:val="center"/>
        </w:trPr>
        <w:tc>
          <w:tcPr>
            <w:tcW w:w="983" w:type="dxa"/>
            <w:vMerge/>
            <w:vAlign w:val="center"/>
          </w:tcPr>
          <w:p w14:paraId="73C76E04" w14:textId="77777777" w:rsidR="00873C37" w:rsidRPr="00F6794D" w:rsidRDefault="00873C37" w:rsidP="0041789A">
            <w:pPr>
              <w:jc w:val="both"/>
              <w:rPr>
                <w:rFonts w:ascii="Arial" w:hAnsi="Arial" w:cs="Arial"/>
                <w:b/>
                <w:bCs/>
                <w:sz w:val="20"/>
                <w:szCs w:val="20"/>
              </w:rPr>
            </w:pPr>
          </w:p>
        </w:tc>
        <w:tc>
          <w:tcPr>
            <w:tcW w:w="1104" w:type="dxa"/>
            <w:vAlign w:val="center"/>
          </w:tcPr>
          <w:p w14:paraId="44D48C6F" w14:textId="3A5A0905" w:rsidR="00873C37" w:rsidRPr="00F6794D" w:rsidRDefault="00873C37" w:rsidP="0041789A">
            <w:pPr>
              <w:jc w:val="center"/>
              <w:rPr>
                <w:rFonts w:ascii="Arial" w:hAnsi="Arial" w:cs="Arial"/>
                <w:b/>
                <w:bCs/>
                <w:sz w:val="20"/>
                <w:szCs w:val="20"/>
              </w:rPr>
            </w:pPr>
            <w:r w:rsidRPr="00F6794D">
              <w:rPr>
                <w:rFonts w:ascii="Arial" w:hAnsi="Arial" w:cs="Arial"/>
                <w:b/>
                <w:bCs/>
                <w:sz w:val="20"/>
                <w:szCs w:val="20"/>
              </w:rPr>
              <w:t>Total</w:t>
            </w:r>
          </w:p>
        </w:tc>
        <w:tc>
          <w:tcPr>
            <w:tcW w:w="1097" w:type="dxa"/>
          </w:tcPr>
          <w:p w14:paraId="291C5744" w14:textId="41B5F974" w:rsidR="00873C37" w:rsidRPr="00D4016B" w:rsidRDefault="001F2C6D" w:rsidP="0041789A">
            <w:pPr>
              <w:jc w:val="center"/>
              <w:rPr>
                <w:rFonts w:ascii="Arial" w:hAnsi="Arial" w:cs="Arial"/>
                <w:sz w:val="20"/>
                <w:szCs w:val="20"/>
              </w:rPr>
            </w:pPr>
            <w:r>
              <w:rPr>
                <w:rFonts w:ascii="Arial" w:hAnsi="Arial" w:cs="Arial"/>
                <w:sz w:val="20"/>
                <w:szCs w:val="20"/>
              </w:rPr>
              <w:t>65</w:t>
            </w:r>
          </w:p>
        </w:tc>
        <w:tc>
          <w:tcPr>
            <w:tcW w:w="1165" w:type="dxa"/>
          </w:tcPr>
          <w:p w14:paraId="3F4C967B" w14:textId="2A68E473" w:rsidR="00873C37" w:rsidRPr="00D4016B" w:rsidRDefault="001F2C6D" w:rsidP="0041789A">
            <w:pPr>
              <w:jc w:val="center"/>
              <w:rPr>
                <w:rFonts w:ascii="Arial" w:hAnsi="Arial" w:cs="Arial"/>
                <w:sz w:val="20"/>
                <w:szCs w:val="20"/>
              </w:rPr>
            </w:pPr>
            <w:r>
              <w:rPr>
                <w:rFonts w:ascii="Arial" w:hAnsi="Arial" w:cs="Arial"/>
                <w:sz w:val="20"/>
                <w:szCs w:val="20"/>
              </w:rPr>
              <w:t>54</w:t>
            </w:r>
          </w:p>
        </w:tc>
        <w:tc>
          <w:tcPr>
            <w:tcW w:w="998" w:type="dxa"/>
          </w:tcPr>
          <w:p w14:paraId="7835D129" w14:textId="425B410A" w:rsidR="00873C37" w:rsidRPr="00D4016B" w:rsidRDefault="001F2C6D" w:rsidP="0041789A">
            <w:pPr>
              <w:jc w:val="center"/>
              <w:rPr>
                <w:rFonts w:ascii="Arial" w:hAnsi="Arial" w:cs="Arial"/>
                <w:sz w:val="20"/>
                <w:szCs w:val="20"/>
              </w:rPr>
            </w:pPr>
            <w:r>
              <w:rPr>
                <w:rFonts w:ascii="Arial" w:hAnsi="Arial" w:cs="Arial"/>
                <w:sz w:val="20"/>
                <w:szCs w:val="20"/>
              </w:rPr>
              <w:t>13</w:t>
            </w:r>
          </w:p>
        </w:tc>
        <w:tc>
          <w:tcPr>
            <w:tcW w:w="1114" w:type="dxa"/>
          </w:tcPr>
          <w:p w14:paraId="150084FC" w14:textId="08790E45" w:rsidR="00873C37" w:rsidRPr="00D4016B" w:rsidRDefault="001F2C6D" w:rsidP="0041789A">
            <w:pPr>
              <w:jc w:val="center"/>
              <w:rPr>
                <w:rFonts w:ascii="Arial" w:hAnsi="Arial" w:cs="Arial"/>
                <w:sz w:val="20"/>
                <w:szCs w:val="20"/>
              </w:rPr>
            </w:pPr>
            <w:r>
              <w:rPr>
                <w:rFonts w:ascii="Arial" w:hAnsi="Arial" w:cs="Arial"/>
                <w:sz w:val="20"/>
                <w:szCs w:val="20"/>
              </w:rPr>
              <w:t>75</w:t>
            </w:r>
          </w:p>
        </w:tc>
        <w:tc>
          <w:tcPr>
            <w:tcW w:w="1047" w:type="dxa"/>
          </w:tcPr>
          <w:p w14:paraId="7B1BBE9B" w14:textId="5ED96949" w:rsidR="00873C37" w:rsidRPr="00D4016B" w:rsidRDefault="002D0D3A" w:rsidP="0041789A">
            <w:pPr>
              <w:jc w:val="center"/>
              <w:rPr>
                <w:rFonts w:ascii="Arial" w:hAnsi="Arial" w:cs="Arial"/>
                <w:sz w:val="20"/>
                <w:szCs w:val="20"/>
              </w:rPr>
            </w:pPr>
            <w:r>
              <w:rPr>
                <w:rFonts w:ascii="Arial" w:hAnsi="Arial" w:cs="Arial"/>
                <w:sz w:val="20"/>
                <w:szCs w:val="20"/>
              </w:rPr>
              <w:t>207</w:t>
            </w:r>
          </w:p>
        </w:tc>
      </w:tr>
    </w:tbl>
    <w:p w14:paraId="17E60215" w14:textId="77777777" w:rsidR="00C575F9" w:rsidRDefault="00C575F9" w:rsidP="00897E4D">
      <w:pPr>
        <w:jc w:val="both"/>
        <w:rPr>
          <w:rFonts w:ascii="Arial" w:hAnsi="Arial" w:cs="Arial"/>
          <w:sz w:val="20"/>
          <w:szCs w:val="20"/>
        </w:rPr>
      </w:pPr>
    </w:p>
    <w:p w14:paraId="65FFDFFE" w14:textId="7741221C" w:rsidR="00D26473" w:rsidRDefault="00D26473" w:rsidP="00D26473">
      <w:pPr>
        <w:jc w:val="both"/>
        <w:rPr>
          <w:rFonts w:ascii="Arial" w:hAnsi="Arial" w:cs="Arial"/>
          <w:sz w:val="20"/>
          <w:szCs w:val="20"/>
        </w:rPr>
      </w:pPr>
      <w:r w:rsidRPr="00C575F9">
        <w:rPr>
          <w:rFonts w:ascii="Arial" w:hAnsi="Arial" w:cs="Arial"/>
          <w:i/>
          <w:iCs/>
          <w:sz w:val="20"/>
          <w:szCs w:val="20"/>
        </w:rPr>
        <w:t>H</w:t>
      </w:r>
      <w:r>
        <w:rPr>
          <w:rFonts w:ascii="Arial" w:hAnsi="Arial" w:cs="Arial"/>
          <w:i/>
          <w:iCs/>
          <w:sz w:val="20"/>
          <w:szCs w:val="20"/>
        </w:rPr>
        <w:t>2</w:t>
      </w:r>
      <w:r w:rsidRPr="00C575F9">
        <w:rPr>
          <w:rFonts w:ascii="Arial" w:hAnsi="Arial" w:cs="Arial"/>
          <w:i/>
          <w:iCs/>
          <w:sz w:val="20"/>
          <w:szCs w:val="20"/>
        </w:rPr>
        <w:t>:</w:t>
      </w:r>
      <w:r w:rsidRPr="00C171F6">
        <w:rPr>
          <w:rFonts w:ascii="Arial" w:hAnsi="Arial" w:cs="Arial"/>
          <w:sz w:val="20"/>
          <w:szCs w:val="20"/>
        </w:rPr>
        <w:t xml:space="preserve"> </w:t>
      </w:r>
      <w:r>
        <w:rPr>
          <w:rFonts w:ascii="Arial" w:hAnsi="Arial" w:cs="Arial"/>
          <w:sz w:val="20"/>
          <w:szCs w:val="20"/>
        </w:rPr>
        <w:t xml:space="preserve">Table </w:t>
      </w:r>
      <w:r w:rsidR="007A2204">
        <w:rPr>
          <w:rFonts w:ascii="Arial" w:hAnsi="Arial" w:cs="Arial"/>
          <w:sz w:val="20"/>
          <w:szCs w:val="20"/>
        </w:rPr>
        <w:t>2</w:t>
      </w:r>
      <w:r>
        <w:rPr>
          <w:rFonts w:ascii="Arial" w:hAnsi="Arial" w:cs="Arial"/>
          <w:sz w:val="20"/>
          <w:szCs w:val="20"/>
        </w:rPr>
        <w:t xml:space="preserve"> shows gambling </w:t>
      </w:r>
      <w:r w:rsidR="007A2204">
        <w:rPr>
          <w:rFonts w:ascii="Arial" w:hAnsi="Arial" w:cs="Arial"/>
          <w:sz w:val="20"/>
          <w:szCs w:val="20"/>
        </w:rPr>
        <w:t>regularity</w:t>
      </w:r>
      <w:r>
        <w:rPr>
          <w:rFonts w:ascii="Arial" w:hAnsi="Arial" w:cs="Arial"/>
          <w:sz w:val="20"/>
          <w:szCs w:val="20"/>
        </w:rPr>
        <w:t xml:space="preserve"> by degree programme. A 2x2 chi-square test examined associations between these categories, the relation between these variables was significant </w:t>
      </w:r>
      <w:r w:rsidRPr="00715960">
        <w:rPr>
          <w:rFonts w:ascii="Arial" w:hAnsi="Arial" w:cs="Arial"/>
          <w:i/>
          <w:iCs/>
          <w:sz w:val="20"/>
          <w:szCs w:val="20"/>
        </w:rPr>
        <w:t>X</w:t>
      </w:r>
      <w:r w:rsidRPr="00715960">
        <w:rPr>
          <w:rFonts w:ascii="Arial" w:hAnsi="Arial" w:cs="Arial"/>
          <w:position w:val="6"/>
          <w:sz w:val="20"/>
          <w:szCs w:val="20"/>
        </w:rPr>
        <w:t>2</w:t>
      </w:r>
      <w:r w:rsidRPr="00715960">
        <w:rPr>
          <w:rFonts w:ascii="Arial" w:hAnsi="Arial" w:cs="Arial"/>
          <w:sz w:val="20"/>
          <w:szCs w:val="20"/>
        </w:rPr>
        <w:t xml:space="preserve"> (</w:t>
      </w:r>
      <w:r>
        <w:rPr>
          <w:rFonts w:ascii="Arial" w:hAnsi="Arial" w:cs="Arial"/>
          <w:sz w:val="20"/>
          <w:szCs w:val="20"/>
        </w:rPr>
        <w:t>1</w:t>
      </w:r>
      <w:r w:rsidRPr="00715960">
        <w:rPr>
          <w:rFonts w:ascii="Arial" w:hAnsi="Arial" w:cs="Arial"/>
          <w:sz w:val="20"/>
          <w:szCs w:val="20"/>
        </w:rPr>
        <w:t xml:space="preserve">, N = </w:t>
      </w:r>
      <w:r>
        <w:rPr>
          <w:rFonts w:ascii="Arial" w:hAnsi="Arial" w:cs="Arial"/>
          <w:sz w:val="20"/>
          <w:szCs w:val="20"/>
        </w:rPr>
        <w:t>81</w:t>
      </w:r>
      <w:r w:rsidRPr="00715960">
        <w:rPr>
          <w:rFonts w:ascii="Arial" w:hAnsi="Arial" w:cs="Arial"/>
          <w:sz w:val="20"/>
          <w:szCs w:val="20"/>
        </w:rPr>
        <w:t xml:space="preserve">) </w:t>
      </w:r>
      <w:r>
        <w:rPr>
          <w:rFonts w:ascii="Arial" w:hAnsi="Arial" w:cs="Arial"/>
          <w:sz w:val="20"/>
          <w:szCs w:val="20"/>
        </w:rPr>
        <w:t>8</w:t>
      </w:r>
      <w:r w:rsidRPr="00715960">
        <w:rPr>
          <w:rFonts w:ascii="Arial" w:hAnsi="Arial" w:cs="Arial"/>
          <w:sz w:val="20"/>
          <w:szCs w:val="20"/>
        </w:rPr>
        <w:t>.</w:t>
      </w:r>
      <w:r>
        <w:rPr>
          <w:rFonts w:ascii="Arial" w:hAnsi="Arial" w:cs="Arial"/>
          <w:sz w:val="20"/>
          <w:szCs w:val="20"/>
        </w:rPr>
        <w:t>457</w:t>
      </w:r>
      <w:r w:rsidRPr="00715960">
        <w:rPr>
          <w:rFonts w:ascii="Arial" w:hAnsi="Arial" w:cs="Arial"/>
          <w:sz w:val="20"/>
          <w:szCs w:val="20"/>
        </w:rPr>
        <w:t xml:space="preserve">, </w:t>
      </w:r>
      <w:r w:rsidRPr="00715960">
        <w:rPr>
          <w:rFonts w:ascii="Arial" w:hAnsi="Arial" w:cs="Arial"/>
          <w:i/>
          <w:iCs/>
          <w:sz w:val="20"/>
          <w:szCs w:val="20"/>
        </w:rPr>
        <w:t xml:space="preserve">p </w:t>
      </w:r>
      <w:r w:rsidRPr="00715960">
        <w:rPr>
          <w:rFonts w:ascii="Arial" w:hAnsi="Arial" w:cs="Arial"/>
          <w:sz w:val="20"/>
          <w:szCs w:val="20"/>
        </w:rPr>
        <w:t>.0</w:t>
      </w:r>
      <w:r>
        <w:rPr>
          <w:rFonts w:ascii="Arial" w:hAnsi="Arial" w:cs="Arial"/>
          <w:sz w:val="20"/>
          <w:szCs w:val="20"/>
        </w:rPr>
        <w:t xml:space="preserve">04. Results showed a significantly lower proportion of students studying non-sports degree programmes gambling </w:t>
      </w:r>
      <w:r w:rsidR="00A02F24">
        <w:rPr>
          <w:rFonts w:ascii="Arial" w:hAnsi="Arial" w:cs="Arial"/>
          <w:sz w:val="20"/>
          <w:szCs w:val="20"/>
        </w:rPr>
        <w:t>more</w:t>
      </w:r>
      <w:r>
        <w:rPr>
          <w:rFonts w:ascii="Arial" w:hAnsi="Arial" w:cs="Arial"/>
          <w:sz w:val="20"/>
          <w:szCs w:val="20"/>
        </w:rPr>
        <w:t xml:space="preserve"> than once per week.  </w:t>
      </w:r>
    </w:p>
    <w:p w14:paraId="2440F249" w14:textId="75A2C17F" w:rsidR="00D26473" w:rsidRPr="00493AF4" w:rsidRDefault="00D26473" w:rsidP="00D26473">
      <w:pPr>
        <w:jc w:val="both"/>
        <w:rPr>
          <w:rFonts w:ascii="Arial" w:hAnsi="Arial" w:cs="Arial"/>
          <w:sz w:val="20"/>
          <w:szCs w:val="20"/>
        </w:rPr>
      </w:pPr>
      <w:r>
        <w:rPr>
          <w:rFonts w:ascii="Arial" w:hAnsi="Arial" w:cs="Arial"/>
          <w:sz w:val="20"/>
          <w:szCs w:val="20"/>
        </w:rPr>
        <w:t xml:space="preserve">Table </w:t>
      </w:r>
      <w:r w:rsidR="007A2204">
        <w:rPr>
          <w:rFonts w:ascii="Arial" w:hAnsi="Arial" w:cs="Arial"/>
          <w:sz w:val="20"/>
          <w:szCs w:val="20"/>
        </w:rPr>
        <w:t>2</w:t>
      </w:r>
      <w:r>
        <w:rPr>
          <w:rFonts w:ascii="Arial" w:hAnsi="Arial" w:cs="Arial"/>
          <w:sz w:val="20"/>
          <w:szCs w:val="20"/>
        </w:rPr>
        <w:t xml:space="preserve">: Gambling regularity by degree programme  </w:t>
      </w:r>
    </w:p>
    <w:tbl>
      <w:tblPr>
        <w:tblStyle w:val="TableGrid"/>
        <w:tblW w:w="0" w:type="auto"/>
        <w:jc w:val="center"/>
        <w:tblLook w:val="04A0" w:firstRow="1" w:lastRow="0" w:firstColumn="1" w:lastColumn="0" w:noHBand="0" w:noVBand="1"/>
      </w:tblPr>
      <w:tblGrid>
        <w:gridCol w:w="1139"/>
        <w:gridCol w:w="1242"/>
        <w:gridCol w:w="1316"/>
        <w:gridCol w:w="1462"/>
        <w:gridCol w:w="1371"/>
      </w:tblGrid>
      <w:tr w:rsidR="00D26473" w:rsidRPr="00D4016B" w14:paraId="73292328" w14:textId="77777777" w:rsidTr="00742120">
        <w:trPr>
          <w:jc w:val="center"/>
        </w:trPr>
        <w:tc>
          <w:tcPr>
            <w:tcW w:w="2225" w:type="dxa"/>
            <w:gridSpan w:val="2"/>
            <w:vMerge w:val="restart"/>
          </w:tcPr>
          <w:p w14:paraId="6A9B9A48" w14:textId="77777777" w:rsidR="00D26473" w:rsidRPr="00D4016B" w:rsidRDefault="00D26473" w:rsidP="00742120">
            <w:pPr>
              <w:jc w:val="center"/>
              <w:rPr>
                <w:rFonts w:ascii="Arial" w:hAnsi="Arial" w:cs="Arial"/>
                <w:sz w:val="20"/>
                <w:szCs w:val="20"/>
              </w:rPr>
            </w:pPr>
          </w:p>
        </w:tc>
        <w:tc>
          <w:tcPr>
            <w:tcW w:w="4149" w:type="dxa"/>
            <w:gridSpan w:val="3"/>
          </w:tcPr>
          <w:p w14:paraId="6E7AAC19" w14:textId="77777777" w:rsidR="00D26473" w:rsidRPr="007A72E6" w:rsidRDefault="00D26473" w:rsidP="00742120">
            <w:pPr>
              <w:jc w:val="center"/>
              <w:rPr>
                <w:rFonts w:ascii="Arial" w:hAnsi="Arial" w:cs="Arial"/>
                <w:b/>
                <w:bCs/>
                <w:sz w:val="20"/>
                <w:szCs w:val="20"/>
              </w:rPr>
            </w:pPr>
            <w:r w:rsidRPr="007A72E6">
              <w:rPr>
                <w:rFonts w:ascii="Arial" w:hAnsi="Arial" w:cs="Arial"/>
                <w:b/>
                <w:bCs/>
                <w:sz w:val="20"/>
                <w:szCs w:val="20"/>
              </w:rPr>
              <w:t xml:space="preserve">Study Topic </w:t>
            </w:r>
          </w:p>
        </w:tc>
      </w:tr>
      <w:tr w:rsidR="00D26473" w:rsidRPr="00D4016B" w14:paraId="0FFC734A" w14:textId="77777777" w:rsidTr="00742120">
        <w:trPr>
          <w:jc w:val="center"/>
        </w:trPr>
        <w:tc>
          <w:tcPr>
            <w:tcW w:w="2225" w:type="dxa"/>
            <w:gridSpan w:val="2"/>
            <w:vMerge/>
          </w:tcPr>
          <w:p w14:paraId="0C369AEA" w14:textId="77777777" w:rsidR="00D26473" w:rsidRPr="00D4016B" w:rsidRDefault="00D26473" w:rsidP="00742120">
            <w:pPr>
              <w:jc w:val="both"/>
              <w:rPr>
                <w:rFonts w:ascii="Arial" w:hAnsi="Arial" w:cs="Arial"/>
                <w:sz w:val="20"/>
                <w:szCs w:val="20"/>
              </w:rPr>
            </w:pPr>
          </w:p>
        </w:tc>
        <w:tc>
          <w:tcPr>
            <w:tcW w:w="1316" w:type="dxa"/>
          </w:tcPr>
          <w:p w14:paraId="25E1AD58" w14:textId="77777777" w:rsidR="00D26473" w:rsidRPr="007A72E6" w:rsidRDefault="00D26473" w:rsidP="00742120">
            <w:pPr>
              <w:jc w:val="center"/>
              <w:rPr>
                <w:rFonts w:ascii="Arial" w:hAnsi="Arial" w:cs="Arial"/>
                <w:b/>
                <w:bCs/>
                <w:sz w:val="20"/>
                <w:szCs w:val="20"/>
              </w:rPr>
            </w:pPr>
            <w:r w:rsidRPr="007A72E6">
              <w:rPr>
                <w:rFonts w:ascii="Arial" w:hAnsi="Arial" w:cs="Arial"/>
                <w:b/>
                <w:bCs/>
                <w:sz w:val="20"/>
                <w:szCs w:val="20"/>
              </w:rPr>
              <w:t>Sport</w:t>
            </w:r>
          </w:p>
        </w:tc>
        <w:tc>
          <w:tcPr>
            <w:tcW w:w="1462" w:type="dxa"/>
          </w:tcPr>
          <w:p w14:paraId="5DC3D47F" w14:textId="77777777" w:rsidR="00D26473" w:rsidRPr="007A72E6" w:rsidRDefault="00D26473" w:rsidP="00742120">
            <w:pPr>
              <w:jc w:val="center"/>
              <w:rPr>
                <w:rFonts w:ascii="Arial" w:hAnsi="Arial" w:cs="Arial"/>
                <w:b/>
                <w:bCs/>
                <w:sz w:val="20"/>
                <w:szCs w:val="20"/>
              </w:rPr>
            </w:pPr>
            <w:r w:rsidRPr="007A72E6">
              <w:rPr>
                <w:rFonts w:ascii="Arial" w:hAnsi="Arial" w:cs="Arial"/>
                <w:b/>
                <w:bCs/>
                <w:sz w:val="20"/>
                <w:szCs w:val="20"/>
              </w:rPr>
              <w:t>Non-Sport</w:t>
            </w:r>
          </w:p>
        </w:tc>
        <w:tc>
          <w:tcPr>
            <w:tcW w:w="1371" w:type="dxa"/>
          </w:tcPr>
          <w:p w14:paraId="3CBBE993" w14:textId="77777777" w:rsidR="00D26473" w:rsidRPr="007A72E6" w:rsidRDefault="00D26473" w:rsidP="00742120">
            <w:pPr>
              <w:jc w:val="center"/>
              <w:rPr>
                <w:rFonts w:ascii="Arial" w:hAnsi="Arial" w:cs="Arial"/>
                <w:b/>
                <w:bCs/>
                <w:sz w:val="20"/>
                <w:szCs w:val="20"/>
              </w:rPr>
            </w:pPr>
            <w:r w:rsidRPr="007A72E6">
              <w:rPr>
                <w:rFonts w:ascii="Arial" w:hAnsi="Arial" w:cs="Arial"/>
                <w:b/>
                <w:bCs/>
                <w:sz w:val="20"/>
                <w:szCs w:val="20"/>
              </w:rPr>
              <w:t>Total</w:t>
            </w:r>
          </w:p>
        </w:tc>
      </w:tr>
      <w:tr w:rsidR="00D26473" w:rsidRPr="00D4016B" w14:paraId="6B429D4C" w14:textId="77777777" w:rsidTr="00742120">
        <w:trPr>
          <w:trHeight w:val="361"/>
          <w:jc w:val="center"/>
        </w:trPr>
        <w:tc>
          <w:tcPr>
            <w:tcW w:w="983" w:type="dxa"/>
            <w:vMerge w:val="restart"/>
            <w:vAlign w:val="center"/>
          </w:tcPr>
          <w:p w14:paraId="62DF8AEA" w14:textId="77777777" w:rsidR="00D26473" w:rsidRPr="007A72E6" w:rsidRDefault="00D26473" w:rsidP="00742120">
            <w:pPr>
              <w:jc w:val="right"/>
              <w:rPr>
                <w:rFonts w:ascii="Arial" w:hAnsi="Arial" w:cs="Arial"/>
                <w:b/>
                <w:bCs/>
                <w:sz w:val="20"/>
                <w:szCs w:val="20"/>
              </w:rPr>
            </w:pPr>
            <w:r w:rsidRPr="007A72E6">
              <w:rPr>
                <w:rFonts w:ascii="Arial" w:hAnsi="Arial" w:cs="Arial"/>
                <w:b/>
                <w:bCs/>
                <w:sz w:val="20"/>
                <w:szCs w:val="20"/>
              </w:rPr>
              <w:t>Gambling regularity</w:t>
            </w:r>
          </w:p>
        </w:tc>
        <w:tc>
          <w:tcPr>
            <w:tcW w:w="1242" w:type="dxa"/>
            <w:vAlign w:val="center"/>
          </w:tcPr>
          <w:p w14:paraId="34E11337" w14:textId="3FA12A4D" w:rsidR="00D26473" w:rsidRPr="007A72E6" w:rsidRDefault="00F2187D" w:rsidP="00742120">
            <w:pPr>
              <w:jc w:val="right"/>
              <w:rPr>
                <w:rFonts w:ascii="Arial" w:hAnsi="Arial" w:cs="Arial"/>
                <w:b/>
                <w:bCs/>
                <w:sz w:val="20"/>
                <w:szCs w:val="20"/>
              </w:rPr>
            </w:pPr>
            <w:r>
              <w:rPr>
                <w:rFonts w:ascii="Arial" w:hAnsi="Arial" w:cs="Arial"/>
                <w:b/>
                <w:bCs/>
                <w:sz w:val="20"/>
                <w:szCs w:val="20"/>
              </w:rPr>
              <w:t>More</w:t>
            </w:r>
            <w:r w:rsidR="00D26473" w:rsidRPr="007A72E6">
              <w:rPr>
                <w:rFonts w:ascii="Arial" w:hAnsi="Arial" w:cs="Arial"/>
                <w:b/>
                <w:bCs/>
                <w:sz w:val="20"/>
                <w:szCs w:val="20"/>
              </w:rPr>
              <w:t xml:space="preserve"> than once a week</w:t>
            </w:r>
          </w:p>
        </w:tc>
        <w:tc>
          <w:tcPr>
            <w:tcW w:w="1316" w:type="dxa"/>
            <w:vAlign w:val="center"/>
          </w:tcPr>
          <w:p w14:paraId="39AB0783" w14:textId="77777777" w:rsidR="00D26473" w:rsidRPr="00D4016B" w:rsidRDefault="00D26473" w:rsidP="00742120">
            <w:pPr>
              <w:jc w:val="center"/>
              <w:rPr>
                <w:rFonts w:ascii="Arial" w:hAnsi="Arial" w:cs="Arial"/>
                <w:sz w:val="20"/>
                <w:szCs w:val="20"/>
              </w:rPr>
            </w:pPr>
            <w:r>
              <w:rPr>
                <w:rFonts w:ascii="Arial" w:hAnsi="Arial" w:cs="Arial"/>
                <w:sz w:val="20"/>
                <w:szCs w:val="20"/>
              </w:rPr>
              <w:t>26</w:t>
            </w:r>
          </w:p>
        </w:tc>
        <w:tc>
          <w:tcPr>
            <w:tcW w:w="1462" w:type="dxa"/>
            <w:vAlign w:val="center"/>
          </w:tcPr>
          <w:p w14:paraId="714C00F5" w14:textId="77777777" w:rsidR="00D26473" w:rsidRPr="00D4016B" w:rsidRDefault="00D26473" w:rsidP="00742120">
            <w:pPr>
              <w:jc w:val="center"/>
              <w:rPr>
                <w:rFonts w:ascii="Arial" w:hAnsi="Arial" w:cs="Arial"/>
                <w:sz w:val="20"/>
                <w:szCs w:val="20"/>
              </w:rPr>
            </w:pPr>
            <w:r>
              <w:rPr>
                <w:rFonts w:ascii="Arial" w:hAnsi="Arial" w:cs="Arial"/>
                <w:sz w:val="20"/>
                <w:szCs w:val="20"/>
              </w:rPr>
              <w:t>5</w:t>
            </w:r>
          </w:p>
        </w:tc>
        <w:tc>
          <w:tcPr>
            <w:tcW w:w="1371" w:type="dxa"/>
            <w:vAlign w:val="center"/>
          </w:tcPr>
          <w:p w14:paraId="0BCDA514" w14:textId="77777777" w:rsidR="00D26473" w:rsidRPr="00D4016B" w:rsidRDefault="00D26473" w:rsidP="00742120">
            <w:pPr>
              <w:jc w:val="center"/>
              <w:rPr>
                <w:rFonts w:ascii="Arial" w:hAnsi="Arial" w:cs="Arial"/>
                <w:sz w:val="20"/>
                <w:szCs w:val="20"/>
              </w:rPr>
            </w:pPr>
            <w:r>
              <w:rPr>
                <w:rFonts w:ascii="Arial" w:hAnsi="Arial" w:cs="Arial"/>
                <w:sz w:val="20"/>
                <w:szCs w:val="20"/>
              </w:rPr>
              <w:t>31</w:t>
            </w:r>
          </w:p>
        </w:tc>
      </w:tr>
      <w:tr w:rsidR="00D26473" w:rsidRPr="00D4016B" w14:paraId="6E6928CB" w14:textId="77777777" w:rsidTr="00742120">
        <w:trPr>
          <w:trHeight w:val="350"/>
          <w:jc w:val="center"/>
        </w:trPr>
        <w:tc>
          <w:tcPr>
            <w:tcW w:w="983" w:type="dxa"/>
            <w:vMerge/>
            <w:vAlign w:val="center"/>
          </w:tcPr>
          <w:p w14:paraId="75994CD0" w14:textId="77777777" w:rsidR="00D26473" w:rsidRPr="007A72E6" w:rsidRDefault="00D26473" w:rsidP="00742120">
            <w:pPr>
              <w:jc w:val="both"/>
              <w:rPr>
                <w:rFonts w:ascii="Arial" w:hAnsi="Arial" w:cs="Arial"/>
                <w:b/>
                <w:bCs/>
                <w:sz w:val="20"/>
                <w:szCs w:val="20"/>
              </w:rPr>
            </w:pPr>
          </w:p>
        </w:tc>
        <w:tc>
          <w:tcPr>
            <w:tcW w:w="1242" w:type="dxa"/>
            <w:vAlign w:val="center"/>
          </w:tcPr>
          <w:p w14:paraId="1524D076" w14:textId="081ABEDA" w:rsidR="00D26473" w:rsidRPr="007A72E6" w:rsidRDefault="00F2187D" w:rsidP="00742120">
            <w:pPr>
              <w:jc w:val="right"/>
              <w:rPr>
                <w:rFonts w:ascii="Arial" w:hAnsi="Arial" w:cs="Arial"/>
                <w:b/>
                <w:bCs/>
                <w:sz w:val="20"/>
                <w:szCs w:val="20"/>
              </w:rPr>
            </w:pPr>
            <w:r>
              <w:rPr>
                <w:rFonts w:ascii="Arial" w:hAnsi="Arial" w:cs="Arial"/>
                <w:b/>
                <w:bCs/>
                <w:sz w:val="20"/>
                <w:szCs w:val="20"/>
              </w:rPr>
              <w:t>Less</w:t>
            </w:r>
            <w:r w:rsidR="00D26473" w:rsidRPr="007A72E6">
              <w:rPr>
                <w:rFonts w:ascii="Arial" w:hAnsi="Arial" w:cs="Arial"/>
                <w:b/>
                <w:bCs/>
                <w:sz w:val="20"/>
                <w:szCs w:val="20"/>
              </w:rPr>
              <w:t xml:space="preserve"> than once a week</w:t>
            </w:r>
          </w:p>
        </w:tc>
        <w:tc>
          <w:tcPr>
            <w:tcW w:w="1316" w:type="dxa"/>
            <w:vAlign w:val="center"/>
          </w:tcPr>
          <w:p w14:paraId="405DECF3" w14:textId="77777777" w:rsidR="00D26473" w:rsidRPr="00D4016B" w:rsidRDefault="00D26473" w:rsidP="00742120">
            <w:pPr>
              <w:jc w:val="center"/>
              <w:rPr>
                <w:rFonts w:ascii="Arial" w:hAnsi="Arial" w:cs="Arial"/>
                <w:sz w:val="20"/>
                <w:szCs w:val="20"/>
              </w:rPr>
            </w:pPr>
            <w:r>
              <w:rPr>
                <w:rFonts w:ascii="Arial" w:hAnsi="Arial" w:cs="Arial"/>
                <w:sz w:val="20"/>
                <w:szCs w:val="20"/>
              </w:rPr>
              <w:t>26</w:t>
            </w:r>
          </w:p>
        </w:tc>
        <w:tc>
          <w:tcPr>
            <w:tcW w:w="1462" w:type="dxa"/>
            <w:vAlign w:val="center"/>
          </w:tcPr>
          <w:p w14:paraId="6E57F4F3" w14:textId="77777777" w:rsidR="00D26473" w:rsidRPr="00D4016B" w:rsidRDefault="00D26473" w:rsidP="00742120">
            <w:pPr>
              <w:jc w:val="center"/>
              <w:rPr>
                <w:rFonts w:ascii="Arial" w:hAnsi="Arial" w:cs="Arial"/>
                <w:sz w:val="20"/>
                <w:szCs w:val="20"/>
              </w:rPr>
            </w:pPr>
            <w:r>
              <w:rPr>
                <w:rFonts w:ascii="Arial" w:hAnsi="Arial" w:cs="Arial"/>
                <w:sz w:val="20"/>
                <w:szCs w:val="20"/>
              </w:rPr>
              <w:t>24</w:t>
            </w:r>
          </w:p>
        </w:tc>
        <w:tc>
          <w:tcPr>
            <w:tcW w:w="1371" w:type="dxa"/>
            <w:vAlign w:val="center"/>
          </w:tcPr>
          <w:p w14:paraId="3F5D03D7" w14:textId="77777777" w:rsidR="00D26473" w:rsidRPr="00D4016B" w:rsidRDefault="00D26473" w:rsidP="00742120">
            <w:pPr>
              <w:jc w:val="center"/>
              <w:rPr>
                <w:rFonts w:ascii="Arial" w:hAnsi="Arial" w:cs="Arial"/>
                <w:sz w:val="20"/>
                <w:szCs w:val="20"/>
              </w:rPr>
            </w:pPr>
            <w:r>
              <w:rPr>
                <w:rFonts w:ascii="Arial" w:hAnsi="Arial" w:cs="Arial"/>
                <w:sz w:val="20"/>
                <w:szCs w:val="20"/>
              </w:rPr>
              <w:t>50</w:t>
            </w:r>
          </w:p>
        </w:tc>
      </w:tr>
      <w:tr w:rsidR="00D26473" w:rsidRPr="00D4016B" w14:paraId="0CED2793" w14:textId="77777777" w:rsidTr="00742120">
        <w:trPr>
          <w:jc w:val="center"/>
        </w:trPr>
        <w:tc>
          <w:tcPr>
            <w:tcW w:w="983" w:type="dxa"/>
            <w:vMerge/>
            <w:vAlign w:val="center"/>
          </w:tcPr>
          <w:p w14:paraId="534EDDD8" w14:textId="77777777" w:rsidR="00D26473" w:rsidRPr="007A72E6" w:rsidRDefault="00D26473" w:rsidP="00742120">
            <w:pPr>
              <w:jc w:val="both"/>
              <w:rPr>
                <w:rFonts w:ascii="Arial" w:hAnsi="Arial" w:cs="Arial"/>
                <w:b/>
                <w:bCs/>
                <w:sz w:val="20"/>
                <w:szCs w:val="20"/>
              </w:rPr>
            </w:pPr>
          </w:p>
        </w:tc>
        <w:tc>
          <w:tcPr>
            <w:tcW w:w="1242" w:type="dxa"/>
            <w:vAlign w:val="center"/>
          </w:tcPr>
          <w:p w14:paraId="13A1891A" w14:textId="77777777" w:rsidR="00D26473" w:rsidRPr="007A72E6" w:rsidRDefault="00D26473" w:rsidP="00742120">
            <w:pPr>
              <w:jc w:val="center"/>
              <w:rPr>
                <w:rFonts w:ascii="Arial" w:hAnsi="Arial" w:cs="Arial"/>
                <w:b/>
                <w:bCs/>
                <w:sz w:val="20"/>
                <w:szCs w:val="20"/>
              </w:rPr>
            </w:pPr>
            <w:r w:rsidRPr="007A72E6">
              <w:rPr>
                <w:rFonts w:ascii="Arial" w:hAnsi="Arial" w:cs="Arial"/>
                <w:b/>
                <w:bCs/>
                <w:sz w:val="20"/>
                <w:szCs w:val="20"/>
              </w:rPr>
              <w:t>Total</w:t>
            </w:r>
          </w:p>
        </w:tc>
        <w:tc>
          <w:tcPr>
            <w:tcW w:w="1316" w:type="dxa"/>
            <w:vAlign w:val="center"/>
          </w:tcPr>
          <w:p w14:paraId="371577EC" w14:textId="77777777" w:rsidR="00D26473" w:rsidRPr="00D4016B" w:rsidRDefault="00D26473" w:rsidP="00742120">
            <w:pPr>
              <w:jc w:val="center"/>
              <w:rPr>
                <w:rFonts w:ascii="Arial" w:hAnsi="Arial" w:cs="Arial"/>
                <w:sz w:val="20"/>
                <w:szCs w:val="20"/>
              </w:rPr>
            </w:pPr>
            <w:r>
              <w:rPr>
                <w:rFonts w:ascii="Arial" w:hAnsi="Arial" w:cs="Arial"/>
                <w:sz w:val="20"/>
                <w:szCs w:val="20"/>
              </w:rPr>
              <w:t>52</w:t>
            </w:r>
          </w:p>
        </w:tc>
        <w:tc>
          <w:tcPr>
            <w:tcW w:w="1462" w:type="dxa"/>
            <w:vAlign w:val="center"/>
          </w:tcPr>
          <w:p w14:paraId="4DA66B88" w14:textId="77777777" w:rsidR="00D26473" w:rsidRPr="00D4016B" w:rsidRDefault="00D26473" w:rsidP="00742120">
            <w:pPr>
              <w:jc w:val="center"/>
              <w:rPr>
                <w:rFonts w:ascii="Arial" w:hAnsi="Arial" w:cs="Arial"/>
                <w:sz w:val="20"/>
                <w:szCs w:val="20"/>
              </w:rPr>
            </w:pPr>
            <w:r>
              <w:rPr>
                <w:rFonts w:ascii="Arial" w:hAnsi="Arial" w:cs="Arial"/>
                <w:sz w:val="20"/>
                <w:szCs w:val="20"/>
              </w:rPr>
              <w:t>29</w:t>
            </w:r>
          </w:p>
        </w:tc>
        <w:tc>
          <w:tcPr>
            <w:tcW w:w="1371" w:type="dxa"/>
            <w:vAlign w:val="center"/>
          </w:tcPr>
          <w:p w14:paraId="04780F3C" w14:textId="77777777" w:rsidR="00D26473" w:rsidRPr="00D4016B" w:rsidRDefault="00D26473" w:rsidP="00742120">
            <w:pPr>
              <w:jc w:val="center"/>
              <w:rPr>
                <w:rFonts w:ascii="Arial" w:hAnsi="Arial" w:cs="Arial"/>
                <w:sz w:val="20"/>
                <w:szCs w:val="20"/>
              </w:rPr>
            </w:pPr>
            <w:r>
              <w:rPr>
                <w:rFonts w:ascii="Arial" w:hAnsi="Arial" w:cs="Arial"/>
                <w:sz w:val="20"/>
                <w:szCs w:val="20"/>
              </w:rPr>
              <w:t>81</w:t>
            </w:r>
          </w:p>
        </w:tc>
      </w:tr>
    </w:tbl>
    <w:p w14:paraId="0113DD6A" w14:textId="77777777" w:rsidR="00D26473" w:rsidRPr="00C575F9" w:rsidRDefault="00D26473" w:rsidP="00D26473">
      <w:pPr>
        <w:jc w:val="both"/>
        <w:rPr>
          <w:rFonts w:ascii="Arial" w:hAnsi="Arial" w:cs="Arial"/>
          <w:i/>
          <w:iCs/>
          <w:sz w:val="20"/>
          <w:szCs w:val="20"/>
        </w:rPr>
      </w:pPr>
    </w:p>
    <w:p w14:paraId="57CFC08B" w14:textId="6A5ACDAC" w:rsidR="00C575F9" w:rsidRDefault="00F54E68" w:rsidP="00897E4D">
      <w:pPr>
        <w:jc w:val="both"/>
        <w:rPr>
          <w:rFonts w:ascii="Arial" w:hAnsi="Arial" w:cs="Arial"/>
          <w:sz w:val="20"/>
          <w:szCs w:val="20"/>
        </w:rPr>
      </w:pPr>
      <w:r w:rsidRPr="00C575F9">
        <w:rPr>
          <w:rFonts w:ascii="Arial" w:hAnsi="Arial" w:cs="Arial"/>
          <w:i/>
          <w:iCs/>
          <w:sz w:val="20"/>
          <w:szCs w:val="20"/>
        </w:rPr>
        <w:t>H</w:t>
      </w:r>
      <w:r w:rsidR="00587092">
        <w:rPr>
          <w:rFonts w:ascii="Arial" w:hAnsi="Arial" w:cs="Arial"/>
          <w:i/>
          <w:iCs/>
          <w:sz w:val="20"/>
          <w:szCs w:val="20"/>
        </w:rPr>
        <w:t>3</w:t>
      </w:r>
      <w:r w:rsidRPr="00C575F9">
        <w:rPr>
          <w:rFonts w:ascii="Arial" w:hAnsi="Arial" w:cs="Arial"/>
          <w:i/>
          <w:iCs/>
          <w:sz w:val="20"/>
          <w:szCs w:val="20"/>
        </w:rPr>
        <w:t>:</w:t>
      </w:r>
      <w:r w:rsidR="00757D09">
        <w:rPr>
          <w:rFonts w:ascii="Arial" w:hAnsi="Arial" w:cs="Arial"/>
          <w:sz w:val="20"/>
          <w:szCs w:val="20"/>
        </w:rPr>
        <w:t xml:space="preserve"> Table </w:t>
      </w:r>
      <w:r w:rsidR="00C450C6">
        <w:rPr>
          <w:rFonts w:ascii="Arial" w:hAnsi="Arial" w:cs="Arial"/>
          <w:sz w:val="20"/>
          <w:szCs w:val="20"/>
        </w:rPr>
        <w:t>3</w:t>
      </w:r>
      <w:r w:rsidR="00757D09">
        <w:rPr>
          <w:rFonts w:ascii="Arial" w:hAnsi="Arial" w:cs="Arial"/>
          <w:sz w:val="20"/>
          <w:szCs w:val="20"/>
        </w:rPr>
        <w:t xml:space="preserve"> </w:t>
      </w:r>
      <w:r w:rsidR="005C6C7A">
        <w:rPr>
          <w:rFonts w:ascii="Arial" w:hAnsi="Arial" w:cs="Arial"/>
          <w:sz w:val="20"/>
          <w:szCs w:val="20"/>
        </w:rPr>
        <w:t xml:space="preserve">shows </w:t>
      </w:r>
      <w:r w:rsidR="00057281">
        <w:rPr>
          <w:rFonts w:ascii="Arial" w:hAnsi="Arial" w:cs="Arial"/>
          <w:sz w:val="20"/>
          <w:szCs w:val="20"/>
        </w:rPr>
        <w:t xml:space="preserve">gambling expenditure </w:t>
      </w:r>
      <w:r w:rsidR="00C1388F">
        <w:rPr>
          <w:rFonts w:ascii="Arial" w:hAnsi="Arial" w:cs="Arial"/>
          <w:sz w:val="20"/>
          <w:szCs w:val="20"/>
        </w:rPr>
        <w:t>by degree programme</w:t>
      </w:r>
      <w:r w:rsidR="005C6C7A">
        <w:rPr>
          <w:rFonts w:ascii="Arial" w:hAnsi="Arial" w:cs="Arial"/>
          <w:sz w:val="20"/>
          <w:szCs w:val="20"/>
        </w:rPr>
        <w:t>. A 2x</w:t>
      </w:r>
      <w:r w:rsidR="001F0B0D">
        <w:rPr>
          <w:rFonts w:ascii="Arial" w:hAnsi="Arial" w:cs="Arial"/>
          <w:sz w:val="20"/>
          <w:szCs w:val="20"/>
        </w:rPr>
        <w:t>2</w:t>
      </w:r>
      <w:r w:rsidR="005C6C7A">
        <w:rPr>
          <w:rFonts w:ascii="Arial" w:hAnsi="Arial" w:cs="Arial"/>
          <w:sz w:val="20"/>
          <w:szCs w:val="20"/>
        </w:rPr>
        <w:t xml:space="preserve"> chi-square test examined associations between these categories</w:t>
      </w:r>
      <w:r w:rsidR="00FE0915">
        <w:rPr>
          <w:rFonts w:ascii="Arial" w:hAnsi="Arial" w:cs="Arial"/>
          <w:sz w:val="20"/>
          <w:szCs w:val="20"/>
        </w:rPr>
        <w:t>,</w:t>
      </w:r>
      <w:r w:rsidR="005C6C7A">
        <w:rPr>
          <w:rFonts w:ascii="Arial" w:hAnsi="Arial" w:cs="Arial"/>
          <w:sz w:val="20"/>
          <w:szCs w:val="20"/>
        </w:rPr>
        <w:t xml:space="preserve"> </w:t>
      </w:r>
      <w:r w:rsidR="00FE0915">
        <w:rPr>
          <w:rFonts w:ascii="Arial" w:hAnsi="Arial" w:cs="Arial"/>
          <w:sz w:val="20"/>
          <w:szCs w:val="20"/>
        </w:rPr>
        <w:t>t</w:t>
      </w:r>
      <w:r w:rsidR="005C6C7A">
        <w:rPr>
          <w:rFonts w:ascii="Arial" w:hAnsi="Arial" w:cs="Arial"/>
          <w:sz w:val="20"/>
          <w:szCs w:val="20"/>
        </w:rPr>
        <w:t>he relation between these variables was significant</w:t>
      </w:r>
      <w:r w:rsidR="00757D09">
        <w:rPr>
          <w:rFonts w:ascii="Arial" w:hAnsi="Arial" w:cs="Arial"/>
          <w:sz w:val="20"/>
          <w:szCs w:val="20"/>
        </w:rPr>
        <w:t xml:space="preserve"> </w:t>
      </w:r>
      <w:r w:rsidR="009E4229" w:rsidRPr="00715960">
        <w:rPr>
          <w:rFonts w:ascii="Arial" w:hAnsi="Arial" w:cs="Arial"/>
          <w:i/>
          <w:iCs/>
          <w:sz w:val="20"/>
          <w:szCs w:val="20"/>
        </w:rPr>
        <w:t>X</w:t>
      </w:r>
      <w:r w:rsidR="009E4229" w:rsidRPr="00715960">
        <w:rPr>
          <w:rFonts w:ascii="Arial" w:hAnsi="Arial" w:cs="Arial"/>
          <w:position w:val="6"/>
          <w:sz w:val="20"/>
          <w:szCs w:val="20"/>
        </w:rPr>
        <w:t>2</w:t>
      </w:r>
      <w:r w:rsidR="009E4229" w:rsidRPr="00715960">
        <w:rPr>
          <w:rFonts w:ascii="Arial" w:hAnsi="Arial" w:cs="Arial"/>
          <w:sz w:val="20"/>
          <w:szCs w:val="20"/>
        </w:rPr>
        <w:t xml:space="preserve"> (</w:t>
      </w:r>
      <w:r w:rsidR="009E4229">
        <w:rPr>
          <w:rFonts w:ascii="Arial" w:hAnsi="Arial" w:cs="Arial"/>
          <w:sz w:val="20"/>
          <w:szCs w:val="20"/>
        </w:rPr>
        <w:t>1</w:t>
      </w:r>
      <w:r w:rsidR="009E4229" w:rsidRPr="00715960">
        <w:rPr>
          <w:rFonts w:ascii="Arial" w:hAnsi="Arial" w:cs="Arial"/>
          <w:sz w:val="20"/>
          <w:szCs w:val="20"/>
        </w:rPr>
        <w:t xml:space="preserve">, N = </w:t>
      </w:r>
      <w:r w:rsidR="00A90E64">
        <w:rPr>
          <w:rFonts w:ascii="Arial" w:hAnsi="Arial" w:cs="Arial"/>
          <w:sz w:val="20"/>
          <w:szCs w:val="20"/>
        </w:rPr>
        <w:t>79</w:t>
      </w:r>
      <w:r w:rsidR="009E4229" w:rsidRPr="00715960">
        <w:rPr>
          <w:rFonts w:ascii="Arial" w:hAnsi="Arial" w:cs="Arial"/>
          <w:sz w:val="20"/>
          <w:szCs w:val="20"/>
        </w:rPr>
        <w:t xml:space="preserve">) </w:t>
      </w:r>
      <w:r w:rsidR="003D451A">
        <w:rPr>
          <w:rFonts w:ascii="Arial" w:hAnsi="Arial" w:cs="Arial"/>
          <w:sz w:val="20"/>
          <w:szCs w:val="20"/>
        </w:rPr>
        <w:t>8</w:t>
      </w:r>
      <w:r w:rsidR="009E4229" w:rsidRPr="00715960">
        <w:rPr>
          <w:rFonts w:ascii="Arial" w:hAnsi="Arial" w:cs="Arial"/>
          <w:sz w:val="20"/>
          <w:szCs w:val="20"/>
        </w:rPr>
        <w:t>.</w:t>
      </w:r>
      <w:r w:rsidR="003D451A">
        <w:rPr>
          <w:rFonts w:ascii="Arial" w:hAnsi="Arial" w:cs="Arial"/>
          <w:sz w:val="20"/>
          <w:szCs w:val="20"/>
        </w:rPr>
        <w:t>463</w:t>
      </w:r>
      <w:r w:rsidR="009E4229" w:rsidRPr="00715960">
        <w:rPr>
          <w:rFonts w:ascii="Arial" w:hAnsi="Arial" w:cs="Arial"/>
          <w:sz w:val="20"/>
          <w:szCs w:val="20"/>
        </w:rPr>
        <w:t xml:space="preserve">, </w:t>
      </w:r>
      <w:r w:rsidR="009E4229" w:rsidRPr="00715960">
        <w:rPr>
          <w:rFonts w:ascii="Arial" w:hAnsi="Arial" w:cs="Arial"/>
          <w:i/>
          <w:iCs/>
          <w:sz w:val="20"/>
          <w:szCs w:val="20"/>
        </w:rPr>
        <w:t xml:space="preserve">p </w:t>
      </w:r>
      <w:r w:rsidR="009E4229" w:rsidRPr="00715960">
        <w:rPr>
          <w:rFonts w:ascii="Arial" w:hAnsi="Arial" w:cs="Arial"/>
          <w:sz w:val="20"/>
          <w:szCs w:val="20"/>
        </w:rPr>
        <w:t>.0</w:t>
      </w:r>
      <w:r w:rsidR="003117A7">
        <w:rPr>
          <w:rFonts w:ascii="Arial" w:hAnsi="Arial" w:cs="Arial"/>
          <w:sz w:val="20"/>
          <w:szCs w:val="20"/>
        </w:rPr>
        <w:t>04</w:t>
      </w:r>
      <w:r w:rsidR="00FE0915">
        <w:rPr>
          <w:rFonts w:ascii="Arial" w:hAnsi="Arial" w:cs="Arial"/>
          <w:sz w:val="20"/>
          <w:szCs w:val="20"/>
        </w:rPr>
        <w:t xml:space="preserve">. Results showed a </w:t>
      </w:r>
      <w:r w:rsidR="003D7BFE">
        <w:rPr>
          <w:rFonts w:ascii="Arial" w:hAnsi="Arial" w:cs="Arial"/>
          <w:sz w:val="20"/>
          <w:szCs w:val="20"/>
        </w:rPr>
        <w:t xml:space="preserve">significantly lower proportion of </w:t>
      </w:r>
      <w:r w:rsidR="00C171F6">
        <w:rPr>
          <w:rFonts w:ascii="Arial" w:hAnsi="Arial" w:cs="Arial"/>
          <w:sz w:val="20"/>
          <w:szCs w:val="20"/>
        </w:rPr>
        <w:t xml:space="preserve">students studying non-sports degree programmes spending more than £5 per week. </w:t>
      </w:r>
      <w:r w:rsidR="00FE0915">
        <w:rPr>
          <w:rFonts w:ascii="Arial" w:hAnsi="Arial" w:cs="Arial"/>
          <w:sz w:val="20"/>
          <w:szCs w:val="20"/>
        </w:rPr>
        <w:t xml:space="preserve"> </w:t>
      </w:r>
    </w:p>
    <w:p w14:paraId="21D94E04" w14:textId="31E76F17" w:rsidR="001F0B0D" w:rsidRPr="00D4016B" w:rsidRDefault="001F0B0D" w:rsidP="001F0B0D">
      <w:pPr>
        <w:pStyle w:val="NoSpacing"/>
        <w:rPr>
          <w:rFonts w:ascii="Arial" w:hAnsi="Arial" w:cs="Arial"/>
          <w:sz w:val="20"/>
          <w:szCs w:val="20"/>
        </w:rPr>
      </w:pPr>
      <w:r w:rsidRPr="00D4016B">
        <w:rPr>
          <w:rFonts w:ascii="Arial" w:hAnsi="Arial" w:cs="Arial"/>
          <w:sz w:val="20"/>
          <w:szCs w:val="20"/>
        </w:rPr>
        <w:t xml:space="preserve">Table </w:t>
      </w:r>
      <w:r w:rsidR="00C450C6">
        <w:rPr>
          <w:rFonts w:ascii="Arial" w:hAnsi="Arial" w:cs="Arial"/>
          <w:sz w:val="20"/>
          <w:szCs w:val="20"/>
        </w:rPr>
        <w:t>3</w:t>
      </w:r>
      <w:r w:rsidRPr="00D4016B">
        <w:rPr>
          <w:rFonts w:ascii="Arial" w:hAnsi="Arial" w:cs="Arial"/>
          <w:sz w:val="20"/>
          <w:szCs w:val="20"/>
        </w:rPr>
        <w:t xml:space="preserve">: </w:t>
      </w:r>
      <w:r>
        <w:rPr>
          <w:rFonts w:ascii="Arial" w:hAnsi="Arial" w:cs="Arial"/>
          <w:sz w:val="20"/>
          <w:szCs w:val="20"/>
        </w:rPr>
        <w:t>Gambl</w:t>
      </w:r>
      <w:r w:rsidR="007A72E6">
        <w:rPr>
          <w:rFonts w:ascii="Arial" w:hAnsi="Arial" w:cs="Arial"/>
          <w:sz w:val="20"/>
          <w:szCs w:val="20"/>
        </w:rPr>
        <w:t>ing</w:t>
      </w:r>
      <w:r>
        <w:rPr>
          <w:rFonts w:ascii="Arial" w:hAnsi="Arial" w:cs="Arial"/>
          <w:sz w:val="20"/>
          <w:szCs w:val="20"/>
        </w:rPr>
        <w:t xml:space="preserve"> </w:t>
      </w:r>
      <w:r w:rsidR="00D313CF">
        <w:rPr>
          <w:rFonts w:ascii="Arial" w:hAnsi="Arial" w:cs="Arial"/>
          <w:sz w:val="20"/>
          <w:szCs w:val="20"/>
        </w:rPr>
        <w:t>expenditure</w:t>
      </w:r>
      <w:r>
        <w:rPr>
          <w:rFonts w:ascii="Arial" w:hAnsi="Arial" w:cs="Arial"/>
          <w:sz w:val="20"/>
          <w:szCs w:val="20"/>
        </w:rPr>
        <w:t xml:space="preserve"> by degree programme  </w:t>
      </w:r>
    </w:p>
    <w:tbl>
      <w:tblPr>
        <w:tblStyle w:val="TableGrid"/>
        <w:tblW w:w="0" w:type="auto"/>
        <w:jc w:val="center"/>
        <w:tblLook w:val="04A0" w:firstRow="1" w:lastRow="0" w:firstColumn="1" w:lastColumn="0" w:noHBand="0" w:noVBand="1"/>
      </w:tblPr>
      <w:tblGrid>
        <w:gridCol w:w="1350"/>
        <w:gridCol w:w="1242"/>
        <w:gridCol w:w="1316"/>
        <w:gridCol w:w="1462"/>
        <w:gridCol w:w="1371"/>
      </w:tblGrid>
      <w:tr w:rsidR="00757D09" w:rsidRPr="00D4016B" w14:paraId="49C1B67A" w14:textId="77777777" w:rsidTr="001F0B0D">
        <w:trPr>
          <w:jc w:val="center"/>
        </w:trPr>
        <w:tc>
          <w:tcPr>
            <w:tcW w:w="2592" w:type="dxa"/>
            <w:gridSpan w:val="2"/>
            <w:vMerge w:val="restart"/>
            <w:vAlign w:val="center"/>
          </w:tcPr>
          <w:p w14:paraId="65E5E41B" w14:textId="77777777" w:rsidR="00757D09" w:rsidRPr="00D4016B" w:rsidRDefault="00757D09" w:rsidP="00892A4A">
            <w:pPr>
              <w:jc w:val="center"/>
              <w:rPr>
                <w:rFonts w:ascii="Arial" w:hAnsi="Arial" w:cs="Arial"/>
                <w:sz w:val="20"/>
                <w:szCs w:val="20"/>
              </w:rPr>
            </w:pPr>
          </w:p>
        </w:tc>
        <w:tc>
          <w:tcPr>
            <w:tcW w:w="4149" w:type="dxa"/>
            <w:gridSpan w:val="3"/>
            <w:vAlign w:val="center"/>
          </w:tcPr>
          <w:p w14:paraId="3F6CBDFF" w14:textId="135F9301" w:rsidR="00757D09" w:rsidRPr="00F6794D" w:rsidRDefault="00C1388F" w:rsidP="00892A4A">
            <w:pPr>
              <w:jc w:val="center"/>
              <w:rPr>
                <w:rFonts w:ascii="Arial" w:hAnsi="Arial" w:cs="Arial"/>
                <w:b/>
                <w:bCs/>
                <w:sz w:val="20"/>
                <w:szCs w:val="20"/>
              </w:rPr>
            </w:pPr>
            <w:r>
              <w:rPr>
                <w:rFonts w:ascii="Arial" w:hAnsi="Arial" w:cs="Arial"/>
                <w:b/>
                <w:bCs/>
                <w:sz w:val="20"/>
                <w:szCs w:val="20"/>
              </w:rPr>
              <w:t>Degree Programme</w:t>
            </w:r>
            <w:r w:rsidR="00757D09" w:rsidRPr="00F6794D">
              <w:rPr>
                <w:rFonts w:ascii="Arial" w:hAnsi="Arial" w:cs="Arial"/>
                <w:b/>
                <w:bCs/>
                <w:sz w:val="20"/>
                <w:szCs w:val="20"/>
              </w:rPr>
              <w:t xml:space="preserve"> </w:t>
            </w:r>
          </w:p>
        </w:tc>
      </w:tr>
      <w:tr w:rsidR="00873C37" w:rsidRPr="00D4016B" w14:paraId="1F953EFC" w14:textId="77777777" w:rsidTr="001F0B0D">
        <w:trPr>
          <w:jc w:val="center"/>
        </w:trPr>
        <w:tc>
          <w:tcPr>
            <w:tcW w:w="2592" w:type="dxa"/>
            <w:gridSpan w:val="2"/>
            <w:vMerge/>
            <w:vAlign w:val="center"/>
          </w:tcPr>
          <w:p w14:paraId="2782542B" w14:textId="77777777" w:rsidR="00873C37" w:rsidRPr="00D4016B" w:rsidRDefault="00873C37" w:rsidP="00892A4A">
            <w:pPr>
              <w:jc w:val="both"/>
              <w:rPr>
                <w:rFonts w:ascii="Arial" w:hAnsi="Arial" w:cs="Arial"/>
                <w:sz w:val="20"/>
                <w:szCs w:val="20"/>
              </w:rPr>
            </w:pPr>
          </w:p>
        </w:tc>
        <w:tc>
          <w:tcPr>
            <w:tcW w:w="1316" w:type="dxa"/>
            <w:vAlign w:val="center"/>
          </w:tcPr>
          <w:p w14:paraId="4DE3B409" w14:textId="328BE6ED" w:rsidR="00873C37" w:rsidRPr="00F6794D" w:rsidRDefault="00873C37" w:rsidP="00892A4A">
            <w:pPr>
              <w:jc w:val="center"/>
              <w:rPr>
                <w:rFonts w:ascii="Arial" w:hAnsi="Arial" w:cs="Arial"/>
                <w:b/>
                <w:bCs/>
                <w:sz w:val="20"/>
                <w:szCs w:val="20"/>
              </w:rPr>
            </w:pPr>
            <w:r w:rsidRPr="00F6794D">
              <w:rPr>
                <w:rFonts w:ascii="Arial" w:hAnsi="Arial" w:cs="Arial"/>
                <w:b/>
                <w:bCs/>
                <w:sz w:val="20"/>
                <w:szCs w:val="20"/>
              </w:rPr>
              <w:t>Sport</w:t>
            </w:r>
          </w:p>
        </w:tc>
        <w:tc>
          <w:tcPr>
            <w:tcW w:w="1462" w:type="dxa"/>
            <w:vAlign w:val="center"/>
          </w:tcPr>
          <w:p w14:paraId="337EA2E0" w14:textId="227BBE9F" w:rsidR="00873C37" w:rsidRPr="00F6794D" w:rsidRDefault="00873C37" w:rsidP="00892A4A">
            <w:pPr>
              <w:jc w:val="center"/>
              <w:rPr>
                <w:rFonts w:ascii="Arial" w:hAnsi="Arial" w:cs="Arial"/>
                <w:b/>
                <w:bCs/>
                <w:sz w:val="20"/>
                <w:szCs w:val="20"/>
              </w:rPr>
            </w:pPr>
            <w:r w:rsidRPr="00F6794D">
              <w:rPr>
                <w:rFonts w:ascii="Arial" w:hAnsi="Arial" w:cs="Arial"/>
                <w:b/>
                <w:bCs/>
                <w:sz w:val="20"/>
                <w:szCs w:val="20"/>
              </w:rPr>
              <w:t>Non-Sport</w:t>
            </w:r>
          </w:p>
        </w:tc>
        <w:tc>
          <w:tcPr>
            <w:tcW w:w="1371" w:type="dxa"/>
            <w:vAlign w:val="center"/>
          </w:tcPr>
          <w:p w14:paraId="1C3B2A8B" w14:textId="0F3CEDCD" w:rsidR="00873C37" w:rsidRPr="00F6794D" w:rsidRDefault="00873C37" w:rsidP="00892A4A">
            <w:pPr>
              <w:jc w:val="center"/>
              <w:rPr>
                <w:rFonts w:ascii="Arial" w:hAnsi="Arial" w:cs="Arial"/>
                <w:b/>
                <w:bCs/>
                <w:sz w:val="20"/>
                <w:szCs w:val="20"/>
              </w:rPr>
            </w:pPr>
            <w:r w:rsidRPr="00F6794D">
              <w:rPr>
                <w:rFonts w:ascii="Arial" w:hAnsi="Arial" w:cs="Arial"/>
                <w:b/>
                <w:bCs/>
                <w:sz w:val="20"/>
                <w:szCs w:val="20"/>
              </w:rPr>
              <w:t>Total</w:t>
            </w:r>
          </w:p>
        </w:tc>
      </w:tr>
      <w:tr w:rsidR="00873C37" w:rsidRPr="00D4016B" w14:paraId="6C1C6F5C" w14:textId="77777777" w:rsidTr="001F0B0D">
        <w:trPr>
          <w:trHeight w:val="361"/>
          <w:jc w:val="center"/>
        </w:trPr>
        <w:tc>
          <w:tcPr>
            <w:tcW w:w="1350" w:type="dxa"/>
            <w:vMerge w:val="restart"/>
            <w:vAlign w:val="center"/>
          </w:tcPr>
          <w:p w14:paraId="3B9E057D" w14:textId="66FBDC3F" w:rsidR="00873C37" w:rsidRPr="00F6794D" w:rsidRDefault="00F133C3" w:rsidP="00892A4A">
            <w:pPr>
              <w:jc w:val="right"/>
              <w:rPr>
                <w:rFonts w:ascii="Arial" w:hAnsi="Arial" w:cs="Arial"/>
                <w:b/>
                <w:bCs/>
                <w:sz w:val="20"/>
                <w:szCs w:val="20"/>
              </w:rPr>
            </w:pPr>
            <w:r w:rsidRPr="00F6794D">
              <w:rPr>
                <w:rFonts w:ascii="Arial" w:hAnsi="Arial" w:cs="Arial"/>
                <w:b/>
                <w:bCs/>
                <w:sz w:val="20"/>
                <w:szCs w:val="20"/>
              </w:rPr>
              <w:t>Gambling expenditure</w:t>
            </w:r>
          </w:p>
        </w:tc>
        <w:tc>
          <w:tcPr>
            <w:tcW w:w="1242" w:type="dxa"/>
            <w:vAlign w:val="center"/>
          </w:tcPr>
          <w:p w14:paraId="3845723D" w14:textId="7C02659E" w:rsidR="00873C37" w:rsidRPr="00F6794D" w:rsidRDefault="00EE2C24" w:rsidP="00FE33E8">
            <w:pPr>
              <w:jc w:val="right"/>
              <w:rPr>
                <w:rFonts w:ascii="Arial" w:hAnsi="Arial" w:cs="Arial"/>
                <w:b/>
                <w:bCs/>
                <w:sz w:val="20"/>
                <w:szCs w:val="20"/>
              </w:rPr>
            </w:pPr>
            <w:r w:rsidRPr="00F6794D">
              <w:rPr>
                <w:rFonts w:ascii="Arial" w:hAnsi="Arial" w:cs="Arial"/>
                <w:b/>
                <w:bCs/>
                <w:sz w:val="20"/>
                <w:szCs w:val="20"/>
              </w:rPr>
              <w:t>L</w:t>
            </w:r>
            <w:r w:rsidR="00F133C3" w:rsidRPr="00F6794D">
              <w:rPr>
                <w:rFonts w:ascii="Arial" w:hAnsi="Arial" w:cs="Arial"/>
                <w:b/>
                <w:bCs/>
                <w:sz w:val="20"/>
                <w:szCs w:val="20"/>
              </w:rPr>
              <w:t>ess</w:t>
            </w:r>
            <w:r w:rsidRPr="00F6794D">
              <w:rPr>
                <w:rFonts w:ascii="Arial" w:hAnsi="Arial" w:cs="Arial"/>
                <w:b/>
                <w:bCs/>
                <w:sz w:val="20"/>
                <w:szCs w:val="20"/>
              </w:rPr>
              <w:t xml:space="preserve"> than £5</w:t>
            </w:r>
            <w:r w:rsidR="00F133C3" w:rsidRPr="00F6794D">
              <w:rPr>
                <w:rFonts w:ascii="Arial" w:hAnsi="Arial" w:cs="Arial"/>
                <w:b/>
                <w:bCs/>
                <w:sz w:val="20"/>
                <w:szCs w:val="20"/>
              </w:rPr>
              <w:t xml:space="preserve"> per week</w:t>
            </w:r>
          </w:p>
        </w:tc>
        <w:tc>
          <w:tcPr>
            <w:tcW w:w="1316" w:type="dxa"/>
            <w:vAlign w:val="center"/>
          </w:tcPr>
          <w:p w14:paraId="5B3C623A" w14:textId="0D452D12" w:rsidR="00873C37" w:rsidRPr="00D4016B" w:rsidRDefault="008B7AF9" w:rsidP="00892A4A">
            <w:pPr>
              <w:jc w:val="center"/>
              <w:rPr>
                <w:rFonts w:ascii="Arial" w:hAnsi="Arial" w:cs="Arial"/>
                <w:sz w:val="20"/>
                <w:szCs w:val="20"/>
              </w:rPr>
            </w:pPr>
            <w:r>
              <w:rPr>
                <w:rFonts w:ascii="Arial" w:hAnsi="Arial" w:cs="Arial"/>
                <w:sz w:val="20"/>
                <w:szCs w:val="20"/>
              </w:rPr>
              <w:t>2</w:t>
            </w:r>
            <w:r w:rsidR="00E12DB7">
              <w:rPr>
                <w:rFonts w:ascii="Arial" w:hAnsi="Arial" w:cs="Arial"/>
                <w:sz w:val="20"/>
                <w:szCs w:val="20"/>
              </w:rPr>
              <w:t>7</w:t>
            </w:r>
          </w:p>
        </w:tc>
        <w:tc>
          <w:tcPr>
            <w:tcW w:w="1462" w:type="dxa"/>
            <w:vAlign w:val="center"/>
          </w:tcPr>
          <w:p w14:paraId="369143A1" w14:textId="488F56EB" w:rsidR="00873C37" w:rsidRPr="00D4016B" w:rsidRDefault="008B7AF9" w:rsidP="00892A4A">
            <w:pPr>
              <w:jc w:val="center"/>
              <w:rPr>
                <w:rFonts w:ascii="Arial" w:hAnsi="Arial" w:cs="Arial"/>
                <w:sz w:val="20"/>
                <w:szCs w:val="20"/>
              </w:rPr>
            </w:pPr>
            <w:r>
              <w:rPr>
                <w:rFonts w:ascii="Arial" w:hAnsi="Arial" w:cs="Arial"/>
                <w:sz w:val="20"/>
                <w:szCs w:val="20"/>
              </w:rPr>
              <w:t>2</w:t>
            </w:r>
            <w:r w:rsidR="00E12DB7">
              <w:rPr>
                <w:rFonts w:ascii="Arial" w:hAnsi="Arial" w:cs="Arial"/>
                <w:sz w:val="20"/>
                <w:szCs w:val="20"/>
              </w:rPr>
              <w:t>5</w:t>
            </w:r>
          </w:p>
        </w:tc>
        <w:tc>
          <w:tcPr>
            <w:tcW w:w="1371" w:type="dxa"/>
            <w:vAlign w:val="center"/>
          </w:tcPr>
          <w:p w14:paraId="7DDC5B4A" w14:textId="06D4816D" w:rsidR="00873C37" w:rsidRPr="00D4016B" w:rsidRDefault="008B7AF9" w:rsidP="00892A4A">
            <w:pPr>
              <w:jc w:val="center"/>
              <w:rPr>
                <w:rFonts w:ascii="Arial" w:hAnsi="Arial" w:cs="Arial"/>
                <w:sz w:val="20"/>
                <w:szCs w:val="20"/>
              </w:rPr>
            </w:pPr>
            <w:r>
              <w:rPr>
                <w:rFonts w:ascii="Arial" w:hAnsi="Arial" w:cs="Arial"/>
                <w:sz w:val="20"/>
                <w:szCs w:val="20"/>
              </w:rPr>
              <w:t>52</w:t>
            </w:r>
          </w:p>
        </w:tc>
      </w:tr>
      <w:tr w:rsidR="00873C37" w:rsidRPr="00D4016B" w14:paraId="21A558A9" w14:textId="77777777" w:rsidTr="001F0B0D">
        <w:trPr>
          <w:trHeight w:val="350"/>
          <w:jc w:val="center"/>
        </w:trPr>
        <w:tc>
          <w:tcPr>
            <w:tcW w:w="1350" w:type="dxa"/>
            <w:vMerge/>
            <w:vAlign w:val="center"/>
          </w:tcPr>
          <w:p w14:paraId="19E8FD15" w14:textId="77777777" w:rsidR="00873C37" w:rsidRPr="00F6794D" w:rsidRDefault="00873C37" w:rsidP="00892A4A">
            <w:pPr>
              <w:jc w:val="both"/>
              <w:rPr>
                <w:rFonts w:ascii="Arial" w:hAnsi="Arial" w:cs="Arial"/>
                <w:b/>
                <w:bCs/>
                <w:sz w:val="20"/>
                <w:szCs w:val="20"/>
              </w:rPr>
            </w:pPr>
          </w:p>
        </w:tc>
        <w:tc>
          <w:tcPr>
            <w:tcW w:w="1242" w:type="dxa"/>
            <w:vAlign w:val="center"/>
          </w:tcPr>
          <w:p w14:paraId="1A41CE65" w14:textId="29889EEF" w:rsidR="00873C37" w:rsidRPr="00F6794D" w:rsidRDefault="00F133C3" w:rsidP="00FE33E8">
            <w:pPr>
              <w:jc w:val="right"/>
              <w:rPr>
                <w:rFonts w:ascii="Arial" w:hAnsi="Arial" w:cs="Arial"/>
                <w:b/>
                <w:bCs/>
                <w:sz w:val="20"/>
                <w:szCs w:val="20"/>
              </w:rPr>
            </w:pPr>
            <w:r w:rsidRPr="00F6794D">
              <w:rPr>
                <w:rFonts w:ascii="Arial" w:hAnsi="Arial" w:cs="Arial"/>
                <w:b/>
                <w:bCs/>
                <w:sz w:val="20"/>
                <w:szCs w:val="20"/>
              </w:rPr>
              <w:t>Greater than £5 per week</w:t>
            </w:r>
          </w:p>
        </w:tc>
        <w:tc>
          <w:tcPr>
            <w:tcW w:w="1316" w:type="dxa"/>
            <w:vAlign w:val="center"/>
          </w:tcPr>
          <w:p w14:paraId="6997C245" w14:textId="66F8599D" w:rsidR="00873C37" w:rsidRPr="00D4016B" w:rsidRDefault="008B7AF9" w:rsidP="00892A4A">
            <w:pPr>
              <w:jc w:val="center"/>
              <w:rPr>
                <w:rFonts w:ascii="Arial" w:hAnsi="Arial" w:cs="Arial"/>
                <w:sz w:val="20"/>
                <w:szCs w:val="20"/>
              </w:rPr>
            </w:pPr>
            <w:r>
              <w:rPr>
                <w:rFonts w:ascii="Arial" w:hAnsi="Arial" w:cs="Arial"/>
                <w:sz w:val="20"/>
                <w:szCs w:val="20"/>
              </w:rPr>
              <w:t>2</w:t>
            </w:r>
            <w:r w:rsidR="00AD65AF">
              <w:rPr>
                <w:rFonts w:ascii="Arial" w:hAnsi="Arial" w:cs="Arial"/>
                <w:sz w:val="20"/>
                <w:szCs w:val="20"/>
              </w:rPr>
              <w:t>3</w:t>
            </w:r>
          </w:p>
        </w:tc>
        <w:tc>
          <w:tcPr>
            <w:tcW w:w="1462" w:type="dxa"/>
            <w:vAlign w:val="center"/>
          </w:tcPr>
          <w:p w14:paraId="7E04B923" w14:textId="79354E93" w:rsidR="00873C37" w:rsidRPr="00D4016B" w:rsidRDefault="00AD65AF" w:rsidP="00892A4A">
            <w:pPr>
              <w:jc w:val="center"/>
              <w:rPr>
                <w:rFonts w:ascii="Arial" w:hAnsi="Arial" w:cs="Arial"/>
                <w:sz w:val="20"/>
                <w:szCs w:val="20"/>
              </w:rPr>
            </w:pPr>
            <w:r>
              <w:rPr>
                <w:rFonts w:ascii="Arial" w:hAnsi="Arial" w:cs="Arial"/>
                <w:sz w:val="20"/>
                <w:szCs w:val="20"/>
              </w:rPr>
              <w:t>4</w:t>
            </w:r>
          </w:p>
        </w:tc>
        <w:tc>
          <w:tcPr>
            <w:tcW w:w="1371" w:type="dxa"/>
            <w:vAlign w:val="center"/>
          </w:tcPr>
          <w:p w14:paraId="163F7F62" w14:textId="4DFF5EDB" w:rsidR="00873C37" w:rsidRPr="00D4016B" w:rsidRDefault="008B7AF9" w:rsidP="00892A4A">
            <w:pPr>
              <w:jc w:val="center"/>
              <w:rPr>
                <w:rFonts w:ascii="Arial" w:hAnsi="Arial" w:cs="Arial"/>
                <w:sz w:val="20"/>
                <w:szCs w:val="20"/>
              </w:rPr>
            </w:pPr>
            <w:r>
              <w:rPr>
                <w:rFonts w:ascii="Arial" w:hAnsi="Arial" w:cs="Arial"/>
                <w:sz w:val="20"/>
                <w:szCs w:val="20"/>
              </w:rPr>
              <w:t>27</w:t>
            </w:r>
          </w:p>
        </w:tc>
      </w:tr>
      <w:tr w:rsidR="00873C37" w:rsidRPr="00D4016B" w14:paraId="64A68B07" w14:textId="77777777" w:rsidTr="001F0B0D">
        <w:trPr>
          <w:jc w:val="center"/>
        </w:trPr>
        <w:tc>
          <w:tcPr>
            <w:tcW w:w="1350" w:type="dxa"/>
            <w:vMerge/>
            <w:vAlign w:val="center"/>
          </w:tcPr>
          <w:p w14:paraId="5F470636" w14:textId="77777777" w:rsidR="00873C37" w:rsidRPr="00F6794D" w:rsidRDefault="00873C37" w:rsidP="00892A4A">
            <w:pPr>
              <w:jc w:val="both"/>
              <w:rPr>
                <w:rFonts w:ascii="Arial" w:hAnsi="Arial" w:cs="Arial"/>
                <w:b/>
                <w:bCs/>
                <w:sz w:val="20"/>
                <w:szCs w:val="20"/>
              </w:rPr>
            </w:pPr>
          </w:p>
        </w:tc>
        <w:tc>
          <w:tcPr>
            <w:tcW w:w="1242" w:type="dxa"/>
            <w:vAlign w:val="center"/>
          </w:tcPr>
          <w:p w14:paraId="42C63603" w14:textId="1C9320ED" w:rsidR="00873C37" w:rsidRPr="00F6794D" w:rsidRDefault="00873C37" w:rsidP="00892A4A">
            <w:pPr>
              <w:jc w:val="center"/>
              <w:rPr>
                <w:rFonts w:ascii="Arial" w:hAnsi="Arial" w:cs="Arial"/>
                <w:b/>
                <w:bCs/>
                <w:sz w:val="20"/>
                <w:szCs w:val="20"/>
              </w:rPr>
            </w:pPr>
            <w:r w:rsidRPr="00F6794D">
              <w:rPr>
                <w:rFonts w:ascii="Arial" w:hAnsi="Arial" w:cs="Arial"/>
                <w:b/>
                <w:bCs/>
                <w:sz w:val="20"/>
                <w:szCs w:val="20"/>
              </w:rPr>
              <w:t>Total</w:t>
            </w:r>
          </w:p>
        </w:tc>
        <w:tc>
          <w:tcPr>
            <w:tcW w:w="1316" w:type="dxa"/>
            <w:vAlign w:val="center"/>
          </w:tcPr>
          <w:p w14:paraId="4912D640" w14:textId="6194A1BD" w:rsidR="00873C37" w:rsidRPr="00D4016B" w:rsidRDefault="00AD65AF" w:rsidP="00892A4A">
            <w:pPr>
              <w:jc w:val="center"/>
              <w:rPr>
                <w:rFonts w:ascii="Arial" w:hAnsi="Arial" w:cs="Arial"/>
                <w:sz w:val="20"/>
                <w:szCs w:val="20"/>
              </w:rPr>
            </w:pPr>
            <w:r>
              <w:rPr>
                <w:rFonts w:ascii="Arial" w:hAnsi="Arial" w:cs="Arial"/>
                <w:sz w:val="20"/>
                <w:szCs w:val="20"/>
              </w:rPr>
              <w:t>50</w:t>
            </w:r>
          </w:p>
        </w:tc>
        <w:tc>
          <w:tcPr>
            <w:tcW w:w="1462" w:type="dxa"/>
            <w:vAlign w:val="center"/>
          </w:tcPr>
          <w:p w14:paraId="72B221D3" w14:textId="4945CA53" w:rsidR="00873C37" w:rsidRPr="00D4016B" w:rsidRDefault="00AD65AF" w:rsidP="00892A4A">
            <w:pPr>
              <w:jc w:val="center"/>
              <w:rPr>
                <w:rFonts w:ascii="Arial" w:hAnsi="Arial" w:cs="Arial"/>
                <w:sz w:val="20"/>
                <w:szCs w:val="20"/>
              </w:rPr>
            </w:pPr>
            <w:r>
              <w:rPr>
                <w:rFonts w:ascii="Arial" w:hAnsi="Arial" w:cs="Arial"/>
                <w:sz w:val="20"/>
                <w:szCs w:val="20"/>
              </w:rPr>
              <w:t>29</w:t>
            </w:r>
          </w:p>
        </w:tc>
        <w:tc>
          <w:tcPr>
            <w:tcW w:w="1371" w:type="dxa"/>
            <w:vAlign w:val="center"/>
          </w:tcPr>
          <w:p w14:paraId="36C88DEB" w14:textId="31DB2554" w:rsidR="00873C37" w:rsidRPr="00D4016B" w:rsidRDefault="009E4229" w:rsidP="00892A4A">
            <w:pPr>
              <w:jc w:val="center"/>
              <w:rPr>
                <w:rFonts w:ascii="Arial" w:hAnsi="Arial" w:cs="Arial"/>
                <w:sz w:val="20"/>
                <w:szCs w:val="20"/>
              </w:rPr>
            </w:pPr>
            <w:r>
              <w:rPr>
                <w:rFonts w:ascii="Arial" w:hAnsi="Arial" w:cs="Arial"/>
                <w:sz w:val="20"/>
                <w:szCs w:val="20"/>
              </w:rPr>
              <w:t>79</w:t>
            </w:r>
          </w:p>
        </w:tc>
      </w:tr>
    </w:tbl>
    <w:p w14:paraId="5480AE20" w14:textId="77777777" w:rsidR="0081142E" w:rsidRDefault="0081142E" w:rsidP="00C04278">
      <w:pPr>
        <w:jc w:val="both"/>
        <w:rPr>
          <w:rFonts w:ascii="Arial" w:hAnsi="Arial" w:cs="Arial"/>
          <w:i/>
          <w:iCs/>
          <w:sz w:val="20"/>
          <w:szCs w:val="20"/>
        </w:rPr>
      </w:pPr>
    </w:p>
    <w:p w14:paraId="333EBCE9" w14:textId="3C9252D6" w:rsidR="00C04278" w:rsidRDefault="00C04278" w:rsidP="00C04278">
      <w:pPr>
        <w:jc w:val="both"/>
        <w:rPr>
          <w:rFonts w:ascii="Arial" w:hAnsi="Arial" w:cs="Arial"/>
          <w:sz w:val="20"/>
          <w:szCs w:val="20"/>
        </w:rPr>
      </w:pPr>
      <w:r w:rsidRPr="00D4016B">
        <w:rPr>
          <w:rFonts w:ascii="Arial" w:hAnsi="Arial" w:cs="Arial"/>
          <w:i/>
          <w:iCs/>
          <w:sz w:val="20"/>
          <w:szCs w:val="20"/>
        </w:rPr>
        <w:t>H</w:t>
      </w:r>
      <w:r w:rsidR="00587092">
        <w:rPr>
          <w:rFonts w:ascii="Arial" w:hAnsi="Arial" w:cs="Arial"/>
          <w:i/>
          <w:iCs/>
          <w:sz w:val="20"/>
          <w:szCs w:val="20"/>
        </w:rPr>
        <w:t>4</w:t>
      </w:r>
      <w:r w:rsidRPr="00D4016B">
        <w:rPr>
          <w:rFonts w:ascii="Arial" w:hAnsi="Arial" w:cs="Arial"/>
          <w:sz w:val="20"/>
          <w:szCs w:val="20"/>
        </w:rPr>
        <w:t xml:space="preserve">: </w:t>
      </w:r>
      <w:r>
        <w:rPr>
          <w:rFonts w:ascii="Arial" w:hAnsi="Arial" w:cs="Arial"/>
          <w:sz w:val="20"/>
          <w:szCs w:val="20"/>
        </w:rPr>
        <w:t>Scores on the PGSI were analysed between gamblers studying sport-based degree programmes (</w:t>
      </w:r>
      <w:r w:rsidRPr="00DD0A55">
        <w:rPr>
          <w:rFonts w:ascii="Arial" w:hAnsi="Arial" w:cs="Arial"/>
          <w:i/>
          <w:iCs/>
          <w:sz w:val="20"/>
          <w:szCs w:val="20"/>
        </w:rPr>
        <w:t>M</w:t>
      </w:r>
      <w:r>
        <w:rPr>
          <w:rFonts w:ascii="Arial" w:hAnsi="Arial" w:cs="Arial"/>
          <w:sz w:val="20"/>
          <w:szCs w:val="20"/>
        </w:rPr>
        <w:t xml:space="preserve"> = 2.78, </w:t>
      </w:r>
      <w:r w:rsidRPr="00DD0A55">
        <w:rPr>
          <w:rFonts w:ascii="Arial" w:hAnsi="Arial" w:cs="Arial"/>
          <w:i/>
          <w:iCs/>
          <w:sz w:val="20"/>
          <w:szCs w:val="20"/>
        </w:rPr>
        <w:t>SD</w:t>
      </w:r>
      <w:r>
        <w:rPr>
          <w:rFonts w:ascii="Arial" w:hAnsi="Arial" w:cs="Arial"/>
          <w:sz w:val="20"/>
          <w:szCs w:val="20"/>
        </w:rPr>
        <w:t xml:space="preserve"> = 2.98) and participants studying non-sports-based degree programmes (</w:t>
      </w:r>
      <w:r w:rsidRPr="00DD0A55">
        <w:rPr>
          <w:rFonts w:ascii="Arial" w:hAnsi="Arial" w:cs="Arial"/>
          <w:i/>
          <w:iCs/>
          <w:sz w:val="20"/>
          <w:szCs w:val="20"/>
        </w:rPr>
        <w:t>M</w:t>
      </w:r>
      <w:r>
        <w:rPr>
          <w:rFonts w:ascii="Arial" w:hAnsi="Arial" w:cs="Arial"/>
          <w:sz w:val="20"/>
          <w:szCs w:val="20"/>
        </w:rPr>
        <w:t xml:space="preserve"> = 0.55, </w:t>
      </w:r>
      <w:r w:rsidRPr="00DD0A55">
        <w:rPr>
          <w:rFonts w:ascii="Arial" w:hAnsi="Arial" w:cs="Arial"/>
          <w:i/>
          <w:iCs/>
          <w:sz w:val="20"/>
          <w:szCs w:val="20"/>
        </w:rPr>
        <w:t>SD</w:t>
      </w:r>
      <w:r>
        <w:rPr>
          <w:rFonts w:ascii="Arial" w:hAnsi="Arial" w:cs="Arial"/>
          <w:sz w:val="20"/>
          <w:szCs w:val="20"/>
        </w:rPr>
        <w:t xml:space="preserve"> = 0.18). The data were within skew and kurtosis thresholds but did not meet the homogeneity of variance assumption. Therefore, an independent samples t-test (equal variances not assumed) was used. The t-test revealed a significant result </w:t>
      </w:r>
      <w:proofErr w:type="gramStart"/>
      <w:r w:rsidRPr="00DD0A55">
        <w:rPr>
          <w:rFonts w:ascii="Arial" w:hAnsi="Arial" w:cs="Arial"/>
          <w:i/>
          <w:iCs/>
          <w:sz w:val="20"/>
          <w:szCs w:val="20"/>
        </w:rPr>
        <w:t>t(</w:t>
      </w:r>
      <w:proofErr w:type="gramEnd"/>
      <w:r>
        <w:rPr>
          <w:rFonts w:ascii="Arial" w:hAnsi="Arial" w:cs="Arial"/>
          <w:sz w:val="20"/>
          <w:szCs w:val="20"/>
        </w:rPr>
        <w:t xml:space="preserve">62) = 4.85, </w:t>
      </w:r>
      <w:r w:rsidRPr="00DD0A55">
        <w:rPr>
          <w:rFonts w:ascii="Arial" w:hAnsi="Arial" w:cs="Arial"/>
          <w:i/>
          <w:iCs/>
          <w:sz w:val="20"/>
          <w:szCs w:val="20"/>
        </w:rPr>
        <w:t xml:space="preserve">p </w:t>
      </w:r>
      <w:r>
        <w:rPr>
          <w:rFonts w:ascii="Arial" w:hAnsi="Arial" w:cs="Arial"/>
          <w:sz w:val="20"/>
          <w:szCs w:val="20"/>
        </w:rPr>
        <w:t>=  &lt;0.01, with gamblers studying sports-based degree programme scoring higher on the PGSI than gamblers on non-sports degree programmes.</w:t>
      </w:r>
    </w:p>
    <w:p w14:paraId="411A8177" w14:textId="77777777" w:rsidR="004341CC" w:rsidRPr="00D4016B" w:rsidRDefault="004341CC" w:rsidP="00897E4D">
      <w:pPr>
        <w:jc w:val="both"/>
        <w:rPr>
          <w:rFonts w:ascii="Arial" w:hAnsi="Arial" w:cs="Arial"/>
          <w:b/>
          <w:bCs/>
          <w:sz w:val="20"/>
          <w:szCs w:val="20"/>
        </w:rPr>
      </w:pPr>
    </w:p>
    <w:p w14:paraId="7A05FAA7" w14:textId="23564ED2" w:rsidR="00A947A6" w:rsidRDefault="00A947A6" w:rsidP="00897E4D">
      <w:pPr>
        <w:jc w:val="both"/>
        <w:rPr>
          <w:rFonts w:ascii="Arial" w:hAnsi="Arial" w:cs="Arial"/>
          <w:b/>
          <w:bCs/>
          <w:sz w:val="20"/>
          <w:szCs w:val="20"/>
        </w:rPr>
      </w:pPr>
      <w:r w:rsidRPr="007C071E">
        <w:rPr>
          <w:rFonts w:ascii="Arial" w:hAnsi="Arial" w:cs="Arial"/>
          <w:b/>
          <w:bCs/>
          <w:sz w:val="20"/>
          <w:szCs w:val="20"/>
        </w:rPr>
        <w:t>Discussion</w:t>
      </w:r>
    </w:p>
    <w:p w14:paraId="27E8B41B" w14:textId="38738765" w:rsidR="00C04E92" w:rsidRDefault="00982C57" w:rsidP="000B1A3E">
      <w:pPr>
        <w:jc w:val="both"/>
        <w:rPr>
          <w:rFonts w:ascii="Arial" w:hAnsi="Arial" w:cs="Arial"/>
          <w:sz w:val="20"/>
          <w:szCs w:val="20"/>
        </w:rPr>
      </w:pPr>
      <w:r w:rsidRPr="009D028D">
        <w:rPr>
          <w:rFonts w:ascii="Arial" w:hAnsi="Arial" w:cs="Arial"/>
          <w:sz w:val="20"/>
          <w:szCs w:val="20"/>
        </w:rPr>
        <w:t>T</w:t>
      </w:r>
      <w:r w:rsidR="007C071E" w:rsidRPr="009D028D">
        <w:rPr>
          <w:rFonts w:ascii="Arial" w:hAnsi="Arial" w:cs="Arial"/>
          <w:sz w:val="20"/>
          <w:szCs w:val="20"/>
        </w:rPr>
        <w:t xml:space="preserve">he </w:t>
      </w:r>
      <w:r w:rsidR="00052094">
        <w:rPr>
          <w:rFonts w:ascii="Arial" w:hAnsi="Arial" w:cs="Arial"/>
          <w:sz w:val="20"/>
          <w:szCs w:val="20"/>
        </w:rPr>
        <w:t xml:space="preserve">above results combine to </w:t>
      </w:r>
      <w:r w:rsidR="00FC790E" w:rsidRPr="009D028D">
        <w:rPr>
          <w:rFonts w:ascii="Arial" w:hAnsi="Arial" w:cs="Arial"/>
          <w:sz w:val="20"/>
          <w:szCs w:val="20"/>
        </w:rPr>
        <w:t xml:space="preserve">explore </w:t>
      </w:r>
      <w:r w:rsidR="00B27267" w:rsidRPr="009D028D">
        <w:rPr>
          <w:rFonts w:ascii="Arial" w:hAnsi="Arial" w:cs="Arial"/>
          <w:sz w:val="20"/>
          <w:szCs w:val="20"/>
        </w:rPr>
        <w:t xml:space="preserve">gambling behaviours and preferences </w:t>
      </w:r>
      <w:r w:rsidR="00051B8E" w:rsidRPr="009D028D">
        <w:rPr>
          <w:rFonts w:ascii="Arial" w:hAnsi="Arial" w:cs="Arial"/>
          <w:sz w:val="20"/>
          <w:szCs w:val="20"/>
        </w:rPr>
        <w:t xml:space="preserve">among university students on sports-based and non-sports-based programmes of study. </w:t>
      </w:r>
      <w:r w:rsidRPr="009D028D">
        <w:rPr>
          <w:rFonts w:ascii="Arial" w:hAnsi="Arial" w:cs="Arial"/>
          <w:sz w:val="20"/>
          <w:szCs w:val="20"/>
        </w:rPr>
        <w:t xml:space="preserve">For hypothesis one, the null hypothesis was rejected </w:t>
      </w:r>
      <w:r w:rsidR="00746060">
        <w:rPr>
          <w:rFonts w:ascii="Arial" w:hAnsi="Arial" w:cs="Arial"/>
          <w:sz w:val="20"/>
          <w:szCs w:val="20"/>
        </w:rPr>
        <w:t>as</w:t>
      </w:r>
      <w:r w:rsidRPr="009D028D">
        <w:rPr>
          <w:rFonts w:ascii="Arial" w:hAnsi="Arial" w:cs="Arial"/>
          <w:sz w:val="20"/>
          <w:szCs w:val="20"/>
        </w:rPr>
        <w:t xml:space="preserve"> results showed a preference for gambling among males on sports-based degree programmes, and a distinct lack of gambling uptake among females on non-sports-based degree programmes. This findin</w:t>
      </w:r>
      <w:r w:rsidR="002306F7" w:rsidRPr="009D028D">
        <w:rPr>
          <w:rFonts w:ascii="Arial" w:hAnsi="Arial" w:cs="Arial"/>
          <w:sz w:val="20"/>
          <w:szCs w:val="20"/>
        </w:rPr>
        <w:t>g resonate</w:t>
      </w:r>
      <w:r w:rsidR="00055995" w:rsidRPr="009D028D">
        <w:rPr>
          <w:rFonts w:ascii="Arial" w:hAnsi="Arial" w:cs="Arial"/>
          <w:sz w:val="20"/>
          <w:szCs w:val="20"/>
        </w:rPr>
        <w:t>s</w:t>
      </w:r>
      <w:r w:rsidR="002306F7" w:rsidRPr="009D028D">
        <w:rPr>
          <w:rFonts w:ascii="Arial" w:hAnsi="Arial" w:cs="Arial"/>
          <w:sz w:val="20"/>
          <w:szCs w:val="20"/>
        </w:rPr>
        <w:t xml:space="preserve"> with findings o</w:t>
      </w:r>
      <w:r w:rsidR="00403753" w:rsidRPr="009D028D">
        <w:rPr>
          <w:rFonts w:ascii="Arial" w:hAnsi="Arial" w:cs="Arial"/>
          <w:sz w:val="20"/>
          <w:szCs w:val="20"/>
        </w:rPr>
        <w:t>f</w:t>
      </w:r>
      <w:r w:rsidR="002306F7" w:rsidRPr="009D028D">
        <w:rPr>
          <w:rFonts w:ascii="Arial" w:hAnsi="Arial" w:cs="Arial"/>
          <w:sz w:val="20"/>
          <w:szCs w:val="20"/>
        </w:rPr>
        <w:t xml:space="preserve"> </w:t>
      </w:r>
      <w:r w:rsidR="002306F7" w:rsidRPr="009D028D">
        <w:rPr>
          <w:rFonts w:ascii="Arial" w:hAnsi="Arial" w:cs="Arial"/>
          <w:sz w:val="20"/>
          <w:szCs w:val="20"/>
          <w:shd w:val="clear" w:color="auto" w:fill="FFFFFF"/>
        </w:rPr>
        <w:t>Vinberg</w:t>
      </w:r>
      <w:r w:rsidR="002306F7" w:rsidRPr="009D028D">
        <w:rPr>
          <w:rFonts w:ascii="Arial" w:hAnsi="Arial" w:cs="Arial"/>
          <w:sz w:val="20"/>
          <w:szCs w:val="20"/>
        </w:rPr>
        <w:t xml:space="preserve"> </w:t>
      </w:r>
      <w:r w:rsidR="002306F7" w:rsidRPr="00F65896">
        <w:rPr>
          <w:rFonts w:ascii="Arial" w:hAnsi="Arial" w:cs="Arial"/>
          <w:i/>
          <w:iCs/>
          <w:sz w:val="20"/>
          <w:szCs w:val="20"/>
        </w:rPr>
        <w:t>et al.</w:t>
      </w:r>
      <w:r w:rsidR="002306F7" w:rsidRPr="009D028D">
        <w:rPr>
          <w:rFonts w:ascii="Arial" w:hAnsi="Arial" w:cs="Arial"/>
          <w:sz w:val="20"/>
          <w:szCs w:val="20"/>
        </w:rPr>
        <w:t xml:space="preserve"> </w:t>
      </w:r>
      <w:r w:rsidR="00F8457E" w:rsidRPr="009D028D">
        <w:rPr>
          <w:rFonts w:ascii="Arial" w:hAnsi="Arial" w:cs="Arial"/>
          <w:sz w:val="20"/>
          <w:szCs w:val="20"/>
        </w:rPr>
        <w:t>(</w:t>
      </w:r>
      <w:r w:rsidR="002306F7" w:rsidRPr="009D028D">
        <w:rPr>
          <w:rFonts w:ascii="Arial" w:hAnsi="Arial" w:cs="Arial"/>
          <w:sz w:val="20"/>
          <w:szCs w:val="20"/>
        </w:rPr>
        <w:t>2023</w:t>
      </w:r>
      <w:r w:rsidR="00F8457E" w:rsidRPr="009D028D">
        <w:rPr>
          <w:rFonts w:ascii="Arial" w:hAnsi="Arial" w:cs="Arial"/>
          <w:sz w:val="20"/>
          <w:szCs w:val="20"/>
        </w:rPr>
        <w:t xml:space="preserve">) highlighting </w:t>
      </w:r>
      <w:r w:rsidR="008C5206" w:rsidRPr="009D028D">
        <w:rPr>
          <w:rFonts w:ascii="Arial" w:hAnsi="Arial" w:cs="Arial"/>
          <w:sz w:val="20"/>
          <w:szCs w:val="20"/>
        </w:rPr>
        <w:t xml:space="preserve">how gambling </w:t>
      </w:r>
      <w:r w:rsidR="005D2675" w:rsidRPr="009D028D">
        <w:rPr>
          <w:rFonts w:ascii="Arial" w:hAnsi="Arial" w:cs="Arial"/>
          <w:sz w:val="20"/>
          <w:szCs w:val="20"/>
        </w:rPr>
        <w:t>likelihood is</w:t>
      </w:r>
      <w:r w:rsidR="00403753" w:rsidRPr="009D028D">
        <w:rPr>
          <w:rFonts w:ascii="Arial" w:hAnsi="Arial" w:cs="Arial"/>
          <w:sz w:val="20"/>
          <w:szCs w:val="20"/>
        </w:rPr>
        <w:t xml:space="preserve"> </w:t>
      </w:r>
      <w:r w:rsidR="005D2675" w:rsidRPr="009D028D">
        <w:rPr>
          <w:rFonts w:ascii="Arial" w:hAnsi="Arial" w:cs="Arial"/>
          <w:sz w:val="20"/>
          <w:szCs w:val="20"/>
        </w:rPr>
        <w:t xml:space="preserve">greater </w:t>
      </w:r>
      <w:r w:rsidR="00403753" w:rsidRPr="009D028D">
        <w:rPr>
          <w:rFonts w:ascii="Arial" w:hAnsi="Arial" w:cs="Arial"/>
          <w:sz w:val="20"/>
          <w:szCs w:val="20"/>
        </w:rPr>
        <w:t>among males on sports-based programmes</w:t>
      </w:r>
      <w:r w:rsidR="005B3C0C" w:rsidRPr="009D028D">
        <w:rPr>
          <w:rFonts w:ascii="Arial" w:hAnsi="Arial" w:cs="Arial"/>
          <w:sz w:val="20"/>
          <w:szCs w:val="20"/>
        </w:rPr>
        <w:t xml:space="preserve">. This </w:t>
      </w:r>
      <w:r w:rsidR="006C22D3">
        <w:rPr>
          <w:rFonts w:ascii="Arial" w:hAnsi="Arial" w:cs="Arial"/>
          <w:sz w:val="20"/>
          <w:szCs w:val="20"/>
        </w:rPr>
        <w:t xml:space="preserve">likelihood </w:t>
      </w:r>
      <w:r w:rsidR="005B3C0C" w:rsidRPr="009D028D">
        <w:rPr>
          <w:rFonts w:ascii="Arial" w:hAnsi="Arial" w:cs="Arial"/>
          <w:sz w:val="20"/>
          <w:szCs w:val="20"/>
        </w:rPr>
        <w:t>was not the case for females</w:t>
      </w:r>
      <w:r w:rsidR="006C22D3">
        <w:rPr>
          <w:rFonts w:ascii="Arial" w:hAnsi="Arial" w:cs="Arial"/>
          <w:sz w:val="20"/>
          <w:szCs w:val="20"/>
        </w:rPr>
        <w:t>, whose</w:t>
      </w:r>
      <w:r w:rsidR="005B3C0C" w:rsidRPr="009D028D">
        <w:rPr>
          <w:rFonts w:ascii="Arial" w:hAnsi="Arial" w:cs="Arial"/>
          <w:sz w:val="20"/>
          <w:szCs w:val="20"/>
        </w:rPr>
        <w:t xml:space="preserve"> </w:t>
      </w:r>
      <w:r w:rsidR="00055995" w:rsidRPr="009D028D">
        <w:rPr>
          <w:rFonts w:ascii="Arial" w:hAnsi="Arial" w:cs="Arial"/>
          <w:sz w:val="20"/>
          <w:szCs w:val="20"/>
        </w:rPr>
        <w:t>proportionality</w:t>
      </w:r>
      <w:r w:rsidR="005D2675" w:rsidRPr="009D028D">
        <w:rPr>
          <w:rFonts w:ascii="Arial" w:hAnsi="Arial" w:cs="Arial"/>
          <w:sz w:val="20"/>
          <w:szCs w:val="20"/>
        </w:rPr>
        <w:t xml:space="preserve"> was similar regardless of programme of</w:t>
      </w:r>
      <w:r w:rsidR="00055995" w:rsidRPr="009D028D">
        <w:rPr>
          <w:rFonts w:ascii="Arial" w:hAnsi="Arial" w:cs="Arial"/>
          <w:sz w:val="20"/>
          <w:szCs w:val="20"/>
        </w:rPr>
        <w:t xml:space="preserve"> </w:t>
      </w:r>
      <w:r w:rsidR="005D2675" w:rsidRPr="009D028D">
        <w:rPr>
          <w:rFonts w:ascii="Arial" w:hAnsi="Arial" w:cs="Arial"/>
          <w:sz w:val="20"/>
          <w:szCs w:val="20"/>
        </w:rPr>
        <w:t>study</w:t>
      </w:r>
      <w:r w:rsidR="006D4733" w:rsidRPr="009D028D">
        <w:rPr>
          <w:rFonts w:ascii="Arial" w:hAnsi="Arial" w:cs="Arial"/>
          <w:sz w:val="20"/>
          <w:szCs w:val="20"/>
        </w:rPr>
        <w:t xml:space="preserve">. </w:t>
      </w:r>
    </w:p>
    <w:p w14:paraId="7D3DC67F" w14:textId="71A962DC" w:rsidR="009C1D68" w:rsidRDefault="00A81752" w:rsidP="000B1A3E">
      <w:pPr>
        <w:jc w:val="both"/>
        <w:rPr>
          <w:rFonts w:ascii="Arial" w:hAnsi="Arial" w:cs="Arial"/>
          <w:sz w:val="20"/>
          <w:szCs w:val="20"/>
        </w:rPr>
      </w:pPr>
      <w:r w:rsidRPr="009D028D">
        <w:rPr>
          <w:rFonts w:ascii="Arial" w:hAnsi="Arial" w:cs="Arial"/>
          <w:sz w:val="20"/>
          <w:szCs w:val="20"/>
        </w:rPr>
        <w:t xml:space="preserve">For hypothesis two, the null hypothesis was rejected </w:t>
      </w:r>
      <w:r w:rsidR="00C04E92">
        <w:rPr>
          <w:rFonts w:ascii="Arial" w:hAnsi="Arial" w:cs="Arial"/>
          <w:sz w:val="20"/>
          <w:szCs w:val="20"/>
        </w:rPr>
        <w:t>as</w:t>
      </w:r>
      <w:r w:rsidRPr="009D028D">
        <w:rPr>
          <w:rFonts w:ascii="Arial" w:hAnsi="Arial" w:cs="Arial"/>
          <w:sz w:val="20"/>
          <w:szCs w:val="20"/>
        </w:rPr>
        <w:t xml:space="preserve"> results showed a lower proportion of students studying non-sports degree programmes gambling </w:t>
      </w:r>
      <w:r w:rsidR="00E04685" w:rsidRPr="009D028D">
        <w:rPr>
          <w:rFonts w:ascii="Arial" w:hAnsi="Arial" w:cs="Arial"/>
          <w:sz w:val="20"/>
          <w:szCs w:val="20"/>
        </w:rPr>
        <w:t>more</w:t>
      </w:r>
      <w:r w:rsidRPr="009D028D">
        <w:rPr>
          <w:rFonts w:ascii="Arial" w:hAnsi="Arial" w:cs="Arial"/>
          <w:sz w:val="20"/>
          <w:szCs w:val="20"/>
        </w:rPr>
        <w:t xml:space="preserve"> than once per week. This findi</w:t>
      </w:r>
      <w:r w:rsidR="00F52273" w:rsidRPr="009D028D">
        <w:rPr>
          <w:rFonts w:ascii="Arial" w:hAnsi="Arial" w:cs="Arial"/>
          <w:sz w:val="20"/>
          <w:szCs w:val="20"/>
        </w:rPr>
        <w:t xml:space="preserve">ng aligns with both Huang (2007a) and </w:t>
      </w:r>
      <w:r w:rsidR="00F52273" w:rsidRPr="009D028D">
        <w:rPr>
          <w:rFonts w:ascii="Arial" w:hAnsi="Arial" w:cs="Arial"/>
          <w:sz w:val="20"/>
          <w:szCs w:val="20"/>
          <w:shd w:val="clear" w:color="auto" w:fill="FFFFFF"/>
        </w:rPr>
        <w:t>Vinberg</w:t>
      </w:r>
      <w:r w:rsidR="00F52273" w:rsidRPr="009D028D">
        <w:rPr>
          <w:rFonts w:ascii="Arial" w:hAnsi="Arial" w:cs="Arial"/>
          <w:sz w:val="20"/>
          <w:szCs w:val="20"/>
        </w:rPr>
        <w:t xml:space="preserve"> </w:t>
      </w:r>
      <w:r w:rsidR="00F52273" w:rsidRPr="00F65896">
        <w:rPr>
          <w:rFonts w:ascii="Arial" w:hAnsi="Arial" w:cs="Arial"/>
          <w:i/>
          <w:iCs/>
          <w:sz w:val="20"/>
          <w:szCs w:val="20"/>
        </w:rPr>
        <w:t>et al.</w:t>
      </w:r>
      <w:r w:rsidR="00F52273" w:rsidRPr="009D028D">
        <w:rPr>
          <w:rFonts w:ascii="Arial" w:hAnsi="Arial" w:cs="Arial"/>
          <w:sz w:val="20"/>
          <w:szCs w:val="20"/>
        </w:rPr>
        <w:t xml:space="preserve"> (2023</w:t>
      </w:r>
      <w:r w:rsidR="004A77C2" w:rsidRPr="009D028D">
        <w:rPr>
          <w:rFonts w:ascii="Arial" w:hAnsi="Arial" w:cs="Arial"/>
          <w:sz w:val="20"/>
          <w:szCs w:val="20"/>
        </w:rPr>
        <w:t xml:space="preserve">) whereby </w:t>
      </w:r>
      <w:r w:rsidR="007F679E" w:rsidRPr="009D028D">
        <w:rPr>
          <w:rFonts w:ascii="Arial" w:hAnsi="Arial" w:cs="Arial"/>
          <w:sz w:val="20"/>
          <w:szCs w:val="20"/>
        </w:rPr>
        <w:t xml:space="preserve">gambling </w:t>
      </w:r>
      <w:r w:rsidR="00E57BF3" w:rsidRPr="009D028D">
        <w:rPr>
          <w:rFonts w:ascii="Arial" w:hAnsi="Arial" w:cs="Arial"/>
          <w:sz w:val="20"/>
          <w:szCs w:val="20"/>
        </w:rPr>
        <w:t>regularity</w:t>
      </w:r>
      <w:r w:rsidR="007F679E" w:rsidRPr="009D028D">
        <w:rPr>
          <w:rFonts w:ascii="Arial" w:hAnsi="Arial" w:cs="Arial"/>
          <w:sz w:val="20"/>
          <w:szCs w:val="20"/>
        </w:rPr>
        <w:t xml:space="preserve"> was shown to be </w:t>
      </w:r>
      <w:r w:rsidR="00604842" w:rsidRPr="009D028D">
        <w:rPr>
          <w:rFonts w:ascii="Arial" w:hAnsi="Arial" w:cs="Arial"/>
          <w:sz w:val="20"/>
          <w:szCs w:val="20"/>
        </w:rPr>
        <w:t>more common</w:t>
      </w:r>
      <w:r w:rsidR="00E57BF3" w:rsidRPr="009D028D">
        <w:rPr>
          <w:rFonts w:ascii="Arial" w:hAnsi="Arial" w:cs="Arial"/>
          <w:sz w:val="20"/>
          <w:szCs w:val="20"/>
        </w:rPr>
        <w:t xml:space="preserve"> among s</w:t>
      </w:r>
      <w:r w:rsidR="00036D45" w:rsidRPr="009D028D">
        <w:rPr>
          <w:rFonts w:ascii="Arial" w:hAnsi="Arial" w:cs="Arial"/>
          <w:sz w:val="20"/>
          <w:szCs w:val="20"/>
        </w:rPr>
        <w:t>tudents on sports-based programmes (</w:t>
      </w:r>
      <w:r w:rsidR="00604842" w:rsidRPr="009D028D">
        <w:rPr>
          <w:rFonts w:ascii="Arial" w:hAnsi="Arial" w:cs="Arial"/>
          <w:sz w:val="20"/>
          <w:szCs w:val="20"/>
        </w:rPr>
        <w:t>i.e.,</w:t>
      </w:r>
      <w:r w:rsidR="00036D45" w:rsidRPr="009D028D">
        <w:rPr>
          <w:rFonts w:ascii="Arial" w:hAnsi="Arial" w:cs="Arial"/>
          <w:sz w:val="20"/>
          <w:szCs w:val="20"/>
        </w:rPr>
        <w:t xml:space="preserve"> gambling was prevalent to some </w:t>
      </w:r>
      <w:r w:rsidR="00604842" w:rsidRPr="009D028D">
        <w:rPr>
          <w:rFonts w:ascii="Arial" w:hAnsi="Arial" w:cs="Arial"/>
          <w:sz w:val="20"/>
          <w:szCs w:val="20"/>
        </w:rPr>
        <w:t>extent</w:t>
      </w:r>
      <w:r w:rsidR="00036D45" w:rsidRPr="009D028D">
        <w:rPr>
          <w:rFonts w:ascii="Arial" w:hAnsi="Arial" w:cs="Arial"/>
          <w:sz w:val="20"/>
          <w:szCs w:val="20"/>
        </w:rPr>
        <w:t xml:space="preserve"> with 50% gambling </w:t>
      </w:r>
      <w:r w:rsidR="003D34FF" w:rsidRPr="009D028D">
        <w:rPr>
          <w:rFonts w:ascii="Arial" w:hAnsi="Arial" w:cs="Arial"/>
          <w:sz w:val="20"/>
          <w:szCs w:val="20"/>
        </w:rPr>
        <w:t>either more or less than once a week</w:t>
      </w:r>
      <w:r w:rsidR="00604842" w:rsidRPr="009D028D">
        <w:rPr>
          <w:rFonts w:ascii="Arial" w:hAnsi="Arial" w:cs="Arial"/>
          <w:sz w:val="20"/>
          <w:szCs w:val="20"/>
        </w:rPr>
        <w:t>)</w:t>
      </w:r>
      <w:r w:rsidR="003D34FF" w:rsidRPr="009D028D">
        <w:rPr>
          <w:rFonts w:ascii="Arial" w:hAnsi="Arial" w:cs="Arial"/>
          <w:sz w:val="20"/>
          <w:szCs w:val="20"/>
        </w:rPr>
        <w:t>. However, this was not shown to be the case for non-sport students where very few gambling more than once a week</w:t>
      </w:r>
      <w:r w:rsidR="00604842" w:rsidRPr="009D028D">
        <w:rPr>
          <w:rFonts w:ascii="Arial" w:hAnsi="Arial" w:cs="Arial"/>
          <w:sz w:val="20"/>
          <w:szCs w:val="20"/>
        </w:rPr>
        <w:t xml:space="preserve">, providing evidence for </w:t>
      </w:r>
      <w:r w:rsidR="009D028D" w:rsidRPr="009D028D">
        <w:rPr>
          <w:rFonts w:ascii="Arial" w:hAnsi="Arial" w:cs="Arial"/>
          <w:sz w:val="20"/>
          <w:szCs w:val="20"/>
        </w:rPr>
        <w:t xml:space="preserve">increased gambling activity among students on sports-based programmes. </w:t>
      </w:r>
      <w:r w:rsidR="00036D45" w:rsidRPr="009D028D">
        <w:rPr>
          <w:rFonts w:ascii="Arial" w:hAnsi="Arial" w:cs="Arial"/>
          <w:sz w:val="20"/>
          <w:szCs w:val="20"/>
        </w:rPr>
        <w:t xml:space="preserve"> </w:t>
      </w:r>
    </w:p>
    <w:p w14:paraId="0BEB0C08" w14:textId="36B609C1" w:rsidR="005A082B" w:rsidRDefault="009D028D" w:rsidP="000B1A3E">
      <w:pPr>
        <w:jc w:val="both"/>
        <w:rPr>
          <w:rFonts w:ascii="Arial" w:hAnsi="Arial" w:cs="Arial"/>
          <w:sz w:val="20"/>
          <w:szCs w:val="20"/>
        </w:rPr>
      </w:pPr>
      <w:r w:rsidRPr="009D028D">
        <w:rPr>
          <w:rFonts w:ascii="Arial" w:hAnsi="Arial" w:cs="Arial"/>
          <w:sz w:val="20"/>
          <w:szCs w:val="20"/>
        </w:rPr>
        <w:t xml:space="preserve">For hypothesis three, the null hypothesis was rejected </w:t>
      </w:r>
      <w:r w:rsidR="009C1D68">
        <w:rPr>
          <w:rFonts w:ascii="Arial" w:hAnsi="Arial" w:cs="Arial"/>
          <w:sz w:val="20"/>
          <w:szCs w:val="20"/>
        </w:rPr>
        <w:t>as</w:t>
      </w:r>
      <w:r w:rsidR="009C1D68" w:rsidRPr="009D028D">
        <w:rPr>
          <w:rFonts w:ascii="Arial" w:hAnsi="Arial" w:cs="Arial"/>
          <w:sz w:val="20"/>
          <w:szCs w:val="20"/>
        </w:rPr>
        <w:t xml:space="preserve"> </w:t>
      </w:r>
      <w:r w:rsidRPr="009D028D">
        <w:rPr>
          <w:rFonts w:ascii="Arial" w:hAnsi="Arial" w:cs="Arial"/>
          <w:sz w:val="20"/>
          <w:szCs w:val="20"/>
        </w:rPr>
        <w:t>results showed significantly lower frequency of students on non-sports-based degrees spending more than five pounds per week. This fin</w:t>
      </w:r>
      <w:r w:rsidR="004510A0">
        <w:rPr>
          <w:rFonts w:ascii="Arial" w:hAnsi="Arial" w:cs="Arial"/>
          <w:sz w:val="20"/>
          <w:szCs w:val="20"/>
        </w:rPr>
        <w:t xml:space="preserve">ding reflects a similar pattern regarding </w:t>
      </w:r>
      <w:r w:rsidR="005A082B">
        <w:rPr>
          <w:rFonts w:ascii="Arial" w:hAnsi="Arial" w:cs="Arial"/>
          <w:sz w:val="20"/>
          <w:szCs w:val="20"/>
        </w:rPr>
        <w:t xml:space="preserve">the previously </w:t>
      </w:r>
      <w:r w:rsidR="004510A0">
        <w:rPr>
          <w:rFonts w:ascii="Arial" w:hAnsi="Arial" w:cs="Arial"/>
          <w:sz w:val="20"/>
          <w:szCs w:val="20"/>
        </w:rPr>
        <w:t>mentioned gambling regularity</w:t>
      </w:r>
      <w:r w:rsidR="009A2CA5">
        <w:rPr>
          <w:rFonts w:ascii="Arial" w:hAnsi="Arial" w:cs="Arial"/>
          <w:sz w:val="20"/>
          <w:szCs w:val="20"/>
        </w:rPr>
        <w:t xml:space="preserve"> and </w:t>
      </w:r>
      <w:r w:rsidR="005A082B">
        <w:rPr>
          <w:rFonts w:ascii="Arial" w:hAnsi="Arial" w:cs="Arial"/>
          <w:sz w:val="20"/>
          <w:szCs w:val="20"/>
        </w:rPr>
        <w:t xml:space="preserve">that found by </w:t>
      </w:r>
      <w:r w:rsidR="009A2CA5" w:rsidRPr="00D4016B">
        <w:rPr>
          <w:rFonts w:ascii="Arial" w:hAnsi="Arial" w:cs="Arial"/>
          <w:sz w:val="20"/>
          <w:szCs w:val="20"/>
        </w:rPr>
        <w:t>St-Pierre</w:t>
      </w:r>
      <w:r w:rsidR="009A2CA5">
        <w:rPr>
          <w:rFonts w:ascii="Arial" w:hAnsi="Arial" w:cs="Arial"/>
          <w:sz w:val="20"/>
          <w:szCs w:val="20"/>
        </w:rPr>
        <w:t xml:space="preserve"> </w:t>
      </w:r>
      <w:r w:rsidR="009A2CA5" w:rsidRPr="00F65896">
        <w:rPr>
          <w:rFonts w:ascii="Arial" w:hAnsi="Arial" w:cs="Arial"/>
          <w:i/>
          <w:iCs/>
          <w:sz w:val="20"/>
          <w:szCs w:val="20"/>
        </w:rPr>
        <w:t>et al.</w:t>
      </w:r>
      <w:r w:rsidR="009A2CA5">
        <w:rPr>
          <w:rFonts w:ascii="Arial" w:hAnsi="Arial" w:cs="Arial"/>
          <w:sz w:val="20"/>
          <w:szCs w:val="20"/>
        </w:rPr>
        <w:t xml:space="preserve"> (2014), providing </w:t>
      </w:r>
      <w:r w:rsidR="000B1A3E">
        <w:rPr>
          <w:rFonts w:ascii="Arial" w:hAnsi="Arial" w:cs="Arial"/>
          <w:sz w:val="20"/>
          <w:szCs w:val="20"/>
        </w:rPr>
        <w:t xml:space="preserve">further evidence for greater gambling intensity in this cohort. </w:t>
      </w:r>
    </w:p>
    <w:p w14:paraId="68CE983F" w14:textId="3D592260" w:rsidR="0063345A" w:rsidRDefault="00241474" w:rsidP="000B1A3E">
      <w:pPr>
        <w:jc w:val="both"/>
        <w:rPr>
          <w:rFonts w:ascii="Arial" w:hAnsi="Arial" w:cs="Arial"/>
          <w:sz w:val="20"/>
          <w:szCs w:val="20"/>
        </w:rPr>
      </w:pPr>
      <w:r w:rsidRPr="009E101D">
        <w:rPr>
          <w:rFonts w:ascii="Arial" w:hAnsi="Arial" w:cs="Arial"/>
          <w:sz w:val="20"/>
          <w:szCs w:val="20"/>
        </w:rPr>
        <w:t xml:space="preserve">For hypothesis </w:t>
      </w:r>
      <w:r w:rsidR="0055265F">
        <w:rPr>
          <w:rFonts w:ascii="Arial" w:hAnsi="Arial" w:cs="Arial"/>
          <w:sz w:val="20"/>
          <w:szCs w:val="20"/>
        </w:rPr>
        <w:t>four</w:t>
      </w:r>
      <w:r w:rsidRPr="009E101D">
        <w:rPr>
          <w:rFonts w:ascii="Arial" w:hAnsi="Arial" w:cs="Arial"/>
          <w:sz w:val="20"/>
          <w:szCs w:val="20"/>
        </w:rPr>
        <w:t xml:space="preserve">, the null hypothesis was rejected </w:t>
      </w:r>
      <w:r w:rsidR="005A082B">
        <w:rPr>
          <w:rFonts w:ascii="Arial" w:hAnsi="Arial" w:cs="Arial"/>
          <w:sz w:val="20"/>
          <w:szCs w:val="20"/>
        </w:rPr>
        <w:t>as</w:t>
      </w:r>
      <w:r w:rsidRPr="009E101D">
        <w:rPr>
          <w:rFonts w:ascii="Arial" w:hAnsi="Arial" w:cs="Arial"/>
          <w:sz w:val="20"/>
          <w:szCs w:val="20"/>
        </w:rPr>
        <w:t xml:space="preserve"> student gamblers on sports-based degree programmes scored higher on the PGSI than students on non-sports-based degree programmes. </w:t>
      </w:r>
      <w:r w:rsidR="00850EAC">
        <w:rPr>
          <w:rFonts w:ascii="Arial" w:hAnsi="Arial" w:cs="Arial"/>
          <w:sz w:val="20"/>
          <w:szCs w:val="20"/>
        </w:rPr>
        <w:t xml:space="preserve">Overall, PGSI </w:t>
      </w:r>
      <w:r w:rsidR="00DF2153">
        <w:rPr>
          <w:rFonts w:ascii="Arial" w:hAnsi="Arial" w:cs="Arial"/>
          <w:sz w:val="20"/>
          <w:szCs w:val="20"/>
        </w:rPr>
        <w:t xml:space="preserve">scores </w:t>
      </w:r>
      <w:r w:rsidR="00DD70DD">
        <w:rPr>
          <w:rFonts w:ascii="Arial" w:hAnsi="Arial" w:cs="Arial"/>
          <w:sz w:val="20"/>
          <w:szCs w:val="20"/>
        </w:rPr>
        <w:t xml:space="preserve">among gamblers </w:t>
      </w:r>
      <w:r w:rsidR="00850EAC">
        <w:rPr>
          <w:rFonts w:ascii="Arial" w:hAnsi="Arial" w:cs="Arial"/>
          <w:sz w:val="20"/>
          <w:szCs w:val="20"/>
        </w:rPr>
        <w:t>were similar to other UK samples (e.g</w:t>
      </w:r>
      <w:r w:rsidR="00850EAC" w:rsidRPr="0081142E">
        <w:rPr>
          <w:rFonts w:ascii="Arial" w:hAnsi="Arial" w:cs="Arial"/>
          <w:sz w:val="20"/>
          <w:szCs w:val="20"/>
        </w:rPr>
        <w:t>., YGAM</w:t>
      </w:r>
      <w:r w:rsidR="0081142E" w:rsidRPr="0081142E">
        <w:rPr>
          <w:rFonts w:ascii="Arial" w:hAnsi="Arial" w:cs="Arial"/>
          <w:sz w:val="20"/>
          <w:szCs w:val="20"/>
        </w:rPr>
        <w:t xml:space="preserve"> </w:t>
      </w:r>
      <w:r w:rsidR="00F65896">
        <w:rPr>
          <w:rFonts w:ascii="Arial" w:hAnsi="Arial" w:cs="Arial"/>
          <w:sz w:val="20"/>
          <w:szCs w:val="20"/>
        </w:rPr>
        <w:t>and</w:t>
      </w:r>
      <w:r w:rsidR="0081142E" w:rsidRPr="0081142E">
        <w:rPr>
          <w:rFonts w:ascii="Arial" w:hAnsi="Arial" w:cs="Arial"/>
          <w:sz w:val="20"/>
          <w:szCs w:val="20"/>
        </w:rPr>
        <w:t xml:space="preserve"> GAMSTOP, 2023</w:t>
      </w:r>
      <w:r w:rsidR="00850EAC">
        <w:rPr>
          <w:rFonts w:ascii="Arial" w:hAnsi="Arial" w:cs="Arial"/>
          <w:sz w:val="20"/>
          <w:szCs w:val="20"/>
        </w:rPr>
        <w:t xml:space="preserve">) insofar as </w:t>
      </w:r>
      <w:r w:rsidR="00E52C6A">
        <w:rPr>
          <w:rFonts w:ascii="Arial" w:hAnsi="Arial" w:cs="Arial"/>
          <w:sz w:val="20"/>
          <w:szCs w:val="20"/>
        </w:rPr>
        <w:t xml:space="preserve">the majority </w:t>
      </w:r>
      <w:r w:rsidR="00DD70DD">
        <w:rPr>
          <w:rFonts w:ascii="Arial" w:hAnsi="Arial" w:cs="Arial"/>
          <w:sz w:val="20"/>
          <w:szCs w:val="20"/>
        </w:rPr>
        <w:t xml:space="preserve">fell into the </w:t>
      </w:r>
      <w:r w:rsidR="00A312B3">
        <w:rPr>
          <w:rFonts w:ascii="Arial" w:hAnsi="Arial" w:cs="Arial"/>
          <w:sz w:val="20"/>
          <w:szCs w:val="20"/>
        </w:rPr>
        <w:t>‘</w:t>
      </w:r>
      <w:r w:rsidR="00DD70DD">
        <w:rPr>
          <w:rFonts w:ascii="Arial" w:hAnsi="Arial" w:cs="Arial"/>
          <w:sz w:val="20"/>
          <w:szCs w:val="20"/>
        </w:rPr>
        <w:t>no risk</w:t>
      </w:r>
      <w:r w:rsidR="00A312B3">
        <w:rPr>
          <w:rFonts w:ascii="Arial" w:hAnsi="Arial" w:cs="Arial"/>
          <w:sz w:val="20"/>
          <w:szCs w:val="20"/>
        </w:rPr>
        <w:t>’</w:t>
      </w:r>
      <w:r w:rsidR="00DD70DD">
        <w:rPr>
          <w:rFonts w:ascii="Arial" w:hAnsi="Arial" w:cs="Arial"/>
          <w:sz w:val="20"/>
          <w:szCs w:val="20"/>
        </w:rPr>
        <w:t xml:space="preserve"> category</w:t>
      </w:r>
      <w:r w:rsidR="009D519A">
        <w:rPr>
          <w:rFonts w:ascii="Arial" w:hAnsi="Arial" w:cs="Arial"/>
          <w:sz w:val="20"/>
          <w:szCs w:val="20"/>
        </w:rPr>
        <w:t xml:space="preserve">. However, the sample in the present study </w:t>
      </w:r>
      <w:r w:rsidR="00A312B3">
        <w:rPr>
          <w:rFonts w:ascii="Arial" w:hAnsi="Arial" w:cs="Arial"/>
          <w:sz w:val="20"/>
          <w:szCs w:val="20"/>
        </w:rPr>
        <w:t>comprised more ‘low risk’ and fewer ‘moderate risk’</w:t>
      </w:r>
      <w:r w:rsidR="00E76263">
        <w:rPr>
          <w:rFonts w:ascii="Arial" w:hAnsi="Arial" w:cs="Arial"/>
          <w:sz w:val="20"/>
          <w:szCs w:val="20"/>
        </w:rPr>
        <w:t xml:space="preserve"> by comparison to </w:t>
      </w:r>
      <w:r w:rsidR="00122903">
        <w:rPr>
          <w:rFonts w:ascii="Arial" w:hAnsi="Arial" w:cs="Arial"/>
          <w:sz w:val="20"/>
          <w:szCs w:val="20"/>
        </w:rPr>
        <w:t xml:space="preserve">the </w:t>
      </w:r>
      <w:r w:rsidR="00E76263">
        <w:rPr>
          <w:rFonts w:ascii="Arial" w:hAnsi="Arial" w:cs="Arial"/>
          <w:sz w:val="20"/>
          <w:szCs w:val="20"/>
        </w:rPr>
        <w:t>YGAM</w:t>
      </w:r>
      <w:r w:rsidR="00122903">
        <w:rPr>
          <w:rFonts w:ascii="Arial" w:hAnsi="Arial" w:cs="Arial"/>
          <w:sz w:val="20"/>
          <w:szCs w:val="20"/>
        </w:rPr>
        <w:t xml:space="preserve"> </w:t>
      </w:r>
      <w:r w:rsidR="00F65896">
        <w:rPr>
          <w:rFonts w:ascii="Arial" w:hAnsi="Arial" w:cs="Arial"/>
          <w:sz w:val="20"/>
          <w:szCs w:val="20"/>
        </w:rPr>
        <w:t>and</w:t>
      </w:r>
      <w:r w:rsidR="00122903">
        <w:rPr>
          <w:rFonts w:ascii="Arial" w:hAnsi="Arial" w:cs="Arial"/>
          <w:sz w:val="20"/>
          <w:szCs w:val="20"/>
        </w:rPr>
        <w:t xml:space="preserve"> GAMSTOP report</w:t>
      </w:r>
      <w:r w:rsidR="00E76263">
        <w:rPr>
          <w:rFonts w:ascii="Arial" w:hAnsi="Arial" w:cs="Arial"/>
          <w:sz w:val="20"/>
          <w:szCs w:val="20"/>
        </w:rPr>
        <w:t>.</w:t>
      </w:r>
      <w:r w:rsidR="007D5CF8">
        <w:rPr>
          <w:rFonts w:ascii="Arial" w:hAnsi="Arial" w:cs="Arial"/>
          <w:sz w:val="20"/>
          <w:szCs w:val="20"/>
        </w:rPr>
        <w:t xml:space="preserve"> Take</w:t>
      </w:r>
      <w:r w:rsidR="00610DCA">
        <w:rPr>
          <w:rFonts w:ascii="Arial" w:hAnsi="Arial" w:cs="Arial"/>
          <w:sz w:val="20"/>
          <w:szCs w:val="20"/>
        </w:rPr>
        <w:t>n</w:t>
      </w:r>
      <w:r w:rsidR="007D5CF8">
        <w:rPr>
          <w:rFonts w:ascii="Arial" w:hAnsi="Arial" w:cs="Arial"/>
          <w:sz w:val="20"/>
          <w:szCs w:val="20"/>
        </w:rPr>
        <w:t xml:space="preserve"> together, these</w:t>
      </w:r>
      <w:r w:rsidR="00E76263">
        <w:rPr>
          <w:rFonts w:ascii="Arial" w:hAnsi="Arial" w:cs="Arial"/>
          <w:sz w:val="20"/>
          <w:szCs w:val="20"/>
        </w:rPr>
        <w:t xml:space="preserve"> </w:t>
      </w:r>
      <w:r w:rsidR="00554C41">
        <w:rPr>
          <w:rFonts w:ascii="Arial" w:hAnsi="Arial" w:cs="Arial"/>
          <w:sz w:val="20"/>
          <w:szCs w:val="20"/>
        </w:rPr>
        <w:t>add to a growing body of evidence</w:t>
      </w:r>
      <w:r w:rsidR="00F81EF6">
        <w:rPr>
          <w:rFonts w:ascii="Arial" w:hAnsi="Arial" w:cs="Arial"/>
          <w:sz w:val="20"/>
          <w:szCs w:val="20"/>
        </w:rPr>
        <w:t xml:space="preserve"> pointing to the need </w:t>
      </w:r>
      <w:r w:rsidR="00466267">
        <w:rPr>
          <w:rFonts w:ascii="Arial" w:hAnsi="Arial" w:cs="Arial"/>
          <w:sz w:val="20"/>
          <w:szCs w:val="20"/>
        </w:rPr>
        <w:t xml:space="preserve">for a greater awareness and </w:t>
      </w:r>
      <w:r w:rsidR="00D43031">
        <w:rPr>
          <w:rFonts w:ascii="Arial" w:hAnsi="Arial" w:cs="Arial"/>
          <w:sz w:val="20"/>
          <w:szCs w:val="20"/>
        </w:rPr>
        <w:t>sensitivity</w:t>
      </w:r>
      <w:r w:rsidR="00466267">
        <w:rPr>
          <w:rFonts w:ascii="Arial" w:hAnsi="Arial" w:cs="Arial"/>
          <w:sz w:val="20"/>
          <w:szCs w:val="20"/>
        </w:rPr>
        <w:t xml:space="preserve"> among universities and their staff </w:t>
      </w:r>
      <w:r w:rsidR="00DE3390">
        <w:rPr>
          <w:rFonts w:ascii="Arial" w:hAnsi="Arial" w:cs="Arial"/>
          <w:sz w:val="20"/>
          <w:szCs w:val="20"/>
        </w:rPr>
        <w:t xml:space="preserve">regarding the potential for gambling-related harms among </w:t>
      </w:r>
      <w:r w:rsidR="00E87CF0">
        <w:rPr>
          <w:rFonts w:ascii="Arial" w:hAnsi="Arial" w:cs="Arial"/>
          <w:sz w:val="20"/>
          <w:szCs w:val="20"/>
        </w:rPr>
        <w:t>students on sports-based programmes of study</w:t>
      </w:r>
      <w:r w:rsidR="00DE3390">
        <w:rPr>
          <w:rFonts w:ascii="Arial" w:hAnsi="Arial" w:cs="Arial"/>
          <w:sz w:val="20"/>
          <w:szCs w:val="20"/>
        </w:rPr>
        <w:t xml:space="preserve">, and the need for </w:t>
      </w:r>
      <w:r w:rsidR="00D43031">
        <w:rPr>
          <w:rFonts w:ascii="Arial" w:hAnsi="Arial" w:cs="Arial"/>
          <w:sz w:val="20"/>
          <w:szCs w:val="20"/>
        </w:rPr>
        <w:t xml:space="preserve">signposted support. </w:t>
      </w:r>
    </w:p>
    <w:p w14:paraId="42602F9C" w14:textId="77777777" w:rsidR="00B83B00" w:rsidRPr="008113C9" w:rsidRDefault="00B83B00" w:rsidP="00B83B00">
      <w:pPr>
        <w:jc w:val="both"/>
        <w:rPr>
          <w:rFonts w:ascii="Arial" w:hAnsi="Arial" w:cs="Arial"/>
          <w:i/>
          <w:iCs/>
          <w:sz w:val="20"/>
          <w:szCs w:val="20"/>
        </w:rPr>
      </w:pPr>
      <w:r w:rsidRPr="008113C9">
        <w:rPr>
          <w:rFonts w:ascii="Arial" w:hAnsi="Arial" w:cs="Arial"/>
          <w:i/>
          <w:iCs/>
          <w:sz w:val="20"/>
          <w:szCs w:val="20"/>
        </w:rPr>
        <w:t>Limitations</w:t>
      </w:r>
    </w:p>
    <w:p w14:paraId="50C8CCA8" w14:textId="73B57888" w:rsidR="00B83B00" w:rsidRDefault="004B4D22" w:rsidP="0063345A">
      <w:pPr>
        <w:jc w:val="both"/>
        <w:rPr>
          <w:rFonts w:ascii="Arial" w:hAnsi="Arial" w:cs="Arial"/>
          <w:sz w:val="20"/>
          <w:szCs w:val="20"/>
        </w:rPr>
      </w:pPr>
      <w:r>
        <w:rPr>
          <w:rFonts w:ascii="Arial" w:hAnsi="Arial" w:cs="Arial"/>
          <w:sz w:val="20"/>
          <w:szCs w:val="20"/>
        </w:rPr>
        <w:t>The a</w:t>
      </w:r>
      <w:r w:rsidR="005D10EC">
        <w:rPr>
          <w:rFonts w:ascii="Arial" w:hAnsi="Arial" w:cs="Arial"/>
          <w:sz w:val="20"/>
          <w:szCs w:val="20"/>
        </w:rPr>
        <w:t>uthors acknowledge that the findings do not provide a breakdown of gambling behaviours across year</w:t>
      </w:r>
      <w:r w:rsidR="00430949">
        <w:rPr>
          <w:rFonts w:ascii="Arial" w:hAnsi="Arial" w:cs="Arial"/>
          <w:sz w:val="20"/>
          <w:szCs w:val="20"/>
        </w:rPr>
        <w:t>/level groups</w:t>
      </w:r>
      <w:r w:rsidR="00610DCA">
        <w:rPr>
          <w:rFonts w:ascii="Arial" w:hAnsi="Arial" w:cs="Arial"/>
          <w:sz w:val="20"/>
          <w:szCs w:val="20"/>
        </w:rPr>
        <w:t>, or which specific sports student-athletes play or gamble on</w:t>
      </w:r>
      <w:r w:rsidR="00430949">
        <w:rPr>
          <w:rFonts w:ascii="Arial" w:hAnsi="Arial" w:cs="Arial"/>
          <w:sz w:val="20"/>
          <w:szCs w:val="20"/>
        </w:rPr>
        <w:t xml:space="preserve">. Future research to address this would provide </w:t>
      </w:r>
      <w:r w:rsidR="007F0EB9">
        <w:rPr>
          <w:rFonts w:ascii="Arial" w:hAnsi="Arial" w:cs="Arial"/>
          <w:sz w:val="20"/>
          <w:szCs w:val="20"/>
        </w:rPr>
        <w:t>an additional perspective</w:t>
      </w:r>
      <w:r w:rsidR="00003D66">
        <w:rPr>
          <w:rFonts w:ascii="Arial" w:hAnsi="Arial" w:cs="Arial"/>
          <w:sz w:val="20"/>
          <w:szCs w:val="20"/>
        </w:rPr>
        <w:t xml:space="preserve"> and further refine our understanding gambling across UK universities</w:t>
      </w:r>
      <w:r w:rsidR="008113C9">
        <w:rPr>
          <w:rFonts w:ascii="Arial" w:hAnsi="Arial" w:cs="Arial"/>
          <w:sz w:val="20"/>
          <w:szCs w:val="20"/>
        </w:rPr>
        <w:t xml:space="preserve">. </w:t>
      </w:r>
    </w:p>
    <w:p w14:paraId="4423EBEA" w14:textId="63F354A2" w:rsidR="00B83B00" w:rsidRPr="00B83B00" w:rsidRDefault="00B83B00" w:rsidP="0063345A">
      <w:pPr>
        <w:jc w:val="both"/>
        <w:rPr>
          <w:rFonts w:ascii="Arial" w:hAnsi="Arial" w:cs="Arial"/>
          <w:i/>
          <w:iCs/>
          <w:sz w:val="20"/>
          <w:szCs w:val="20"/>
        </w:rPr>
      </w:pPr>
      <w:r w:rsidRPr="00B83B00">
        <w:rPr>
          <w:rFonts w:ascii="Arial" w:hAnsi="Arial" w:cs="Arial"/>
          <w:i/>
          <w:iCs/>
          <w:sz w:val="20"/>
          <w:szCs w:val="20"/>
        </w:rPr>
        <w:t>Conclusion</w:t>
      </w:r>
    </w:p>
    <w:p w14:paraId="2693A960" w14:textId="640A8B69" w:rsidR="00F54E68" w:rsidRPr="00D4016B" w:rsidRDefault="004F6942" w:rsidP="009E1461">
      <w:pPr>
        <w:pStyle w:val="NoSpacing"/>
        <w:rPr>
          <w:rFonts w:ascii="Arial" w:hAnsi="Arial" w:cs="Arial"/>
          <w:color w:val="4472C4" w:themeColor="accent1"/>
          <w:sz w:val="20"/>
          <w:szCs w:val="20"/>
        </w:rPr>
      </w:pPr>
      <w:r>
        <w:rPr>
          <w:rFonts w:ascii="Arial" w:hAnsi="Arial" w:cs="Arial"/>
          <w:sz w:val="20"/>
          <w:szCs w:val="20"/>
        </w:rPr>
        <w:t>Students</w:t>
      </w:r>
      <w:r w:rsidR="00CD553F">
        <w:rPr>
          <w:rFonts w:ascii="Arial" w:hAnsi="Arial" w:cs="Arial"/>
          <w:sz w:val="20"/>
          <w:szCs w:val="20"/>
        </w:rPr>
        <w:t>, particularly males,</w:t>
      </w:r>
      <w:r>
        <w:rPr>
          <w:rFonts w:ascii="Arial" w:hAnsi="Arial" w:cs="Arial"/>
          <w:sz w:val="20"/>
          <w:szCs w:val="20"/>
        </w:rPr>
        <w:t xml:space="preserve"> studying on sports-based programmes</w:t>
      </w:r>
      <w:r w:rsidR="000D05CC">
        <w:rPr>
          <w:rFonts w:ascii="Arial" w:hAnsi="Arial" w:cs="Arial"/>
          <w:sz w:val="20"/>
          <w:szCs w:val="20"/>
        </w:rPr>
        <w:t xml:space="preserve"> at university </w:t>
      </w:r>
      <w:r w:rsidR="00512EF4">
        <w:rPr>
          <w:rFonts w:ascii="Arial" w:hAnsi="Arial" w:cs="Arial"/>
          <w:sz w:val="20"/>
          <w:szCs w:val="20"/>
        </w:rPr>
        <w:t xml:space="preserve">may engage in more </w:t>
      </w:r>
      <w:r w:rsidR="00066453">
        <w:rPr>
          <w:rFonts w:ascii="Arial" w:hAnsi="Arial" w:cs="Arial"/>
          <w:sz w:val="20"/>
          <w:szCs w:val="20"/>
        </w:rPr>
        <w:t>intense gambling behaviours</w:t>
      </w:r>
      <w:r w:rsidR="00CD553F">
        <w:rPr>
          <w:rFonts w:ascii="Arial" w:hAnsi="Arial" w:cs="Arial"/>
          <w:sz w:val="20"/>
          <w:szCs w:val="20"/>
        </w:rPr>
        <w:t xml:space="preserve"> than their peers on non-sports-based programmes</w:t>
      </w:r>
      <w:r w:rsidR="000D05CC">
        <w:rPr>
          <w:rFonts w:ascii="Arial" w:hAnsi="Arial" w:cs="Arial"/>
          <w:sz w:val="20"/>
          <w:szCs w:val="20"/>
        </w:rPr>
        <w:t>. They may also be at greater risk of experiencing gambling related har</w:t>
      </w:r>
      <w:r w:rsidR="005D1A66">
        <w:rPr>
          <w:rFonts w:ascii="Arial" w:hAnsi="Arial" w:cs="Arial"/>
          <w:sz w:val="20"/>
          <w:szCs w:val="20"/>
        </w:rPr>
        <w:t>m</w:t>
      </w:r>
      <w:r w:rsidR="00C617C2">
        <w:rPr>
          <w:rFonts w:ascii="Arial" w:hAnsi="Arial" w:cs="Arial"/>
          <w:sz w:val="20"/>
          <w:szCs w:val="20"/>
        </w:rPr>
        <w:t>. These findings may further aid universities, staff, and stakeholders to provide more targeted gambling-related</w:t>
      </w:r>
      <w:r w:rsidR="008A4322" w:rsidRPr="008A4322">
        <w:t xml:space="preserve"> </w:t>
      </w:r>
      <w:r w:rsidR="008A4322" w:rsidRPr="008A4322">
        <w:rPr>
          <w:rFonts w:ascii="Arial" w:hAnsi="Arial" w:cs="Arial"/>
          <w:sz w:val="20"/>
          <w:szCs w:val="20"/>
        </w:rPr>
        <w:t>advice, support, and campaigning.</w:t>
      </w:r>
    </w:p>
    <w:p w14:paraId="697745AC" w14:textId="77777777" w:rsidR="00A57F6E" w:rsidRDefault="00A57F6E" w:rsidP="000A1509">
      <w:pPr>
        <w:jc w:val="both"/>
        <w:rPr>
          <w:rFonts w:ascii="Arial" w:hAnsi="Arial" w:cs="Arial"/>
          <w:b/>
          <w:bCs/>
          <w:sz w:val="20"/>
          <w:szCs w:val="20"/>
        </w:rPr>
      </w:pPr>
    </w:p>
    <w:p w14:paraId="08882A6F" w14:textId="6167E2DE" w:rsidR="000A1509" w:rsidRDefault="000A1509" w:rsidP="000A1509">
      <w:pPr>
        <w:jc w:val="both"/>
        <w:rPr>
          <w:rFonts w:ascii="Arial" w:hAnsi="Arial" w:cs="Arial"/>
          <w:b/>
          <w:bCs/>
          <w:sz w:val="20"/>
          <w:szCs w:val="20"/>
        </w:rPr>
      </w:pPr>
      <w:r w:rsidRPr="00D4016B">
        <w:rPr>
          <w:rFonts w:ascii="Arial" w:hAnsi="Arial" w:cs="Arial"/>
          <w:b/>
          <w:bCs/>
          <w:sz w:val="20"/>
          <w:szCs w:val="20"/>
        </w:rPr>
        <w:t>References</w:t>
      </w:r>
    </w:p>
    <w:p w14:paraId="7BFB86D6" w14:textId="77777777" w:rsidR="00504206" w:rsidRDefault="00504206" w:rsidP="000A1509">
      <w:pPr>
        <w:pStyle w:val="NoSpacing"/>
        <w:rPr>
          <w:rFonts w:ascii="Arial" w:hAnsi="Arial" w:cs="Arial"/>
          <w:sz w:val="20"/>
          <w:szCs w:val="20"/>
        </w:rPr>
      </w:pPr>
    </w:p>
    <w:p w14:paraId="6BFB70CD" w14:textId="49A91DEF" w:rsidR="000A4C4C" w:rsidRPr="00DA1A7C" w:rsidRDefault="005C7B86" w:rsidP="000A1509">
      <w:pPr>
        <w:pStyle w:val="NoSpacing"/>
        <w:rPr>
          <w:rFonts w:ascii="Arial" w:hAnsi="Arial" w:cs="Arial"/>
          <w:color w:val="222222"/>
          <w:sz w:val="20"/>
          <w:szCs w:val="20"/>
          <w:shd w:val="clear" w:color="auto" w:fill="FFFFFF"/>
        </w:rPr>
      </w:pPr>
      <w:r w:rsidRPr="00DA1A7C">
        <w:rPr>
          <w:rFonts w:ascii="Arial" w:hAnsi="Arial" w:cs="Arial"/>
          <w:color w:val="222222"/>
          <w:sz w:val="20"/>
          <w:szCs w:val="20"/>
          <w:shd w:val="clear" w:color="auto" w:fill="FFFFFF"/>
        </w:rPr>
        <w:t xml:space="preserve">Chagas, B.T. and Gomes, J.F., 2017. </w:t>
      </w:r>
      <w:r w:rsidR="00E62ACB" w:rsidRPr="00DA1A7C">
        <w:rPr>
          <w:rFonts w:ascii="Arial" w:hAnsi="Arial" w:cs="Arial"/>
          <w:color w:val="222222"/>
          <w:sz w:val="20"/>
          <w:szCs w:val="20"/>
          <w:shd w:val="clear" w:color="auto" w:fill="FFFFFF"/>
        </w:rPr>
        <w:t>“</w:t>
      </w:r>
      <w:r w:rsidRPr="00DA1A7C">
        <w:rPr>
          <w:rFonts w:ascii="Arial" w:hAnsi="Arial" w:cs="Arial"/>
          <w:color w:val="222222"/>
          <w:sz w:val="20"/>
          <w:szCs w:val="20"/>
          <w:shd w:val="clear" w:color="auto" w:fill="FFFFFF"/>
        </w:rPr>
        <w:t>Internet gambling: A critical review of behavioural tracking research</w:t>
      </w:r>
      <w:r w:rsidR="00E62ACB" w:rsidRPr="00DA1A7C">
        <w:rPr>
          <w:rFonts w:ascii="Arial" w:hAnsi="Arial" w:cs="Arial"/>
          <w:color w:val="222222"/>
          <w:sz w:val="20"/>
          <w:szCs w:val="20"/>
          <w:shd w:val="clear" w:color="auto" w:fill="FFFFFF"/>
        </w:rPr>
        <w:t>”,</w:t>
      </w:r>
      <w:r w:rsidRPr="00DA1A7C">
        <w:rPr>
          <w:rFonts w:ascii="Arial" w:hAnsi="Arial" w:cs="Arial"/>
          <w:color w:val="222222"/>
          <w:sz w:val="20"/>
          <w:szCs w:val="20"/>
          <w:shd w:val="clear" w:color="auto" w:fill="FFFFFF"/>
        </w:rPr>
        <w:t> </w:t>
      </w:r>
      <w:r w:rsidRPr="00DA1A7C">
        <w:rPr>
          <w:rFonts w:ascii="Arial" w:hAnsi="Arial" w:cs="Arial"/>
          <w:i/>
          <w:iCs/>
          <w:color w:val="222222"/>
          <w:sz w:val="20"/>
          <w:szCs w:val="20"/>
          <w:shd w:val="clear" w:color="auto" w:fill="FFFFFF"/>
        </w:rPr>
        <w:t>Journal of Gambling Issues</w:t>
      </w:r>
      <w:r w:rsidRPr="00DA1A7C">
        <w:rPr>
          <w:rFonts w:ascii="Arial" w:hAnsi="Arial" w:cs="Arial"/>
          <w:color w:val="222222"/>
          <w:sz w:val="20"/>
          <w:szCs w:val="20"/>
          <w:shd w:val="clear" w:color="auto" w:fill="FFFFFF"/>
        </w:rPr>
        <w:t>, </w:t>
      </w:r>
      <w:r w:rsidR="00E62ACB" w:rsidRPr="00DA1A7C">
        <w:rPr>
          <w:rFonts w:ascii="Arial" w:hAnsi="Arial" w:cs="Arial"/>
          <w:color w:val="222222"/>
          <w:sz w:val="20"/>
          <w:szCs w:val="20"/>
          <w:shd w:val="clear" w:color="auto" w:fill="FFFFFF"/>
        </w:rPr>
        <w:t>Vol</w:t>
      </w:r>
      <w:r w:rsidR="00AE05A0" w:rsidRPr="00DA1A7C">
        <w:rPr>
          <w:rFonts w:ascii="Arial" w:hAnsi="Arial" w:cs="Arial"/>
          <w:color w:val="222222"/>
          <w:sz w:val="20"/>
          <w:szCs w:val="20"/>
          <w:shd w:val="clear" w:color="auto" w:fill="FFFFFF"/>
        </w:rPr>
        <w:t xml:space="preserve"> </w:t>
      </w:r>
      <w:r w:rsidRPr="00DA1A7C">
        <w:rPr>
          <w:rFonts w:ascii="Arial" w:hAnsi="Arial" w:cs="Arial"/>
          <w:i/>
          <w:iCs/>
          <w:color w:val="222222"/>
          <w:sz w:val="20"/>
          <w:szCs w:val="20"/>
          <w:shd w:val="clear" w:color="auto" w:fill="FFFFFF"/>
        </w:rPr>
        <w:t>36</w:t>
      </w:r>
      <w:r w:rsidR="00AE05A0" w:rsidRPr="00DA1A7C">
        <w:rPr>
          <w:rFonts w:ascii="Arial" w:hAnsi="Arial" w:cs="Arial"/>
          <w:i/>
          <w:iCs/>
          <w:color w:val="222222"/>
          <w:sz w:val="20"/>
          <w:szCs w:val="20"/>
          <w:shd w:val="clear" w:color="auto" w:fill="FFFFFF"/>
        </w:rPr>
        <w:t xml:space="preserve"> </w:t>
      </w:r>
      <w:r w:rsidR="00AE05A0" w:rsidRPr="00DA1A7C">
        <w:rPr>
          <w:rFonts w:ascii="Arial" w:hAnsi="Arial" w:cs="Arial"/>
          <w:color w:val="222222"/>
          <w:sz w:val="20"/>
          <w:szCs w:val="20"/>
          <w:shd w:val="clear" w:color="auto" w:fill="FFFFFF"/>
        </w:rPr>
        <w:t>No</w:t>
      </w:r>
      <w:r w:rsidR="00AE05A0" w:rsidRPr="00DA1A7C">
        <w:rPr>
          <w:rFonts w:ascii="Arial" w:hAnsi="Arial" w:cs="Arial"/>
          <w:i/>
          <w:iCs/>
          <w:color w:val="222222"/>
          <w:sz w:val="20"/>
          <w:szCs w:val="20"/>
          <w:shd w:val="clear" w:color="auto" w:fill="FFFFFF"/>
        </w:rPr>
        <w:t xml:space="preserve">. </w:t>
      </w:r>
      <w:r w:rsidRPr="00DA1A7C">
        <w:rPr>
          <w:rFonts w:ascii="Arial" w:hAnsi="Arial" w:cs="Arial"/>
          <w:color w:val="222222"/>
          <w:sz w:val="20"/>
          <w:szCs w:val="20"/>
          <w:shd w:val="clear" w:color="auto" w:fill="FFFFFF"/>
        </w:rPr>
        <w:t>1, pp.1-27.</w:t>
      </w:r>
    </w:p>
    <w:p w14:paraId="33D3793C" w14:textId="77777777" w:rsidR="005C7B86" w:rsidRPr="00DA1A7C" w:rsidRDefault="005C7B86" w:rsidP="000A1509">
      <w:pPr>
        <w:pStyle w:val="NoSpacing"/>
        <w:rPr>
          <w:rFonts w:ascii="Arial" w:hAnsi="Arial" w:cs="Arial"/>
          <w:sz w:val="20"/>
          <w:szCs w:val="20"/>
        </w:rPr>
      </w:pPr>
    </w:p>
    <w:p w14:paraId="2FE7A2EC" w14:textId="49E25CB1" w:rsidR="00492357" w:rsidRPr="00DA1A7C" w:rsidRDefault="00492357" w:rsidP="000A1509">
      <w:pPr>
        <w:pStyle w:val="NoSpacing"/>
        <w:rPr>
          <w:rFonts w:ascii="Arial" w:hAnsi="Arial" w:cs="Arial"/>
          <w:color w:val="222222"/>
          <w:sz w:val="20"/>
          <w:szCs w:val="20"/>
          <w:shd w:val="clear" w:color="auto" w:fill="FFFFFF"/>
        </w:rPr>
      </w:pPr>
      <w:r w:rsidRPr="00DA1A7C">
        <w:rPr>
          <w:rFonts w:ascii="Arial" w:hAnsi="Arial" w:cs="Arial"/>
          <w:sz w:val="20"/>
          <w:szCs w:val="20"/>
        </w:rPr>
        <w:t xml:space="preserve">Drakeford, B.P. </w:t>
      </w:r>
      <w:r w:rsidR="00532EA3" w:rsidRPr="00DA1A7C">
        <w:rPr>
          <w:rFonts w:ascii="Arial" w:hAnsi="Arial" w:cs="Arial"/>
          <w:sz w:val="20"/>
          <w:szCs w:val="20"/>
        </w:rPr>
        <w:t>and</w:t>
      </w:r>
      <w:r w:rsidR="00532EA3" w:rsidRPr="00DA1A7C">
        <w:rPr>
          <w:rFonts w:ascii="Arial" w:hAnsi="Arial" w:cs="Arial"/>
          <w:color w:val="222222"/>
          <w:sz w:val="20"/>
          <w:szCs w:val="20"/>
          <w:shd w:val="clear" w:color="auto" w:fill="FFFFFF"/>
        </w:rPr>
        <w:t xml:space="preserve"> Hudson-Smith</w:t>
      </w:r>
      <w:r w:rsidR="00532EA3" w:rsidRPr="00DA1A7C">
        <w:rPr>
          <w:rFonts w:ascii="Arial" w:hAnsi="Arial" w:cs="Arial"/>
          <w:sz w:val="20"/>
          <w:szCs w:val="20"/>
        </w:rPr>
        <w:t xml:space="preserve"> </w:t>
      </w:r>
      <w:r w:rsidRPr="00DA1A7C">
        <w:rPr>
          <w:rFonts w:ascii="Arial" w:hAnsi="Arial" w:cs="Arial"/>
          <w:sz w:val="20"/>
          <w:szCs w:val="20"/>
        </w:rPr>
        <w:t xml:space="preserve">(2015), “Mobile gambling: implications of accessibility”, </w:t>
      </w:r>
      <w:r w:rsidRPr="00DA1A7C">
        <w:rPr>
          <w:rFonts w:ascii="Arial" w:hAnsi="Arial" w:cs="Arial"/>
          <w:i/>
          <w:iCs/>
          <w:sz w:val="20"/>
          <w:szCs w:val="20"/>
        </w:rPr>
        <w:t>Journal of Research Studies in Business and Management</w:t>
      </w:r>
      <w:r w:rsidRPr="00DA1A7C">
        <w:rPr>
          <w:rFonts w:ascii="Arial" w:hAnsi="Arial" w:cs="Arial"/>
          <w:sz w:val="20"/>
          <w:szCs w:val="20"/>
        </w:rPr>
        <w:t>, Vol 1, pp. 1-26</w:t>
      </w:r>
    </w:p>
    <w:p w14:paraId="5E17D347" w14:textId="77777777" w:rsidR="00283F1B" w:rsidRPr="00DA1A7C" w:rsidRDefault="00283F1B" w:rsidP="000A1509">
      <w:pPr>
        <w:pStyle w:val="NoSpacing"/>
        <w:rPr>
          <w:rFonts w:ascii="Arial" w:hAnsi="Arial" w:cs="Arial"/>
          <w:sz w:val="20"/>
          <w:szCs w:val="20"/>
        </w:rPr>
      </w:pPr>
    </w:p>
    <w:p w14:paraId="4A705956" w14:textId="7DCB2616" w:rsidR="00541E7F" w:rsidRPr="00DA1A7C" w:rsidRDefault="00541E7F" w:rsidP="000A1509">
      <w:pPr>
        <w:pStyle w:val="NoSpacing"/>
        <w:rPr>
          <w:rFonts w:ascii="Arial" w:hAnsi="Arial" w:cs="Arial"/>
          <w:sz w:val="20"/>
          <w:szCs w:val="20"/>
        </w:rPr>
      </w:pPr>
      <w:r w:rsidRPr="00DA1A7C">
        <w:rPr>
          <w:rFonts w:ascii="Arial" w:hAnsi="Arial" w:cs="Arial"/>
          <w:sz w:val="20"/>
          <w:szCs w:val="20"/>
        </w:rPr>
        <w:t xml:space="preserve">Ellenbogen, S., Jacobs, D., </w:t>
      </w:r>
      <w:proofErr w:type="spellStart"/>
      <w:r w:rsidRPr="00DA1A7C">
        <w:rPr>
          <w:rFonts w:ascii="Arial" w:hAnsi="Arial" w:cs="Arial"/>
          <w:sz w:val="20"/>
          <w:szCs w:val="20"/>
        </w:rPr>
        <w:t>Derevensky</w:t>
      </w:r>
      <w:proofErr w:type="spellEnd"/>
      <w:r w:rsidRPr="00DA1A7C">
        <w:rPr>
          <w:rFonts w:ascii="Arial" w:hAnsi="Arial" w:cs="Arial"/>
          <w:sz w:val="20"/>
          <w:szCs w:val="20"/>
        </w:rPr>
        <w:t xml:space="preserve">, J., Gupta, R. and Paskus, T. (2008), “Gambling </w:t>
      </w:r>
      <w:proofErr w:type="spellStart"/>
      <w:r w:rsidRPr="00DA1A7C">
        <w:rPr>
          <w:rFonts w:ascii="Arial" w:hAnsi="Arial" w:cs="Arial"/>
          <w:sz w:val="20"/>
          <w:szCs w:val="20"/>
        </w:rPr>
        <w:t>behavior</w:t>
      </w:r>
      <w:proofErr w:type="spellEnd"/>
      <w:r w:rsidRPr="00DA1A7C">
        <w:rPr>
          <w:rFonts w:ascii="Arial" w:hAnsi="Arial" w:cs="Arial"/>
          <w:sz w:val="20"/>
          <w:szCs w:val="20"/>
        </w:rPr>
        <w:t xml:space="preserve"> among college student-athletes”, </w:t>
      </w:r>
      <w:r w:rsidRPr="00DA1A7C">
        <w:rPr>
          <w:rFonts w:ascii="Arial" w:hAnsi="Arial" w:cs="Arial"/>
          <w:i/>
          <w:iCs/>
          <w:sz w:val="20"/>
          <w:szCs w:val="20"/>
        </w:rPr>
        <w:t>Journal of Applied Sport Psychology</w:t>
      </w:r>
      <w:r w:rsidRPr="00DA1A7C">
        <w:rPr>
          <w:rFonts w:ascii="Arial" w:hAnsi="Arial" w:cs="Arial"/>
          <w:sz w:val="20"/>
          <w:szCs w:val="20"/>
        </w:rPr>
        <w:t xml:space="preserve">, Vol 20 No. 3, pp. 349-362, </w:t>
      </w:r>
      <w:proofErr w:type="spellStart"/>
      <w:r w:rsidRPr="00DA1A7C">
        <w:rPr>
          <w:rFonts w:ascii="Arial" w:hAnsi="Arial" w:cs="Arial"/>
          <w:sz w:val="20"/>
          <w:szCs w:val="20"/>
        </w:rPr>
        <w:t>doi</w:t>
      </w:r>
      <w:proofErr w:type="spellEnd"/>
      <w:r w:rsidRPr="00DA1A7C">
        <w:rPr>
          <w:rFonts w:ascii="Arial" w:hAnsi="Arial" w:cs="Arial"/>
          <w:sz w:val="20"/>
          <w:szCs w:val="20"/>
        </w:rPr>
        <w:t>: 10.1080/ 10413200802056685.</w:t>
      </w:r>
    </w:p>
    <w:p w14:paraId="35A76581" w14:textId="77777777" w:rsidR="00541E7F" w:rsidRPr="00DA1A7C" w:rsidRDefault="00541E7F" w:rsidP="000A1509">
      <w:pPr>
        <w:pStyle w:val="NoSpacing"/>
        <w:rPr>
          <w:rStyle w:val="Hyperlink"/>
          <w:rFonts w:ascii="Arial" w:hAnsi="Arial" w:cs="Arial"/>
          <w:sz w:val="20"/>
          <w:szCs w:val="20"/>
        </w:rPr>
      </w:pPr>
    </w:p>
    <w:p w14:paraId="07E90F6E" w14:textId="77777777" w:rsidR="00541E7F" w:rsidRPr="00DA1A7C" w:rsidRDefault="00541E7F" w:rsidP="000A1509">
      <w:pPr>
        <w:pStyle w:val="NoSpacing"/>
        <w:rPr>
          <w:rFonts w:ascii="Arial" w:hAnsi="Arial" w:cs="Arial"/>
          <w:sz w:val="20"/>
          <w:szCs w:val="20"/>
        </w:rPr>
      </w:pPr>
    </w:p>
    <w:p w14:paraId="3E2C521B" w14:textId="689CD73B" w:rsidR="00541E7F" w:rsidRPr="00DA1A7C" w:rsidRDefault="00541E7F" w:rsidP="000A1509">
      <w:pPr>
        <w:pStyle w:val="NoSpacing"/>
        <w:rPr>
          <w:rFonts w:ascii="Arial" w:hAnsi="Arial" w:cs="Arial"/>
          <w:sz w:val="20"/>
          <w:szCs w:val="20"/>
        </w:rPr>
      </w:pPr>
      <w:r w:rsidRPr="00DA1A7C">
        <w:rPr>
          <w:rFonts w:ascii="Arial" w:hAnsi="Arial" w:cs="Arial"/>
          <w:sz w:val="20"/>
          <w:szCs w:val="20"/>
        </w:rPr>
        <w:t>Ferris, J. and Wynne, H. (2001), “The Canadian gambling index: final report”, Prepared for the Canadian Centre on Substance Abuse, Ottawa</w:t>
      </w:r>
    </w:p>
    <w:p w14:paraId="3485C3EF" w14:textId="77777777" w:rsidR="000A1509" w:rsidRPr="00DA1A7C" w:rsidRDefault="000A1509" w:rsidP="000A1509">
      <w:pPr>
        <w:pStyle w:val="NoSpacing"/>
        <w:rPr>
          <w:rStyle w:val="Hyperlink"/>
          <w:rFonts w:ascii="Arial" w:hAnsi="Arial" w:cs="Arial"/>
          <w:sz w:val="20"/>
          <w:szCs w:val="20"/>
        </w:rPr>
      </w:pPr>
    </w:p>
    <w:p w14:paraId="1C098DB0" w14:textId="75812056" w:rsidR="00A70762" w:rsidRPr="00DA1A7C" w:rsidRDefault="00A70762" w:rsidP="000A1509">
      <w:pPr>
        <w:pStyle w:val="NoSpacing"/>
        <w:rPr>
          <w:rFonts w:ascii="Arial" w:hAnsi="Arial" w:cs="Arial"/>
          <w:color w:val="222222"/>
          <w:sz w:val="20"/>
          <w:szCs w:val="20"/>
          <w:shd w:val="clear" w:color="auto" w:fill="FFFFFF"/>
        </w:rPr>
      </w:pPr>
      <w:proofErr w:type="spellStart"/>
      <w:r w:rsidRPr="00DA1A7C">
        <w:rPr>
          <w:rFonts w:ascii="Arial" w:hAnsi="Arial" w:cs="Arial"/>
          <w:sz w:val="20"/>
          <w:szCs w:val="20"/>
        </w:rPr>
        <w:t>Gainsbury</w:t>
      </w:r>
      <w:proofErr w:type="spellEnd"/>
      <w:r w:rsidRPr="00DA1A7C">
        <w:rPr>
          <w:rFonts w:ascii="Arial" w:hAnsi="Arial" w:cs="Arial"/>
          <w:sz w:val="20"/>
          <w:szCs w:val="20"/>
        </w:rPr>
        <w:t xml:space="preserve">, S.M., Blankers, M., Wilkinson, C., </w:t>
      </w:r>
      <w:proofErr w:type="spellStart"/>
      <w:r w:rsidRPr="00DA1A7C">
        <w:rPr>
          <w:rFonts w:ascii="Arial" w:hAnsi="Arial" w:cs="Arial"/>
          <w:sz w:val="20"/>
          <w:szCs w:val="20"/>
        </w:rPr>
        <w:t>Schelleman</w:t>
      </w:r>
      <w:proofErr w:type="spellEnd"/>
      <w:r w:rsidRPr="00DA1A7C">
        <w:rPr>
          <w:rFonts w:ascii="Arial" w:hAnsi="Arial" w:cs="Arial"/>
          <w:sz w:val="20"/>
          <w:szCs w:val="20"/>
        </w:rPr>
        <w:t xml:space="preserve">-Offermans, K. and Cousijn, J. (2014), “Recommendations for international gambling harm-minimisation guidelines: comparison with effective public health policy”, </w:t>
      </w:r>
      <w:r w:rsidRPr="00DA1A7C">
        <w:rPr>
          <w:rFonts w:ascii="Arial" w:hAnsi="Arial" w:cs="Arial"/>
          <w:i/>
          <w:iCs/>
          <w:sz w:val="20"/>
          <w:szCs w:val="20"/>
        </w:rPr>
        <w:t>Journal of Gambling Studies</w:t>
      </w:r>
      <w:r w:rsidRPr="00DA1A7C">
        <w:rPr>
          <w:rFonts w:ascii="Arial" w:hAnsi="Arial" w:cs="Arial"/>
          <w:sz w:val="20"/>
          <w:szCs w:val="20"/>
        </w:rPr>
        <w:t xml:space="preserve">, Vol 30 No. 4, pp. 771-788, </w:t>
      </w:r>
      <w:proofErr w:type="spellStart"/>
      <w:r w:rsidRPr="00DA1A7C">
        <w:rPr>
          <w:rFonts w:ascii="Arial" w:hAnsi="Arial" w:cs="Arial"/>
          <w:sz w:val="20"/>
          <w:szCs w:val="20"/>
        </w:rPr>
        <w:t>doi</w:t>
      </w:r>
      <w:proofErr w:type="spellEnd"/>
      <w:r w:rsidRPr="00DA1A7C">
        <w:rPr>
          <w:rFonts w:ascii="Arial" w:hAnsi="Arial" w:cs="Arial"/>
          <w:sz w:val="20"/>
          <w:szCs w:val="20"/>
        </w:rPr>
        <w:t>: 10.1007/s10899-013-9389-2.</w:t>
      </w:r>
    </w:p>
    <w:p w14:paraId="69EF4362" w14:textId="77777777" w:rsidR="002C5CB6" w:rsidRPr="00DA1A7C" w:rsidRDefault="002C5CB6" w:rsidP="000A1509">
      <w:pPr>
        <w:pStyle w:val="NoSpacing"/>
        <w:rPr>
          <w:rFonts w:ascii="Arial" w:hAnsi="Arial" w:cs="Arial"/>
          <w:sz w:val="20"/>
          <w:szCs w:val="20"/>
        </w:rPr>
      </w:pPr>
    </w:p>
    <w:p w14:paraId="3EFB166E" w14:textId="7E45B20C" w:rsidR="009E11E7" w:rsidRPr="00DA1A7C" w:rsidRDefault="000333F6" w:rsidP="000A1509">
      <w:pPr>
        <w:pStyle w:val="NoSpacing"/>
        <w:rPr>
          <w:rFonts w:ascii="Arial" w:hAnsi="Arial" w:cs="Arial"/>
          <w:sz w:val="20"/>
          <w:szCs w:val="20"/>
        </w:rPr>
      </w:pPr>
      <w:r w:rsidRPr="00DA1A7C">
        <w:rPr>
          <w:rFonts w:ascii="Arial" w:hAnsi="Arial" w:cs="Arial"/>
          <w:sz w:val="20"/>
          <w:szCs w:val="20"/>
        </w:rPr>
        <w:t>Gambling Commission (2019a), “Commission raises awareness of potential risks for students who gamble”, available at: www.gamblingcommission.gov.uk/news-action-and-statistics/News/commissionraises-awareness-of-potential-risks-for-students-who-gamble (accessed 3 June 202</w:t>
      </w:r>
      <w:r w:rsidR="00246E11" w:rsidRPr="00DA1A7C">
        <w:rPr>
          <w:rFonts w:ascii="Arial" w:hAnsi="Arial" w:cs="Arial"/>
          <w:sz w:val="20"/>
          <w:szCs w:val="20"/>
        </w:rPr>
        <w:t>4</w:t>
      </w:r>
      <w:r w:rsidRPr="00DA1A7C">
        <w:rPr>
          <w:rFonts w:ascii="Arial" w:hAnsi="Arial" w:cs="Arial"/>
          <w:sz w:val="20"/>
          <w:szCs w:val="20"/>
        </w:rPr>
        <w:t>)</w:t>
      </w:r>
    </w:p>
    <w:p w14:paraId="0F216A97" w14:textId="77777777" w:rsidR="000333F6" w:rsidRPr="00DA1A7C" w:rsidRDefault="000333F6" w:rsidP="000A1509">
      <w:pPr>
        <w:pStyle w:val="NoSpacing"/>
        <w:rPr>
          <w:rFonts w:ascii="Arial" w:hAnsi="Arial" w:cs="Arial"/>
          <w:sz w:val="20"/>
          <w:szCs w:val="20"/>
        </w:rPr>
      </w:pPr>
    </w:p>
    <w:p w14:paraId="2DE7D524" w14:textId="78515C57" w:rsidR="00A72F50" w:rsidRPr="00DA1A7C" w:rsidRDefault="00A72F50" w:rsidP="009E11E7">
      <w:pPr>
        <w:pStyle w:val="NoSpacing"/>
        <w:rPr>
          <w:rFonts w:ascii="Arial" w:hAnsi="Arial" w:cs="Arial"/>
          <w:sz w:val="20"/>
          <w:szCs w:val="20"/>
        </w:rPr>
      </w:pPr>
      <w:r w:rsidRPr="00DA1A7C">
        <w:rPr>
          <w:rFonts w:ascii="Arial" w:hAnsi="Arial" w:cs="Arial"/>
          <w:sz w:val="20"/>
          <w:szCs w:val="20"/>
        </w:rPr>
        <w:t>Gambling Commission (2019b), “Regulator warns gambling industry not to circumvent FOBT stake cut”, available at: www.gamblingcommission.gov.uk/news-action-and-statistics/News/regulatorwarns-gambling-industry-not-to-circumvent-fobt-stake-cut (accessed 3 June 202</w:t>
      </w:r>
      <w:r w:rsidR="00246E11" w:rsidRPr="00DA1A7C">
        <w:rPr>
          <w:rFonts w:ascii="Arial" w:hAnsi="Arial" w:cs="Arial"/>
          <w:sz w:val="20"/>
          <w:szCs w:val="20"/>
        </w:rPr>
        <w:t>4</w:t>
      </w:r>
      <w:r w:rsidRPr="00DA1A7C">
        <w:rPr>
          <w:rFonts w:ascii="Arial" w:hAnsi="Arial" w:cs="Arial"/>
          <w:sz w:val="20"/>
          <w:szCs w:val="20"/>
        </w:rPr>
        <w:t>)</w:t>
      </w:r>
    </w:p>
    <w:p w14:paraId="6938B3BB" w14:textId="77777777" w:rsidR="00224520" w:rsidRPr="00DA1A7C" w:rsidRDefault="00224520" w:rsidP="009E11E7">
      <w:pPr>
        <w:pStyle w:val="NoSpacing"/>
        <w:rPr>
          <w:rFonts w:ascii="Arial" w:hAnsi="Arial" w:cs="Arial"/>
          <w:sz w:val="20"/>
          <w:szCs w:val="20"/>
        </w:rPr>
      </w:pPr>
    </w:p>
    <w:p w14:paraId="55D820E2" w14:textId="2FFDC6B6" w:rsidR="00B11C17" w:rsidRPr="00DA1A7C" w:rsidRDefault="00224520" w:rsidP="00B11C17">
      <w:pPr>
        <w:pStyle w:val="NoSpacing"/>
        <w:rPr>
          <w:rFonts w:ascii="Arial" w:hAnsi="Arial" w:cs="Arial"/>
          <w:sz w:val="20"/>
          <w:szCs w:val="20"/>
        </w:rPr>
      </w:pPr>
      <w:r w:rsidRPr="00DA1A7C">
        <w:rPr>
          <w:rFonts w:ascii="Arial" w:hAnsi="Arial" w:cs="Arial"/>
          <w:sz w:val="20"/>
          <w:szCs w:val="20"/>
        </w:rPr>
        <w:t>Gambling Commission. (2020), “Taking a more in-depth look at online gambling”</w:t>
      </w:r>
      <w:r w:rsidR="00D25842" w:rsidRPr="00DA1A7C">
        <w:rPr>
          <w:rFonts w:ascii="Arial" w:hAnsi="Arial" w:cs="Arial"/>
          <w:sz w:val="20"/>
          <w:szCs w:val="20"/>
        </w:rPr>
        <w:t>, available at:</w:t>
      </w:r>
      <w:r w:rsidRPr="00DA1A7C">
        <w:rPr>
          <w:rFonts w:ascii="Arial" w:hAnsi="Arial" w:cs="Arial"/>
          <w:sz w:val="20"/>
          <w:szCs w:val="20"/>
        </w:rPr>
        <w:t xml:space="preserve"> </w:t>
      </w:r>
      <w:hyperlink r:id="rId7" w:history="1">
        <w:r w:rsidR="00B11C17" w:rsidRPr="007E79E2">
          <w:rPr>
            <w:rStyle w:val="Hyperlink"/>
            <w:rFonts w:ascii="Arial" w:hAnsi="Arial" w:cs="Arial"/>
            <w:color w:val="auto"/>
            <w:sz w:val="20"/>
            <w:szCs w:val="20"/>
          </w:rPr>
          <w:t>https://www.gamblingcommission.gov.uk/statistics-and-research/publication/taking-a-more-in-depth-look-at-online-gambling</w:t>
        </w:r>
      </w:hyperlink>
      <w:r w:rsidR="00B11C17" w:rsidRPr="00DA1A7C">
        <w:rPr>
          <w:rFonts w:ascii="Arial" w:hAnsi="Arial" w:cs="Arial"/>
          <w:sz w:val="20"/>
          <w:szCs w:val="20"/>
        </w:rPr>
        <w:t xml:space="preserve"> (accessed 4 June 2024)</w:t>
      </w:r>
    </w:p>
    <w:p w14:paraId="4E8A2553" w14:textId="5F726760" w:rsidR="00224520" w:rsidRPr="00DA1A7C" w:rsidRDefault="00224520" w:rsidP="00224520">
      <w:pPr>
        <w:pStyle w:val="NoSpacing"/>
        <w:rPr>
          <w:rFonts w:ascii="Arial" w:hAnsi="Arial" w:cs="Arial"/>
          <w:sz w:val="20"/>
          <w:szCs w:val="20"/>
        </w:rPr>
      </w:pPr>
    </w:p>
    <w:p w14:paraId="12F89590" w14:textId="64C2C0CD" w:rsidR="001E3AC3" w:rsidRPr="00DA1A7C" w:rsidRDefault="001E3AC3" w:rsidP="000A1509">
      <w:pPr>
        <w:pStyle w:val="NoSpacing"/>
        <w:rPr>
          <w:rFonts w:ascii="Arial" w:hAnsi="Arial" w:cs="Arial"/>
          <w:sz w:val="20"/>
          <w:szCs w:val="20"/>
        </w:rPr>
      </w:pPr>
      <w:r w:rsidRPr="00DA1A7C">
        <w:rPr>
          <w:rFonts w:ascii="Arial" w:hAnsi="Arial" w:cs="Arial"/>
          <w:sz w:val="20"/>
          <w:szCs w:val="20"/>
        </w:rPr>
        <w:t>Guillou-</w:t>
      </w:r>
      <w:proofErr w:type="spellStart"/>
      <w:r w:rsidRPr="00DA1A7C">
        <w:rPr>
          <w:rFonts w:ascii="Arial" w:hAnsi="Arial" w:cs="Arial"/>
          <w:sz w:val="20"/>
          <w:szCs w:val="20"/>
        </w:rPr>
        <w:t>Landreat</w:t>
      </w:r>
      <w:proofErr w:type="spellEnd"/>
      <w:r w:rsidRPr="00DA1A7C">
        <w:rPr>
          <w:rFonts w:ascii="Arial" w:hAnsi="Arial" w:cs="Arial"/>
          <w:sz w:val="20"/>
          <w:szCs w:val="20"/>
        </w:rPr>
        <w:t xml:space="preserve">, M., </w:t>
      </w:r>
      <w:proofErr w:type="spellStart"/>
      <w:r w:rsidRPr="00DA1A7C">
        <w:rPr>
          <w:rFonts w:ascii="Arial" w:hAnsi="Arial" w:cs="Arial"/>
          <w:sz w:val="20"/>
          <w:szCs w:val="20"/>
        </w:rPr>
        <w:t>Gallopel</w:t>
      </w:r>
      <w:proofErr w:type="spellEnd"/>
      <w:r w:rsidRPr="00DA1A7C">
        <w:rPr>
          <w:rFonts w:ascii="Arial" w:hAnsi="Arial" w:cs="Arial"/>
          <w:sz w:val="20"/>
          <w:szCs w:val="20"/>
        </w:rPr>
        <w:t xml:space="preserve">-Morvan, K., Lever, D., Le Goff, D., </w:t>
      </w:r>
      <w:r w:rsidR="00364591" w:rsidRPr="00DA1A7C">
        <w:rPr>
          <w:rFonts w:ascii="Arial" w:hAnsi="Arial" w:cs="Arial"/>
          <w:sz w:val="20"/>
          <w:szCs w:val="20"/>
        </w:rPr>
        <w:t>and</w:t>
      </w:r>
      <w:r w:rsidRPr="00DA1A7C">
        <w:rPr>
          <w:rFonts w:ascii="Arial" w:hAnsi="Arial" w:cs="Arial"/>
          <w:sz w:val="20"/>
          <w:szCs w:val="20"/>
        </w:rPr>
        <w:t xml:space="preserve"> Le </w:t>
      </w:r>
      <w:proofErr w:type="spellStart"/>
      <w:r w:rsidRPr="00DA1A7C">
        <w:rPr>
          <w:rFonts w:ascii="Arial" w:hAnsi="Arial" w:cs="Arial"/>
          <w:sz w:val="20"/>
          <w:szCs w:val="20"/>
        </w:rPr>
        <w:t>Reste</w:t>
      </w:r>
      <w:proofErr w:type="spellEnd"/>
      <w:r w:rsidRPr="00DA1A7C">
        <w:rPr>
          <w:rFonts w:ascii="Arial" w:hAnsi="Arial" w:cs="Arial"/>
          <w:sz w:val="20"/>
          <w:szCs w:val="20"/>
        </w:rPr>
        <w:t>, J. Y. (2021)</w:t>
      </w:r>
      <w:r w:rsidR="00364591" w:rsidRPr="00DA1A7C">
        <w:rPr>
          <w:rFonts w:ascii="Arial" w:hAnsi="Arial" w:cs="Arial"/>
          <w:sz w:val="20"/>
          <w:szCs w:val="20"/>
        </w:rPr>
        <w:t>,</w:t>
      </w:r>
      <w:r w:rsidRPr="00DA1A7C">
        <w:rPr>
          <w:rFonts w:ascii="Arial" w:hAnsi="Arial" w:cs="Arial"/>
          <w:sz w:val="20"/>
          <w:szCs w:val="20"/>
        </w:rPr>
        <w:t xml:space="preserve"> </w:t>
      </w:r>
      <w:r w:rsidR="00364591" w:rsidRPr="00DA1A7C">
        <w:rPr>
          <w:rFonts w:ascii="Arial" w:hAnsi="Arial" w:cs="Arial"/>
          <w:sz w:val="20"/>
          <w:szCs w:val="20"/>
        </w:rPr>
        <w:t>“</w:t>
      </w:r>
      <w:r w:rsidRPr="00DA1A7C">
        <w:rPr>
          <w:rFonts w:ascii="Arial" w:hAnsi="Arial" w:cs="Arial"/>
          <w:sz w:val="20"/>
          <w:szCs w:val="20"/>
        </w:rPr>
        <w:t>Gambling marketing strategies and the internet: What do we know? A systematic review</w:t>
      </w:r>
      <w:r w:rsidR="00364591" w:rsidRPr="00DA1A7C">
        <w:rPr>
          <w:rFonts w:ascii="Arial" w:hAnsi="Arial" w:cs="Arial"/>
          <w:sz w:val="20"/>
          <w:szCs w:val="20"/>
        </w:rPr>
        <w:t>”,</w:t>
      </w:r>
      <w:r w:rsidRPr="00DA1A7C">
        <w:rPr>
          <w:rFonts w:ascii="Arial" w:hAnsi="Arial" w:cs="Arial"/>
          <w:sz w:val="20"/>
          <w:szCs w:val="20"/>
        </w:rPr>
        <w:t> </w:t>
      </w:r>
      <w:r w:rsidRPr="00DA1A7C">
        <w:rPr>
          <w:rFonts w:ascii="Arial" w:hAnsi="Arial" w:cs="Arial"/>
          <w:i/>
          <w:iCs/>
          <w:sz w:val="20"/>
          <w:szCs w:val="20"/>
        </w:rPr>
        <w:t>Frontiers in Psychiatry</w:t>
      </w:r>
      <w:r w:rsidRPr="00DA1A7C">
        <w:rPr>
          <w:rFonts w:ascii="Arial" w:hAnsi="Arial" w:cs="Arial"/>
          <w:sz w:val="20"/>
          <w:szCs w:val="20"/>
        </w:rPr>
        <w:t>, </w:t>
      </w:r>
      <w:r w:rsidR="007968DB" w:rsidRPr="00DA1A7C">
        <w:rPr>
          <w:rFonts w:ascii="Arial" w:hAnsi="Arial" w:cs="Arial"/>
          <w:sz w:val="20"/>
          <w:szCs w:val="20"/>
        </w:rPr>
        <w:t xml:space="preserve">Vol </w:t>
      </w:r>
      <w:r w:rsidRPr="00DA1A7C">
        <w:rPr>
          <w:rFonts w:ascii="Arial" w:hAnsi="Arial" w:cs="Arial"/>
          <w:sz w:val="20"/>
          <w:szCs w:val="20"/>
        </w:rPr>
        <w:t>12, 583817.</w:t>
      </w:r>
    </w:p>
    <w:p w14:paraId="52FD0490" w14:textId="77777777" w:rsidR="00EC7D5B" w:rsidRPr="00DA1A7C" w:rsidRDefault="00EC7D5B" w:rsidP="000A1509">
      <w:pPr>
        <w:pStyle w:val="NoSpacing"/>
        <w:rPr>
          <w:rFonts w:ascii="Arial" w:hAnsi="Arial" w:cs="Arial"/>
          <w:sz w:val="20"/>
          <w:szCs w:val="20"/>
        </w:rPr>
      </w:pPr>
    </w:p>
    <w:p w14:paraId="0ABA6B0A" w14:textId="1DF79394" w:rsidR="000A1509" w:rsidRPr="00DA1A7C" w:rsidRDefault="000A1509" w:rsidP="000A1509">
      <w:pPr>
        <w:pStyle w:val="NoSpacing"/>
        <w:rPr>
          <w:rFonts w:ascii="Arial" w:hAnsi="Arial" w:cs="Arial"/>
          <w:sz w:val="20"/>
          <w:szCs w:val="20"/>
        </w:rPr>
      </w:pPr>
      <w:r w:rsidRPr="00DA1A7C">
        <w:rPr>
          <w:rFonts w:ascii="Arial" w:hAnsi="Arial" w:cs="Arial"/>
          <w:sz w:val="20"/>
          <w:szCs w:val="20"/>
        </w:rPr>
        <w:t>Herring, H (2023)</w:t>
      </w:r>
      <w:r w:rsidR="009C5EF7" w:rsidRPr="00DA1A7C">
        <w:rPr>
          <w:rFonts w:ascii="Arial" w:hAnsi="Arial" w:cs="Arial"/>
          <w:sz w:val="20"/>
          <w:szCs w:val="20"/>
        </w:rPr>
        <w:t>,</w:t>
      </w:r>
      <w:r w:rsidRPr="00DA1A7C">
        <w:rPr>
          <w:rFonts w:ascii="Arial" w:hAnsi="Arial" w:cs="Arial"/>
          <w:sz w:val="20"/>
          <w:szCs w:val="20"/>
        </w:rPr>
        <w:t xml:space="preserve"> </w:t>
      </w:r>
      <w:r w:rsidR="009C5EF7" w:rsidRPr="00DA1A7C">
        <w:rPr>
          <w:rFonts w:ascii="Arial" w:hAnsi="Arial" w:cs="Arial"/>
          <w:sz w:val="20"/>
          <w:szCs w:val="20"/>
        </w:rPr>
        <w:t>“</w:t>
      </w:r>
      <w:r w:rsidRPr="00DA1A7C">
        <w:rPr>
          <w:rFonts w:ascii="Arial" w:hAnsi="Arial" w:cs="Arial"/>
          <w:sz w:val="20"/>
          <w:szCs w:val="20"/>
        </w:rPr>
        <w:t>Gambling statistics UK: How do Brits Gamble?</w:t>
      </w:r>
      <w:r w:rsidR="009C5EF7"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Finder</w:t>
      </w:r>
      <w:r w:rsidRPr="00DA1A7C">
        <w:rPr>
          <w:rFonts w:ascii="Arial" w:hAnsi="Arial" w:cs="Arial"/>
          <w:sz w:val="20"/>
          <w:szCs w:val="20"/>
        </w:rPr>
        <w:t xml:space="preserve">, </w:t>
      </w:r>
      <w:r w:rsidR="002A3AA6" w:rsidRPr="00DA1A7C">
        <w:rPr>
          <w:rFonts w:ascii="Arial" w:hAnsi="Arial" w:cs="Arial"/>
          <w:sz w:val="20"/>
          <w:szCs w:val="20"/>
        </w:rPr>
        <w:t>(</w:t>
      </w:r>
      <w:r w:rsidRPr="00DA1A7C">
        <w:rPr>
          <w:rFonts w:ascii="Arial" w:hAnsi="Arial" w:cs="Arial"/>
          <w:sz w:val="20"/>
          <w:szCs w:val="20"/>
        </w:rPr>
        <w:t>accessed</w:t>
      </w:r>
      <w:r w:rsidR="009C5EF7" w:rsidRPr="00DA1A7C">
        <w:rPr>
          <w:rFonts w:ascii="Arial" w:hAnsi="Arial" w:cs="Arial"/>
          <w:sz w:val="20"/>
          <w:szCs w:val="20"/>
        </w:rPr>
        <w:t xml:space="preserve"> </w:t>
      </w:r>
      <w:r w:rsidR="00246E11" w:rsidRPr="00DA1A7C">
        <w:rPr>
          <w:rFonts w:ascii="Arial" w:hAnsi="Arial" w:cs="Arial"/>
          <w:sz w:val="20"/>
          <w:szCs w:val="20"/>
        </w:rPr>
        <w:t>4 June 2024</w:t>
      </w:r>
      <w:r w:rsidR="002A3AA6" w:rsidRPr="00DA1A7C">
        <w:rPr>
          <w:rFonts w:ascii="Arial" w:hAnsi="Arial" w:cs="Arial"/>
          <w:sz w:val="20"/>
          <w:szCs w:val="20"/>
        </w:rPr>
        <w:t>)</w:t>
      </w:r>
      <w:r w:rsidRPr="00DA1A7C">
        <w:rPr>
          <w:rFonts w:ascii="Arial" w:hAnsi="Arial" w:cs="Arial"/>
          <w:sz w:val="20"/>
          <w:szCs w:val="20"/>
        </w:rPr>
        <w:t xml:space="preserve"> </w:t>
      </w:r>
      <w:hyperlink r:id="rId8" w:anchor="how-much-money-is-spent-on-gambling-in-the-uk" w:history="1">
        <w:r w:rsidRPr="007E79E2">
          <w:rPr>
            <w:rStyle w:val="Hyperlink"/>
            <w:rFonts w:ascii="Arial" w:hAnsi="Arial" w:cs="Arial"/>
            <w:color w:val="auto"/>
            <w:sz w:val="20"/>
            <w:szCs w:val="20"/>
          </w:rPr>
          <w:t>https://www.finder.com/uk/gambling-statistics#how-much-money-is-spent-on-gambling-in-the-uk</w:t>
        </w:r>
      </w:hyperlink>
    </w:p>
    <w:p w14:paraId="2CA90F7D" w14:textId="77777777" w:rsidR="000A1509" w:rsidRPr="00DA1A7C" w:rsidRDefault="000A1509" w:rsidP="000A1509">
      <w:pPr>
        <w:pStyle w:val="NoSpacing"/>
        <w:rPr>
          <w:rStyle w:val="Hyperlink"/>
          <w:rFonts w:ascii="Arial" w:hAnsi="Arial" w:cs="Arial"/>
          <w:sz w:val="20"/>
          <w:szCs w:val="20"/>
        </w:rPr>
      </w:pPr>
    </w:p>
    <w:p w14:paraId="3435F6B0" w14:textId="07410A75" w:rsidR="000A1509" w:rsidRPr="007E79E2" w:rsidRDefault="000A1509" w:rsidP="000A1509">
      <w:pPr>
        <w:pStyle w:val="NoSpacing"/>
        <w:rPr>
          <w:rStyle w:val="Hyperlink"/>
          <w:rFonts w:ascii="Arial" w:hAnsi="Arial" w:cs="Arial"/>
          <w:color w:val="auto"/>
          <w:sz w:val="20"/>
          <w:szCs w:val="20"/>
        </w:rPr>
      </w:pPr>
      <w:r w:rsidRPr="00DA1A7C">
        <w:rPr>
          <w:rFonts w:ascii="Arial" w:hAnsi="Arial" w:cs="Arial"/>
          <w:sz w:val="20"/>
          <w:szCs w:val="20"/>
        </w:rPr>
        <w:t xml:space="preserve">Huang, J.-H., Jacobs, D. F., </w:t>
      </w:r>
      <w:proofErr w:type="spellStart"/>
      <w:r w:rsidRPr="00DA1A7C">
        <w:rPr>
          <w:rFonts w:ascii="Arial" w:hAnsi="Arial" w:cs="Arial"/>
          <w:sz w:val="20"/>
          <w:szCs w:val="20"/>
        </w:rPr>
        <w:t>Derevensky</w:t>
      </w:r>
      <w:proofErr w:type="spellEnd"/>
      <w:r w:rsidRPr="00DA1A7C">
        <w:rPr>
          <w:rFonts w:ascii="Arial" w:hAnsi="Arial" w:cs="Arial"/>
          <w:sz w:val="20"/>
          <w:szCs w:val="20"/>
        </w:rPr>
        <w:t xml:space="preserve">, J. L., Gupta, R., </w:t>
      </w:r>
      <w:r w:rsidR="002A3AA6" w:rsidRPr="00DA1A7C">
        <w:rPr>
          <w:rFonts w:ascii="Arial" w:hAnsi="Arial" w:cs="Arial"/>
          <w:sz w:val="20"/>
          <w:szCs w:val="20"/>
        </w:rPr>
        <w:t>and</w:t>
      </w:r>
      <w:r w:rsidRPr="00DA1A7C">
        <w:rPr>
          <w:rFonts w:ascii="Arial" w:hAnsi="Arial" w:cs="Arial"/>
          <w:sz w:val="20"/>
          <w:szCs w:val="20"/>
        </w:rPr>
        <w:t xml:space="preserve"> Paskus, T. S. (2007a)</w:t>
      </w:r>
      <w:r w:rsidR="002A3AA6" w:rsidRPr="00DA1A7C">
        <w:rPr>
          <w:rFonts w:ascii="Arial" w:hAnsi="Arial" w:cs="Arial"/>
          <w:sz w:val="20"/>
          <w:szCs w:val="20"/>
        </w:rPr>
        <w:t>,</w:t>
      </w:r>
      <w:r w:rsidRPr="00DA1A7C">
        <w:rPr>
          <w:rFonts w:ascii="Arial" w:hAnsi="Arial" w:cs="Arial"/>
          <w:sz w:val="20"/>
          <w:szCs w:val="20"/>
        </w:rPr>
        <w:t xml:space="preserve"> </w:t>
      </w:r>
      <w:r w:rsidR="002A3AA6" w:rsidRPr="00DA1A7C">
        <w:rPr>
          <w:rFonts w:ascii="Arial" w:hAnsi="Arial" w:cs="Arial"/>
          <w:sz w:val="20"/>
          <w:szCs w:val="20"/>
        </w:rPr>
        <w:t>“</w:t>
      </w:r>
      <w:r w:rsidRPr="00DA1A7C">
        <w:rPr>
          <w:rFonts w:ascii="Arial" w:hAnsi="Arial" w:cs="Arial"/>
          <w:sz w:val="20"/>
          <w:szCs w:val="20"/>
        </w:rPr>
        <w:t>A National Study on Gambling Among US College Student-Athletes</w:t>
      </w:r>
      <w:r w:rsidR="002A3AA6"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Journal of American College Health</w:t>
      </w:r>
      <w:r w:rsidRPr="00DA1A7C">
        <w:rPr>
          <w:rFonts w:ascii="Arial" w:hAnsi="Arial" w:cs="Arial"/>
          <w:sz w:val="20"/>
          <w:szCs w:val="20"/>
        </w:rPr>
        <w:t xml:space="preserve">, </w:t>
      </w:r>
      <w:r w:rsidR="002A3AA6" w:rsidRPr="00DA1A7C">
        <w:rPr>
          <w:rFonts w:ascii="Arial" w:hAnsi="Arial" w:cs="Arial"/>
          <w:sz w:val="20"/>
          <w:szCs w:val="20"/>
        </w:rPr>
        <w:t>Vol</w:t>
      </w:r>
      <w:r w:rsidR="0075057E" w:rsidRPr="00DA1A7C">
        <w:rPr>
          <w:rFonts w:ascii="Arial" w:hAnsi="Arial" w:cs="Arial"/>
          <w:sz w:val="20"/>
          <w:szCs w:val="20"/>
        </w:rPr>
        <w:t xml:space="preserve"> </w:t>
      </w:r>
      <w:r w:rsidRPr="00DA1A7C">
        <w:rPr>
          <w:rFonts w:ascii="Arial" w:hAnsi="Arial" w:cs="Arial"/>
          <w:sz w:val="20"/>
          <w:szCs w:val="20"/>
        </w:rPr>
        <w:t>56</w:t>
      </w:r>
      <w:r w:rsidR="0075057E" w:rsidRPr="00DA1A7C">
        <w:rPr>
          <w:rFonts w:ascii="Arial" w:hAnsi="Arial" w:cs="Arial"/>
          <w:sz w:val="20"/>
          <w:szCs w:val="20"/>
        </w:rPr>
        <w:t xml:space="preserve"> No. </w:t>
      </w:r>
      <w:r w:rsidRPr="00DA1A7C">
        <w:rPr>
          <w:rFonts w:ascii="Arial" w:hAnsi="Arial" w:cs="Arial"/>
          <w:sz w:val="20"/>
          <w:szCs w:val="20"/>
        </w:rPr>
        <w:t xml:space="preserve">2, </w:t>
      </w:r>
      <w:r w:rsidR="0075057E" w:rsidRPr="00DA1A7C">
        <w:rPr>
          <w:rFonts w:ascii="Arial" w:hAnsi="Arial" w:cs="Arial"/>
          <w:sz w:val="20"/>
          <w:szCs w:val="20"/>
        </w:rPr>
        <w:t>pp.</w:t>
      </w:r>
      <w:r w:rsidRPr="00DA1A7C">
        <w:rPr>
          <w:rFonts w:ascii="Arial" w:hAnsi="Arial" w:cs="Arial"/>
          <w:sz w:val="20"/>
          <w:szCs w:val="20"/>
        </w:rPr>
        <w:t xml:space="preserve">93–99. </w:t>
      </w:r>
      <w:hyperlink r:id="rId9" w:history="1">
        <w:r w:rsidRPr="007E79E2">
          <w:rPr>
            <w:rStyle w:val="Hyperlink"/>
            <w:rFonts w:ascii="Arial" w:hAnsi="Arial" w:cs="Arial"/>
            <w:color w:val="auto"/>
            <w:sz w:val="20"/>
            <w:szCs w:val="20"/>
          </w:rPr>
          <w:t>https://doi.org/10.3200/JACH.56.2.93-100</w:t>
        </w:r>
      </w:hyperlink>
    </w:p>
    <w:p w14:paraId="15457F34" w14:textId="77777777" w:rsidR="000A1509" w:rsidRPr="007E79E2" w:rsidRDefault="000A1509" w:rsidP="000A1509">
      <w:pPr>
        <w:pStyle w:val="NoSpacing"/>
        <w:rPr>
          <w:rStyle w:val="Hyperlink"/>
          <w:rFonts w:ascii="Arial" w:hAnsi="Arial" w:cs="Arial"/>
          <w:color w:val="auto"/>
          <w:sz w:val="20"/>
          <w:szCs w:val="20"/>
        </w:rPr>
      </w:pPr>
    </w:p>
    <w:p w14:paraId="262DA963" w14:textId="39A54D5A" w:rsidR="000A1509" w:rsidRPr="00DA1A7C" w:rsidRDefault="000A1509" w:rsidP="000A1509">
      <w:pPr>
        <w:pStyle w:val="NoSpacing"/>
        <w:rPr>
          <w:rFonts w:ascii="Arial" w:hAnsi="Arial" w:cs="Arial"/>
          <w:sz w:val="20"/>
          <w:szCs w:val="20"/>
        </w:rPr>
      </w:pPr>
      <w:r w:rsidRPr="00DA1A7C">
        <w:rPr>
          <w:rFonts w:ascii="Arial" w:hAnsi="Arial" w:cs="Arial"/>
          <w:sz w:val="20"/>
          <w:szCs w:val="20"/>
        </w:rPr>
        <w:t xml:space="preserve">Huang, J.-H., Jacobs, D. F., </w:t>
      </w:r>
      <w:proofErr w:type="spellStart"/>
      <w:r w:rsidRPr="00DA1A7C">
        <w:rPr>
          <w:rFonts w:ascii="Arial" w:hAnsi="Arial" w:cs="Arial"/>
          <w:sz w:val="20"/>
          <w:szCs w:val="20"/>
        </w:rPr>
        <w:t>Derevensky</w:t>
      </w:r>
      <w:proofErr w:type="spellEnd"/>
      <w:r w:rsidRPr="00DA1A7C">
        <w:rPr>
          <w:rFonts w:ascii="Arial" w:hAnsi="Arial" w:cs="Arial"/>
          <w:sz w:val="20"/>
          <w:szCs w:val="20"/>
        </w:rPr>
        <w:t xml:space="preserve">, J. L., Gupta, R., </w:t>
      </w:r>
      <w:r w:rsidR="00C44A4C" w:rsidRPr="00DA1A7C">
        <w:rPr>
          <w:rFonts w:ascii="Arial" w:hAnsi="Arial" w:cs="Arial"/>
          <w:sz w:val="20"/>
          <w:szCs w:val="20"/>
        </w:rPr>
        <w:t>and</w:t>
      </w:r>
      <w:r w:rsidRPr="00DA1A7C">
        <w:rPr>
          <w:rFonts w:ascii="Arial" w:hAnsi="Arial" w:cs="Arial"/>
          <w:sz w:val="20"/>
          <w:szCs w:val="20"/>
        </w:rPr>
        <w:t xml:space="preserve"> Paskus, T. S. (2007b)</w:t>
      </w:r>
      <w:r w:rsidR="00C44A4C" w:rsidRPr="00DA1A7C">
        <w:rPr>
          <w:rFonts w:ascii="Arial" w:hAnsi="Arial" w:cs="Arial"/>
          <w:sz w:val="20"/>
          <w:szCs w:val="20"/>
        </w:rPr>
        <w:t>,</w:t>
      </w:r>
      <w:r w:rsidRPr="00DA1A7C">
        <w:rPr>
          <w:rFonts w:ascii="Arial" w:hAnsi="Arial" w:cs="Arial"/>
          <w:sz w:val="20"/>
          <w:szCs w:val="20"/>
        </w:rPr>
        <w:t xml:space="preserve"> </w:t>
      </w:r>
      <w:r w:rsidR="00C44A4C" w:rsidRPr="00DA1A7C">
        <w:rPr>
          <w:rFonts w:ascii="Arial" w:hAnsi="Arial" w:cs="Arial"/>
          <w:sz w:val="20"/>
          <w:szCs w:val="20"/>
        </w:rPr>
        <w:t>“</w:t>
      </w:r>
      <w:r w:rsidRPr="00DA1A7C">
        <w:rPr>
          <w:rFonts w:ascii="Arial" w:hAnsi="Arial" w:cs="Arial"/>
          <w:sz w:val="20"/>
          <w:szCs w:val="20"/>
        </w:rPr>
        <w:t xml:space="preserve">Gambling and Health Risk </w:t>
      </w:r>
      <w:proofErr w:type="spellStart"/>
      <w:r w:rsidRPr="00DA1A7C">
        <w:rPr>
          <w:rFonts w:ascii="Arial" w:hAnsi="Arial" w:cs="Arial"/>
          <w:sz w:val="20"/>
          <w:szCs w:val="20"/>
        </w:rPr>
        <w:t>Behaviors</w:t>
      </w:r>
      <w:proofErr w:type="spellEnd"/>
      <w:r w:rsidRPr="00DA1A7C">
        <w:rPr>
          <w:rFonts w:ascii="Arial" w:hAnsi="Arial" w:cs="Arial"/>
          <w:sz w:val="20"/>
          <w:szCs w:val="20"/>
        </w:rPr>
        <w:t xml:space="preserve"> Among U.S. College Student-Athletes: Findings from a National Study</w:t>
      </w:r>
      <w:r w:rsidR="00C44A4C"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Journal of Adolescent Health</w:t>
      </w:r>
      <w:r w:rsidRPr="00DA1A7C">
        <w:rPr>
          <w:rFonts w:ascii="Arial" w:hAnsi="Arial" w:cs="Arial"/>
          <w:sz w:val="20"/>
          <w:szCs w:val="20"/>
        </w:rPr>
        <w:t xml:space="preserve">, </w:t>
      </w:r>
      <w:r w:rsidR="00C44A4C" w:rsidRPr="00DA1A7C">
        <w:rPr>
          <w:rFonts w:ascii="Arial" w:hAnsi="Arial" w:cs="Arial"/>
          <w:sz w:val="20"/>
          <w:szCs w:val="20"/>
        </w:rPr>
        <w:t xml:space="preserve">Vol </w:t>
      </w:r>
      <w:r w:rsidRPr="00DA1A7C">
        <w:rPr>
          <w:rFonts w:ascii="Arial" w:hAnsi="Arial" w:cs="Arial"/>
          <w:sz w:val="20"/>
          <w:szCs w:val="20"/>
        </w:rPr>
        <w:t>40</w:t>
      </w:r>
      <w:r w:rsidR="00C44A4C" w:rsidRPr="00DA1A7C">
        <w:rPr>
          <w:rFonts w:ascii="Arial" w:hAnsi="Arial" w:cs="Arial"/>
          <w:sz w:val="20"/>
          <w:szCs w:val="20"/>
        </w:rPr>
        <w:t xml:space="preserve"> No. </w:t>
      </w:r>
      <w:r w:rsidRPr="00DA1A7C">
        <w:rPr>
          <w:rFonts w:ascii="Arial" w:hAnsi="Arial" w:cs="Arial"/>
          <w:sz w:val="20"/>
          <w:szCs w:val="20"/>
        </w:rPr>
        <w:t xml:space="preserve">5, </w:t>
      </w:r>
      <w:r w:rsidR="00C44A4C" w:rsidRPr="00DA1A7C">
        <w:rPr>
          <w:rFonts w:ascii="Arial" w:hAnsi="Arial" w:cs="Arial"/>
          <w:sz w:val="20"/>
          <w:szCs w:val="20"/>
        </w:rPr>
        <w:t>pp.</w:t>
      </w:r>
      <w:r w:rsidRPr="00DA1A7C">
        <w:rPr>
          <w:rFonts w:ascii="Arial" w:hAnsi="Arial" w:cs="Arial"/>
          <w:sz w:val="20"/>
          <w:szCs w:val="20"/>
        </w:rPr>
        <w:t xml:space="preserve">390–397. </w:t>
      </w:r>
      <w:hyperlink r:id="rId10" w:history="1">
        <w:r w:rsidRPr="007E79E2">
          <w:rPr>
            <w:rStyle w:val="Hyperlink"/>
            <w:rFonts w:ascii="Arial" w:hAnsi="Arial" w:cs="Arial"/>
            <w:color w:val="auto"/>
            <w:sz w:val="20"/>
            <w:szCs w:val="20"/>
          </w:rPr>
          <w:t>https://doi.org/10.1016/j.jadohealth.2006.11.146</w:t>
        </w:r>
      </w:hyperlink>
    </w:p>
    <w:p w14:paraId="40C7F6FC" w14:textId="77777777" w:rsidR="000A1509" w:rsidRPr="00DA1A7C" w:rsidRDefault="000A1509" w:rsidP="000A1509">
      <w:pPr>
        <w:pStyle w:val="NoSpacing"/>
        <w:rPr>
          <w:rStyle w:val="Hyperlink"/>
          <w:rFonts w:ascii="Arial" w:hAnsi="Arial" w:cs="Arial"/>
          <w:sz w:val="20"/>
          <w:szCs w:val="20"/>
        </w:rPr>
      </w:pPr>
    </w:p>
    <w:p w14:paraId="04825823" w14:textId="399DA1B0" w:rsidR="000A1509" w:rsidRPr="007E79E2" w:rsidRDefault="000A1509" w:rsidP="000A1509">
      <w:pPr>
        <w:pStyle w:val="NoSpacing"/>
        <w:rPr>
          <w:rStyle w:val="Hyperlink"/>
          <w:rFonts w:ascii="Arial" w:hAnsi="Arial" w:cs="Arial"/>
          <w:color w:val="auto"/>
          <w:sz w:val="20"/>
          <w:szCs w:val="20"/>
        </w:rPr>
      </w:pPr>
      <w:r w:rsidRPr="00DA1A7C">
        <w:rPr>
          <w:rFonts w:ascii="Arial" w:hAnsi="Arial" w:cs="Arial"/>
          <w:sz w:val="20"/>
          <w:szCs w:val="20"/>
        </w:rPr>
        <w:t xml:space="preserve">Lafferty, M. E., Wakefield, C., </w:t>
      </w:r>
      <w:r w:rsidR="00C44A4C" w:rsidRPr="00DA1A7C">
        <w:rPr>
          <w:rFonts w:ascii="Arial" w:hAnsi="Arial" w:cs="Arial"/>
          <w:sz w:val="20"/>
          <w:szCs w:val="20"/>
        </w:rPr>
        <w:t>and</w:t>
      </w:r>
      <w:r w:rsidRPr="00DA1A7C">
        <w:rPr>
          <w:rFonts w:ascii="Arial" w:hAnsi="Arial" w:cs="Arial"/>
          <w:sz w:val="20"/>
          <w:szCs w:val="20"/>
        </w:rPr>
        <w:t xml:space="preserve"> Brown, H. (2017)</w:t>
      </w:r>
      <w:r w:rsidR="00C41B6A" w:rsidRPr="00DA1A7C">
        <w:rPr>
          <w:rFonts w:ascii="Arial" w:hAnsi="Arial" w:cs="Arial"/>
          <w:sz w:val="20"/>
          <w:szCs w:val="20"/>
        </w:rPr>
        <w:t>,</w:t>
      </w:r>
      <w:r w:rsidRPr="00DA1A7C">
        <w:rPr>
          <w:rFonts w:ascii="Arial" w:hAnsi="Arial" w:cs="Arial"/>
          <w:sz w:val="20"/>
          <w:szCs w:val="20"/>
        </w:rPr>
        <w:t xml:space="preserve"> </w:t>
      </w:r>
      <w:r w:rsidR="00C41B6A" w:rsidRPr="00DA1A7C">
        <w:rPr>
          <w:rFonts w:ascii="Arial" w:hAnsi="Arial" w:cs="Arial"/>
          <w:sz w:val="20"/>
          <w:szCs w:val="20"/>
        </w:rPr>
        <w:t>“</w:t>
      </w:r>
      <w:r w:rsidRPr="00DA1A7C">
        <w:rPr>
          <w:rFonts w:ascii="Arial" w:hAnsi="Arial" w:cs="Arial"/>
          <w:sz w:val="20"/>
          <w:szCs w:val="20"/>
        </w:rPr>
        <w:t>“We do it for the team” – Student-athletes’ initiation practices and their impact on group cohesion</w:t>
      </w:r>
      <w:r w:rsidR="00C41B6A"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International Journal of Sport and Exercise Psychology</w:t>
      </w:r>
      <w:r w:rsidRPr="00DA1A7C">
        <w:rPr>
          <w:rFonts w:ascii="Arial" w:hAnsi="Arial" w:cs="Arial"/>
          <w:sz w:val="20"/>
          <w:szCs w:val="20"/>
        </w:rPr>
        <w:t xml:space="preserve">, </w:t>
      </w:r>
      <w:r w:rsidR="00C41B6A" w:rsidRPr="00DA1A7C">
        <w:rPr>
          <w:rFonts w:ascii="Arial" w:hAnsi="Arial" w:cs="Arial"/>
          <w:sz w:val="20"/>
          <w:szCs w:val="20"/>
        </w:rPr>
        <w:t xml:space="preserve">Vol </w:t>
      </w:r>
      <w:r w:rsidRPr="00DA1A7C">
        <w:rPr>
          <w:rFonts w:ascii="Arial" w:hAnsi="Arial" w:cs="Arial"/>
          <w:sz w:val="20"/>
          <w:szCs w:val="20"/>
        </w:rPr>
        <w:t>15</w:t>
      </w:r>
      <w:r w:rsidR="00C41B6A" w:rsidRPr="00DA1A7C">
        <w:rPr>
          <w:rFonts w:ascii="Arial" w:hAnsi="Arial" w:cs="Arial"/>
          <w:sz w:val="20"/>
          <w:szCs w:val="20"/>
        </w:rPr>
        <w:t xml:space="preserve"> No. </w:t>
      </w:r>
      <w:r w:rsidRPr="00DA1A7C">
        <w:rPr>
          <w:rFonts w:ascii="Arial" w:hAnsi="Arial" w:cs="Arial"/>
          <w:sz w:val="20"/>
          <w:szCs w:val="20"/>
        </w:rPr>
        <w:t xml:space="preserve">4, </w:t>
      </w:r>
      <w:r w:rsidR="00C41B6A" w:rsidRPr="00DA1A7C">
        <w:rPr>
          <w:rFonts w:ascii="Arial" w:hAnsi="Arial" w:cs="Arial"/>
          <w:sz w:val="20"/>
          <w:szCs w:val="20"/>
        </w:rPr>
        <w:t>pp.</w:t>
      </w:r>
      <w:r w:rsidRPr="00DA1A7C">
        <w:rPr>
          <w:rFonts w:ascii="Arial" w:hAnsi="Arial" w:cs="Arial"/>
          <w:sz w:val="20"/>
          <w:szCs w:val="20"/>
        </w:rPr>
        <w:t xml:space="preserve">438–446. </w:t>
      </w:r>
      <w:hyperlink r:id="rId11" w:history="1">
        <w:r w:rsidRPr="007E79E2">
          <w:rPr>
            <w:rStyle w:val="Hyperlink"/>
            <w:rFonts w:ascii="Arial" w:hAnsi="Arial" w:cs="Arial"/>
            <w:color w:val="auto"/>
            <w:sz w:val="20"/>
            <w:szCs w:val="20"/>
          </w:rPr>
          <w:t>https://doi.org/10.1080/1612197X.2015.1121507</w:t>
        </w:r>
      </w:hyperlink>
    </w:p>
    <w:p w14:paraId="2BE66CB3" w14:textId="77777777" w:rsidR="00D03246" w:rsidRPr="007E79E2" w:rsidRDefault="00D03246" w:rsidP="000A1509">
      <w:pPr>
        <w:pStyle w:val="NoSpacing"/>
        <w:rPr>
          <w:rStyle w:val="Hyperlink"/>
          <w:rFonts w:ascii="Arial" w:hAnsi="Arial" w:cs="Arial"/>
          <w:color w:val="auto"/>
          <w:sz w:val="20"/>
          <w:szCs w:val="20"/>
        </w:rPr>
      </w:pPr>
    </w:p>
    <w:p w14:paraId="177BE2ED" w14:textId="0002A160" w:rsidR="000A1509" w:rsidRPr="00DA1A7C" w:rsidRDefault="00880E7C" w:rsidP="000A1509">
      <w:pPr>
        <w:pStyle w:val="NoSpacing"/>
        <w:rPr>
          <w:rFonts w:ascii="Arial" w:hAnsi="Arial" w:cs="Arial"/>
          <w:sz w:val="20"/>
          <w:szCs w:val="20"/>
        </w:rPr>
      </w:pPr>
      <w:r w:rsidRPr="00DA1A7C">
        <w:rPr>
          <w:rFonts w:ascii="Arial" w:hAnsi="Arial" w:cs="Arial"/>
          <w:sz w:val="20"/>
          <w:szCs w:val="20"/>
        </w:rPr>
        <w:t xml:space="preserve">Killick, E. A., </w:t>
      </w:r>
      <w:r w:rsidR="00CC52FB" w:rsidRPr="00DA1A7C">
        <w:rPr>
          <w:rFonts w:ascii="Arial" w:hAnsi="Arial" w:cs="Arial"/>
          <w:sz w:val="20"/>
          <w:szCs w:val="20"/>
        </w:rPr>
        <w:t>and</w:t>
      </w:r>
      <w:r w:rsidRPr="00DA1A7C">
        <w:rPr>
          <w:rFonts w:ascii="Arial" w:hAnsi="Arial" w:cs="Arial"/>
          <w:sz w:val="20"/>
          <w:szCs w:val="20"/>
        </w:rPr>
        <w:t xml:space="preserve"> Griffiths, M. D. (2022)</w:t>
      </w:r>
      <w:r w:rsidR="00D722B3" w:rsidRPr="00DA1A7C">
        <w:rPr>
          <w:rFonts w:ascii="Arial" w:hAnsi="Arial" w:cs="Arial"/>
          <w:sz w:val="20"/>
          <w:szCs w:val="20"/>
        </w:rPr>
        <w:t>,</w:t>
      </w:r>
      <w:r w:rsidRPr="00DA1A7C">
        <w:rPr>
          <w:rFonts w:ascii="Arial" w:hAnsi="Arial" w:cs="Arial"/>
          <w:sz w:val="20"/>
          <w:szCs w:val="20"/>
        </w:rPr>
        <w:t xml:space="preserve"> </w:t>
      </w:r>
      <w:r w:rsidR="00D722B3" w:rsidRPr="00DA1A7C">
        <w:rPr>
          <w:rFonts w:ascii="Arial" w:hAnsi="Arial" w:cs="Arial"/>
          <w:sz w:val="20"/>
          <w:szCs w:val="20"/>
        </w:rPr>
        <w:t>“</w:t>
      </w:r>
      <w:r w:rsidRPr="00DA1A7C">
        <w:rPr>
          <w:rFonts w:ascii="Arial" w:hAnsi="Arial" w:cs="Arial"/>
          <w:sz w:val="20"/>
          <w:szCs w:val="20"/>
        </w:rPr>
        <w:t>A thematic analysis of sports bettors’ perceptions of sports betting marketing strategies in the UK</w:t>
      </w:r>
      <w:r w:rsidR="00D722B3"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International Journal of Mental Health and Addiction</w:t>
      </w:r>
      <w:r w:rsidRPr="00DA1A7C">
        <w:rPr>
          <w:rFonts w:ascii="Arial" w:hAnsi="Arial" w:cs="Arial"/>
          <w:sz w:val="20"/>
          <w:szCs w:val="20"/>
        </w:rPr>
        <w:t>,</w:t>
      </w:r>
      <w:r w:rsidR="00D722B3" w:rsidRPr="00DA1A7C">
        <w:rPr>
          <w:rFonts w:ascii="Arial" w:hAnsi="Arial" w:cs="Arial"/>
          <w:sz w:val="20"/>
          <w:szCs w:val="20"/>
        </w:rPr>
        <w:t xml:space="preserve"> Vol</w:t>
      </w:r>
      <w:r w:rsidRPr="00DA1A7C">
        <w:rPr>
          <w:rFonts w:ascii="Arial" w:hAnsi="Arial" w:cs="Arial"/>
          <w:sz w:val="20"/>
          <w:szCs w:val="20"/>
        </w:rPr>
        <w:t xml:space="preserve"> 20</w:t>
      </w:r>
      <w:r w:rsidR="00D722B3" w:rsidRPr="00DA1A7C">
        <w:rPr>
          <w:rFonts w:ascii="Arial" w:hAnsi="Arial" w:cs="Arial"/>
          <w:sz w:val="20"/>
          <w:szCs w:val="20"/>
        </w:rPr>
        <w:t xml:space="preserve"> No. </w:t>
      </w:r>
      <w:r w:rsidRPr="00DA1A7C">
        <w:rPr>
          <w:rFonts w:ascii="Arial" w:hAnsi="Arial" w:cs="Arial"/>
          <w:sz w:val="20"/>
          <w:szCs w:val="20"/>
        </w:rPr>
        <w:t xml:space="preserve">2, </w:t>
      </w:r>
      <w:r w:rsidR="00D722B3" w:rsidRPr="00DA1A7C">
        <w:rPr>
          <w:rFonts w:ascii="Arial" w:hAnsi="Arial" w:cs="Arial"/>
          <w:sz w:val="20"/>
          <w:szCs w:val="20"/>
        </w:rPr>
        <w:t>pp.</w:t>
      </w:r>
      <w:r w:rsidRPr="00DA1A7C">
        <w:rPr>
          <w:rFonts w:ascii="Arial" w:hAnsi="Arial" w:cs="Arial"/>
          <w:sz w:val="20"/>
          <w:szCs w:val="20"/>
        </w:rPr>
        <w:t>800-818.</w:t>
      </w:r>
    </w:p>
    <w:p w14:paraId="06BD5805" w14:textId="77777777" w:rsidR="000A1509" w:rsidRPr="00DA1A7C" w:rsidRDefault="000A1509" w:rsidP="000A1509">
      <w:pPr>
        <w:pStyle w:val="NoSpacing"/>
        <w:rPr>
          <w:rStyle w:val="Hyperlink"/>
          <w:rFonts w:ascii="Arial" w:hAnsi="Arial" w:cs="Arial"/>
          <w:sz w:val="20"/>
          <w:szCs w:val="20"/>
        </w:rPr>
      </w:pPr>
    </w:p>
    <w:p w14:paraId="28E67AF4" w14:textId="30F0E4B1" w:rsidR="000A1509" w:rsidRPr="007E79E2" w:rsidRDefault="000A1509" w:rsidP="000A1509">
      <w:pPr>
        <w:pStyle w:val="NoSpacing"/>
        <w:rPr>
          <w:rStyle w:val="Hyperlink"/>
          <w:rFonts w:ascii="Arial" w:hAnsi="Arial" w:cs="Arial"/>
          <w:color w:val="auto"/>
          <w:sz w:val="20"/>
          <w:szCs w:val="20"/>
        </w:rPr>
      </w:pPr>
      <w:r w:rsidRPr="00DA1A7C">
        <w:rPr>
          <w:rFonts w:ascii="Arial" w:hAnsi="Arial" w:cs="Arial"/>
          <w:sz w:val="20"/>
          <w:szCs w:val="20"/>
        </w:rPr>
        <w:t xml:space="preserve">Martin, R. J., Nelson, S. E., </w:t>
      </w:r>
      <w:r w:rsidR="00D722B3" w:rsidRPr="00DA1A7C">
        <w:rPr>
          <w:rFonts w:ascii="Arial" w:hAnsi="Arial" w:cs="Arial"/>
          <w:sz w:val="20"/>
          <w:szCs w:val="20"/>
        </w:rPr>
        <w:t>and</w:t>
      </w:r>
      <w:r w:rsidRPr="00DA1A7C">
        <w:rPr>
          <w:rFonts w:ascii="Arial" w:hAnsi="Arial" w:cs="Arial"/>
          <w:sz w:val="20"/>
          <w:szCs w:val="20"/>
        </w:rPr>
        <w:t xml:space="preserve"> Gallucci, A. R. (2016)</w:t>
      </w:r>
      <w:r w:rsidR="00D722B3" w:rsidRPr="00DA1A7C">
        <w:rPr>
          <w:rFonts w:ascii="Arial" w:hAnsi="Arial" w:cs="Arial"/>
          <w:sz w:val="20"/>
          <w:szCs w:val="20"/>
        </w:rPr>
        <w:t>,</w:t>
      </w:r>
      <w:r w:rsidRPr="00DA1A7C">
        <w:rPr>
          <w:rFonts w:ascii="Arial" w:hAnsi="Arial" w:cs="Arial"/>
          <w:sz w:val="20"/>
          <w:szCs w:val="20"/>
        </w:rPr>
        <w:t xml:space="preserve"> </w:t>
      </w:r>
      <w:r w:rsidR="00D722B3" w:rsidRPr="00DA1A7C">
        <w:rPr>
          <w:rFonts w:ascii="Arial" w:hAnsi="Arial" w:cs="Arial"/>
          <w:sz w:val="20"/>
          <w:szCs w:val="20"/>
        </w:rPr>
        <w:t>“</w:t>
      </w:r>
      <w:r w:rsidRPr="00DA1A7C">
        <w:rPr>
          <w:rFonts w:ascii="Arial" w:hAnsi="Arial" w:cs="Arial"/>
          <w:sz w:val="20"/>
          <w:szCs w:val="20"/>
        </w:rPr>
        <w:t>Game On: Past Year Gambling, Gambling-Related Problems, and Fantasy Sports Gambling Among College Athletes and Non-athletes</w:t>
      </w:r>
      <w:r w:rsidR="00D722B3"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Journal of Gambling Studies,</w:t>
      </w:r>
      <w:r w:rsidRPr="00DA1A7C">
        <w:rPr>
          <w:rFonts w:ascii="Arial" w:hAnsi="Arial" w:cs="Arial"/>
          <w:sz w:val="20"/>
          <w:szCs w:val="20"/>
        </w:rPr>
        <w:t xml:space="preserve"> </w:t>
      </w:r>
      <w:r w:rsidR="00D722B3" w:rsidRPr="00DA1A7C">
        <w:rPr>
          <w:rFonts w:ascii="Arial" w:hAnsi="Arial" w:cs="Arial"/>
          <w:sz w:val="20"/>
          <w:szCs w:val="20"/>
        </w:rPr>
        <w:t xml:space="preserve">Vol </w:t>
      </w:r>
      <w:r w:rsidRPr="00DA1A7C">
        <w:rPr>
          <w:rFonts w:ascii="Arial" w:hAnsi="Arial" w:cs="Arial"/>
          <w:sz w:val="20"/>
          <w:szCs w:val="20"/>
        </w:rPr>
        <w:t>32</w:t>
      </w:r>
      <w:r w:rsidR="00D722B3" w:rsidRPr="00DA1A7C">
        <w:rPr>
          <w:rFonts w:ascii="Arial" w:hAnsi="Arial" w:cs="Arial"/>
          <w:sz w:val="20"/>
          <w:szCs w:val="20"/>
        </w:rPr>
        <w:t xml:space="preserve"> No. </w:t>
      </w:r>
      <w:r w:rsidRPr="00DA1A7C">
        <w:rPr>
          <w:rFonts w:ascii="Arial" w:hAnsi="Arial" w:cs="Arial"/>
          <w:sz w:val="20"/>
          <w:szCs w:val="20"/>
        </w:rPr>
        <w:t xml:space="preserve">2, </w:t>
      </w:r>
      <w:r w:rsidR="00D722B3" w:rsidRPr="00DA1A7C">
        <w:rPr>
          <w:rFonts w:ascii="Arial" w:hAnsi="Arial" w:cs="Arial"/>
          <w:sz w:val="20"/>
          <w:szCs w:val="20"/>
        </w:rPr>
        <w:t>pp.</w:t>
      </w:r>
      <w:r w:rsidRPr="00DA1A7C">
        <w:rPr>
          <w:rFonts w:ascii="Arial" w:hAnsi="Arial" w:cs="Arial"/>
          <w:sz w:val="20"/>
          <w:szCs w:val="20"/>
        </w:rPr>
        <w:t xml:space="preserve">567–579. </w:t>
      </w:r>
      <w:hyperlink r:id="rId12" w:history="1">
        <w:r w:rsidRPr="007E79E2">
          <w:rPr>
            <w:rStyle w:val="Hyperlink"/>
            <w:rFonts w:ascii="Arial" w:hAnsi="Arial" w:cs="Arial"/>
            <w:color w:val="auto"/>
            <w:sz w:val="20"/>
            <w:szCs w:val="20"/>
          </w:rPr>
          <w:t>https://doi.org/10.1007/s10899-015-9561-y</w:t>
        </w:r>
      </w:hyperlink>
    </w:p>
    <w:p w14:paraId="2D07B2E4" w14:textId="77777777" w:rsidR="000A1509" w:rsidRPr="00DA1A7C" w:rsidRDefault="000A1509" w:rsidP="000A1509">
      <w:pPr>
        <w:pStyle w:val="NoSpacing"/>
        <w:rPr>
          <w:rFonts w:ascii="Arial" w:hAnsi="Arial" w:cs="Arial"/>
          <w:sz w:val="20"/>
          <w:szCs w:val="20"/>
        </w:rPr>
      </w:pPr>
    </w:p>
    <w:p w14:paraId="1B669CE9" w14:textId="775C0AE2" w:rsidR="000A1509" w:rsidRPr="00DA1A7C" w:rsidRDefault="000A1509" w:rsidP="000A1509">
      <w:pPr>
        <w:pStyle w:val="NoSpacing"/>
        <w:rPr>
          <w:rFonts w:ascii="Arial" w:hAnsi="Arial" w:cs="Arial"/>
          <w:sz w:val="20"/>
          <w:szCs w:val="20"/>
          <w:shd w:val="clear" w:color="auto" w:fill="FFFFFF"/>
        </w:rPr>
      </w:pPr>
      <w:r w:rsidRPr="00DA1A7C">
        <w:rPr>
          <w:rFonts w:ascii="Arial" w:hAnsi="Arial" w:cs="Arial"/>
          <w:sz w:val="20"/>
          <w:szCs w:val="20"/>
          <w:shd w:val="clear" w:color="auto" w:fill="FFFFFF"/>
        </w:rPr>
        <w:t xml:space="preserve">Mateo-Flor, J., Alguacil, M., </w:t>
      </w:r>
      <w:r w:rsidR="004C1616" w:rsidRPr="00DA1A7C">
        <w:rPr>
          <w:rFonts w:ascii="Arial" w:hAnsi="Arial" w:cs="Arial"/>
          <w:sz w:val="20"/>
          <w:szCs w:val="20"/>
          <w:shd w:val="clear" w:color="auto" w:fill="FFFFFF"/>
        </w:rPr>
        <w:t>and</w:t>
      </w:r>
      <w:r w:rsidRPr="00DA1A7C">
        <w:rPr>
          <w:rFonts w:ascii="Arial" w:hAnsi="Arial" w:cs="Arial"/>
          <w:sz w:val="20"/>
          <w:szCs w:val="20"/>
          <w:shd w:val="clear" w:color="auto" w:fill="FFFFFF"/>
        </w:rPr>
        <w:t xml:space="preserve"> González-Serrano, M. H. (2020)</w:t>
      </w:r>
      <w:r w:rsidR="004C1616" w:rsidRPr="00DA1A7C">
        <w:rPr>
          <w:rFonts w:ascii="Arial" w:hAnsi="Arial" w:cs="Arial"/>
          <w:sz w:val="20"/>
          <w:szCs w:val="20"/>
          <w:shd w:val="clear" w:color="auto" w:fill="FFFFFF"/>
        </w:rPr>
        <w:t>,</w:t>
      </w:r>
      <w:r w:rsidRPr="00DA1A7C">
        <w:rPr>
          <w:rFonts w:ascii="Arial" w:hAnsi="Arial" w:cs="Arial"/>
          <w:sz w:val="20"/>
          <w:szCs w:val="20"/>
          <w:shd w:val="clear" w:color="auto" w:fill="FFFFFF"/>
        </w:rPr>
        <w:t xml:space="preserve"> </w:t>
      </w:r>
      <w:r w:rsidR="004C1616" w:rsidRPr="00DA1A7C">
        <w:rPr>
          <w:rFonts w:ascii="Arial" w:hAnsi="Arial" w:cs="Arial"/>
          <w:sz w:val="20"/>
          <w:szCs w:val="20"/>
          <w:shd w:val="clear" w:color="auto" w:fill="FFFFFF"/>
        </w:rPr>
        <w:t>“</w:t>
      </w:r>
      <w:r w:rsidRPr="00DA1A7C">
        <w:rPr>
          <w:rFonts w:ascii="Arial" w:hAnsi="Arial" w:cs="Arial"/>
          <w:sz w:val="20"/>
          <w:szCs w:val="20"/>
          <w:shd w:val="clear" w:color="auto" w:fill="FFFFFF"/>
        </w:rPr>
        <w:t>Gambling and sports betting by teenagers</w:t>
      </w:r>
      <w:r w:rsidR="004C1616" w:rsidRPr="00DA1A7C">
        <w:rPr>
          <w:rFonts w:ascii="Arial" w:hAnsi="Arial" w:cs="Arial"/>
          <w:sz w:val="20"/>
          <w:szCs w:val="20"/>
          <w:shd w:val="clear" w:color="auto" w:fill="FFFFFF"/>
        </w:rPr>
        <w:t>”,</w:t>
      </w:r>
      <w:r w:rsidRPr="00DA1A7C">
        <w:rPr>
          <w:rFonts w:ascii="Arial" w:hAnsi="Arial" w:cs="Arial"/>
          <w:sz w:val="20"/>
          <w:szCs w:val="20"/>
          <w:shd w:val="clear" w:color="auto" w:fill="FFFFFF"/>
        </w:rPr>
        <w:t> </w:t>
      </w:r>
      <w:r w:rsidRPr="00DA1A7C">
        <w:rPr>
          <w:rFonts w:ascii="Arial" w:hAnsi="Arial" w:cs="Arial"/>
          <w:i/>
          <w:iCs/>
          <w:sz w:val="20"/>
          <w:szCs w:val="20"/>
          <w:shd w:val="clear" w:color="auto" w:fill="FFFFFF"/>
        </w:rPr>
        <w:t>Journal of Physical Education and Sport</w:t>
      </w:r>
      <w:r w:rsidRPr="00DA1A7C">
        <w:rPr>
          <w:rFonts w:ascii="Arial" w:hAnsi="Arial" w:cs="Arial"/>
          <w:sz w:val="20"/>
          <w:szCs w:val="20"/>
          <w:shd w:val="clear" w:color="auto" w:fill="FFFFFF"/>
        </w:rPr>
        <w:t>, </w:t>
      </w:r>
      <w:r w:rsidR="004C1616" w:rsidRPr="00DA1A7C">
        <w:rPr>
          <w:rFonts w:ascii="Arial" w:hAnsi="Arial" w:cs="Arial"/>
          <w:sz w:val="20"/>
          <w:szCs w:val="20"/>
          <w:shd w:val="clear" w:color="auto" w:fill="FFFFFF"/>
        </w:rPr>
        <w:t xml:space="preserve">Vol </w:t>
      </w:r>
      <w:r w:rsidRPr="00DA1A7C">
        <w:rPr>
          <w:rFonts w:ascii="Arial" w:hAnsi="Arial" w:cs="Arial"/>
          <w:sz w:val="20"/>
          <w:szCs w:val="20"/>
          <w:shd w:val="clear" w:color="auto" w:fill="FFFFFF"/>
        </w:rPr>
        <w:t>20</w:t>
      </w:r>
      <w:r w:rsidR="004C1616" w:rsidRPr="00DA1A7C">
        <w:rPr>
          <w:rFonts w:ascii="Arial" w:hAnsi="Arial" w:cs="Arial"/>
          <w:i/>
          <w:iCs/>
          <w:sz w:val="20"/>
          <w:szCs w:val="20"/>
          <w:shd w:val="clear" w:color="auto" w:fill="FFFFFF"/>
        </w:rPr>
        <w:t xml:space="preserve"> No. </w:t>
      </w:r>
      <w:r w:rsidRPr="00DA1A7C">
        <w:rPr>
          <w:rFonts w:ascii="Arial" w:hAnsi="Arial" w:cs="Arial"/>
          <w:sz w:val="20"/>
          <w:szCs w:val="20"/>
          <w:shd w:val="clear" w:color="auto" w:fill="FFFFFF"/>
        </w:rPr>
        <w:t xml:space="preserve">2, </w:t>
      </w:r>
      <w:r w:rsidR="004C1616" w:rsidRPr="00DA1A7C">
        <w:rPr>
          <w:rFonts w:ascii="Arial" w:hAnsi="Arial" w:cs="Arial"/>
          <w:sz w:val="20"/>
          <w:szCs w:val="20"/>
          <w:shd w:val="clear" w:color="auto" w:fill="FFFFFF"/>
        </w:rPr>
        <w:t>pp.</w:t>
      </w:r>
      <w:r w:rsidRPr="00DA1A7C">
        <w:rPr>
          <w:rFonts w:ascii="Arial" w:hAnsi="Arial" w:cs="Arial"/>
          <w:sz w:val="20"/>
          <w:szCs w:val="20"/>
          <w:shd w:val="clear" w:color="auto" w:fill="FFFFFF"/>
        </w:rPr>
        <w:t>605-614.</w:t>
      </w:r>
    </w:p>
    <w:p w14:paraId="4A9E6671" w14:textId="77777777" w:rsidR="000A1509" w:rsidRPr="00DA1A7C" w:rsidRDefault="000A1509" w:rsidP="000A1509">
      <w:pPr>
        <w:pStyle w:val="NoSpacing"/>
        <w:rPr>
          <w:rFonts w:ascii="Arial" w:hAnsi="Arial" w:cs="Arial"/>
          <w:sz w:val="20"/>
          <w:szCs w:val="20"/>
        </w:rPr>
      </w:pPr>
    </w:p>
    <w:p w14:paraId="39CCE80D" w14:textId="77777777" w:rsidR="000A1509" w:rsidRPr="00DA1A7C" w:rsidRDefault="007E79E2" w:rsidP="000A1509">
      <w:pPr>
        <w:pStyle w:val="NoSpacing"/>
        <w:rPr>
          <w:rFonts w:ascii="Arial" w:hAnsi="Arial" w:cs="Arial"/>
          <w:sz w:val="20"/>
          <w:szCs w:val="20"/>
        </w:rPr>
      </w:pPr>
      <w:hyperlink r:id="rId13" w:tooltip="Paul McGivern" w:history="1">
        <w:r w:rsidR="000A1509" w:rsidRPr="00DA1A7C">
          <w:rPr>
            <w:rStyle w:val="Hyperlink"/>
            <w:rFonts w:ascii="Arial" w:hAnsi="Arial" w:cs="Arial"/>
            <w:color w:val="auto"/>
            <w:sz w:val="20"/>
            <w:szCs w:val="20"/>
            <w:u w:val="none"/>
            <w:shd w:val="clear" w:color="auto" w:fill="FFFFFF"/>
          </w:rPr>
          <w:t>McGivern, P.</w:t>
        </w:r>
      </w:hyperlink>
      <w:r w:rsidR="000A1509" w:rsidRPr="00DA1A7C">
        <w:rPr>
          <w:rFonts w:ascii="Arial" w:hAnsi="Arial" w:cs="Arial"/>
          <w:sz w:val="20"/>
          <w:szCs w:val="20"/>
          <w:shd w:val="clear" w:color="auto" w:fill="FFFFFF"/>
        </w:rPr>
        <w:t>, </w:t>
      </w:r>
      <w:hyperlink r:id="rId14" w:tooltip="Mark Mierzwinski" w:history="1">
        <w:r w:rsidR="000A1509" w:rsidRPr="00DA1A7C">
          <w:rPr>
            <w:rStyle w:val="Hyperlink"/>
            <w:rFonts w:ascii="Arial" w:hAnsi="Arial" w:cs="Arial"/>
            <w:color w:val="auto"/>
            <w:sz w:val="20"/>
            <w:szCs w:val="20"/>
            <w:u w:val="none"/>
            <w:shd w:val="clear" w:color="auto" w:fill="FFFFFF"/>
          </w:rPr>
          <w:t>Mierzwinski, M.</w:t>
        </w:r>
      </w:hyperlink>
      <w:r w:rsidR="000A1509" w:rsidRPr="00DA1A7C">
        <w:rPr>
          <w:rFonts w:ascii="Arial" w:hAnsi="Arial" w:cs="Arial"/>
          <w:sz w:val="20"/>
          <w:szCs w:val="20"/>
          <w:shd w:val="clear" w:color="auto" w:fill="FFFFFF"/>
        </w:rPr>
        <w:t> and </w:t>
      </w:r>
      <w:hyperlink r:id="rId15" w:tooltip="Edward Stupple" w:history="1">
        <w:r w:rsidR="000A1509" w:rsidRPr="00DA1A7C">
          <w:rPr>
            <w:rStyle w:val="Hyperlink"/>
            <w:rFonts w:ascii="Arial" w:hAnsi="Arial" w:cs="Arial"/>
            <w:color w:val="auto"/>
            <w:sz w:val="20"/>
            <w:szCs w:val="20"/>
            <w:u w:val="none"/>
            <w:shd w:val="clear" w:color="auto" w:fill="FFFFFF"/>
          </w:rPr>
          <w:t>Stupple, E.</w:t>
        </w:r>
      </w:hyperlink>
      <w:r w:rsidR="000A1509" w:rsidRPr="00DA1A7C">
        <w:rPr>
          <w:rFonts w:ascii="Arial" w:hAnsi="Arial" w:cs="Arial"/>
          <w:sz w:val="20"/>
          <w:szCs w:val="20"/>
          <w:shd w:val="clear" w:color="auto" w:fill="FFFFFF"/>
        </w:rPr>
        <w:t> (2023), "A brief report on student gambling and how UK universities can support students", </w:t>
      </w:r>
      <w:hyperlink r:id="rId16" w:history="1">
        <w:r w:rsidR="000A1509" w:rsidRPr="00DA1A7C">
          <w:rPr>
            <w:rStyle w:val="Hyperlink"/>
            <w:rFonts w:ascii="Arial" w:hAnsi="Arial" w:cs="Arial"/>
            <w:i/>
            <w:iCs/>
            <w:color w:val="auto"/>
            <w:sz w:val="20"/>
            <w:szCs w:val="20"/>
            <w:u w:val="none"/>
          </w:rPr>
          <w:t>Mental Health and Social Inclusion</w:t>
        </w:r>
      </w:hyperlink>
      <w:r w:rsidR="000A1509" w:rsidRPr="00DA1A7C">
        <w:rPr>
          <w:rFonts w:ascii="Arial" w:hAnsi="Arial" w:cs="Arial"/>
          <w:sz w:val="20"/>
          <w:szCs w:val="20"/>
          <w:shd w:val="clear" w:color="auto" w:fill="FFFFFF"/>
        </w:rPr>
        <w:t>, Vol. ahead-of-print No. ahead-of-print. </w:t>
      </w:r>
      <w:hyperlink r:id="rId17" w:tooltip="DOI: https://doi.org/10.1108/MHSI-05-2023-0061" w:history="1">
        <w:r w:rsidR="000A1509" w:rsidRPr="00DA1A7C">
          <w:rPr>
            <w:rStyle w:val="Hyperlink"/>
            <w:rFonts w:ascii="Arial" w:hAnsi="Arial" w:cs="Arial"/>
            <w:color w:val="auto"/>
            <w:sz w:val="20"/>
            <w:szCs w:val="20"/>
            <w:u w:val="none"/>
            <w:shd w:val="clear" w:color="auto" w:fill="FFFFFF"/>
          </w:rPr>
          <w:t>https://doi.org/10.1108/MHSI-05-2023-0061</w:t>
        </w:r>
      </w:hyperlink>
    </w:p>
    <w:p w14:paraId="04EEFCE3" w14:textId="77777777" w:rsidR="000A1509" w:rsidRPr="00DA1A7C" w:rsidRDefault="000A1509" w:rsidP="000A1509">
      <w:pPr>
        <w:pStyle w:val="NoSpacing"/>
        <w:rPr>
          <w:rFonts w:ascii="Arial" w:hAnsi="Arial" w:cs="Arial"/>
          <w:sz w:val="20"/>
          <w:szCs w:val="20"/>
        </w:rPr>
      </w:pPr>
    </w:p>
    <w:p w14:paraId="5F6852DA" w14:textId="2DF378A4" w:rsidR="000A1509" w:rsidRPr="00DA1A7C" w:rsidRDefault="000A1509" w:rsidP="000A1509">
      <w:pPr>
        <w:pStyle w:val="NoSpacing"/>
        <w:rPr>
          <w:rFonts w:ascii="Arial" w:hAnsi="Arial" w:cs="Arial"/>
          <w:sz w:val="20"/>
          <w:szCs w:val="20"/>
        </w:rPr>
      </w:pPr>
      <w:r w:rsidRPr="00DA1A7C">
        <w:rPr>
          <w:rFonts w:ascii="Arial" w:hAnsi="Arial" w:cs="Arial"/>
          <w:sz w:val="20"/>
          <w:szCs w:val="20"/>
        </w:rPr>
        <w:t xml:space="preserve">Moore, S. M., Thomas, A. C., </w:t>
      </w:r>
      <w:proofErr w:type="spellStart"/>
      <w:r w:rsidRPr="00DA1A7C">
        <w:rPr>
          <w:rFonts w:ascii="Arial" w:hAnsi="Arial" w:cs="Arial"/>
          <w:sz w:val="20"/>
          <w:szCs w:val="20"/>
        </w:rPr>
        <w:t>Kalé</w:t>
      </w:r>
      <w:proofErr w:type="spellEnd"/>
      <w:r w:rsidRPr="00DA1A7C">
        <w:rPr>
          <w:rFonts w:ascii="Arial" w:hAnsi="Arial" w:cs="Arial"/>
          <w:sz w:val="20"/>
          <w:szCs w:val="20"/>
        </w:rPr>
        <w:t xml:space="preserve">, S., Spence, M., </w:t>
      </w:r>
      <w:proofErr w:type="spellStart"/>
      <w:r w:rsidRPr="00DA1A7C">
        <w:rPr>
          <w:rFonts w:ascii="Arial" w:hAnsi="Arial" w:cs="Arial"/>
          <w:sz w:val="20"/>
          <w:szCs w:val="20"/>
        </w:rPr>
        <w:t>Zlatevska</w:t>
      </w:r>
      <w:proofErr w:type="spellEnd"/>
      <w:r w:rsidRPr="00DA1A7C">
        <w:rPr>
          <w:rFonts w:ascii="Arial" w:hAnsi="Arial" w:cs="Arial"/>
          <w:sz w:val="20"/>
          <w:szCs w:val="20"/>
        </w:rPr>
        <w:t xml:space="preserve">, N., Staiger, P. K., Graffam, J., </w:t>
      </w:r>
      <w:r w:rsidR="00361A9A" w:rsidRPr="00DA1A7C">
        <w:rPr>
          <w:rFonts w:ascii="Arial" w:hAnsi="Arial" w:cs="Arial"/>
          <w:sz w:val="20"/>
          <w:szCs w:val="20"/>
        </w:rPr>
        <w:t>and</w:t>
      </w:r>
      <w:r w:rsidRPr="00DA1A7C">
        <w:rPr>
          <w:rFonts w:ascii="Arial" w:hAnsi="Arial" w:cs="Arial"/>
          <w:sz w:val="20"/>
          <w:szCs w:val="20"/>
        </w:rPr>
        <w:t xml:space="preserve"> Kyrios, M. (2013)</w:t>
      </w:r>
      <w:r w:rsidR="00361A9A" w:rsidRPr="00DA1A7C">
        <w:rPr>
          <w:rFonts w:ascii="Arial" w:hAnsi="Arial" w:cs="Arial"/>
          <w:sz w:val="20"/>
          <w:szCs w:val="20"/>
        </w:rPr>
        <w:t>,</w:t>
      </w:r>
      <w:r w:rsidRPr="00DA1A7C">
        <w:rPr>
          <w:rFonts w:ascii="Arial" w:hAnsi="Arial" w:cs="Arial"/>
          <w:sz w:val="20"/>
          <w:szCs w:val="20"/>
        </w:rPr>
        <w:t xml:space="preserve"> </w:t>
      </w:r>
      <w:r w:rsidR="00361A9A" w:rsidRPr="00DA1A7C">
        <w:rPr>
          <w:rFonts w:ascii="Arial" w:hAnsi="Arial" w:cs="Arial"/>
          <w:sz w:val="20"/>
          <w:szCs w:val="20"/>
        </w:rPr>
        <w:t>“</w:t>
      </w:r>
      <w:r w:rsidRPr="00DA1A7C">
        <w:rPr>
          <w:rFonts w:ascii="Arial" w:hAnsi="Arial" w:cs="Arial"/>
          <w:sz w:val="20"/>
          <w:szCs w:val="20"/>
        </w:rPr>
        <w:t>Problem Gambling Among International and Domestic University Students in Australia: Who is at Risk?</w:t>
      </w:r>
      <w:r w:rsidR="00361A9A"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Journal of Gambling Studies</w:t>
      </w:r>
      <w:r w:rsidRPr="00DA1A7C">
        <w:rPr>
          <w:rFonts w:ascii="Arial" w:hAnsi="Arial" w:cs="Arial"/>
          <w:sz w:val="20"/>
          <w:szCs w:val="20"/>
        </w:rPr>
        <w:t xml:space="preserve">, </w:t>
      </w:r>
      <w:r w:rsidR="00361A9A" w:rsidRPr="00DA1A7C">
        <w:rPr>
          <w:rFonts w:ascii="Arial" w:hAnsi="Arial" w:cs="Arial"/>
          <w:sz w:val="20"/>
          <w:szCs w:val="20"/>
        </w:rPr>
        <w:t xml:space="preserve">Vol </w:t>
      </w:r>
      <w:r w:rsidRPr="00DA1A7C">
        <w:rPr>
          <w:rFonts w:ascii="Arial" w:hAnsi="Arial" w:cs="Arial"/>
          <w:sz w:val="20"/>
          <w:szCs w:val="20"/>
        </w:rPr>
        <w:t>29</w:t>
      </w:r>
      <w:r w:rsidR="00361A9A" w:rsidRPr="00DA1A7C">
        <w:rPr>
          <w:rFonts w:ascii="Arial" w:hAnsi="Arial" w:cs="Arial"/>
          <w:sz w:val="20"/>
          <w:szCs w:val="20"/>
        </w:rPr>
        <w:t xml:space="preserve"> No. </w:t>
      </w:r>
      <w:r w:rsidRPr="00DA1A7C">
        <w:rPr>
          <w:rFonts w:ascii="Arial" w:hAnsi="Arial" w:cs="Arial"/>
          <w:sz w:val="20"/>
          <w:szCs w:val="20"/>
        </w:rPr>
        <w:t xml:space="preserve">2, </w:t>
      </w:r>
      <w:r w:rsidR="00361A9A" w:rsidRPr="00DA1A7C">
        <w:rPr>
          <w:rFonts w:ascii="Arial" w:hAnsi="Arial" w:cs="Arial"/>
          <w:sz w:val="20"/>
          <w:szCs w:val="20"/>
        </w:rPr>
        <w:t>pp.</w:t>
      </w:r>
      <w:r w:rsidRPr="00DA1A7C">
        <w:rPr>
          <w:rFonts w:ascii="Arial" w:hAnsi="Arial" w:cs="Arial"/>
          <w:sz w:val="20"/>
          <w:szCs w:val="20"/>
        </w:rPr>
        <w:t xml:space="preserve">217–230. </w:t>
      </w:r>
      <w:hyperlink r:id="rId18" w:history="1">
        <w:r w:rsidRPr="007E79E2">
          <w:rPr>
            <w:rStyle w:val="Hyperlink"/>
            <w:rFonts w:ascii="Arial" w:hAnsi="Arial" w:cs="Arial"/>
            <w:color w:val="auto"/>
            <w:sz w:val="20"/>
            <w:szCs w:val="20"/>
          </w:rPr>
          <w:t>https://doi.org/10.1007/s10899-012-9309-x</w:t>
        </w:r>
      </w:hyperlink>
    </w:p>
    <w:p w14:paraId="403F4C7D" w14:textId="77777777" w:rsidR="000A1509" w:rsidRPr="00DA1A7C" w:rsidRDefault="000A1509" w:rsidP="000A1509">
      <w:pPr>
        <w:pStyle w:val="NoSpacing"/>
        <w:rPr>
          <w:rFonts w:ascii="Arial" w:hAnsi="Arial" w:cs="Arial"/>
          <w:sz w:val="20"/>
          <w:szCs w:val="20"/>
        </w:rPr>
      </w:pPr>
    </w:p>
    <w:p w14:paraId="7C475944" w14:textId="503364D0" w:rsidR="00504206" w:rsidRPr="00DA1A7C" w:rsidRDefault="00504206" w:rsidP="000A1509">
      <w:pPr>
        <w:pStyle w:val="NoSpacing"/>
        <w:rPr>
          <w:rFonts w:ascii="Arial" w:hAnsi="Arial" w:cs="Arial"/>
          <w:sz w:val="20"/>
          <w:szCs w:val="20"/>
        </w:rPr>
      </w:pPr>
      <w:proofErr w:type="spellStart"/>
      <w:r w:rsidRPr="00DA1A7C">
        <w:rPr>
          <w:rFonts w:ascii="Arial" w:hAnsi="Arial" w:cs="Arial"/>
          <w:sz w:val="20"/>
          <w:szCs w:val="20"/>
        </w:rPr>
        <w:t>Neighbors</w:t>
      </w:r>
      <w:proofErr w:type="spellEnd"/>
      <w:r w:rsidRPr="00DA1A7C">
        <w:rPr>
          <w:rFonts w:ascii="Arial" w:hAnsi="Arial" w:cs="Arial"/>
          <w:sz w:val="20"/>
          <w:szCs w:val="20"/>
        </w:rPr>
        <w:t xml:space="preserve">, C. and Lostutter, T.W. (2002), “Exploring college student gambling motivation”, </w:t>
      </w:r>
      <w:r w:rsidRPr="00DA1A7C">
        <w:rPr>
          <w:rFonts w:ascii="Arial" w:hAnsi="Arial" w:cs="Arial"/>
          <w:i/>
          <w:iCs/>
          <w:sz w:val="20"/>
          <w:szCs w:val="20"/>
        </w:rPr>
        <w:t>Journal of Gambling Studies</w:t>
      </w:r>
      <w:r w:rsidRPr="00DA1A7C">
        <w:rPr>
          <w:rFonts w:ascii="Arial" w:hAnsi="Arial" w:cs="Arial"/>
          <w:sz w:val="20"/>
          <w:szCs w:val="20"/>
        </w:rPr>
        <w:t>, Vol. 18 No. 4, pp. 361-370.</w:t>
      </w:r>
    </w:p>
    <w:p w14:paraId="5EAF55A7" w14:textId="0775DC8F" w:rsidR="00504206" w:rsidRPr="00DA1A7C" w:rsidRDefault="00504206" w:rsidP="000A1509">
      <w:pPr>
        <w:pStyle w:val="NoSpacing"/>
        <w:rPr>
          <w:rFonts w:ascii="Arial" w:hAnsi="Arial" w:cs="Arial"/>
          <w:sz w:val="20"/>
          <w:szCs w:val="20"/>
        </w:rPr>
      </w:pPr>
    </w:p>
    <w:p w14:paraId="4F9B1B36" w14:textId="477AAAB6" w:rsidR="00504206" w:rsidRPr="00DA1A7C" w:rsidRDefault="00504206" w:rsidP="000A1509">
      <w:pPr>
        <w:pStyle w:val="NoSpacing"/>
        <w:rPr>
          <w:rFonts w:ascii="Arial" w:hAnsi="Arial" w:cs="Arial"/>
          <w:sz w:val="20"/>
          <w:szCs w:val="20"/>
        </w:rPr>
      </w:pPr>
      <w:r w:rsidRPr="00DA1A7C">
        <w:rPr>
          <w:rFonts w:ascii="Arial" w:hAnsi="Arial" w:cs="Arial"/>
          <w:sz w:val="20"/>
          <w:szCs w:val="20"/>
        </w:rPr>
        <w:t xml:space="preserve">NUS (2019), “Launch of NUS student gambling research”, available at: www.nus.org.uk/articles/launchof-nus-student-gambling-research-1586 (accessed </w:t>
      </w:r>
      <w:r w:rsidR="00361A9A" w:rsidRPr="00DA1A7C">
        <w:rPr>
          <w:rFonts w:ascii="Arial" w:hAnsi="Arial" w:cs="Arial"/>
          <w:sz w:val="20"/>
          <w:szCs w:val="20"/>
        </w:rPr>
        <w:t>12</w:t>
      </w:r>
      <w:r w:rsidRPr="00DA1A7C">
        <w:rPr>
          <w:rFonts w:ascii="Arial" w:hAnsi="Arial" w:cs="Arial"/>
          <w:sz w:val="20"/>
          <w:szCs w:val="20"/>
        </w:rPr>
        <w:t xml:space="preserve"> May 202</w:t>
      </w:r>
      <w:r w:rsidR="00361A9A" w:rsidRPr="00DA1A7C">
        <w:rPr>
          <w:rFonts w:ascii="Arial" w:hAnsi="Arial" w:cs="Arial"/>
          <w:sz w:val="20"/>
          <w:szCs w:val="20"/>
        </w:rPr>
        <w:t>4</w:t>
      </w:r>
      <w:r w:rsidRPr="00DA1A7C">
        <w:rPr>
          <w:rFonts w:ascii="Arial" w:hAnsi="Arial" w:cs="Arial"/>
          <w:sz w:val="20"/>
          <w:szCs w:val="20"/>
        </w:rPr>
        <w:t>).</w:t>
      </w:r>
    </w:p>
    <w:p w14:paraId="53371B75" w14:textId="04253026" w:rsidR="001E3AC3" w:rsidRPr="00DA1A7C" w:rsidRDefault="001E3AC3" w:rsidP="000A1509">
      <w:pPr>
        <w:pStyle w:val="NoSpacing"/>
        <w:rPr>
          <w:rFonts w:ascii="Arial" w:hAnsi="Arial" w:cs="Arial"/>
          <w:sz w:val="20"/>
          <w:szCs w:val="20"/>
        </w:rPr>
      </w:pPr>
    </w:p>
    <w:p w14:paraId="21B4D0B6" w14:textId="6DBB8C03" w:rsidR="001E3AC3" w:rsidRPr="00DA1A7C" w:rsidRDefault="001E3AC3" w:rsidP="000A1509">
      <w:pPr>
        <w:pStyle w:val="NoSpacing"/>
        <w:rPr>
          <w:rFonts w:ascii="Arial" w:hAnsi="Arial" w:cs="Arial"/>
          <w:sz w:val="20"/>
          <w:szCs w:val="20"/>
        </w:rPr>
      </w:pPr>
      <w:r w:rsidRPr="00DA1A7C">
        <w:rPr>
          <w:rFonts w:ascii="Arial" w:hAnsi="Arial" w:cs="Arial"/>
          <w:sz w:val="20"/>
          <w:szCs w:val="20"/>
        </w:rPr>
        <w:t xml:space="preserve">Oduor, N., </w:t>
      </w:r>
      <w:proofErr w:type="spellStart"/>
      <w:r w:rsidRPr="00DA1A7C">
        <w:rPr>
          <w:rFonts w:ascii="Arial" w:hAnsi="Arial" w:cs="Arial"/>
          <w:sz w:val="20"/>
          <w:szCs w:val="20"/>
        </w:rPr>
        <w:t>Mberia</w:t>
      </w:r>
      <w:proofErr w:type="spellEnd"/>
      <w:r w:rsidRPr="00DA1A7C">
        <w:rPr>
          <w:rFonts w:ascii="Arial" w:hAnsi="Arial" w:cs="Arial"/>
          <w:sz w:val="20"/>
          <w:szCs w:val="20"/>
        </w:rPr>
        <w:t xml:space="preserve">, H., </w:t>
      </w:r>
      <w:r w:rsidR="00361A9A" w:rsidRPr="00DA1A7C">
        <w:rPr>
          <w:rFonts w:ascii="Arial" w:hAnsi="Arial" w:cs="Arial"/>
          <w:sz w:val="20"/>
          <w:szCs w:val="20"/>
        </w:rPr>
        <w:t>and</w:t>
      </w:r>
      <w:r w:rsidRPr="00DA1A7C">
        <w:rPr>
          <w:rFonts w:ascii="Arial" w:hAnsi="Arial" w:cs="Arial"/>
          <w:sz w:val="20"/>
          <w:szCs w:val="20"/>
        </w:rPr>
        <w:t xml:space="preserve"> </w:t>
      </w:r>
      <w:proofErr w:type="spellStart"/>
      <w:r w:rsidRPr="00DA1A7C">
        <w:rPr>
          <w:rFonts w:ascii="Arial" w:hAnsi="Arial" w:cs="Arial"/>
          <w:sz w:val="20"/>
          <w:szCs w:val="20"/>
        </w:rPr>
        <w:t>Ndavula</w:t>
      </w:r>
      <w:proofErr w:type="spellEnd"/>
      <w:r w:rsidRPr="00DA1A7C">
        <w:rPr>
          <w:rFonts w:ascii="Arial" w:hAnsi="Arial" w:cs="Arial"/>
          <w:sz w:val="20"/>
          <w:szCs w:val="20"/>
        </w:rPr>
        <w:t>, J. (2023)</w:t>
      </w:r>
      <w:r w:rsidR="00361A9A" w:rsidRPr="00DA1A7C">
        <w:rPr>
          <w:rFonts w:ascii="Arial" w:hAnsi="Arial" w:cs="Arial"/>
          <w:sz w:val="20"/>
          <w:szCs w:val="20"/>
        </w:rPr>
        <w:t>,</w:t>
      </w:r>
      <w:r w:rsidRPr="00DA1A7C">
        <w:rPr>
          <w:rFonts w:ascii="Arial" w:hAnsi="Arial" w:cs="Arial"/>
          <w:sz w:val="20"/>
          <w:szCs w:val="20"/>
        </w:rPr>
        <w:t xml:space="preserve"> </w:t>
      </w:r>
      <w:r w:rsidR="00361A9A" w:rsidRPr="00DA1A7C">
        <w:rPr>
          <w:rFonts w:ascii="Arial" w:hAnsi="Arial" w:cs="Arial"/>
          <w:sz w:val="20"/>
          <w:szCs w:val="20"/>
        </w:rPr>
        <w:t>“</w:t>
      </w:r>
      <w:r w:rsidRPr="00DA1A7C">
        <w:rPr>
          <w:rFonts w:ascii="Arial" w:hAnsi="Arial" w:cs="Arial"/>
          <w:sz w:val="20"/>
          <w:szCs w:val="20"/>
        </w:rPr>
        <w:t>Betting Menace: Riddle of Television Advertising and University Students Betting Behaviour</w:t>
      </w:r>
      <w:r w:rsidR="00361A9A" w:rsidRPr="00DA1A7C">
        <w:rPr>
          <w:rFonts w:ascii="Arial" w:hAnsi="Arial" w:cs="Arial"/>
          <w:sz w:val="20"/>
          <w:szCs w:val="20"/>
        </w:rPr>
        <w:t>”,</w:t>
      </w:r>
      <w:r w:rsidRPr="00DA1A7C">
        <w:rPr>
          <w:rFonts w:ascii="Arial" w:hAnsi="Arial" w:cs="Arial"/>
          <w:sz w:val="20"/>
          <w:szCs w:val="20"/>
        </w:rPr>
        <w:t> </w:t>
      </w:r>
      <w:r w:rsidRPr="00DA1A7C">
        <w:rPr>
          <w:rFonts w:ascii="Arial" w:hAnsi="Arial" w:cs="Arial"/>
          <w:i/>
          <w:iCs/>
          <w:sz w:val="20"/>
          <w:szCs w:val="20"/>
        </w:rPr>
        <w:t>International Journal of Communication and Public Relation</w:t>
      </w:r>
      <w:r w:rsidRPr="00DA1A7C">
        <w:rPr>
          <w:rFonts w:ascii="Arial" w:hAnsi="Arial" w:cs="Arial"/>
          <w:sz w:val="20"/>
          <w:szCs w:val="20"/>
        </w:rPr>
        <w:t>, </w:t>
      </w:r>
      <w:r w:rsidR="00361A9A" w:rsidRPr="00DA1A7C">
        <w:rPr>
          <w:rFonts w:ascii="Arial" w:hAnsi="Arial" w:cs="Arial"/>
          <w:sz w:val="20"/>
          <w:szCs w:val="20"/>
        </w:rPr>
        <w:t xml:space="preserve">Vol </w:t>
      </w:r>
      <w:r w:rsidRPr="00DA1A7C">
        <w:rPr>
          <w:rFonts w:ascii="Arial" w:hAnsi="Arial" w:cs="Arial"/>
          <w:i/>
          <w:iCs/>
          <w:sz w:val="20"/>
          <w:szCs w:val="20"/>
        </w:rPr>
        <w:t>8</w:t>
      </w:r>
      <w:r w:rsidR="00361A9A" w:rsidRPr="00DA1A7C">
        <w:rPr>
          <w:rFonts w:ascii="Arial" w:hAnsi="Arial" w:cs="Arial"/>
          <w:i/>
          <w:iCs/>
          <w:sz w:val="20"/>
          <w:szCs w:val="20"/>
        </w:rPr>
        <w:t xml:space="preserve"> </w:t>
      </w:r>
      <w:r w:rsidR="00361A9A" w:rsidRPr="00DA1A7C">
        <w:rPr>
          <w:rFonts w:ascii="Arial" w:hAnsi="Arial" w:cs="Arial"/>
          <w:sz w:val="20"/>
          <w:szCs w:val="20"/>
        </w:rPr>
        <w:t>No</w:t>
      </w:r>
      <w:r w:rsidR="00361A9A" w:rsidRPr="00DA1A7C">
        <w:rPr>
          <w:rFonts w:ascii="Arial" w:hAnsi="Arial" w:cs="Arial"/>
          <w:i/>
          <w:iCs/>
          <w:sz w:val="20"/>
          <w:szCs w:val="20"/>
        </w:rPr>
        <w:t xml:space="preserve">. </w:t>
      </w:r>
      <w:r w:rsidRPr="00DA1A7C">
        <w:rPr>
          <w:rFonts w:ascii="Arial" w:hAnsi="Arial" w:cs="Arial"/>
          <w:sz w:val="20"/>
          <w:szCs w:val="20"/>
        </w:rPr>
        <w:t xml:space="preserve">2, </w:t>
      </w:r>
      <w:r w:rsidR="00361A9A" w:rsidRPr="00DA1A7C">
        <w:rPr>
          <w:rFonts w:ascii="Arial" w:hAnsi="Arial" w:cs="Arial"/>
          <w:sz w:val="20"/>
          <w:szCs w:val="20"/>
        </w:rPr>
        <w:t>pp.</w:t>
      </w:r>
      <w:r w:rsidRPr="00DA1A7C">
        <w:rPr>
          <w:rFonts w:ascii="Arial" w:hAnsi="Arial" w:cs="Arial"/>
          <w:sz w:val="20"/>
          <w:szCs w:val="20"/>
        </w:rPr>
        <w:t>55-66.</w:t>
      </w:r>
    </w:p>
    <w:p w14:paraId="299F71C1" w14:textId="64DBC338" w:rsidR="009E11E7" w:rsidRPr="00DA1A7C" w:rsidRDefault="009E11E7" w:rsidP="000A1509">
      <w:pPr>
        <w:pStyle w:val="NoSpacing"/>
        <w:rPr>
          <w:rFonts w:ascii="Arial" w:hAnsi="Arial" w:cs="Arial"/>
          <w:sz w:val="20"/>
          <w:szCs w:val="20"/>
        </w:rPr>
      </w:pPr>
    </w:p>
    <w:p w14:paraId="643A2C37" w14:textId="52264473" w:rsidR="009E11E7" w:rsidRPr="00DA1A7C" w:rsidRDefault="009E11E7" w:rsidP="000A1509">
      <w:pPr>
        <w:pStyle w:val="NoSpacing"/>
        <w:rPr>
          <w:rFonts w:ascii="Arial" w:hAnsi="Arial" w:cs="Arial"/>
          <w:sz w:val="20"/>
          <w:szCs w:val="20"/>
        </w:rPr>
      </w:pPr>
      <w:proofErr w:type="spellStart"/>
      <w:r w:rsidRPr="00DA1A7C">
        <w:rPr>
          <w:rFonts w:ascii="Arial" w:hAnsi="Arial" w:cs="Arial"/>
          <w:sz w:val="20"/>
          <w:szCs w:val="20"/>
        </w:rPr>
        <w:t>Rohsler</w:t>
      </w:r>
      <w:proofErr w:type="spellEnd"/>
      <w:r w:rsidRPr="00DA1A7C">
        <w:rPr>
          <w:rFonts w:ascii="Arial" w:hAnsi="Arial" w:cs="Arial"/>
          <w:sz w:val="20"/>
          <w:szCs w:val="20"/>
        </w:rPr>
        <w:t xml:space="preserve">, C. (2022), “The gambling law review: </w:t>
      </w:r>
      <w:r w:rsidR="009E046C" w:rsidRPr="00DA1A7C">
        <w:rPr>
          <w:rFonts w:ascii="Arial" w:hAnsi="Arial" w:cs="Arial"/>
          <w:sz w:val="20"/>
          <w:szCs w:val="20"/>
        </w:rPr>
        <w:t>U</w:t>
      </w:r>
      <w:r w:rsidRPr="00DA1A7C">
        <w:rPr>
          <w:rFonts w:ascii="Arial" w:hAnsi="Arial" w:cs="Arial"/>
          <w:sz w:val="20"/>
          <w:szCs w:val="20"/>
        </w:rPr>
        <w:t xml:space="preserve">nited Kingdom”, available at: https://thelawreviews.co.uk/ title/the-gambling-law-review/united-kingdom (accessed </w:t>
      </w:r>
      <w:r w:rsidR="009E046C" w:rsidRPr="00DA1A7C">
        <w:rPr>
          <w:rFonts w:ascii="Arial" w:hAnsi="Arial" w:cs="Arial"/>
          <w:sz w:val="20"/>
          <w:szCs w:val="20"/>
        </w:rPr>
        <w:t>12</w:t>
      </w:r>
      <w:r w:rsidRPr="00DA1A7C">
        <w:rPr>
          <w:rFonts w:ascii="Arial" w:hAnsi="Arial" w:cs="Arial"/>
          <w:sz w:val="20"/>
          <w:szCs w:val="20"/>
        </w:rPr>
        <w:t xml:space="preserve"> May 202</w:t>
      </w:r>
      <w:r w:rsidR="009E046C" w:rsidRPr="00DA1A7C">
        <w:rPr>
          <w:rFonts w:ascii="Arial" w:hAnsi="Arial" w:cs="Arial"/>
          <w:sz w:val="20"/>
          <w:szCs w:val="20"/>
        </w:rPr>
        <w:t>4</w:t>
      </w:r>
      <w:r w:rsidRPr="00DA1A7C">
        <w:rPr>
          <w:rFonts w:ascii="Arial" w:hAnsi="Arial" w:cs="Arial"/>
          <w:sz w:val="20"/>
          <w:szCs w:val="20"/>
        </w:rPr>
        <w:t>).</w:t>
      </w:r>
    </w:p>
    <w:p w14:paraId="37C76DD3" w14:textId="77777777" w:rsidR="009E11E7" w:rsidRPr="00DA1A7C" w:rsidRDefault="009E11E7" w:rsidP="000A1509">
      <w:pPr>
        <w:pStyle w:val="NoSpacing"/>
        <w:rPr>
          <w:rFonts w:ascii="Arial" w:hAnsi="Arial" w:cs="Arial"/>
          <w:sz w:val="20"/>
          <w:szCs w:val="20"/>
        </w:rPr>
      </w:pPr>
    </w:p>
    <w:p w14:paraId="1B07A42D" w14:textId="77777777" w:rsidR="007D5140" w:rsidRDefault="007D5140" w:rsidP="000A1509">
      <w:pPr>
        <w:pStyle w:val="NoSpacing"/>
        <w:rPr>
          <w:rFonts w:ascii="Arial" w:hAnsi="Arial" w:cs="Arial"/>
          <w:sz w:val="20"/>
          <w:szCs w:val="20"/>
        </w:rPr>
      </w:pPr>
      <w:r w:rsidRPr="007D5140">
        <w:rPr>
          <w:rFonts w:ascii="Arial" w:hAnsi="Arial" w:cs="Arial"/>
          <w:sz w:val="20"/>
          <w:szCs w:val="20"/>
        </w:rPr>
        <w:t>Russell Group Student Union. (2023)</w:t>
      </w:r>
      <w:r>
        <w:rPr>
          <w:rFonts w:ascii="Arial" w:hAnsi="Arial" w:cs="Arial"/>
          <w:sz w:val="20"/>
          <w:szCs w:val="20"/>
        </w:rPr>
        <w:t>,</w:t>
      </w:r>
      <w:r w:rsidRPr="007D5140">
        <w:rPr>
          <w:rFonts w:ascii="Arial" w:hAnsi="Arial" w:cs="Arial"/>
          <w:sz w:val="20"/>
          <w:szCs w:val="20"/>
        </w:rPr>
        <w:t xml:space="preserve"> Student cost of living report. Russell Group Student Union.</w:t>
      </w:r>
    </w:p>
    <w:p w14:paraId="2A855697" w14:textId="7473E6DA" w:rsidR="004E5017" w:rsidRDefault="007E79E2" w:rsidP="000A1509">
      <w:pPr>
        <w:pStyle w:val="NoSpacing"/>
        <w:rPr>
          <w:rFonts w:ascii="Arial" w:hAnsi="Arial" w:cs="Arial"/>
          <w:sz w:val="20"/>
          <w:szCs w:val="20"/>
        </w:rPr>
      </w:pPr>
      <w:hyperlink r:id="rId19" w:history="1">
        <w:r w:rsidR="004E5017" w:rsidRPr="007E79E2">
          <w:rPr>
            <w:rStyle w:val="Hyperlink"/>
            <w:rFonts w:ascii="Arial" w:hAnsi="Arial" w:cs="Arial"/>
            <w:color w:val="auto"/>
            <w:sz w:val="20"/>
            <w:szCs w:val="20"/>
          </w:rPr>
          <w:t>https://static1.squarespace.com/static/63f4ed73056f42572785c28e/t/640b4a3d20fc6122160c275e/1678461513650/Cost+of+Living+Report+-+March+2023.pdf</w:t>
        </w:r>
      </w:hyperlink>
      <w:r w:rsidR="004E5017">
        <w:rPr>
          <w:rFonts w:ascii="Arial" w:hAnsi="Arial" w:cs="Arial"/>
          <w:sz w:val="20"/>
          <w:szCs w:val="20"/>
        </w:rPr>
        <w:t xml:space="preserve"> </w:t>
      </w:r>
      <w:r w:rsidR="004E5017" w:rsidRPr="00DA1A7C">
        <w:rPr>
          <w:rFonts w:ascii="Arial" w:hAnsi="Arial" w:cs="Arial"/>
          <w:sz w:val="20"/>
          <w:szCs w:val="20"/>
        </w:rPr>
        <w:t>(accessed 1</w:t>
      </w:r>
      <w:r w:rsidR="001F5091">
        <w:rPr>
          <w:rFonts w:ascii="Arial" w:hAnsi="Arial" w:cs="Arial"/>
          <w:sz w:val="20"/>
          <w:szCs w:val="20"/>
        </w:rPr>
        <w:t>8</w:t>
      </w:r>
      <w:r w:rsidR="004E5017" w:rsidRPr="00DA1A7C">
        <w:rPr>
          <w:rFonts w:ascii="Arial" w:hAnsi="Arial" w:cs="Arial"/>
          <w:sz w:val="20"/>
          <w:szCs w:val="20"/>
        </w:rPr>
        <w:t xml:space="preserve"> May 2024)</w:t>
      </w:r>
    </w:p>
    <w:p w14:paraId="6A5D379A" w14:textId="77777777" w:rsidR="007D5140" w:rsidRDefault="007D5140" w:rsidP="000A1509">
      <w:pPr>
        <w:pStyle w:val="NoSpacing"/>
        <w:rPr>
          <w:rFonts w:ascii="Arial" w:hAnsi="Arial" w:cs="Arial"/>
          <w:sz w:val="20"/>
          <w:szCs w:val="20"/>
        </w:rPr>
      </w:pPr>
    </w:p>
    <w:p w14:paraId="57662256" w14:textId="455BB5E0" w:rsidR="000A1509" w:rsidRPr="00DA1A7C" w:rsidRDefault="000A1509" w:rsidP="000A1509">
      <w:pPr>
        <w:pStyle w:val="NoSpacing"/>
        <w:rPr>
          <w:rFonts w:ascii="Arial" w:hAnsi="Arial" w:cs="Arial"/>
          <w:sz w:val="20"/>
          <w:szCs w:val="20"/>
        </w:rPr>
      </w:pPr>
      <w:r w:rsidRPr="00DA1A7C">
        <w:rPr>
          <w:rFonts w:ascii="Arial" w:hAnsi="Arial" w:cs="Arial"/>
          <w:sz w:val="20"/>
          <w:szCs w:val="20"/>
        </w:rPr>
        <w:t xml:space="preserve">Russell, A. M. T., Hing, N., Li, E., </w:t>
      </w:r>
      <w:r w:rsidR="009E046C" w:rsidRPr="00DA1A7C">
        <w:rPr>
          <w:rFonts w:ascii="Arial" w:hAnsi="Arial" w:cs="Arial"/>
          <w:sz w:val="20"/>
          <w:szCs w:val="20"/>
        </w:rPr>
        <w:t>and</w:t>
      </w:r>
      <w:r w:rsidRPr="00DA1A7C">
        <w:rPr>
          <w:rFonts w:ascii="Arial" w:hAnsi="Arial" w:cs="Arial"/>
          <w:sz w:val="20"/>
          <w:szCs w:val="20"/>
        </w:rPr>
        <w:t xml:space="preserve"> </w:t>
      </w:r>
      <w:proofErr w:type="spellStart"/>
      <w:r w:rsidRPr="00DA1A7C">
        <w:rPr>
          <w:rFonts w:ascii="Arial" w:hAnsi="Arial" w:cs="Arial"/>
          <w:sz w:val="20"/>
          <w:szCs w:val="20"/>
        </w:rPr>
        <w:t>Vitartas</w:t>
      </w:r>
      <w:proofErr w:type="spellEnd"/>
      <w:r w:rsidRPr="00DA1A7C">
        <w:rPr>
          <w:rFonts w:ascii="Arial" w:hAnsi="Arial" w:cs="Arial"/>
          <w:sz w:val="20"/>
          <w:szCs w:val="20"/>
        </w:rPr>
        <w:t>, P. (2019)</w:t>
      </w:r>
      <w:r w:rsidR="009E046C" w:rsidRPr="00DA1A7C">
        <w:rPr>
          <w:rFonts w:ascii="Arial" w:hAnsi="Arial" w:cs="Arial"/>
          <w:sz w:val="20"/>
          <w:szCs w:val="20"/>
        </w:rPr>
        <w:t>,</w:t>
      </w:r>
      <w:r w:rsidRPr="00DA1A7C">
        <w:rPr>
          <w:rFonts w:ascii="Arial" w:hAnsi="Arial" w:cs="Arial"/>
          <w:sz w:val="20"/>
          <w:szCs w:val="20"/>
        </w:rPr>
        <w:t xml:space="preserve"> </w:t>
      </w:r>
      <w:r w:rsidR="009E046C" w:rsidRPr="00DA1A7C">
        <w:rPr>
          <w:rFonts w:ascii="Arial" w:hAnsi="Arial" w:cs="Arial"/>
          <w:sz w:val="20"/>
          <w:szCs w:val="20"/>
        </w:rPr>
        <w:t>“</w:t>
      </w:r>
      <w:r w:rsidRPr="00DA1A7C">
        <w:rPr>
          <w:rFonts w:ascii="Arial" w:hAnsi="Arial" w:cs="Arial"/>
          <w:sz w:val="20"/>
          <w:szCs w:val="20"/>
        </w:rPr>
        <w:t>Gambling Risk Groups are Not All the Same: Risk Factors Amongst Sports Bettors</w:t>
      </w:r>
      <w:r w:rsidR="009E046C"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Journal of Gambling Studies</w:t>
      </w:r>
      <w:r w:rsidRPr="00DA1A7C">
        <w:rPr>
          <w:rFonts w:ascii="Arial" w:hAnsi="Arial" w:cs="Arial"/>
          <w:sz w:val="20"/>
          <w:szCs w:val="20"/>
        </w:rPr>
        <w:t xml:space="preserve">, </w:t>
      </w:r>
      <w:r w:rsidR="009E046C" w:rsidRPr="00DA1A7C">
        <w:rPr>
          <w:rFonts w:ascii="Arial" w:hAnsi="Arial" w:cs="Arial"/>
          <w:sz w:val="20"/>
          <w:szCs w:val="20"/>
        </w:rPr>
        <w:t xml:space="preserve">Vol </w:t>
      </w:r>
      <w:r w:rsidRPr="00DA1A7C">
        <w:rPr>
          <w:rFonts w:ascii="Arial" w:hAnsi="Arial" w:cs="Arial"/>
          <w:sz w:val="20"/>
          <w:szCs w:val="20"/>
        </w:rPr>
        <w:t>35</w:t>
      </w:r>
      <w:r w:rsidR="009E046C" w:rsidRPr="00DA1A7C">
        <w:rPr>
          <w:rFonts w:ascii="Arial" w:hAnsi="Arial" w:cs="Arial"/>
          <w:sz w:val="20"/>
          <w:szCs w:val="20"/>
        </w:rPr>
        <w:t xml:space="preserve"> No.</w:t>
      </w:r>
      <w:r w:rsidRPr="00DA1A7C">
        <w:rPr>
          <w:rFonts w:ascii="Arial" w:hAnsi="Arial" w:cs="Arial"/>
          <w:sz w:val="20"/>
          <w:szCs w:val="20"/>
        </w:rPr>
        <w:t xml:space="preserve">1, </w:t>
      </w:r>
      <w:r w:rsidR="009E046C" w:rsidRPr="00DA1A7C">
        <w:rPr>
          <w:rFonts w:ascii="Arial" w:hAnsi="Arial" w:cs="Arial"/>
          <w:sz w:val="20"/>
          <w:szCs w:val="20"/>
        </w:rPr>
        <w:t>pp.</w:t>
      </w:r>
      <w:r w:rsidRPr="00DA1A7C">
        <w:rPr>
          <w:rFonts w:ascii="Arial" w:hAnsi="Arial" w:cs="Arial"/>
          <w:sz w:val="20"/>
          <w:szCs w:val="20"/>
        </w:rPr>
        <w:t xml:space="preserve">225–246. </w:t>
      </w:r>
      <w:hyperlink r:id="rId20" w:history="1">
        <w:r w:rsidRPr="007E79E2">
          <w:rPr>
            <w:rStyle w:val="Hyperlink"/>
            <w:rFonts w:ascii="Arial" w:hAnsi="Arial" w:cs="Arial"/>
            <w:color w:val="auto"/>
            <w:sz w:val="20"/>
            <w:szCs w:val="20"/>
          </w:rPr>
          <w:t>https://doi.org/10.1007/s10899-018-9765-z</w:t>
        </w:r>
      </w:hyperlink>
    </w:p>
    <w:p w14:paraId="04402FA9" w14:textId="77777777" w:rsidR="000A1509" w:rsidRPr="00DA1A7C" w:rsidRDefault="000A1509" w:rsidP="000A1509">
      <w:pPr>
        <w:pStyle w:val="NoSpacing"/>
        <w:rPr>
          <w:rFonts w:ascii="Arial" w:hAnsi="Arial" w:cs="Arial"/>
          <w:sz w:val="20"/>
          <w:szCs w:val="20"/>
        </w:rPr>
      </w:pPr>
    </w:p>
    <w:p w14:paraId="6913D97F" w14:textId="69A759C6" w:rsidR="000A1509" w:rsidRPr="00DA1A7C" w:rsidRDefault="000A1509" w:rsidP="000A1509">
      <w:pPr>
        <w:pStyle w:val="NoSpacing"/>
        <w:rPr>
          <w:rFonts w:ascii="Arial" w:hAnsi="Arial" w:cs="Arial"/>
          <w:sz w:val="20"/>
          <w:szCs w:val="20"/>
        </w:rPr>
      </w:pPr>
      <w:r w:rsidRPr="00DA1A7C">
        <w:rPr>
          <w:rFonts w:ascii="Arial" w:hAnsi="Arial" w:cs="Arial"/>
          <w:sz w:val="20"/>
          <w:szCs w:val="20"/>
        </w:rPr>
        <w:t xml:space="preserve">Stuhldreher, W. L., Stuhldreher, T. J., </w:t>
      </w:r>
      <w:r w:rsidR="009E046C" w:rsidRPr="00DA1A7C">
        <w:rPr>
          <w:rFonts w:ascii="Arial" w:hAnsi="Arial" w:cs="Arial"/>
          <w:sz w:val="20"/>
          <w:szCs w:val="20"/>
        </w:rPr>
        <w:t>and</w:t>
      </w:r>
      <w:r w:rsidRPr="00DA1A7C">
        <w:rPr>
          <w:rFonts w:ascii="Arial" w:hAnsi="Arial" w:cs="Arial"/>
          <w:sz w:val="20"/>
          <w:szCs w:val="20"/>
        </w:rPr>
        <w:t xml:space="preserve"> Forrest, K.Y.</w:t>
      </w:r>
      <w:r w:rsidR="009E046C" w:rsidRPr="00DA1A7C">
        <w:rPr>
          <w:rFonts w:ascii="Arial" w:hAnsi="Arial" w:cs="Arial"/>
          <w:sz w:val="20"/>
          <w:szCs w:val="20"/>
        </w:rPr>
        <w:t>Z</w:t>
      </w:r>
      <w:r w:rsidRPr="00DA1A7C">
        <w:rPr>
          <w:rFonts w:ascii="Arial" w:hAnsi="Arial" w:cs="Arial"/>
          <w:sz w:val="20"/>
          <w:szCs w:val="20"/>
        </w:rPr>
        <w:t>. (2007)</w:t>
      </w:r>
      <w:r w:rsidR="00732436" w:rsidRPr="00DA1A7C">
        <w:rPr>
          <w:rFonts w:ascii="Arial" w:hAnsi="Arial" w:cs="Arial"/>
          <w:sz w:val="20"/>
          <w:szCs w:val="20"/>
        </w:rPr>
        <w:t>,</w:t>
      </w:r>
      <w:r w:rsidRPr="00DA1A7C">
        <w:rPr>
          <w:rFonts w:ascii="Arial" w:hAnsi="Arial" w:cs="Arial"/>
          <w:sz w:val="20"/>
          <w:szCs w:val="20"/>
        </w:rPr>
        <w:t xml:space="preserve"> </w:t>
      </w:r>
      <w:r w:rsidR="00732436" w:rsidRPr="00DA1A7C">
        <w:rPr>
          <w:rFonts w:ascii="Arial" w:hAnsi="Arial" w:cs="Arial"/>
          <w:sz w:val="20"/>
          <w:szCs w:val="20"/>
        </w:rPr>
        <w:t>“</w:t>
      </w:r>
      <w:r w:rsidRPr="00DA1A7C">
        <w:rPr>
          <w:rFonts w:ascii="Arial" w:hAnsi="Arial" w:cs="Arial"/>
          <w:sz w:val="20"/>
          <w:szCs w:val="20"/>
        </w:rPr>
        <w:t>Gambling as an Emerging Health Problem on Campus</w:t>
      </w:r>
      <w:r w:rsidR="00732436"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Journal of American College Health</w:t>
      </w:r>
      <w:r w:rsidRPr="00DA1A7C">
        <w:rPr>
          <w:rFonts w:ascii="Arial" w:hAnsi="Arial" w:cs="Arial"/>
          <w:sz w:val="20"/>
          <w:szCs w:val="20"/>
        </w:rPr>
        <w:t xml:space="preserve">, </w:t>
      </w:r>
      <w:r w:rsidR="00732436" w:rsidRPr="00DA1A7C">
        <w:rPr>
          <w:rFonts w:ascii="Arial" w:hAnsi="Arial" w:cs="Arial"/>
          <w:sz w:val="20"/>
          <w:szCs w:val="20"/>
        </w:rPr>
        <w:t xml:space="preserve">Vol </w:t>
      </w:r>
      <w:r w:rsidRPr="00DA1A7C">
        <w:rPr>
          <w:rFonts w:ascii="Arial" w:hAnsi="Arial" w:cs="Arial"/>
          <w:sz w:val="20"/>
          <w:szCs w:val="20"/>
        </w:rPr>
        <w:t>56</w:t>
      </w:r>
      <w:r w:rsidR="00732436" w:rsidRPr="00DA1A7C">
        <w:rPr>
          <w:rFonts w:ascii="Arial" w:hAnsi="Arial" w:cs="Arial"/>
          <w:sz w:val="20"/>
          <w:szCs w:val="20"/>
        </w:rPr>
        <w:t xml:space="preserve"> No. </w:t>
      </w:r>
      <w:r w:rsidRPr="00DA1A7C">
        <w:rPr>
          <w:rFonts w:ascii="Arial" w:hAnsi="Arial" w:cs="Arial"/>
          <w:sz w:val="20"/>
          <w:szCs w:val="20"/>
        </w:rPr>
        <w:t xml:space="preserve">1, </w:t>
      </w:r>
      <w:r w:rsidR="00732436" w:rsidRPr="00DA1A7C">
        <w:rPr>
          <w:rFonts w:ascii="Arial" w:hAnsi="Arial" w:cs="Arial"/>
          <w:sz w:val="20"/>
          <w:szCs w:val="20"/>
        </w:rPr>
        <w:t>pp.</w:t>
      </w:r>
      <w:r w:rsidRPr="00DA1A7C">
        <w:rPr>
          <w:rFonts w:ascii="Arial" w:hAnsi="Arial" w:cs="Arial"/>
          <w:sz w:val="20"/>
          <w:szCs w:val="20"/>
        </w:rPr>
        <w:t xml:space="preserve">75–88. </w:t>
      </w:r>
      <w:hyperlink r:id="rId21" w:history="1">
        <w:r w:rsidRPr="007E79E2">
          <w:rPr>
            <w:rStyle w:val="Hyperlink"/>
            <w:rFonts w:ascii="Arial" w:hAnsi="Arial" w:cs="Arial"/>
            <w:color w:val="auto"/>
            <w:sz w:val="20"/>
            <w:szCs w:val="20"/>
          </w:rPr>
          <w:t>https://doi.org/10.3200/JACH.56.1.75-88</w:t>
        </w:r>
      </w:hyperlink>
    </w:p>
    <w:p w14:paraId="398BD985" w14:textId="77777777" w:rsidR="000A1509" w:rsidRPr="00DA1A7C" w:rsidRDefault="000A1509" w:rsidP="00732436">
      <w:pPr>
        <w:pStyle w:val="NoSpacing"/>
        <w:rPr>
          <w:rFonts w:ascii="Arial" w:hAnsi="Arial" w:cs="Arial"/>
          <w:sz w:val="20"/>
          <w:szCs w:val="20"/>
        </w:rPr>
      </w:pPr>
    </w:p>
    <w:p w14:paraId="45248ADF" w14:textId="08C483BD" w:rsidR="000A1509" w:rsidRPr="00DA1A7C" w:rsidRDefault="000A1509" w:rsidP="000A1509">
      <w:pPr>
        <w:pStyle w:val="NoSpacing"/>
        <w:rPr>
          <w:rFonts w:ascii="Arial" w:hAnsi="Arial" w:cs="Arial"/>
          <w:sz w:val="20"/>
          <w:szCs w:val="20"/>
        </w:rPr>
      </w:pPr>
      <w:r w:rsidRPr="00DA1A7C">
        <w:rPr>
          <w:rFonts w:ascii="Arial" w:hAnsi="Arial" w:cs="Arial"/>
          <w:sz w:val="20"/>
          <w:szCs w:val="20"/>
        </w:rPr>
        <w:t xml:space="preserve">St-Pierre, R. A., </w:t>
      </w:r>
      <w:proofErr w:type="spellStart"/>
      <w:r w:rsidRPr="00DA1A7C">
        <w:rPr>
          <w:rFonts w:ascii="Arial" w:hAnsi="Arial" w:cs="Arial"/>
          <w:sz w:val="20"/>
          <w:szCs w:val="20"/>
        </w:rPr>
        <w:t>Temcheff</w:t>
      </w:r>
      <w:proofErr w:type="spellEnd"/>
      <w:r w:rsidRPr="00DA1A7C">
        <w:rPr>
          <w:rFonts w:ascii="Arial" w:hAnsi="Arial" w:cs="Arial"/>
          <w:sz w:val="20"/>
          <w:szCs w:val="20"/>
        </w:rPr>
        <w:t xml:space="preserve">, C. E., Gupta, R., </w:t>
      </w:r>
      <w:proofErr w:type="spellStart"/>
      <w:r w:rsidRPr="00DA1A7C">
        <w:rPr>
          <w:rFonts w:ascii="Arial" w:hAnsi="Arial" w:cs="Arial"/>
          <w:sz w:val="20"/>
          <w:szCs w:val="20"/>
        </w:rPr>
        <w:t>Derevensky</w:t>
      </w:r>
      <w:proofErr w:type="spellEnd"/>
      <w:r w:rsidRPr="00DA1A7C">
        <w:rPr>
          <w:rFonts w:ascii="Arial" w:hAnsi="Arial" w:cs="Arial"/>
          <w:sz w:val="20"/>
          <w:szCs w:val="20"/>
        </w:rPr>
        <w:t xml:space="preserve">, J., </w:t>
      </w:r>
      <w:r w:rsidR="00732436" w:rsidRPr="00DA1A7C">
        <w:rPr>
          <w:rFonts w:ascii="Arial" w:hAnsi="Arial" w:cs="Arial"/>
          <w:sz w:val="20"/>
          <w:szCs w:val="20"/>
        </w:rPr>
        <w:t>and</w:t>
      </w:r>
      <w:r w:rsidRPr="00DA1A7C">
        <w:rPr>
          <w:rFonts w:ascii="Arial" w:hAnsi="Arial" w:cs="Arial"/>
          <w:sz w:val="20"/>
          <w:szCs w:val="20"/>
        </w:rPr>
        <w:t xml:space="preserve"> Paskus, T. S. (2014)</w:t>
      </w:r>
      <w:r w:rsidR="00732436" w:rsidRPr="00DA1A7C">
        <w:rPr>
          <w:rFonts w:ascii="Arial" w:hAnsi="Arial" w:cs="Arial"/>
          <w:sz w:val="20"/>
          <w:szCs w:val="20"/>
        </w:rPr>
        <w:t>,</w:t>
      </w:r>
      <w:r w:rsidRPr="00DA1A7C">
        <w:rPr>
          <w:rFonts w:ascii="Arial" w:hAnsi="Arial" w:cs="Arial"/>
          <w:sz w:val="20"/>
          <w:szCs w:val="20"/>
        </w:rPr>
        <w:t xml:space="preserve"> </w:t>
      </w:r>
      <w:r w:rsidR="00732436" w:rsidRPr="00DA1A7C">
        <w:rPr>
          <w:rFonts w:ascii="Arial" w:hAnsi="Arial" w:cs="Arial"/>
          <w:sz w:val="20"/>
          <w:szCs w:val="20"/>
        </w:rPr>
        <w:t>“</w:t>
      </w:r>
      <w:r w:rsidRPr="00DA1A7C">
        <w:rPr>
          <w:rFonts w:ascii="Arial" w:hAnsi="Arial" w:cs="Arial"/>
          <w:sz w:val="20"/>
          <w:szCs w:val="20"/>
        </w:rPr>
        <w:t>Predicting Gambling Problems from Gambling Outcome Expectancies in College Student-Athletes</w:t>
      </w:r>
      <w:r w:rsidR="00732436"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Journal of Gambling Studies</w:t>
      </w:r>
      <w:r w:rsidRPr="00DA1A7C">
        <w:rPr>
          <w:rFonts w:ascii="Arial" w:hAnsi="Arial" w:cs="Arial"/>
          <w:sz w:val="20"/>
          <w:szCs w:val="20"/>
        </w:rPr>
        <w:t xml:space="preserve">, </w:t>
      </w:r>
      <w:r w:rsidR="00732436" w:rsidRPr="00DA1A7C">
        <w:rPr>
          <w:rFonts w:ascii="Arial" w:hAnsi="Arial" w:cs="Arial"/>
          <w:sz w:val="20"/>
          <w:szCs w:val="20"/>
        </w:rPr>
        <w:t xml:space="preserve">Vol </w:t>
      </w:r>
      <w:r w:rsidRPr="00DA1A7C">
        <w:rPr>
          <w:rFonts w:ascii="Arial" w:hAnsi="Arial" w:cs="Arial"/>
          <w:sz w:val="20"/>
          <w:szCs w:val="20"/>
        </w:rPr>
        <w:t>30</w:t>
      </w:r>
      <w:r w:rsidR="00732436" w:rsidRPr="00DA1A7C">
        <w:rPr>
          <w:rFonts w:ascii="Arial" w:hAnsi="Arial" w:cs="Arial"/>
          <w:sz w:val="20"/>
          <w:szCs w:val="20"/>
        </w:rPr>
        <w:t xml:space="preserve"> No. </w:t>
      </w:r>
      <w:r w:rsidRPr="00DA1A7C">
        <w:rPr>
          <w:rFonts w:ascii="Arial" w:hAnsi="Arial" w:cs="Arial"/>
          <w:sz w:val="20"/>
          <w:szCs w:val="20"/>
        </w:rPr>
        <w:t xml:space="preserve">1, </w:t>
      </w:r>
      <w:r w:rsidR="00732436" w:rsidRPr="00DA1A7C">
        <w:rPr>
          <w:rFonts w:ascii="Arial" w:hAnsi="Arial" w:cs="Arial"/>
          <w:sz w:val="20"/>
          <w:szCs w:val="20"/>
        </w:rPr>
        <w:t>pp.</w:t>
      </w:r>
      <w:r w:rsidRPr="00DA1A7C">
        <w:rPr>
          <w:rFonts w:ascii="Arial" w:hAnsi="Arial" w:cs="Arial"/>
          <w:sz w:val="20"/>
          <w:szCs w:val="20"/>
        </w:rPr>
        <w:t xml:space="preserve">47–60. </w:t>
      </w:r>
      <w:hyperlink r:id="rId22" w:history="1">
        <w:r w:rsidRPr="007E79E2">
          <w:rPr>
            <w:rStyle w:val="Hyperlink"/>
            <w:rFonts w:ascii="Arial" w:hAnsi="Arial" w:cs="Arial"/>
            <w:color w:val="auto"/>
            <w:sz w:val="20"/>
            <w:szCs w:val="20"/>
          </w:rPr>
          <w:t>https://doi.org/10.1007/s10899-012-9355-4</w:t>
        </w:r>
      </w:hyperlink>
    </w:p>
    <w:p w14:paraId="722048EE" w14:textId="77777777" w:rsidR="00732436" w:rsidRPr="00DA1A7C" w:rsidRDefault="00732436" w:rsidP="00732436">
      <w:pPr>
        <w:pStyle w:val="NoSpacing"/>
        <w:rPr>
          <w:rFonts w:ascii="Arial" w:hAnsi="Arial" w:cs="Arial"/>
          <w:sz w:val="20"/>
          <w:szCs w:val="20"/>
          <w:lang w:eastAsia="en-GB"/>
        </w:rPr>
      </w:pPr>
    </w:p>
    <w:p w14:paraId="5C64F21D" w14:textId="09F69664" w:rsidR="006C6003" w:rsidRPr="00DA1A7C" w:rsidRDefault="006C6003" w:rsidP="006C6003">
      <w:pPr>
        <w:rPr>
          <w:rFonts w:ascii="Arial" w:hAnsi="Arial" w:cs="Arial"/>
          <w:sz w:val="20"/>
          <w:szCs w:val="20"/>
          <w:lang w:eastAsia="en-GB"/>
        </w:rPr>
      </w:pPr>
      <w:proofErr w:type="spellStart"/>
      <w:r w:rsidRPr="00DA1A7C">
        <w:rPr>
          <w:rFonts w:ascii="Arial" w:hAnsi="Arial" w:cs="Arial"/>
          <w:sz w:val="20"/>
          <w:szCs w:val="20"/>
          <w:lang w:eastAsia="en-GB"/>
        </w:rPr>
        <w:t>Švegar</w:t>
      </w:r>
      <w:proofErr w:type="spellEnd"/>
      <w:r w:rsidRPr="00DA1A7C">
        <w:rPr>
          <w:rFonts w:ascii="Arial" w:hAnsi="Arial" w:cs="Arial"/>
          <w:sz w:val="20"/>
          <w:szCs w:val="20"/>
          <w:lang w:eastAsia="en-GB"/>
        </w:rPr>
        <w:t xml:space="preserve">, </w:t>
      </w:r>
      <w:proofErr w:type="gramStart"/>
      <w:r w:rsidRPr="00DA1A7C">
        <w:rPr>
          <w:rFonts w:ascii="Arial" w:hAnsi="Arial" w:cs="Arial"/>
          <w:sz w:val="20"/>
          <w:szCs w:val="20"/>
          <w:lang w:eastAsia="en-GB"/>
        </w:rPr>
        <w:t>Domagoj ;</w:t>
      </w:r>
      <w:proofErr w:type="gramEnd"/>
      <w:r w:rsidRPr="00DA1A7C">
        <w:rPr>
          <w:rFonts w:ascii="Arial" w:hAnsi="Arial" w:cs="Arial"/>
          <w:sz w:val="20"/>
          <w:szCs w:val="20"/>
          <w:lang w:eastAsia="en-GB"/>
        </w:rPr>
        <w:t xml:space="preserve"> Roguljić, Domagoj </w:t>
      </w:r>
      <w:r w:rsidR="00732436" w:rsidRPr="00DA1A7C">
        <w:rPr>
          <w:rFonts w:ascii="Arial" w:hAnsi="Arial" w:cs="Arial"/>
          <w:sz w:val="20"/>
          <w:szCs w:val="20"/>
          <w:lang w:eastAsia="en-GB"/>
        </w:rPr>
        <w:t>and</w:t>
      </w:r>
      <w:r w:rsidRPr="00DA1A7C">
        <w:rPr>
          <w:rFonts w:ascii="Arial" w:hAnsi="Arial" w:cs="Arial"/>
          <w:sz w:val="20"/>
          <w:szCs w:val="20"/>
          <w:lang w:eastAsia="en-GB"/>
        </w:rPr>
        <w:t xml:space="preserve"> Anić, Petra (2017)</w:t>
      </w:r>
      <w:r w:rsidR="00732436" w:rsidRPr="00DA1A7C">
        <w:rPr>
          <w:rFonts w:ascii="Arial" w:hAnsi="Arial" w:cs="Arial"/>
          <w:sz w:val="20"/>
          <w:szCs w:val="20"/>
          <w:lang w:eastAsia="en-GB"/>
        </w:rPr>
        <w:t>,</w:t>
      </w:r>
      <w:r w:rsidRPr="00DA1A7C">
        <w:rPr>
          <w:rFonts w:ascii="Arial" w:hAnsi="Arial" w:cs="Arial"/>
          <w:sz w:val="20"/>
          <w:szCs w:val="20"/>
          <w:lang w:eastAsia="en-GB"/>
        </w:rPr>
        <w:t xml:space="preserve"> </w:t>
      </w:r>
      <w:r w:rsidR="00732436" w:rsidRPr="00DA1A7C">
        <w:rPr>
          <w:rFonts w:ascii="Arial" w:hAnsi="Arial" w:cs="Arial"/>
          <w:sz w:val="20"/>
          <w:szCs w:val="20"/>
          <w:lang w:eastAsia="en-GB"/>
        </w:rPr>
        <w:t>“</w:t>
      </w:r>
      <w:r w:rsidRPr="00DA1A7C">
        <w:rPr>
          <w:rFonts w:ascii="Arial" w:hAnsi="Arial" w:cs="Arial"/>
          <w:sz w:val="20"/>
          <w:szCs w:val="20"/>
          <w:lang w:eastAsia="en-GB"/>
        </w:rPr>
        <w:t>What do students do in their free time and why?</w:t>
      </w:r>
      <w:r w:rsidR="00732436" w:rsidRPr="00DA1A7C">
        <w:rPr>
          <w:rFonts w:ascii="Arial" w:hAnsi="Arial" w:cs="Arial"/>
          <w:sz w:val="20"/>
          <w:szCs w:val="20"/>
          <w:lang w:eastAsia="en-GB"/>
        </w:rPr>
        <w:t>”,</w:t>
      </w:r>
      <w:r w:rsidRPr="00DA1A7C">
        <w:rPr>
          <w:rFonts w:ascii="Arial" w:hAnsi="Arial" w:cs="Arial"/>
          <w:sz w:val="20"/>
          <w:szCs w:val="20"/>
          <w:lang w:eastAsia="en-GB"/>
        </w:rPr>
        <w:t xml:space="preserve"> </w:t>
      </w:r>
      <w:r w:rsidRPr="00DA1A7C">
        <w:rPr>
          <w:rFonts w:ascii="Arial" w:hAnsi="Arial" w:cs="Arial"/>
          <w:i/>
          <w:iCs/>
          <w:sz w:val="20"/>
          <w:szCs w:val="20"/>
          <w:lang w:eastAsia="en-GB"/>
        </w:rPr>
        <w:t>Polish Psychological Bulletin</w:t>
      </w:r>
      <w:r w:rsidR="00732436" w:rsidRPr="00DA1A7C">
        <w:rPr>
          <w:rFonts w:ascii="Arial" w:hAnsi="Arial" w:cs="Arial"/>
          <w:i/>
          <w:iCs/>
          <w:sz w:val="20"/>
          <w:szCs w:val="20"/>
          <w:lang w:eastAsia="en-GB"/>
        </w:rPr>
        <w:t>,</w:t>
      </w:r>
      <w:r w:rsidRPr="00DA1A7C">
        <w:rPr>
          <w:rFonts w:ascii="Arial" w:hAnsi="Arial" w:cs="Arial"/>
          <w:sz w:val="20"/>
          <w:szCs w:val="20"/>
          <w:lang w:eastAsia="en-GB"/>
        </w:rPr>
        <w:t xml:space="preserve"> </w:t>
      </w:r>
      <w:r w:rsidR="00732436" w:rsidRPr="00DA1A7C">
        <w:rPr>
          <w:rFonts w:ascii="Arial" w:hAnsi="Arial" w:cs="Arial"/>
          <w:sz w:val="20"/>
          <w:szCs w:val="20"/>
          <w:lang w:eastAsia="en-GB"/>
        </w:rPr>
        <w:t xml:space="preserve">Vol </w:t>
      </w:r>
      <w:r w:rsidRPr="00DA1A7C">
        <w:rPr>
          <w:rFonts w:ascii="Arial" w:hAnsi="Arial" w:cs="Arial"/>
          <w:sz w:val="20"/>
          <w:szCs w:val="20"/>
          <w:lang w:eastAsia="en-GB"/>
        </w:rPr>
        <w:t xml:space="preserve">48 </w:t>
      </w:r>
      <w:r w:rsidR="00732436" w:rsidRPr="00DA1A7C">
        <w:rPr>
          <w:rFonts w:ascii="Arial" w:hAnsi="Arial" w:cs="Arial"/>
          <w:sz w:val="20"/>
          <w:szCs w:val="20"/>
          <w:lang w:eastAsia="en-GB"/>
        </w:rPr>
        <w:t xml:space="preserve">No. </w:t>
      </w:r>
      <w:r w:rsidRPr="00DA1A7C">
        <w:rPr>
          <w:rFonts w:ascii="Arial" w:hAnsi="Arial" w:cs="Arial"/>
          <w:sz w:val="20"/>
          <w:szCs w:val="20"/>
          <w:lang w:eastAsia="en-GB"/>
        </w:rPr>
        <w:t>4</w:t>
      </w:r>
      <w:r w:rsidR="00732436" w:rsidRPr="00DA1A7C">
        <w:rPr>
          <w:rFonts w:ascii="Arial" w:hAnsi="Arial" w:cs="Arial"/>
          <w:sz w:val="20"/>
          <w:szCs w:val="20"/>
          <w:lang w:eastAsia="en-GB"/>
        </w:rPr>
        <w:t xml:space="preserve"> pp.</w:t>
      </w:r>
      <w:r w:rsidRPr="00DA1A7C">
        <w:rPr>
          <w:rFonts w:ascii="Arial" w:hAnsi="Arial" w:cs="Arial"/>
          <w:sz w:val="20"/>
          <w:szCs w:val="20"/>
          <w:lang w:eastAsia="en-GB"/>
        </w:rPr>
        <w:t>504-515.</w:t>
      </w:r>
    </w:p>
    <w:p w14:paraId="0DE71BE9" w14:textId="187E98FA" w:rsidR="000A1509" w:rsidRPr="00DA1A7C" w:rsidRDefault="009E11E7" w:rsidP="009E11E7">
      <w:pPr>
        <w:pStyle w:val="NoSpacing"/>
        <w:rPr>
          <w:rFonts w:ascii="Arial" w:hAnsi="Arial" w:cs="Arial"/>
          <w:b/>
          <w:bCs/>
          <w:sz w:val="20"/>
          <w:szCs w:val="20"/>
        </w:rPr>
      </w:pPr>
      <w:r w:rsidRPr="00DA1A7C">
        <w:rPr>
          <w:rFonts w:ascii="Arial" w:hAnsi="Arial" w:cs="Arial"/>
          <w:sz w:val="20"/>
          <w:szCs w:val="20"/>
        </w:rPr>
        <w:t xml:space="preserve">The House of Lords (2021), “Gambling harm – time for action”, available at: https://committees. parliament.uk/publications/1700/documents/16622/default/ (accessed </w:t>
      </w:r>
      <w:r w:rsidR="00121F26" w:rsidRPr="00DA1A7C">
        <w:rPr>
          <w:rFonts w:ascii="Arial" w:hAnsi="Arial" w:cs="Arial"/>
          <w:sz w:val="20"/>
          <w:szCs w:val="20"/>
        </w:rPr>
        <w:t>12</w:t>
      </w:r>
      <w:r w:rsidRPr="00DA1A7C">
        <w:rPr>
          <w:rFonts w:ascii="Arial" w:hAnsi="Arial" w:cs="Arial"/>
          <w:sz w:val="20"/>
          <w:szCs w:val="20"/>
        </w:rPr>
        <w:t xml:space="preserve"> May 202</w:t>
      </w:r>
      <w:r w:rsidR="00121F26" w:rsidRPr="00DA1A7C">
        <w:rPr>
          <w:rFonts w:ascii="Arial" w:hAnsi="Arial" w:cs="Arial"/>
          <w:sz w:val="20"/>
          <w:szCs w:val="20"/>
        </w:rPr>
        <w:t>4</w:t>
      </w:r>
      <w:r w:rsidRPr="00DA1A7C">
        <w:rPr>
          <w:rFonts w:ascii="Arial" w:hAnsi="Arial" w:cs="Arial"/>
          <w:sz w:val="20"/>
          <w:szCs w:val="20"/>
        </w:rPr>
        <w:t>).</w:t>
      </w:r>
    </w:p>
    <w:p w14:paraId="0E5C35F3" w14:textId="77777777" w:rsidR="009E11E7" w:rsidRPr="00DA1A7C" w:rsidRDefault="009E11E7" w:rsidP="00306D46">
      <w:pPr>
        <w:pStyle w:val="NoSpacing"/>
        <w:rPr>
          <w:rFonts w:ascii="Arial" w:hAnsi="Arial" w:cs="Arial"/>
          <w:b/>
          <w:bCs/>
          <w:sz w:val="20"/>
          <w:szCs w:val="20"/>
        </w:rPr>
      </w:pPr>
    </w:p>
    <w:p w14:paraId="252E0D98" w14:textId="04F222B1" w:rsidR="00761CA2" w:rsidRPr="00DA1A7C" w:rsidRDefault="00761CA2" w:rsidP="00761CA2">
      <w:pPr>
        <w:pStyle w:val="NoSpacing"/>
        <w:rPr>
          <w:rFonts w:ascii="Arial" w:hAnsi="Arial" w:cs="Arial"/>
          <w:sz w:val="20"/>
          <w:szCs w:val="20"/>
        </w:rPr>
      </w:pPr>
      <w:r w:rsidRPr="00DA1A7C">
        <w:rPr>
          <w:rFonts w:ascii="Arial" w:hAnsi="Arial" w:cs="Arial"/>
          <w:sz w:val="20"/>
          <w:szCs w:val="20"/>
        </w:rPr>
        <w:t xml:space="preserve">Vien, C. (2015), “College students think they manage money well, but they don’t, survey finds”, </w:t>
      </w:r>
      <w:r w:rsidRPr="00DA1A7C">
        <w:rPr>
          <w:rFonts w:ascii="Arial" w:hAnsi="Arial" w:cs="Arial"/>
          <w:i/>
          <w:iCs/>
          <w:sz w:val="20"/>
          <w:szCs w:val="20"/>
        </w:rPr>
        <w:t>Journal of Accountancy</w:t>
      </w:r>
      <w:r w:rsidRPr="00DA1A7C">
        <w:rPr>
          <w:rFonts w:ascii="Arial" w:hAnsi="Arial" w:cs="Arial"/>
          <w:sz w:val="20"/>
          <w:szCs w:val="20"/>
        </w:rPr>
        <w:t>, available at: www.journalofaccountancy.com/news/2015/sep/financial-literacy-skills-201512981</w:t>
      </w:r>
      <w:r w:rsidR="00121F26" w:rsidRPr="00DA1A7C">
        <w:rPr>
          <w:rFonts w:ascii="Arial" w:hAnsi="Arial" w:cs="Arial"/>
          <w:sz w:val="20"/>
          <w:szCs w:val="20"/>
        </w:rPr>
        <w:t xml:space="preserve"> </w:t>
      </w:r>
      <w:r w:rsidRPr="00DA1A7C">
        <w:rPr>
          <w:rFonts w:ascii="Arial" w:hAnsi="Arial" w:cs="Arial"/>
          <w:sz w:val="20"/>
          <w:szCs w:val="20"/>
        </w:rPr>
        <w:t>(accessed 20 May 2023).</w:t>
      </w:r>
    </w:p>
    <w:p w14:paraId="6E6291B5" w14:textId="77777777" w:rsidR="00D02218" w:rsidRPr="00DA1A7C" w:rsidRDefault="00D02218" w:rsidP="00761CA2">
      <w:pPr>
        <w:pStyle w:val="NoSpacing"/>
        <w:rPr>
          <w:rFonts w:ascii="Arial" w:hAnsi="Arial" w:cs="Arial"/>
          <w:sz w:val="20"/>
          <w:szCs w:val="20"/>
        </w:rPr>
      </w:pPr>
    </w:p>
    <w:p w14:paraId="22579DC4" w14:textId="2CE4D990" w:rsidR="00761CA2" w:rsidRPr="00DA1A7C" w:rsidRDefault="00545E7C" w:rsidP="000A1509">
      <w:pPr>
        <w:pStyle w:val="NoSpacing"/>
        <w:rPr>
          <w:rFonts w:ascii="Arial" w:hAnsi="Arial" w:cs="Arial"/>
          <w:color w:val="222222"/>
          <w:sz w:val="20"/>
          <w:szCs w:val="20"/>
          <w:shd w:val="clear" w:color="auto" w:fill="FFFFFF"/>
        </w:rPr>
      </w:pPr>
      <w:r w:rsidRPr="00DA1A7C">
        <w:rPr>
          <w:rFonts w:ascii="Arial" w:hAnsi="Arial" w:cs="Arial"/>
          <w:color w:val="222222"/>
          <w:sz w:val="20"/>
          <w:szCs w:val="20"/>
          <w:shd w:val="clear" w:color="auto" w:fill="FFFFFF"/>
        </w:rPr>
        <w:t xml:space="preserve">Vinberg, M., </w:t>
      </w:r>
      <w:proofErr w:type="spellStart"/>
      <w:r w:rsidRPr="00DA1A7C">
        <w:rPr>
          <w:rFonts w:ascii="Arial" w:hAnsi="Arial" w:cs="Arial"/>
          <w:color w:val="222222"/>
          <w:sz w:val="20"/>
          <w:szCs w:val="20"/>
          <w:shd w:val="clear" w:color="auto" w:fill="FFFFFF"/>
        </w:rPr>
        <w:t>Durbeej</w:t>
      </w:r>
      <w:proofErr w:type="spellEnd"/>
      <w:r w:rsidRPr="00DA1A7C">
        <w:rPr>
          <w:rFonts w:ascii="Arial" w:hAnsi="Arial" w:cs="Arial"/>
          <w:color w:val="222222"/>
          <w:sz w:val="20"/>
          <w:szCs w:val="20"/>
          <w:shd w:val="clear" w:color="auto" w:fill="FFFFFF"/>
        </w:rPr>
        <w:t>, N. and Rosendahl, I. (2023), “Young male athletes at risk for problem gambling: Findings from a cross</w:t>
      </w:r>
      <w:r w:rsidRPr="00DA1A7C">
        <w:rPr>
          <w:rFonts w:ascii="Cambria Math" w:hAnsi="Cambria Math" w:cs="Cambria Math"/>
          <w:color w:val="222222"/>
          <w:sz w:val="20"/>
          <w:szCs w:val="20"/>
          <w:shd w:val="clear" w:color="auto" w:fill="FFFFFF"/>
        </w:rPr>
        <w:t>‐</w:t>
      </w:r>
      <w:r w:rsidRPr="00DA1A7C">
        <w:rPr>
          <w:rFonts w:ascii="Arial" w:hAnsi="Arial" w:cs="Arial"/>
          <w:color w:val="222222"/>
          <w:sz w:val="20"/>
          <w:szCs w:val="20"/>
          <w:shd w:val="clear" w:color="auto" w:fill="FFFFFF"/>
        </w:rPr>
        <w:t>sectional study in Sweden”, </w:t>
      </w:r>
      <w:r w:rsidRPr="00DA1A7C">
        <w:rPr>
          <w:rFonts w:ascii="Arial" w:hAnsi="Arial" w:cs="Arial"/>
          <w:i/>
          <w:iCs/>
          <w:color w:val="222222"/>
          <w:sz w:val="20"/>
          <w:szCs w:val="20"/>
          <w:shd w:val="clear" w:color="auto" w:fill="FFFFFF"/>
        </w:rPr>
        <w:t>Scandinavian Journal of Psychology</w:t>
      </w:r>
      <w:r w:rsidRPr="00DA1A7C">
        <w:rPr>
          <w:rFonts w:ascii="Arial" w:hAnsi="Arial" w:cs="Arial"/>
          <w:color w:val="222222"/>
          <w:sz w:val="20"/>
          <w:szCs w:val="20"/>
          <w:shd w:val="clear" w:color="auto" w:fill="FFFFFF"/>
        </w:rPr>
        <w:t>, Vol 64 No. (6), pp.766-775.</w:t>
      </w:r>
    </w:p>
    <w:p w14:paraId="73434569" w14:textId="77777777" w:rsidR="00545E7C" w:rsidRPr="00DA1A7C" w:rsidRDefault="00545E7C" w:rsidP="000A1509">
      <w:pPr>
        <w:pStyle w:val="NoSpacing"/>
        <w:rPr>
          <w:rFonts w:ascii="Arial" w:hAnsi="Arial" w:cs="Arial"/>
          <w:sz w:val="20"/>
          <w:szCs w:val="20"/>
        </w:rPr>
      </w:pPr>
    </w:p>
    <w:p w14:paraId="76266E51" w14:textId="58D2CC51" w:rsidR="000A1509" w:rsidRPr="00DA1A7C" w:rsidRDefault="000A1509" w:rsidP="000A1509">
      <w:pPr>
        <w:pStyle w:val="NoSpacing"/>
        <w:rPr>
          <w:rFonts w:ascii="Arial" w:hAnsi="Arial" w:cs="Arial"/>
          <w:sz w:val="20"/>
          <w:szCs w:val="20"/>
        </w:rPr>
      </w:pPr>
      <w:r w:rsidRPr="00DA1A7C">
        <w:rPr>
          <w:rFonts w:ascii="Arial" w:hAnsi="Arial" w:cs="Arial"/>
          <w:sz w:val="20"/>
          <w:szCs w:val="20"/>
        </w:rPr>
        <w:t xml:space="preserve">Wang, X., Won, D., </w:t>
      </w:r>
      <w:r w:rsidR="00545E7C" w:rsidRPr="00DA1A7C">
        <w:rPr>
          <w:rFonts w:ascii="Arial" w:hAnsi="Arial" w:cs="Arial"/>
          <w:sz w:val="20"/>
          <w:szCs w:val="20"/>
        </w:rPr>
        <w:t>and</w:t>
      </w:r>
      <w:r w:rsidRPr="00DA1A7C">
        <w:rPr>
          <w:rFonts w:ascii="Arial" w:hAnsi="Arial" w:cs="Arial"/>
          <w:sz w:val="20"/>
          <w:szCs w:val="20"/>
        </w:rPr>
        <w:t xml:space="preserve"> Jeon, H. S. (2021)</w:t>
      </w:r>
      <w:r w:rsidR="00545E7C" w:rsidRPr="00DA1A7C">
        <w:rPr>
          <w:rFonts w:ascii="Arial" w:hAnsi="Arial" w:cs="Arial"/>
          <w:sz w:val="20"/>
          <w:szCs w:val="20"/>
        </w:rPr>
        <w:t>,</w:t>
      </w:r>
      <w:r w:rsidRPr="00DA1A7C">
        <w:rPr>
          <w:rFonts w:ascii="Arial" w:hAnsi="Arial" w:cs="Arial"/>
          <w:sz w:val="20"/>
          <w:szCs w:val="20"/>
        </w:rPr>
        <w:t xml:space="preserve"> </w:t>
      </w:r>
      <w:r w:rsidR="00545E7C" w:rsidRPr="00DA1A7C">
        <w:rPr>
          <w:rFonts w:ascii="Arial" w:hAnsi="Arial" w:cs="Arial"/>
          <w:sz w:val="20"/>
          <w:szCs w:val="20"/>
        </w:rPr>
        <w:t>“</w:t>
      </w:r>
      <w:r w:rsidRPr="00DA1A7C">
        <w:rPr>
          <w:rFonts w:ascii="Arial" w:hAnsi="Arial" w:cs="Arial"/>
          <w:sz w:val="20"/>
          <w:szCs w:val="20"/>
        </w:rPr>
        <w:t xml:space="preserve">Predictors of Sports Gambling among College Students: The Role of the Theory of Planned </w:t>
      </w:r>
      <w:proofErr w:type="spellStart"/>
      <w:r w:rsidRPr="00DA1A7C">
        <w:rPr>
          <w:rFonts w:ascii="Arial" w:hAnsi="Arial" w:cs="Arial"/>
          <w:sz w:val="20"/>
          <w:szCs w:val="20"/>
        </w:rPr>
        <w:t>Behavior</w:t>
      </w:r>
      <w:proofErr w:type="spellEnd"/>
      <w:r w:rsidRPr="00DA1A7C">
        <w:rPr>
          <w:rFonts w:ascii="Arial" w:hAnsi="Arial" w:cs="Arial"/>
          <w:sz w:val="20"/>
          <w:szCs w:val="20"/>
        </w:rPr>
        <w:t xml:space="preserve"> and Problem Gambling Severity</w:t>
      </w:r>
      <w:r w:rsidR="00545E7C" w:rsidRPr="00DA1A7C">
        <w:rPr>
          <w:rFonts w:ascii="Arial" w:hAnsi="Arial" w:cs="Arial"/>
          <w:sz w:val="20"/>
          <w:szCs w:val="20"/>
        </w:rPr>
        <w:t>”,</w:t>
      </w:r>
      <w:r w:rsidRPr="00DA1A7C">
        <w:rPr>
          <w:rFonts w:ascii="Arial" w:hAnsi="Arial" w:cs="Arial"/>
          <w:sz w:val="20"/>
          <w:szCs w:val="20"/>
        </w:rPr>
        <w:t xml:space="preserve"> </w:t>
      </w:r>
      <w:r w:rsidRPr="00DA1A7C">
        <w:rPr>
          <w:rFonts w:ascii="Arial" w:hAnsi="Arial" w:cs="Arial"/>
          <w:i/>
          <w:iCs/>
          <w:sz w:val="20"/>
          <w:szCs w:val="20"/>
        </w:rPr>
        <w:t>International Journal of Environmental Research and Public Health</w:t>
      </w:r>
      <w:r w:rsidRPr="00DA1A7C">
        <w:rPr>
          <w:rFonts w:ascii="Arial" w:hAnsi="Arial" w:cs="Arial"/>
          <w:sz w:val="20"/>
          <w:szCs w:val="20"/>
        </w:rPr>
        <w:t xml:space="preserve">, </w:t>
      </w:r>
      <w:r w:rsidR="00545E7C" w:rsidRPr="00DA1A7C">
        <w:rPr>
          <w:rFonts w:ascii="Arial" w:hAnsi="Arial" w:cs="Arial"/>
          <w:sz w:val="20"/>
          <w:szCs w:val="20"/>
        </w:rPr>
        <w:t xml:space="preserve">Vol </w:t>
      </w:r>
      <w:r w:rsidRPr="00DA1A7C">
        <w:rPr>
          <w:rFonts w:ascii="Arial" w:hAnsi="Arial" w:cs="Arial"/>
          <w:sz w:val="20"/>
          <w:szCs w:val="20"/>
        </w:rPr>
        <w:t>18</w:t>
      </w:r>
      <w:r w:rsidR="00545E7C" w:rsidRPr="00DA1A7C">
        <w:rPr>
          <w:rFonts w:ascii="Arial" w:hAnsi="Arial" w:cs="Arial"/>
          <w:sz w:val="20"/>
          <w:szCs w:val="20"/>
        </w:rPr>
        <w:t xml:space="preserve"> No. </w:t>
      </w:r>
      <w:r w:rsidRPr="00DA1A7C">
        <w:rPr>
          <w:rFonts w:ascii="Arial" w:hAnsi="Arial" w:cs="Arial"/>
          <w:sz w:val="20"/>
          <w:szCs w:val="20"/>
        </w:rPr>
        <w:t>4</w:t>
      </w:r>
      <w:r w:rsidR="00545E7C" w:rsidRPr="00DA1A7C">
        <w:rPr>
          <w:rFonts w:ascii="Arial" w:hAnsi="Arial" w:cs="Arial"/>
          <w:sz w:val="20"/>
          <w:szCs w:val="20"/>
        </w:rPr>
        <w:t>,</w:t>
      </w:r>
      <w:r w:rsidRPr="00DA1A7C">
        <w:rPr>
          <w:rFonts w:ascii="Arial" w:hAnsi="Arial" w:cs="Arial"/>
          <w:sz w:val="20"/>
          <w:szCs w:val="20"/>
        </w:rPr>
        <w:t xml:space="preserve"> </w:t>
      </w:r>
      <w:r w:rsidR="00545E7C" w:rsidRPr="00DA1A7C">
        <w:rPr>
          <w:rFonts w:ascii="Arial" w:hAnsi="Arial" w:cs="Arial"/>
          <w:sz w:val="20"/>
          <w:szCs w:val="20"/>
        </w:rPr>
        <w:t>pp.</w:t>
      </w:r>
      <w:r w:rsidRPr="00DA1A7C">
        <w:rPr>
          <w:rFonts w:ascii="Arial" w:hAnsi="Arial" w:cs="Arial"/>
          <w:sz w:val="20"/>
          <w:szCs w:val="20"/>
        </w:rPr>
        <w:t>1803. https://doi.org/10.3390/ijerph18041803</w:t>
      </w:r>
    </w:p>
    <w:p w14:paraId="3B630DDD" w14:textId="77777777" w:rsidR="000A1509" w:rsidRPr="00DA1A7C" w:rsidRDefault="000A1509" w:rsidP="00545E7C">
      <w:pPr>
        <w:pStyle w:val="NoSpacing"/>
        <w:rPr>
          <w:rFonts w:ascii="Arial" w:hAnsi="Arial" w:cs="Arial"/>
          <w:sz w:val="20"/>
          <w:szCs w:val="20"/>
        </w:rPr>
      </w:pPr>
    </w:p>
    <w:p w14:paraId="4B30979A" w14:textId="5A67F8E0" w:rsidR="00B26863" w:rsidRPr="00DA1A7C" w:rsidRDefault="00B26863" w:rsidP="000A1509">
      <w:pPr>
        <w:jc w:val="both"/>
        <w:rPr>
          <w:rFonts w:ascii="Arial" w:hAnsi="Arial" w:cs="Arial"/>
          <w:b/>
          <w:bCs/>
          <w:sz w:val="20"/>
          <w:szCs w:val="20"/>
        </w:rPr>
      </w:pPr>
      <w:r w:rsidRPr="00DA1A7C">
        <w:rPr>
          <w:rFonts w:ascii="Arial" w:hAnsi="Arial" w:cs="Arial"/>
          <w:color w:val="333333"/>
          <w:sz w:val="20"/>
          <w:szCs w:val="20"/>
          <w:shd w:val="clear" w:color="auto" w:fill="FFFFFF"/>
        </w:rPr>
        <w:t xml:space="preserve">Wong, G., Zane, N., Saw, A., </w:t>
      </w:r>
      <w:r w:rsidR="00545E7C" w:rsidRPr="00DA1A7C">
        <w:rPr>
          <w:rFonts w:ascii="Arial" w:hAnsi="Arial" w:cs="Arial"/>
          <w:color w:val="333333"/>
          <w:sz w:val="20"/>
          <w:szCs w:val="20"/>
          <w:shd w:val="clear" w:color="auto" w:fill="FFFFFF"/>
        </w:rPr>
        <w:t>and</w:t>
      </w:r>
      <w:r w:rsidRPr="00DA1A7C">
        <w:rPr>
          <w:rFonts w:ascii="Arial" w:hAnsi="Arial" w:cs="Arial"/>
          <w:color w:val="333333"/>
          <w:sz w:val="20"/>
          <w:szCs w:val="20"/>
          <w:shd w:val="clear" w:color="auto" w:fill="FFFFFF"/>
        </w:rPr>
        <w:t xml:space="preserve"> Chan, A. K. K. (2013)</w:t>
      </w:r>
      <w:r w:rsidR="00545E7C" w:rsidRPr="00DA1A7C">
        <w:rPr>
          <w:rFonts w:ascii="Arial" w:hAnsi="Arial" w:cs="Arial"/>
          <w:color w:val="333333"/>
          <w:sz w:val="20"/>
          <w:szCs w:val="20"/>
          <w:shd w:val="clear" w:color="auto" w:fill="FFFFFF"/>
        </w:rPr>
        <w:t>,</w:t>
      </w:r>
      <w:r w:rsidRPr="00DA1A7C">
        <w:rPr>
          <w:rFonts w:ascii="Arial" w:hAnsi="Arial" w:cs="Arial"/>
          <w:color w:val="333333"/>
          <w:sz w:val="20"/>
          <w:szCs w:val="20"/>
          <w:shd w:val="clear" w:color="auto" w:fill="FFFFFF"/>
        </w:rPr>
        <w:t xml:space="preserve"> </w:t>
      </w:r>
      <w:r w:rsidR="00545E7C" w:rsidRPr="00DA1A7C">
        <w:rPr>
          <w:rFonts w:ascii="Arial" w:hAnsi="Arial" w:cs="Arial"/>
          <w:color w:val="333333"/>
          <w:sz w:val="20"/>
          <w:szCs w:val="20"/>
          <w:shd w:val="clear" w:color="auto" w:fill="FFFFFF"/>
        </w:rPr>
        <w:t>“</w:t>
      </w:r>
      <w:r w:rsidRPr="00DA1A7C">
        <w:rPr>
          <w:rFonts w:ascii="Arial" w:hAnsi="Arial" w:cs="Arial"/>
          <w:color w:val="333333"/>
          <w:sz w:val="20"/>
          <w:szCs w:val="20"/>
          <w:shd w:val="clear" w:color="auto" w:fill="FFFFFF"/>
        </w:rPr>
        <w:t>Examining gender differences for gambling engagement and gambling problems among emerging adults</w:t>
      </w:r>
      <w:r w:rsidR="00545E7C" w:rsidRPr="00DA1A7C">
        <w:rPr>
          <w:rFonts w:ascii="Arial" w:hAnsi="Arial" w:cs="Arial"/>
          <w:color w:val="333333"/>
          <w:sz w:val="20"/>
          <w:szCs w:val="20"/>
          <w:shd w:val="clear" w:color="auto" w:fill="FFFFFF"/>
        </w:rPr>
        <w:t>”,</w:t>
      </w:r>
      <w:r w:rsidRPr="00DA1A7C">
        <w:rPr>
          <w:rFonts w:ascii="Arial" w:hAnsi="Arial" w:cs="Arial"/>
          <w:color w:val="333333"/>
          <w:sz w:val="20"/>
          <w:szCs w:val="20"/>
          <w:shd w:val="clear" w:color="auto" w:fill="FFFFFF"/>
        </w:rPr>
        <w:t> </w:t>
      </w:r>
      <w:r w:rsidRPr="00DA1A7C">
        <w:rPr>
          <w:rStyle w:val="Emphasis"/>
          <w:rFonts w:ascii="Arial" w:hAnsi="Arial" w:cs="Arial"/>
          <w:color w:val="333333"/>
          <w:sz w:val="20"/>
          <w:szCs w:val="20"/>
          <w:shd w:val="clear" w:color="auto" w:fill="FFFFFF"/>
        </w:rPr>
        <w:t>Journal of Gambling Studies,</w:t>
      </w:r>
      <w:r w:rsidR="00545E7C" w:rsidRPr="00DA1A7C">
        <w:rPr>
          <w:rStyle w:val="Emphasis"/>
          <w:rFonts w:ascii="Arial" w:hAnsi="Arial" w:cs="Arial"/>
          <w:color w:val="333333"/>
          <w:sz w:val="20"/>
          <w:szCs w:val="20"/>
          <w:shd w:val="clear" w:color="auto" w:fill="FFFFFF"/>
        </w:rPr>
        <w:t xml:space="preserve"> </w:t>
      </w:r>
      <w:r w:rsidR="00545E7C" w:rsidRPr="00DA1A7C">
        <w:rPr>
          <w:rStyle w:val="Emphasis"/>
          <w:rFonts w:ascii="Arial" w:hAnsi="Arial" w:cs="Arial"/>
          <w:i w:val="0"/>
          <w:iCs w:val="0"/>
          <w:color w:val="333333"/>
          <w:sz w:val="20"/>
          <w:szCs w:val="20"/>
          <w:shd w:val="clear" w:color="auto" w:fill="FFFFFF"/>
        </w:rPr>
        <w:t>Vol</w:t>
      </w:r>
      <w:r w:rsidRPr="00DA1A7C">
        <w:rPr>
          <w:rStyle w:val="Emphasis"/>
          <w:rFonts w:ascii="Arial" w:hAnsi="Arial" w:cs="Arial"/>
          <w:i w:val="0"/>
          <w:iCs w:val="0"/>
          <w:color w:val="333333"/>
          <w:sz w:val="20"/>
          <w:szCs w:val="20"/>
          <w:shd w:val="clear" w:color="auto" w:fill="FFFFFF"/>
        </w:rPr>
        <w:t xml:space="preserve"> 29</w:t>
      </w:r>
      <w:r w:rsidR="00545E7C" w:rsidRPr="00DA1A7C">
        <w:rPr>
          <w:rStyle w:val="Emphasis"/>
          <w:rFonts w:ascii="Arial" w:hAnsi="Arial" w:cs="Arial"/>
          <w:i w:val="0"/>
          <w:iCs w:val="0"/>
          <w:color w:val="333333"/>
          <w:sz w:val="20"/>
          <w:szCs w:val="20"/>
          <w:shd w:val="clear" w:color="auto" w:fill="FFFFFF"/>
        </w:rPr>
        <w:t xml:space="preserve"> No. </w:t>
      </w:r>
      <w:r w:rsidRPr="00DA1A7C">
        <w:rPr>
          <w:rFonts w:ascii="Arial" w:hAnsi="Arial" w:cs="Arial"/>
          <w:i/>
          <w:iCs/>
          <w:color w:val="333333"/>
          <w:sz w:val="20"/>
          <w:szCs w:val="20"/>
          <w:shd w:val="clear" w:color="auto" w:fill="FFFFFF"/>
        </w:rPr>
        <w:t xml:space="preserve">2, </w:t>
      </w:r>
      <w:r w:rsidR="00545E7C" w:rsidRPr="00DA1A7C">
        <w:rPr>
          <w:rFonts w:ascii="Arial" w:hAnsi="Arial" w:cs="Arial"/>
          <w:color w:val="333333"/>
          <w:sz w:val="20"/>
          <w:szCs w:val="20"/>
          <w:shd w:val="clear" w:color="auto" w:fill="FFFFFF"/>
        </w:rPr>
        <w:t>pp.</w:t>
      </w:r>
      <w:r w:rsidRPr="00DA1A7C">
        <w:rPr>
          <w:rFonts w:ascii="Arial" w:hAnsi="Arial" w:cs="Arial"/>
          <w:color w:val="333333"/>
          <w:sz w:val="20"/>
          <w:szCs w:val="20"/>
          <w:shd w:val="clear" w:color="auto" w:fill="FFFFFF"/>
        </w:rPr>
        <w:t>171–189. </w:t>
      </w:r>
      <w:hyperlink r:id="rId23" w:tgtFrame="_blank" w:history="1">
        <w:r w:rsidRPr="00DA1A7C">
          <w:rPr>
            <w:rStyle w:val="Hyperlink"/>
            <w:rFonts w:ascii="Arial" w:hAnsi="Arial" w:cs="Arial"/>
            <w:color w:val="2C72B7"/>
            <w:sz w:val="20"/>
            <w:szCs w:val="20"/>
            <w:shd w:val="clear" w:color="auto" w:fill="FFFFFF"/>
          </w:rPr>
          <w:t>https://doi.org/10.1007/s10899-012-9305-1</w:t>
        </w:r>
      </w:hyperlink>
    </w:p>
    <w:p w14:paraId="43855831" w14:textId="2FF6C84B" w:rsidR="000A1509" w:rsidRPr="00DA1A7C" w:rsidRDefault="00657556" w:rsidP="000A1509">
      <w:pPr>
        <w:pStyle w:val="NoSpacing"/>
        <w:rPr>
          <w:rFonts w:ascii="Arial" w:hAnsi="Arial" w:cs="Arial"/>
          <w:color w:val="222222"/>
          <w:sz w:val="20"/>
          <w:szCs w:val="20"/>
          <w:shd w:val="clear" w:color="auto" w:fill="FFFFFF"/>
        </w:rPr>
      </w:pPr>
      <w:r w:rsidRPr="00DA1A7C">
        <w:rPr>
          <w:rFonts w:ascii="Arial" w:hAnsi="Arial" w:cs="Arial"/>
          <w:color w:val="222222"/>
          <w:sz w:val="20"/>
          <w:szCs w:val="20"/>
          <w:shd w:val="clear" w:color="auto" w:fill="FFFFFF"/>
        </w:rPr>
        <w:t>Starnes, D.S., Tabor, J., Yates, D.S. and Moore, D.S. (2015), “</w:t>
      </w:r>
      <w:r w:rsidRPr="00DA1A7C">
        <w:rPr>
          <w:rFonts w:ascii="Arial" w:hAnsi="Arial" w:cs="Arial"/>
          <w:i/>
          <w:iCs/>
          <w:color w:val="222222"/>
          <w:sz w:val="20"/>
          <w:szCs w:val="20"/>
          <w:shd w:val="clear" w:color="auto" w:fill="FFFFFF"/>
        </w:rPr>
        <w:t>The practice of statistics”,</w:t>
      </w:r>
      <w:r w:rsidRPr="00DA1A7C">
        <w:rPr>
          <w:rFonts w:ascii="Arial" w:hAnsi="Arial" w:cs="Arial"/>
          <w:color w:val="222222"/>
          <w:sz w:val="20"/>
          <w:szCs w:val="20"/>
          <w:shd w:val="clear" w:color="auto" w:fill="FFFFFF"/>
        </w:rPr>
        <w:t xml:space="preserve"> WH Freeman/BFW.</w:t>
      </w:r>
    </w:p>
    <w:p w14:paraId="6D9527B0" w14:textId="2FF8AD16" w:rsidR="000A1509" w:rsidRPr="00DA1A7C" w:rsidRDefault="000A1509" w:rsidP="00DA1A7C">
      <w:pPr>
        <w:rPr>
          <w:rFonts w:ascii="Arial" w:hAnsi="Arial" w:cs="Arial"/>
          <w:sz w:val="20"/>
          <w:szCs w:val="20"/>
        </w:rPr>
      </w:pPr>
      <w:proofErr w:type="spellStart"/>
      <w:r w:rsidRPr="00DA1A7C">
        <w:rPr>
          <w:rFonts w:ascii="Arial" w:hAnsi="Arial" w:cs="Arial"/>
          <w:color w:val="222222"/>
          <w:sz w:val="20"/>
          <w:szCs w:val="20"/>
          <w:shd w:val="clear" w:color="auto" w:fill="FFFFFF"/>
        </w:rPr>
        <w:t>YGam</w:t>
      </w:r>
      <w:proofErr w:type="spellEnd"/>
      <w:r w:rsidRPr="00DA1A7C">
        <w:rPr>
          <w:rFonts w:ascii="Arial" w:hAnsi="Arial" w:cs="Arial"/>
          <w:color w:val="222222"/>
          <w:sz w:val="20"/>
          <w:szCs w:val="20"/>
          <w:shd w:val="clear" w:color="auto" w:fill="FFFFFF"/>
        </w:rPr>
        <w:t xml:space="preserve"> and GAMSTOP (2023). </w:t>
      </w:r>
      <w:r w:rsidR="00DA1A7C" w:rsidRPr="00DA1A7C">
        <w:rPr>
          <w:rFonts w:ascii="Arial" w:hAnsi="Arial" w:cs="Arial"/>
          <w:color w:val="222222"/>
          <w:sz w:val="20"/>
          <w:szCs w:val="20"/>
          <w:shd w:val="clear" w:color="auto" w:fill="FFFFFF"/>
        </w:rPr>
        <w:t>“</w:t>
      </w:r>
      <w:r w:rsidR="00DA1A7C" w:rsidRPr="00DA1A7C">
        <w:rPr>
          <w:rFonts w:ascii="Arial" w:hAnsi="Arial" w:cs="Arial"/>
          <w:sz w:val="20"/>
          <w:szCs w:val="20"/>
        </w:rPr>
        <w:t xml:space="preserve">Annual Student Gambling Survey” available at:  </w:t>
      </w:r>
      <w:hyperlink r:id="rId24" w:history="1">
        <w:r w:rsidRPr="007E79E2">
          <w:rPr>
            <w:rStyle w:val="Hyperlink"/>
            <w:rFonts w:ascii="Arial" w:hAnsi="Arial" w:cs="Arial"/>
            <w:color w:val="auto"/>
            <w:sz w:val="20"/>
            <w:szCs w:val="20"/>
          </w:rPr>
          <w:t>https://www.ygam.org/wp-content/uploads/2023/02/Annual-Student-Gambling-Survey-Feb-2023.pdf</w:t>
        </w:r>
      </w:hyperlink>
      <w:r w:rsidR="00DA1A7C" w:rsidRPr="007E79E2">
        <w:rPr>
          <w:rStyle w:val="Hyperlink"/>
          <w:rFonts w:ascii="Arial" w:hAnsi="Arial" w:cs="Arial"/>
          <w:color w:val="auto"/>
          <w:sz w:val="20"/>
          <w:szCs w:val="20"/>
          <w:u w:val="none"/>
        </w:rPr>
        <w:t xml:space="preserve">  </w:t>
      </w:r>
      <w:r w:rsidR="00DA1A7C" w:rsidRPr="00DA1A7C">
        <w:rPr>
          <w:rStyle w:val="Hyperlink"/>
          <w:rFonts w:ascii="Arial" w:hAnsi="Arial" w:cs="Arial"/>
          <w:color w:val="auto"/>
          <w:sz w:val="20"/>
          <w:szCs w:val="20"/>
          <w:u w:val="none"/>
        </w:rPr>
        <w:t>(accessed 23 June 2024)</w:t>
      </w:r>
      <w:r w:rsidR="00DA1A7C" w:rsidRPr="00DA1A7C">
        <w:rPr>
          <w:rStyle w:val="Hyperlink"/>
          <w:rFonts w:ascii="Arial" w:hAnsi="Arial" w:cs="Arial"/>
          <w:color w:val="auto"/>
          <w:sz w:val="20"/>
          <w:szCs w:val="20"/>
        </w:rPr>
        <w:t xml:space="preserve"> </w:t>
      </w:r>
    </w:p>
    <w:p w14:paraId="779F6247" w14:textId="4FB25C35" w:rsidR="00323838" w:rsidRPr="009F6C30" w:rsidRDefault="00323838" w:rsidP="000A1509">
      <w:pPr>
        <w:jc w:val="both"/>
        <w:rPr>
          <w:b/>
          <w:bCs/>
          <w:szCs w:val="24"/>
        </w:rPr>
      </w:pPr>
    </w:p>
    <w:sectPr w:rsidR="00323838" w:rsidRPr="009F6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xml><?xml version="1.0" encoding="utf-8"?>
<int:Intelligence xmlns:int="http://schemas.microsoft.com/office/intelligence/2019/intelligence">
  <int:IntelligenceSettings/>
  <int:Manifest>
    <int:WordHash hashCode="5E7KMl5sxfIPS2" id="+eC3yVoI"/>
    <int:WordHash hashCode="RnEb28u/SDQE/C" id="k6lGiVyM"/>
    <int:WordHash hashCode="7540NxgD5tPnTi" id="3VIVq0vv"/>
    <int:WordHash hashCode="XfnPlw4VbdG38c" id="6RSEy1W+"/>
    <int:WordHash hashCode="fZ4v17seVVGUFh" id="Jh47yb4d"/>
    <int:WordHash hashCode="HJtwyeN6uYPi8r" id="3GzFVJCN"/>
    <int:WordHash hashCode="Wz05vWwzYzG/rC" id="bFdLzQKf"/>
    <int:WordHash hashCode="EWuch5x0eltZ9X" id="gM/fQ/kY"/>
    <int:WordHash hashCode="7B/8909mheQUB6" id="b4STPxVH"/>
    <int:WordHash hashCode="7r9kiAA4Af2vRb" id="RLLcRxBl"/>
  </int:Manifest>
  <int:Observations>
    <int:Content id="+eC3yVoI">
      <int:Rejection type="AugLoop_Text_Critique"/>
    </int:Content>
    <int:Content id="k6lGiVyM">
      <int:Rejection type="AugLoop_Text_Critique"/>
    </int:Content>
    <int:Content id="3VIVq0vv">
      <int:Rejection type="AugLoop_Text_Critique"/>
    </int:Content>
    <int:Content id="6RSEy1W+">
      <int:Rejection type="AugLoop_Text_Critique"/>
    </int:Content>
    <int:Content id="Jh47yb4d">
      <int:Rejection type="AugLoop_Text_Critique"/>
    </int:Content>
    <int:Content id="3GzFVJCN">
      <int:Rejection type="AugLoop_Text_Critique"/>
    </int:Content>
    <int:Content id="bFdLzQKf">
      <int:Rejection type="AugLoop_Text_Critique"/>
    </int:Content>
    <int:Content id="gM/fQ/kY">
      <int:Rejection type="AugLoop_Text_Critique"/>
    </int:Content>
    <int:Content id="b4STPxVH">
      <int:Rejection type="AugLoop_Text_Critique"/>
    </int:Content>
    <int:Content id="RLLcRxBl">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17F0"/>
    <w:multiLevelType w:val="hybridMultilevel"/>
    <w:tmpl w:val="140675AC"/>
    <w:lvl w:ilvl="0" w:tplc="9612BF3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F5D38"/>
    <w:multiLevelType w:val="hybridMultilevel"/>
    <w:tmpl w:val="5166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B5913"/>
    <w:multiLevelType w:val="hybridMultilevel"/>
    <w:tmpl w:val="4A029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266E96"/>
    <w:multiLevelType w:val="hybridMultilevel"/>
    <w:tmpl w:val="4A029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8406C3"/>
    <w:multiLevelType w:val="hybridMultilevel"/>
    <w:tmpl w:val="EB34C5D8"/>
    <w:lvl w:ilvl="0" w:tplc="4C4EA0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D5CAE"/>
    <w:multiLevelType w:val="hybridMultilevel"/>
    <w:tmpl w:val="1996E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A62D4B"/>
    <w:multiLevelType w:val="hybridMultilevel"/>
    <w:tmpl w:val="8852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B391F"/>
    <w:multiLevelType w:val="hybridMultilevel"/>
    <w:tmpl w:val="674AE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048751">
    <w:abstractNumId w:val="2"/>
  </w:num>
  <w:num w:numId="2" w16cid:durableId="150604771">
    <w:abstractNumId w:val="4"/>
  </w:num>
  <w:num w:numId="3" w16cid:durableId="1603681246">
    <w:abstractNumId w:val="3"/>
  </w:num>
  <w:num w:numId="4" w16cid:durableId="1983540839">
    <w:abstractNumId w:val="0"/>
  </w:num>
  <w:num w:numId="5" w16cid:durableId="1892645501">
    <w:abstractNumId w:val="7"/>
  </w:num>
  <w:num w:numId="6" w16cid:durableId="824973414">
    <w:abstractNumId w:val="1"/>
  </w:num>
  <w:num w:numId="7" w16cid:durableId="693311139">
    <w:abstractNumId w:val="6"/>
  </w:num>
  <w:num w:numId="8" w16cid:durableId="414474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A6"/>
    <w:rsid w:val="000007AC"/>
    <w:rsid w:val="00000AFA"/>
    <w:rsid w:val="00003D66"/>
    <w:rsid w:val="000050AC"/>
    <w:rsid w:val="00005495"/>
    <w:rsid w:val="00006645"/>
    <w:rsid w:val="0000741D"/>
    <w:rsid w:val="00014C11"/>
    <w:rsid w:val="00014D20"/>
    <w:rsid w:val="00024277"/>
    <w:rsid w:val="000263BB"/>
    <w:rsid w:val="00026B85"/>
    <w:rsid w:val="00026EAF"/>
    <w:rsid w:val="00027911"/>
    <w:rsid w:val="00027A46"/>
    <w:rsid w:val="00030324"/>
    <w:rsid w:val="000333F6"/>
    <w:rsid w:val="00036402"/>
    <w:rsid w:val="00036D45"/>
    <w:rsid w:val="00040D24"/>
    <w:rsid w:val="0004145B"/>
    <w:rsid w:val="00044B4E"/>
    <w:rsid w:val="00047734"/>
    <w:rsid w:val="00047AD5"/>
    <w:rsid w:val="000508D0"/>
    <w:rsid w:val="00051B8E"/>
    <w:rsid w:val="00052094"/>
    <w:rsid w:val="00055995"/>
    <w:rsid w:val="00057281"/>
    <w:rsid w:val="0006008C"/>
    <w:rsid w:val="00064B9A"/>
    <w:rsid w:val="00065FF5"/>
    <w:rsid w:val="00066453"/>
    <w:rsid w:val="00067291"/>
    <w:rsid w:val="0007089A"/>
    <w:rsid w:val="000733E8"/>
    <w:rsid w:val="0007444C"/>
    <w:rsid w:val="00080689"/>
    <w:rsid w:val="00082F80"/>
    <w:rsid w:val="00085BF2"/>
    <w:rsid w:val="00094574"/>
    <w:rsid w:val="00096657"/>
    <w:rsid w:val="000A1509"/>
    <w:rsid w:val="000A1B64"/>
    <w:rsid w:val="000A3C94"/>
    <w:rsid w:val="000A4C4C"/>
    <w:rsid w:val="000A63EA"/>
    <w:rsid w:val="000A7363"/>
    <w:rsid w:val="000B0C1D"/>
    <w:rsid w:val="000B151C"/>
    <w:rsid w:val="000B1A3E"/>
    <w:rsid w:val="000B1A9F"/>
    <w:rsid w:val="000B25F3"/>
    <w:rsid w:val="000B4FF9"/>
    <w:rsid w:val="000B57E1"/>
    <w:rsid w:val="000B718A"/>
    <w:rsid w:val="000B7952"/>
    <w:rsid w:val="000C0671"/>
    <w:rsid w:val="000C2382"/>
    <w:rsid w:val="000C2E89"/>
    <w:rsid w:val="000C51A5"/>
    <w:rsid w:val="000C6CAB"/>
    <w:rsid w:val="000D030B"/>
    <w:rsid w:val="000D05CC"/>
    <w:rsid w:val="000D1774"/>
    <w:rsid w:val="000D1B18"/>
    <w:rsid w:val="000E0100"/>
    <w:rsid w:val="000E3BAF"/>
    <w:rsid w:val="000E4DE7"/>
    <w:rsid w:val="000E5AA9"/>
    <w:rsid w:val="000E6F2B"/>
    <w:rsid w:val="000E76AD"/>
    <w:rsid w:val="000F38E4"/>
    <w:rsid w:val="000F44DA"/>
    <w:rsid w:val="000F4F53"/>
    <w:rsid w:val="000F581B"/>
    <w:rsid w:val="000F65D6"/>
    <w:rsid w:val="000F7FE0"/>
    <w:rsid w:val="00100A02"/>
    <w:rsid w:val="00101401"/>
    <w:rsid w:val="00101FDE"/>
    <w:rsid w:val="00103A80"/>
    <w:rsid w:val="00103FC5"/>
    <w:rsid w:val="001043D5"/>
    <w:rsid w:val="001054C7"/>
    <w:rsid w:val="00110809"/>
    <w:rsid w:val="0011132B"/>
    <w:rsid w:val="0011230D"/>
    <w:rsid w:val="001129CD"/>
    <w:rsid w:val="00114477"/>
    <w:rsid w:val="00117E7B"/>
    <w:rsid w:val="0012073E"/>
    <w:rsid w:val="0012088C"/>
    <w:rsid w:val="00121D81"/>
    <w:rsid w:val="00121F26"/>
    <w:rsid w:val="00122903"/>
    <w:rsid w:val="0012326C"/>
    <w:rsid w:val="00125DF4"/>
    <w:rsid w:val="0012675A"/>
    <w:rsid w:val="001268F0"/>
    <w:rsid w:val="001305DA"/>
    <w:rsid w:val="00131CEE"/>
    <w:rsid w:val="00132953"/>
    <w:rsid w:val="00132F1B"/>
    <w:rsid w:val="001338EB"/>
    <w:rsid w:val="00133F7C"/>
    <w:rsid w:val="00135726"/>
    <w:rsid w:val="0014232F"/>
    <w:rsid w:val="0014596A"/>
    <w:rsid w:val="00145997"/>
    <w:rsid w:val="0014684C"/>
    <w:rsid w:val="00147842"/>
    <w:rsid w:val="00147912"/>
    <w:rsid w:val="00153141"/>
    <w:rsid w:val="001538B7"/>
    <w:rsid w:val="0015625B"/>
    <w:rsid w:val="001562EF"/>
    <w:rsid w:val="00156BA3"/>
    <w:rsid w:val="00160BA6"/>
    <w:rsid w:val="0016162C"/>
    <w:rsid w:val="00161E05"/>
    <w:rsid w:val="00162F2B"/>
    <w:rsid w:val="00163232"/>
    <w:rsid w:val="0016326D"/>
    <w:rsid w:val="00170964"/>
    <w:rsid w:val="001745A3"/>
    <w:rsid w:val="00175A8B"/>
    <w:rsid w:val="00182801"/>
    <w:rsid w:val="00182B6C"/>
    <w:rsid w:val="00184F6B"/>
    <w:rsid w:val="001902A6"/>
    <w:rsid w:val="00192BA0"/>
    <w:rsid w:val="00193CF5"/>
    <w:rsid w:val="00193D60"/>
    <w:rsid w:val="001979F7"/>
    <w:rsid w:val="001A00C7"/>
    <w:rsid w:val="001A1790"/>
    <w:rsid w:val="001A1C15"/>
    <w:rsid w:val="001A6F61"/>
    <w:rsid w:val="001B09A8"/>
    <w:rsid w:val="001B0FCF"/>
    <w:rsid w:val="001B1D76"/>
    <w:rsid w:val="001B4F2D"/>
    <w:rsid w:val="001B509D"/>
    <w:rsid w:val="001B5226"/>
    <w:rsid w:val="001B5354"/>
    <w:rsid w:val="001B5384"/>
    <w:rsid w:val="001B7AAA"/>
    <w:rsid w:val="001B7DCD"/>
    <w:rsid w:val="001C1B5E"/>
    <w:rsid w:val="001C3930"/>
    <w:rsid w:val="001C4739"/>
    <w:rsid w:val="001C5BB2"/>
    <w:rsid w:val="001C7785"/>
    <w:rsid w:val="001D0B45"/>
    <w:rsid w:val="001D11BD"/>
    <w:rsid w:val="001D1C0F"/>
    <w:rsid w:val="001D3908"/>
    <w:rsid w:val="001D4C3B"/>
    <w:rsid w:val="001D4D63"/>
    <w:rsid w:val="001D5616"/>
    <w:rsid w:val="001D5DA1"/>
    <w:rsid w:val="001D72B5"/>
    <w:rsid w:val="001E1FBA"/>
    <w:rsid w:val="001E22E9"/>
    <w:rsid w:val="001E25E2"/>
    <w:rsid w:val="001E3AC3"/>
    <w:rsid w:val="001E4D60"/>
    <w:rsid w:val="001E62C9"/>
    <w:rsid w:val="001F0B0D"/>
    <w:rsid w:val="001F1F4A"/>
    <w:rsid w:val="001F2C6D"/>
    <w:rsid w:val="001F3335"/>
    <w:rsid w:val="001F5091"/>
    <w:rsid w:val="001F559D"/>
    <w:rsid w:val="001F6CAD"/>
    <w:rsid w:val="00201435"/>
    <w:rsid w:val="00201DBA"/>
    <w:rsid w:val="00203EB9"/>
    <w:rsid w:val="0020505A"/>
    <w:rsid w:val="002070CA"/>
    <w:rsid w:val="0020770A"/>
    <w:rsid w:val="00210EDA"/>
    <w:rsid w:val="00212178"/>
    <w:rsid w:val="00212CEC"/>
    <w:rsid w:val="00213001"/>
    <w:rsid w:val="002145AE"/>
    <w:rsid w:val="00216207"/>
    <w:rsid w:val="0021755E"/>
    <w:rsid w:val="00217A86"/>
    <w:rsid w:val="00221570"/>
    <w:rsid w:val="00224520"/>
    <w:rsid w:val="00226DEE"/>
    <w:rsid w:val="002270BD"/>
    <w:rsid w:val="002306F7"/>
    <w:rsid w:val="00231483"/>
    <w:rsid w:val="0023497D"/>
    <w:rsid w:val="00234C6B"/>
    <w:rsid w:val="002366CB"/>
    <w:rsid w:val="002410A6"/>
    <w:rsid w:val="00241474"/>
    <w:rsid w:val="00241A68"/>
    <w:rsid w:val="00246DA4"/>
    <w:rsid w:val="00246E11"/>
    <w:rsid w:val="0024728F"/>
    <w:rsid w:val="002520C8"/>
    <w:rsid w:val="00252E2E"/>
    <w:rsid w:val="002553D2"/>
    <w:rsid w:val="002564D8"/>
    <w:rsid w:val="00260901"/>
    <w:rsid w:val="00261BBC"/>
    <w:rsid w:val="002638C5"/>
    <w:rsid w:val="00263D3A"/>
    <w:rsid w:val="00267E64"/>
    <w:rsid w:val="00270F0C"/>
    <w:rsid w:val="00271281"/>
    <w:rsid w:val="00272E60"/>
    <w:rsid w:val="00273CA9"/>
    <w:rsid w:val="00275209"/>
    <w:rsid w:val="0027689E"/>
    <w:rsid w:val="00276CB3"/>
    <w:rsid w:val="0027767C"/>
    <w:rsid w:val="00277A7C"/>
    <w:rsid w:val="00277E83"/>
    <w:rsid w:val="00280AF3"/>
    <w:rsid w:val="00281780"/>
    <w:rsid w:val="00281BFA"/>
    <w:rsid w:val="00281F12"/>
    <w:rsid w:val="00282B5A"/>
    <w:rsid w:val="00283F1B"/>
    <w:rsid w:val="0028456C"/>
    <w:rsid w:val="00290058"/>
    <w:rsid w:val="00292C62"/>
    <w:rsid w:val="00293116"/>
    <w:rsid w:val="0029348A"/>
    <w:rsid w:val="00294221"/>
    <w:rsid w:val="00295B54"/>
    <w:rsid w:val="00296F80"/>
    <w:rsid w:val="00297DBF"/>
    <w:rsid w:val="002A0301"/>
    <w:rsid w:val="002A37E5"/>
    <w:rsid w:val="002A3AA6"/>
    <w:rsid w:val="002A48C4"/>
    <w:rsid w:val="002A4B81"/>
    <w:rsid w:val="002A5B83"/>
    <w:rsid w:val="002A648B"/>
    <w:rsid w:val="002A675C"/>
    <w:rsid w:val="002B0610"/>
    <w:rsid w:val="002B0F96"/>
    <w:rsid w:val="002B3559"/>
    <w:rsid w:val="002B37CC"/>
    <w:rsid w:val="002B5F01"/>
    <w:rsid w:val="002B7742"/>
    <w:rsid w:val="002C040A"/>
    <w:rsid w:val="002C0E7D"/>
    <w:rsid w:val="002C1878"/>
    <w:rsid w:val="002C1ACE"/>
    <w:rsid w:val="002C3D96"/>
    <w:rsid w:val="002C41B9"/>
    <w:rsid w:val="002C438D"/>
    <w:rsid w:val="002C5CB6"/>
    <w:rsid w:val="002C678F"/>
    <w:rsid w:val="002D0D3A"/>
    <w:rsid w:val="002D243E"/>
    <w:rsid w:val="002D4268"/>
    <w:rsid w:val="002D4587"/>
    <w:rsid w:val="002D7AEA"/>
    <w:rsid w:val="002D7F9C"/>
    <w:rsid w:val="002E1BFB"/>
    <w:rsid w:val="002E2017"/>
    <w:rsid w:val="002E244D"/>
    <w:rsid w:val="002E58F9"/>
    <w:rsid w:val="002E6AE3"/>
    <w:rsid w:val="002E7B66"/>
    <w:rsid w:val="002F0953"/>
    <w:rsid w:val="002F182E"/>
    <w:rsid w:val="002F761D"/>
    <w:rsid w:val="003033F5"/>
    <w:rsid w:val="00303D8E"/>
    <w:rsid w:val="00303F39"/>
    <w:rsid w:val="00306D46"/>
    <w:rsid w:val="003117A7"/>
    <w:rsid w:val="00316058"/>
    <w:rsid w:val="00317544"/>
    <w:rsid w:val="00317A39"/>
    <w:rsid w:val="00317C6F"/>
    <w:rsid w:val="003211B7"/>
    <w:rsid w:val="003211CD"/>
    <w:rsid w:val="00322C85"/>
    <w:rsid w:val="00323838"/>
    <w:rsid w:val="00325067"/>
    <w:rsid w:val="003264E0"/>
    <w:rsid w:val="003276A2"/>
    <w:rsid w:val="003278C2"/>
    <w:rsid w:val="00330C03"/>
    <w:rsid w:val="00337053"/>
    <w:rsid w:val="00337B50"/>
    <w:rsid w:val="00337E9C"/>
    <w:rsid w:val="0034356F"/>
    <w:rsid w:val="00343A67"/>
    <w:rsid w:val="00345981"/>
    <w:rsid w:val="00345BA0"/>
    <w:rsid w:val="003544AF"/>
    <w:rsid w:val="00354AB2"/>
    <w:rsid w:val="00355B8A"/>
    <w:rsid w:val="00356CCF"/>
    <w:rsid w:val="0035727D"/>
    <w:rsid w:val="00361A9A"/>
    <w:rsid w:val="00364591"/>
    <w:rsid w:val="00364CF1"/>
    <w:rsid w:val="00365CF6"/>
    <w:rsid w:val="00367F5F"/>
    <w:rsid w:val="00371CDD"/>
    <w:rsid w:val="00371F35"/>
    <w:rsid w:val="00372BF8"/>
    <w:rsid w:val="00373D85"/>
    <w:rsid w:val="00375305"/>
    <w:rsid w:val="00376BDB"/>
    <w:rsid w:val="00377532"/>
    <w:rsid w:val="00377D7F"/>
    <w:rsid w:val="00380224"/>
    <w:rsid w:val="00385A21"/>
    <w:rsid w:val="00391EA0"/>
    <w:rsid w:val="003923EE"/>
    <w:rsid w:val="00393766"/>
    <w:rsid w:val="003944B5"/>
    <w:rsid w:val="00394FA0"/>
    <w:rsid w:val="003962F4"/>
    <w:rsid w:val="00397844"/>
    <w:rsid w:val="003A2FF1"/>
    <w:rsid w:val="003A3611"/>
    <w:rsid w:val="003A3722"/>
    <w:rsid w:val="003A490A"/>
    <w:rsid w:val="003A5F69"/>
    <w:rsid w:val="003A7C5F"/>
    <w:rsid w:val="003B155E"/>
    <w:rsid w:val="003B2E5D"/>
    <w:rsid w:val="003B4536"/>
    <w:rsid w:val="003B4912"/>
    <w:rsid w:val="003B616F"/>
    <w:rsid w:val="003C029D"/>
    <w:rsid w:val="003C12C3"/>
    <w:rsid w:val="003C15F6"/>
    <w:rsid w:val="003C17E6"/>
    <w:rsid w:val="003C545B"/>
    <w:rsid w:val="003C6127"/>
    <w:rsid w:val="003C6BCF"/>
    <w:rsid w:val="003C78CE"/>
    <w:rsid w:val="003D0A3E"/>
    <w:rsid w:val="003D157E"/>
    <w:rsid w:val="003D1987"/>
    <w:rsid w:val="003D34FF"/>
    <w:rsid w:val="003D451A"/>
    <w:rsid w:val="003D4D0C"/>
    <w:rsid w:val="003D4EF8"/>
    <w:rsid w:val="003D5894"/>
    <w:rsid w:val="003D7BFE"/>
    <w:rsid w:val="003E0AE3"/>
    <w:rsid w:val="003E78BD"/>
    <w:rsid w:val="003E7AEA"/>
    <w:rsid w:val="003F134B"/>
    <w:rsid w:val="003F1DFB"/>
    <w:rsid w:val="003F2EBD"/>
    <w:rsid w:val="003F577D"/>
    <w:rsid w:val="003F61CE"/>
    <w:rsid w:val="003F6260"/>
    <w:rsid w:val="003F75A5"/>
    <w:rsid w:val="003F7EEE"/>
    <w:rsid w:val="00400925"/>
    <w:rsid w:val="00401AE4"/>
    <w:rsid w:val="00403753"/>
    <w:rsid w:val="0040449F"/>
    <w:rsid w:val="004055DC"/>
    <w:rsid w:val="004060D9"/>
    <w:rsid w:val="00407ADB"/>
    <w:rsid w:val="00415D90"/>
    <w:rsid w:val="00420BF0"/>
    <w:rsid w:val="00420F93"/>
    <w:rsid w:val="004219B8"/>
    <w:rsid w:val="00422B93"/>
    <w:rsid w:val="00422EAB"/>
    <w:rsid w:val="00424BBF"/>
    <w:rsid w:val="00426F60"/>
    <w:rsid w:val="0043091F"/>
    <w:rsid w:val="00430949"/>
    <w:rsid w:val="00430D37"/>
    <w:rsid w:val="004341CC"/>
    <w:rsid w:val="00436F62"/>
    <w:rsid w:val="004404D5"/>
    <w:rsid w:val="004413A5"/>
    <w:rsid w:val="0044238A"/>
    <w:rsid w:val="00443ED4"/>
    <w:rsid w:val="004445DB"/>
    <w:rsid w:val="0044495D"/>
    <w:rsid w:val="004464FB"/>
    <w:rsid w:val="00446D70"/>
    <w:rsid w:val="00447497"/>
    <w:rsid w:val="004510A0"/>
    <w:rsid w:val="004525ED"/>
    <w:rsid w:val="00452DB8"/>
    <w:rsid w:val="00453817"/>
    <w:rsid w:val="00457BC3"/>
    <w:rsid w:val="00461593"/>
    <w:rsid w:val="004621BA"/>
    <w:rsid w:val="0046231F"/>
    <w:rsid w:val="00465975"/>
    <w:rsid w:val="00466267"/>
    <w:rsid w:val="00467BE7"/>
    <w:rsid w:val="00467F02"/>
    <w:rsid w:val="00470414"/>
    <w:rsid w:val="0047075F"/>
    <w:rsid w:val="004728D2"/>
    <w:rsid w:val="00473463"/>
    <w:rsid w:val="0048067C"/>
    <w:rsid w:val="00480A2F"/>
    <w:rsid w:val="00482A18"/>
    <w:rsid w:val="00483E5E"/>
    <w:rsid w:val="004873D7"/>
    <w:rsid w:val="00492357"/>
    <w:rsid w:val="00492972"/>
    <w:rsid w:val="00493AF4"/>
    <w:rsid w:val="00496251"/>
    <w:rsid w:val="004969A4"/>
    <w:rsid w:val="00497609"/>
    <w:rsid w:val="004A0B05"/>
    <w:rsid w:val="004A3EBC"/>
    <w:rsid w:val="004A4B9C"/>
    <w:rsid w:val="004A4CE9"/>
    <w:rsid w:val="004A58F9"/>
    <w:rsid w:val="004A6D2B"/>
    <w:rsid w:val="004A77C2"/>
    <w:rsid w:val="004A7D64"/>
    <w:rsid w:val="004B2B1A"/>
    <w:rsid w:val="004B4D22"/>
    <w:rsid w:val="004C01A8"/>
    <w:rsid w:val="004C1616"/>
    <w:rsid w:val="004C5AB7"/>
    <w:rsid w:val="004C740F"/>
    <w:rsid w:val="004D08E2"/>
    <w:rsid w:val="004D7B05"/>
    <w:rsid w:val="004D7B07"/>
    <w:rsid w:val="004E1572"/>
    <w:rsid w:val="004E1A68"/>
    <w:rsid w:val="004E2734"/>
    <w:rsid w:val="004E2A07"/>
    <w:rsid w:val="004E37E0"/>
    <w:rsid w:val="004E4FAA"/>
    <w:rsid w:val="004E5017"/>
    <w:rsid w:val="004E5B71"/>
    <w:rsid w:val="004E5C21"/>
    <w:rsid w:val="004E6772"/>
    <w:rsid w:val="004E6F8F"/>
    <w:rsid w:val="004E72A2"/>
    <w:rsid w:val="004F48CF"/>
    <w:rsid w:val="004F5C8B"/>
    <w:rsid w:val="004F6942"/>
    <w:rsid w:val="005021DB"/>
    <w:rsid w:val="0050368E"/>
    <w:rsid w:val="00504206"/>
    <w:rsid w:val="005057A9"/>
    <w:rsid w:val="005076F4"/>
    <w:rsid w:val="00507E60"/>
    <w:rsid w:val="00511DAC"/>
    <w:rsid w:val="00512DC6"/>
    <w:rsid w:val="00512EF4"/>
    <w:rsid w:val="00513F85"/>
    <w:rsid w:val="0051587D"/>
    <w:rsid w:val="00520C8C"/>
    <w:rsid w:val="005217E9"/>
    <w:rsid w:val="005222C5"/>
    <w:rsid w:val="00522F5A"/>
    <w:rsid w:val="0052383F"/>
    <w:rsid w:val="005245C5"/>
    <w:rsid w:val="0052765B"/>
    <w:rsid w:val="00527B6F"/>
    <w:rsid w:val="00532EA3"/>
    <w:rsid w:val="005334D5"/>
    <w:rsid w:val="00541E7F"/>
    <w:rsid w:val="00545E7C"/>
    <w:rsid w:val="0054681B"/>
    <w:rsid w:val="00547FF1"/>
    <w:rsid w:val="00551114"/>
    <w:rsid w:val="0055265F"/>
    <w:rsid w:val="005526AC"/>
    <w:rsid w:val="00552FE5"/>
    <w:rsid w:val="00553446"/>
    <w:rsid w:val="00554270"/>
    <w:rsid w:val="00554C41"/>
    <w:rsid w:val="00560D2B"/>
    <w:rsid w:val="00560F3F"/>
    <w:rsid w:val="00562C72"/>
    <w:rsid w:val="00567316"/>
    <w:rsid w:val="00570D5D"/>
    <w:rsid w:val="0057150F"/>
    <w:rsid w:val="0057237F"/>
    <w:rsid w:val="0057330D"/>
    <w:rsid w:val="00577707"/>
    <w:rsid w:val="00577DA1"/>
    <w:rsid w:val="00582560"/>
    <w:rsid w:val="005825C3"/>
    <w:rsid w:val="005861B5"/>
    <w:rsid w:val="0058636C"/>
    <w:rsid w:val="00587092"/>
    <w:rsid w:val="005878DF"/>
    <w:rsid w:val="00587FDC"/>
    <w:rsid w:val="00591967"/>
    <w:rsid w:val="00595DCD"/>
    <w:rsid w:val="00596FBA"/>
    <w:rsid w:val="00597099"/>
    <w:rsid w:val="005A082B"/>
    <w:rsid w:val="005A3719"/>
    <w:rsid w:val="005A45EE"/>
    <w:rsid w:val="005A638F"/>
    <w:rsid w:val="005B32D4"/>
    <w:rsid w:val="005B3C0C"/>
    <w:rsid w:val="005B4B6F"/>
    <w:rsid w:val="005B62A6"/>
    <w:rsid w:val="005B6328"/>
    <w:rsid w:val="005B69A1"/>
    <w:rsid w:val="005B6B1D"/>
    <w:rsid w:val="005C38D6"/>
    <w:rsid w:val="005C5879"/>
    <w:rsid w:val="005C683C"/>
    <w:rsid w:val="005C6C7A"/>
    <w:rsid w:val="005C7B86"/>
    <w:rsid w:val="005D0773"/>
    <w:rsid w:val="005D10EC"/>
    <w:rsid w:val="005D1A66"/>
    <w:rsid w:val="005D2675"/>
    <w:rsid w:val="005D2CB1"/>
    <w:rsid w:val="005D5B9F"/>
    <w:rsid w:val="005D5F5E"/>
    <w:rsid w:val="005D65F8"/>
    <w:rsid w:val="005D7F76"/>
    <w:rsid w:val="005E1307"/>
    <w:rsid w:val="005E1AB9"/>
    <w:rsid w:val="005E1ECF"/>
    <w:rsid w:val="005E2E96"/>
    <w:rsid w:val="005E4905"/>
    <w:rsid w:val="005E6CC5"/>
    <w:rsid w:val="005F03DD"/>
    <w:rsid w:val="005F4250"/>
    <w:rsid w:val="005F4BD1"/>
    <w:rsid w:val="005F5383"/>
    <w:rsid w:val="005F54ED"/>
    <w:rsid w:val="005F6450"/>
    <w:rsid w:val="005F686B"/>
    <w:rsid w:val="005F75A5"/>
    <w:rsid w:val="005F7845"/>
    <w:rsid w:val="005F78E7"/>
    <w:rsid w:val="00601118"/>
    <w:rsid w:val="00604842"/>
    <w:rsid w:val="00605BBE"/>
    <w:rsid w:val="006070C2"/>
    <w:rsid w:val="00610DCA"/>
    <w:rsid w:val="00612746"/>
    <w:rsid w:val="006201C1"/>
    <w:rsid w:val="00630FED"/>
    <w:rsid w:val="0063216D"/>
    <w:rsid w:val="0063345A"/>
    <w:rsid w:val="006351B1"/>
    <w:rsid w:val="006357C1"/>
    <w:rsid w:val="0063604E"/>
    <w:rsid w:val="00636BFD"/>
    <w:rsid w:val="00636D6E"/>
    <w:rsid w:val="0064291D"/>
    <w:rsid w:val="00644F6D"/>
    <w:rsid w:val="00645893"/>
    <w:rsid w:val="00647F69"/>
    <w:rsid w:val="00650A08"/>
    <w:rsid w:val="00651ED0"/>
    <w:rsid w:val="00652630"/>
    <w:rsid w:val="00652AFA"/>
    <w:rsid w:val="00653B5A"/>
    <w:rsid w:val="00653D5C"/>
    <w:rsid w:val="00653D65"/>
    <w:rsid w:val="006560FD"/>
    <w:rsid w:val="006563EA"/>
    <w:rsid w:val="00657556"/>
    <w:rsid w:val="00664501"/>
    <w:rsid w:val="00664A7C"/>
    <w:rsid w:val="00665A9E"/>
    <w:rsid w:val="006734EC"/>
    <w:rsid w:val="00675608"/>
    <w:rsid w:val="006757AE"/>
    <w:rsid w:val="006771E8"/>
    <w:rsid w:val="00680306"/>
    <w:rsid w:val="00681F32"/>
    <w:rsid w:val="00682211"/>
    <w:rsid w:val="00682241"/>
    <w:rsid w:val="00682A52"/>
    <w:rsid w:val="0068521D"/>
    <w:rsid w:val="006870E6"/>
    <w:rsid w:val="006902FE"/>
    <w:rsid w:val="00691121"/>
    <w:rsid w:val="00695803"/>
    <w:rsid w:val="00696388"/>
    <w:rsid w:val="00696533"/>
    <w:rsid w:val="006A058F"/>
    <w:rsid w:val="006A0696"/>
    <w:rsid w:val="006A114C"/>
    <w:rsid w:val="006A1D90"/>
    <w:rsid w:val="006A1EC5"/>
    <w:rsid w:val="006A203C"/>
    <w:rsid w:val="006A395A"/>
    <w:rsid w:val="006A4E97"/>
    <w:rsid w:val="006A5836"/>
    <w:rsid w:val="006A74F1"/>
    <w:rsid w:val="006A7C8E"/>
    <w:rsid w:val="006A7E3D"/>
    <w:rsid w:val="006B0805"/>
    <w:rsid w:val="006B36F1"/>
    <w:rsid w:val="006B44D8"/>
    <w:rsid w:val="006B5C12"/>
    <w:rsid w:val="006B71A9"/>
    <w:rsid w:val="006B7BB2"/>
    <w:rsid w:val="006C08F0"/>
    <w:rsid w:val="006C22D3"/>
    <w:rsid w:val="006C35E0"/>
    <w:rsid w:val="006C512A"/>
    <w:rsid w:val="006C6003"/>
    <w:rsid w:val="006D006F"/>
    <w:rsid w:val="006D23AD"/>
    <w:rsid w:val="006D2676"/>
    <w:rsid w:val="006D3C0D"/>
    <w:rsid w:val="006D4733"/>
    <w:rsid w:val="006D79AA"/>
    <w:rsid w:val="006E3837"/>
    <w:rsid w:val="006F066A"/>
    <w:rsid w:val="006F0C98"/>
    <w:rsid w:val="006F5911"/>
    <w:rsid w:val="006F6D5A"/>
    <w:rsid w:val="00700000"/>
    <w:rsid w:val="00700D58"/>
    <w:rsid w:val="00701C67"/>
    <w:rsid w:val="00703661"/>
    <w:rsid w:val="00703C61"/>
    <w:rsid w:val="00703FBC"/>
    <w:rsid w:val="007047AE"/>
    <w:rsid w:val="007058B2"/>
    <w:rsid w:val="00706CF0"/>
    <w:rsid w:val="00707E8F"/>
    <w:rsid w:val="00710FCC"/>
    <w:rsid w:val="00711D47"/>
    <w:rsid w:val="00720A66"/>
    <w:rsid w:val="00721FE7"/>
    <w:rsid w:val="007241D1"/>
    <w:rsid w:val="00727B2A"/>
    <w:rsid w:val="00730BAD"/>
    <w:rsid w:val="00731F51"/>
    <w:rsid w:val="00732436"/>
    <w:rsid w:val="00732B27"/>
    <w:rsid w:val="00735590"/>
    <w:rsid w:val="00735A35"/>
    <w:rsid w:val="007379BE"/>
    <w:rsid w:val="00740915"/>
    <w:rsid w:val="0074170F"/>
    <w:rsid w:val="00746027"/>
    <w:rsid w:val="00746060"/>
    <w:rsid w:val="0075057E"/>
    <w:rsid w:val="00751F0D"/>
    <w:rsid w:val="007522B0"/>
    <w:rsid w:val="00753BEE"/>
    <w:rsid w:val="00753D8B"/>
    <w:rsid w:val="00755E6E"/>
    <w:rsid w:val="00757D09"/>
    <w:rsid w:val="00760109"/>
    <w:rsid w:val="00761CA2"/>
    <w:rsid w:val="00763939"/>
    <w:rsid w:val="007668E9"/>
    <w:rsid w:val="007675C3"/>
    <w:rsid w:val="00770EBD"/>
    <w:rsid w:val="00771B2E"/>
    <w:rsid w:val="00775B19"/>
    <w:rsid w:val="007762BD"/>
    <w:rsid w:val="00777339"/>
    <w:rsid w:val="0078003A"/>
    <w:rsid w:val="0078070D"/>
    <w:rsid w:val="00781D38"/>
    <w:rsid w:val="00782025"/>
    <w:rsid w:val="00782106"/>
    <w:rsid w:val="00782FEF"/>
    <w:rsid w:val="0078427E"/>
    <w:rsid w:val="007877D6"/>
    <w:rsid w:val="00790F36"/>
    <w:rsid w:val="00791EBA"/>
    <w:rsid w:val="007920D1"/>
    <w:rsid w:val="007958C2"/>
    <w:rsid w:val="00795A31"/>
    <w:rsid w:val="00796249"/>
    <w:rsid w:val="007968DB"/>
    <w:rsid w:val="007976D9"/>
    <w:rsid w:val="007A2204"/>
    <w:rsid w:val="007A72E6"/>
    <w:rsid w:val="007A74D2"/>
    <w:rsid w:val="007A7D48"/>
    <w:rsid w:val="007B002D"/>
    <w:rsid w:val="007B135A"/>
    <w:rsid w:val="007B2123"/>
    <w:rsid w:val="007B4C12"/>
    <w:rsid w:val="007B6008"/>
    <w:rsid w:val="007B71F3"/>
    <w:rsid w:val="007B7585"/>
    <w:rsid w:val="007C071E"/>
    <w:rsid w:val="007C55B4"/>
    <w:rsid w:val="007C5D66"/>
    <w:rsid w:val="007C74F4"/>
    <w:rsid w:val="007D17DF"/>
    <w:rsid w:val="007D44F0"/>
    <w:rsid w:val="007D468E"/>
    <w:rsid w:val="007D5140"/>
    <w:rsid w:val="007D5143"/>
    <w:rsid w:val="007D51E2"/>
    <w:rsid w:val="007D5CF8"/>
    <w:rsid w:val="007E0C98"/>
    <w:rsid w:val="007E0F77"/>
    <w:rsid w:val="007E189B"/>
    <w:rsid w:val="007E1A45"/>
    <w:rsid w:val="007E2210"/>
    <w:rsid w:val="007E2226"/>
    <w:rsid w:val="007E268D"/>
    <w:rsid w:val="007E274A"/>
    <w:rsid w:val="007E5809"/>
    <w:rsid w:val="007E79E2"/>
    <w:rsid w:val="007F0B13"/>
    <w:rsid w:val="007F0D21"/>
    <w:rsid w:val="007F0EB9"/>
    <w:rsid w:val="007F2059"/>
    <w:rsid w:val="007F33BD"/>
    <w:rsid w:val="007F4CF3"/>
    <w:rsid w:val="007F654D"/>
    <w:rsid w:val="007F679E"/>
    <w:rsid w:val="007F6D21"/>
    <w:rsid w:val="007F7E12"/>
    <w:rsid w:val="0080017F"/>
    <w:rsid w:val="00802DC4"/>
    <w:rsid w:val="00805E72"/>
    <w:rsid w:val="008107AF"/>
    <w:rsid w:val="008113C9"/>
    <w:rsid w:val="0081142E"/>
    <w:rsid w:val="008115B6"/>
    <w:rsid w:val="00811D06"/>
    <w:rsid w:val="00811D12"/>
    <w:rsid w:val="00813FB2"/>
    <w:rsid w:val="008150CD"/>
    <w:rsid w:val="008167AE"/>
    <w:rsid w:val="00816963"/>
    <w:rsid w:val="008177C0"/>
    <w:rsid w:val="008215C3"/>
    <w:rsid w:val="00824A93"/>
    <w:rsid w:val="00825788"/>
    <w:rsid w:val="00834F77"/>
    <w:rsid w:val="00835434"/>
    <w:rsid w:val="00835711"/>
    <w:rsid w:val="008373AD"/>
    <w:rsid w:val="00840453"/>
    <w:rsid w:val="00840D21"/>
    <w:rsid w:val="0084333D"/>
    <w:rsid w:val="008436C3"/>
    <w:rsid w:val="0084667A"/>
    <w:rsid w:val="00846804"/>
    <w:rsid w:val="008476E0"/>
    <w:rsid w:val="00850EAC"/>
    <w:rsid w:val="008520E8"/>
    <w:rsid w:val="008523C0"/>
    <w:rsid w:val="00856290"/>
    <w:rsid w:val="00856EA5"/>
    <w:rsid w:val="0086025D"/>
    <w:rsid w:val="008603E3"/>
    <w:rsid w:val="0086041B"/>
    <w:rsid w:val="00860C4C"/>
    <w:rsid w:val="00862AF0"/>
    <w:rsid w:val="00862B75"/>
    <w:rsid w:val="00866115"/>
    <w:rsid w:val="00870743"/>
    <w:rsid w:val="00870E33"/>
    <w:rsid w:val="00873C37"/>
    <w:rsid w:val="00874797"/>
    <w:rsid w:val="0087546B"/>
    <w:rsid w:val="00877569"/>
    <w:rsid w:val="00880E7C"/>
    <w:rsid w:val="00881289"/>
    <w:rsid w:val="00882CA1"/>
    <w:rsid w:val="008869D9"/>
    <w:rsid w:val="00886DBE"/>
    <w:rsid w:val="00890B25"/>
    <w:rsid w:val="00893D44"/>
    <w:rsid w:val="00897E4D"/>
    <w:rsid w:val="008A1D5A"/>
    <w:rsid w:val="008A2941"/>
    <w:rsid w:val="008A2A81"/>
    <w:rsid w:val="008A2EAF"/>
    <w:rsid w:val="008A3242"/>
    <w:rsid w:val="008A431A"/>
    <w:rsid w:val="008A4322"/>
    <w:rsid w:val="008A7F26"/>
    <w:rsid w:val="008B078D"/>
    <w:rsid w:val="008B08A6"/>
    <w:rsid w:val="008B173D"/>
    <w:rsid w:val="008B2DAA"/>
    <w:rsid w:val="008B2E97"/>
    <w:rsid w:val="008B38A4"/>
    <w:rsid w:val="008B402D"/>
    <w:rsid w:val="008B44EE"/>
    <w:rsid w:val="008B6910"/>
    <w:rsid w:val="008B77FF"/>
    <w:rsid w:val="008B7AF9"/>
    <w:rsid w:val="008C1DAD"/>
    <w:rsid w:val="008C2D70"/>
    <w:rsid w:val="008C2F53"/>
    <w:rsid w:val="008C3236"/>
    <w:rsid w:val="008C35D3"/>
    <w:rsid w:val="008C46A3"/>
    <w:rsid w:val="008C4827"/>
    <w:rsid w:val="008C487C"/>
    <w:rsid w:val="008C5206"/>
    <w:rsid w:val="008C5604"/>
    <w:rsid w:val="008C60D3"/>
    <w:rsid w:val="008C6D2A"/>
    <w:rsid w:val="008D0677"/>
    <w:rsid w:val="008D4BC2"/>
    <w:rsid w:val="008D63CE"/>
    <w:rsid w:val="008D729B"/>
    <w:rsid w:val="008E0F47"/>
    <w:rsid w:val="008E325F"/>
    <w:rsid w:val="008E4733"/>
    <w:rsid w:val="008E5CE5"/>
    <w:rsid w:val="008E64B6"/>
    <w:rsid w:val="008E71EC"/>
    <w:rsid w:val="008E7E86"/>
    <w:rsid w:val="008E7F84"/>
    <w:rsid w:val="008F04A9"/>
    <w:rsid w:val="008F1450"/>
    <w:rsid w:val="008F1E32"/>
    <w:rsid w:val="008F2478"/>
    <w:rsid w:val="008F2490"/>
    <w:rsid w:val="008F3544"/>
    <w:rsid w:val="008F4204"/>
    <w:rsid w:val="008F492B"/>
    <w:rsid w:val="008F5517"/>
    <w:rsid w:val="0090311C"/>
    <w:rsid w:val="00904175"/>
    <w:rsid w:val="00906E3D"/>
    <w:rsid w:val="00907CD3"/>
    <w:rsid w:val="00910AF0"/>
    <w:rsid w:val="00910C62"/>
    <w:rsid w:val="00910F53"/>
    <w:rsid w:val="00914B8C"/>
    <w:rsid w:val="009158DF"/>
    <w:rsid w:val="00916D5F"/>
    <w:rsid w:val="00917DC0"/>
    <w:rsid w:val="00921691"/>
    <w:rsid w:val="00921EB8"/>
    <w:rsid w:val="00921F60"/>
    <w:rsid w:val="0092577C"/>
    <w:rsid w:val="00927954"/>
    <w:rsid w:val="00927D77"/>
    <w:rsid w:val="0093107C"/>
    <w:rsid w:val="00931A6E"/>
    <w:rsid w:val="00932FE8"/>
    <w:rsid w:val="009349D2"/>
    <w:rsid w:val="00935A43"/>
    <w:rsid w:val="0093631A"/>
    <w:rsid w:val="009365E9"/>
    <w:rsid w:val="00936A49"/>
    <w:rsid w:val="00937111"/>
    <w:rsid w:val="00937F2E"/>
    <w:rsid w:val="0095060C"/>
    <w:rsid w:val="00951F87"/>
    <w:rsid w:val="0095283C"/>
    <w:rsid w:val="00956817"/>
    <w:rsid w:val="00957EE3"/>
    <w:rsid w:val="00965B7A"/>
    <w:rsid w:val="00965D53"/>
    <w:rsid w:val="0096632D"/>
    <w:rsid w:val="009666C3"/>
    <w:rsid w:val="009672E9"/>
    <w:rsid w:val="00967D46"/>
    <w:rsid w:val="0097249F"/>
    <w:rsid w:val="00973FEE"/>
    <w:rsid w:val="00976EA0"/>
    <w:rsid w:val="0098026F"/>
    <w:rsid w:val="00981402"/>
    <w:rsid w:val="009817BB"/>
    <w:rsid w:val="00982849"/>
    <w:rsid w:val="00982C57"/>
    <w:rsid w:val="009856E1"/>
    <w:rsid w:val="00986724"/>
    <w:rsid w:val="0099351F"/>
    <w:rsid w:val="00993E8D"/>
    <w:rsid w:val="00996DA9"/>
    <w:rsid w:val="009A2CA5"/>
    <w:rsid w:val="009A2DA9"/>
    <w:rsid w:val="009A34BC"/>
    <w:rsid w:val="009B05B4"/>
    <w:rsid w:val="009B44C2"/>
    <w:rsid w:val="009C1D68"/>
    <w:rsid w:val="009C2E92"/>
    <w:rsid w:val="009C5EF7"/>
    <w:rsid w:val="009C61A3"/>
    <w:rsid w:val="009C79F8"/>
    <w:rsid w:val="009D028D"/>
    <w:rsid w:val="009D0CBB"/>
    <w:rsid w:val="009D3E46"/>
    <w:rsid w:val="009D4D4F"/>
    <w:rsid w:val="009D50F5"/>
    <w:rsid w:val="009D519A"/>
    <w:rsid w:val="009D5446"/>
    <w:rsid w:val="009E046C"/>
    <w:rsid w:val="009E101D"/>
    <w:rsid w:val="009E11E7"/>
    <w:rsid w:val="009E1461"/>
    <w:rsid w:val="009E18EB"/>
    <w:rsid w:val="009E2966"/>
    <w:rsid w:val="009E4229"/>
    <w:rsid w:val="009E5A55"/>
    <w:rsid w:val="009F0A35"/>
    <w:rsid w:val="009F4893"/>
    <w:rsid w:val="009F6C30"/>
    <w:rsid w:val="009F7195"/>
    <w:rsid w:val="009F7CFA"/>
    <w:rsid w:val="00A01733"/>
    <w:rsid w:val="00A021A5"/>
    <w:rsid w:val="00A02F24"/>
    <w:rsid w:val="00A041A7"/>
    <w:rsid w:val="00A045E1"/>
    <w:rsid w:val="00A04BE2"/>
    <w:rsid w:val="00A04EB4"/>
    <w:rsid w:val="00A056A3"/>
    <w:rsid w:val="00A05914"/>
    <w:rsid w:val="00A05D4B"/>
    <w:rsid w:val="00A0731F"/>
    <w:rsid w:val="00A13A92"/>
    <w:rsid w:val="00A1520F"/>
    <w:rsid w:val="00A15341"/>
    <w:rsid w:val="00A15B2C"/>
    <w:rsid w:val="00A17B34"/>
    <w:rsid w:val="00A24812"/>
    <w:rsid w:val="00A25FDC"/>
    <w:rsid w:val="00A26FF5"/>
    <w:rsid w:val="00A312B3"/>
    <w:rsid w:val="00A34540"/>
    <w:rsid w:val="00A36208"/>
    <w:rsid w:val="00A36BD9"/>
    <w:rsid w:val="00A4221C"/>
    <w:rsid w:val="00A428C5"/>
    <w:rsid w:val="00A42CDF"/>
    <w:rsid w:val="00A44421"/>
    <w:rsid w:val="00A44791"/>
    <w:rsid w:val="00A45A8F"/>
    <w:rsid w:val="00A45A9F"/>
    <w:rsid w:val="00A46D76"/>
    <w:rsid w:val="00A513D9"/>
    <w:rsid w:val="00A5336E"/>
    <w:rsid w:val="00A5550A"/>
    <w:rsid w:val="00A57F6E"/>
    <w:rsid w:val="00A67436"/>
    <w:rsid w:val="00A70762"/>
    <w:rsid w:val="00A7179E"/>
    <w:rsid w:val="00A72349"/>
    <w:rsid w:val="00A72C43"/>
    <w:rsid w:val="00A72F50"/>
    <w:rsid w:val="00A76A31"/>
    <w:rsid w:val="00A8043B"/>
    <w:rsid w:val="00A80A5A"/>
    <w:rsid w:val="00A81752"/>
    <w:rsid w:val="00A839EF"/>
    <w:rsid w:val="00A83D44"/>
    <w:rsid w:val="00A85167"/>
    <w:rsid w:val="00A85A78"/>
    <w:rsid w:val="00A85D68"/>
    <w:rsid w:val="00A8667F"/>
    <w:rsid w:val="00A87B74"/>
    <w:rsid w:val="00A87F2C"/>
    <w:rsid w:val="00A9024D"/>
    <w:rsid w:val="00A90E64"/>
    <w:rsid w:val="00A91AF2"/>
    <w:rsid w:val="00A947A6"/>
    <w:rsid w:val="00A95916"/>
    <w:rsid w:val="00A964C8"/>
    <w:rsid w:val="00A9711F"/>
    <w:rsid w:val="00A97301"/>
    <w:rsid w:val="00AA026D"/>
    <w:rsid w:val="00AA131E"/>
    <w:rsid w:val="00AA66A7"/>
    <w:rsid w:val="00AA69C6"/>
    <w:rsid w:val="00AA7C85"/>
    <w:rsid w:val="00AB0BAE"/>
    <w:rsid w:val="00AB299C"/>
    <w:rsid w:val="00AB32A1"/>
    <w:rsid w:val="00AB353A"/>
    <w:rsid w:val="00AB408B"/>
    <w:rsid w:val="00AB501E"/>
    <w:rsid w:val="00AB52C6"/>
    <w:rsid w:val="00AB7D36"/>
    <w:rsid w:val="00AC00F8"/>
    <w:rsid w:val="00AC0455"/>
    <w:rsid w:val="00AC0927"/>
    <w:rsid w:val="00AC0939"/>
    <w:rsid w:val="00AC094E"/>
    <w:rsid w:val="00AC1068"/>
    <w:rsid w:val="00AC6292"/>
    <w:rsid w:val="00AC6A4F"/>
    <w:rsid w:val="00AD3A4F"/>
    <w:rsid w:val="00AD5EE1"/>
    <w:rsid w:val="00AD65AF"/>
    <w:rsid w:val="00AD701A"/>
    <w:rsid w:val="00AD7E78"/>
    <w:rsid w:val="00AE0431"/>
    <w:rsid w:val="00AE05A0"/>
    <w:rsid w:val="00AE0EAD"/>
    <w:rsid w:val="00AE1C0C"/>
    <w:rsid w:val="00AE1D97"/>
    <w:rsid w:val="00AE47B7"/>
    <w:rsid w:val="00AE5B26"/>
    <w:rsid w:val="00AE625D"/>
    <w:rsid w:val="00AE7267"/>
    <w:rsid w:val="00AF580C"/>
    <w:rsid w:val="00AF5D54"/>
    <w:rsid w:val="00AF5DAB"/>
    <w:rsid w:val="00B00927"/>
    <w:rsid w:val="00B00D3C"/>
    <w:rsid w:val="00B016C7"/>
    <w:rsid w:val="00B01A43"/>
    <w:rsid w:val="00B02007"/>
    <w:rsid w:val="00B02B7E"/>
    <w:rsid w:val="00B04A42"/>
    <w:rsid w:val="00B06299"/>
    <w:rsid w:val="00B06C22"/>
    <w:rsid w:val="00B0729B"/>
    <w:rsid w:val="00B11C17"/>
    <w:rsid w:val="00B14B45"/>
    <w:rsid w:val="00B14BD0"/>
    <w:rsid w:val="00B24C26"/>
    <w:rsid w:val="00B25296"/>
    <w:rsid w:val="00B26863"/>
    <w:rsid w:val="00B26E47"/>
    <w:rsid w:val="00B27267"/>
    <w:rsid w:val="00B32777"/>
    <w:rsid w:val="00B32F8B"/>
    <w:rsid w:val="00B336FA"/>
    <w:rsid w:val="00B448C9"/>
    <w:rsid w:val="00B479E2"/>
    <w:rsid w:val="00B5162A"/>
    <w:rsid w:val="00B54363"/>
    <w:rsid w:val="00B54BF9"/>
    <w:rsid w:val="00B55A59"/>
    <w:rsid w:val="00B569F6"/>
    <w:rsid w:val="00B5733E"/>
    <w:rsid w:val="00B57697"/>
    <w:rsid w:val="00B60C77"/>
    <w:rsid w:val="00B639BC"/>
    <w:rsid w:val="00B64E3B"/>
    <w:rsid w:val="00B66B36"/>
    <w:rsid w:val="00B70B39"/>
    <w:rsid w:val="00B71E3F"/>
    <w:rsid w:val="00B71FC1"/>
    <w:rsid w:val="00B72B3F"/>
    <w:rsid w:val="00B73694"/>
    <w:rsid w:val="00B75935"/>
    <w:rsid w:val="00B75AEF"/>
    <w:rsid w:val="00B75D8C"/>
    <w:rsid w:val="00B76848"/>
    <w:rsid w:val="00B76CBD"/>
    <w:rsid w:val="00B8236F"/>
    <w:rsid w:val="00B83723"/>
    <w:rsid w:val="00B83B00"/>
    <w:rsid w:val="00B83CF0"/>
    <w:rsid w:val="00B850FE"/>
    <w:rsid w:val="00B85435"/>
    <w:rsid w:val="00B874DE"/>
    <w:rsid w:val="00B905A1"/>
    <w:rsid w:val="00B90DE3"/>
    <w:rsid w:val="00B9104E"/>
    <w:rsid w:val="00B91C2F"/>
    <w:rsid w:val="00B933A7"/>
    <w:rsid w:val="00B96334"/>
    <w:rsid w:val="00BA0901"/>
    <w:rsid w:val="00BA33A8"/>
    <w:rsid w:val="00BA5972"/>
    <w:rsid w:val="00BA75B9"/>
    <w:rsid w:val="00BA76B7"/>
    <w:rsid w:val="00BB33EB"/>
    <w:rsid w:val="00BB3762"/>
    <w:rsid w:val="00BB499D"/>
    <w:rsid w:val="00BB4CEE"/>
    <w:rsid w:val="00BB58D6"/>
    <w:rsid w:val="00BB607A"/>
    <w:rsid w:val="00BB6DA0"/>
    <w:rsid w:val="00BB7637"/>
    <w:rsid w:val="00BB7A38"/>
    <w:rsid w:val="00BC10B2"/>
    <w:rsid w:val="00BC13FD"/>
    <w:rsid w:val="00BC1B2C"/>
    <w:rsid w:val="00BC4543"/>
    <w:rsid w:val="00BD0099"/>
    <w:rsid w:val="00BD35BB"/>
    <w:rsid w:val="00BE1A27"/>
    <w:rsid w:val="00BE3CA4"/>
    <w:rsid w:val="00BE68C3"/>
    <w:rsid w:val="00BF03A9"/>
    <w:rsid w:val="00BF0B1B"/>
    <w:rsid w:val="00BF33F7"/>
    <w:rsid w:val="00BF3DFA"/>
    <w:rsid w:val="00BF4A98"/>
    <w:rsid w:val="00BF59E9"/>
    <w:rsid w:val="00BF59F7"/>
    <w:rsid w:val="00BF62C1"/>
    <w:rsid w:val="00BF7401"/>
    <w:rsid w:val="00C005D9"/>
    <w:rsid w:val="00C00A02"/>
    <w:rsid w:val="00C04278"/>
    <w:rsid w:val="00C04E92"/>
    <w:rsid w:val="00C067EF"/>
    <w:rsid w:val="00C06D1D"/>
    <w:rsid w:val="00C11970"/>
    <w:rsid w:val="00C11C87"/>
    <w:rsid w:val="00C129F4"/>
    <w:rsid w:val="00C133A9"/>
    <w:rsid w:val="00C1388F"/>
    <w:rsid w:val="00C1673B"/>
    <w:rsid w:val="00C171F6"/>
    <w:rsid w:val="00C177AF"/>
    <w:rsid w:val="00C212A8"/>
    <w:rsid w:val="00C215D5"/>
    <w:rsid w:val="00C24266"/>
    <w:rsid w:val="00C25AE0"/>
    <w:rsid w:val="00C30B74"/>
    <w:rsid w:val="00C3125D"/>
    <w:rsid w:val="00C31DB6"/>
    <w:rsid w:val="00C32170"/>
    <w:rsid w:val="00C33F6F"/>
    <w:rsid w:val="00C369C3"/>
    <w:rsid w:val="00C375A4"/>
    <w:rsid w:val="00C37820"/>
    <w:rsid w:val="00C41006"/>
    <w:rsid w:val="00C41B6A"/>
    <w:rsid w:val="00C43783"/>
    <w:rsid w:val="00C43C60"/>
    <w:rsid w:val="00C443EC"/>
    <w:rsid w:val="00C44A4C"/>
    <w:rsid w:val="00C450C6"/>
    <w:rsid w:val="00C45E34"/>
    <w:rsid w:val="00C4666D"/>
    <w:rsid w:val="00C47809"/>
    <w:rsid w:val="00C51179"/>
    <w:rsid w:val="00C52219"/>
    <w:rsid w:val="00C5255B"/>
    <w:rsid w:val="00C52F12"/>
    <w:rsid w:val="00C53B0F"/>
    <w:rsid w:val="00C54E76"/>
    <w:rsid w:val="00C575F9"/>
    <w:rsid w:val="00C617C2"/>
    <w:rsid w:val="00C6336B"/>
    <w:rsid w:val="00C65646"/>
    <w:rsid w:val="00C6667D"/>
    <w:rsid w:val="00C70BFB"/>
    <w:rsid w:val="00C7360D"/>
    <w:rsid w:val="00C738BE"/>
    <w:rsid w:val="00C753E3"/>
    <w:rsid w:val="00C75920"/>
    <w:rsid w:val="00C778E5"/>
    <w:rsid w:val="00C77A8C"/>
    <w:rsid w:val="00C80454"/>
    <w:rsid w:val="00C81589"/>
    <w:rsid w:val="00C81994"/>
    <w:rsid w:val="00C84F62"/>
    <w:rsid w:val="00C85361"/>
    <w:rsid w:val="00C85F42"/>
    <w:rsid w:val="00C92DFF"/>
    <w:rsid w:val="00C949B1"/>
    <w:rsid w:val="00C9584B"/>
    <w:rsid w:val="00C9699B"/>
    <w:rsid w:val="00CA7B6B"/>
    <w:rsid w:val="00CB0F0C"/>
    <w:rsid w:val="00CB20D2"/>
    <w:rsid w:val="00CB4875"/>
    <w:rsid w:val="00CB4B5F"/>
    <w:rsid w:val="00CB7E37"/>
    <w:rsid w:val="00CB7E3C"/>
    <w:rsid w:val="00CC1B81"/>
    <w:rsid w:val="00CC38AF"/>
    <w:rsid w:val="00CC47E3"/>
    <w:rsid w:val="00CC4FD6"/>
    <w:rsid w:val="00CC52FB"/>
    <w:rsid w:val="00CC55EE"/>
    <w:rsid w:val="00CC720D"/>
    <w:rsid w:val="00CC7530"/>
    <w:rsid w:val="00CC77F3"/>
    <w:rsid w:val="00CD0697"/>
    <w:rsid w:val="00CD08E7"/>
    <w:rsid w:val="00CD2535"/>
    <w:rsid w:val="00CD2C9D"/>
    <w:rsid w:val="00CD442F"/>
    <w:rsid w:val="00CD553F"/>
    <w:rsid w:val="00CD7025"/>
    <w:rsid w:val="00CD7083"/>
    <w:rsid w:val="00CD78CB"/>
    <w:rsid w:val="00CD7B72"/>
    <w:rsid w:val="00CD7CD3"/>
    <w:rsid w:val="00CE04F3"/>
    <w:rsid w:val="00CE061C"/>
    <w:rsid w:val="00CE1379"/>
    <w:rsid w:val="00CE24D8"/>
    <w:rsid w:val="00CE4D5F"/>
    <w:rsid w:val="00CE5C37"/>
    <w:rsid w:val="00CF193B"/>
    <w:rsid w:val="00CF2AC1"/>
    <w:rsid w:val="00CF42C3"/>
    <w:rsid w:val="00CF4525"/>
    <w:rsid w:val="00CF4D60"/>
    <w:rsid w:val="00CF6345"/>
    <w:rsid w:val="00D00912"/>
    <w:rsid w:val="00D00D9D"/>
    <w:rsid w:val="00D02218"/>
    <w:rsid w:val="00D03246"/>
    <w:rsid w:val="00D061E2"/>
    <w:rsid w:val="00D06976"/>
    <w:rsid w:val="00D10125"/>
    <w:rsid w:val="00D11DA8"/>
    <w:rsid w:val="00D11E5B"/>
    <w:rsid w:val="00D12146"/>
    <w:rsid w:val="00D1230F"/>
    <w:rsid w:val="00D13EB6"/>
    <w:rsid w:val="00D149EA"/>
    <w:rsid w:val="00D150AE"/>
    <w:rsid w:val="00D15C7C"/>
    <w:rsid w:val="00D2013D"/>
    <w:rsid w:val="00D2099B"/>
    <w:rsid w:val="00D20C6E"/>
    <w:rsid w:val="00D2133C"/>
    <w:rsid w:val="00D21B86"/>
    <w:rsid w:val="00D2472A"/>
    <w:rsid w:val="00D25842"/>
    <w:rsid w:val="00D26473"/>
    <w:rsid w:val="00D3038E"/>
    <w:rsid w:val="00D30C27"/>
    <w:rsid w:val="00D313CF"/>
    <w:rsid w:val="00D32547"/>
    <w:rsid w:val="00D33C8A"/>
    <w:rsid w:val="00D375BD"/>
    <w:rsid w:val="00D37C01"/>
    <w:rsid w:val="00D4016B"/>
    <w:rsid w:val="00D42862"/>
    <w:rsid w:val="00D43031"/>
    <w:rsid w:val="00D431A4"/>
    <w:rsid w:val="00D43C57"/>
    <w:rsid w:val="00D44D54"/>
    <w:rsid w:val="00D4658D"/>
    <w:rsid w:val="00D5129A"/>
    <w:rsid w:val="00D51A20"/>
    <w:rsid w:val="00D54194"/>
    <w:rsid w:val="00D54562"/>
    <w:rsid w:val="00D54C44"/>
    <w:rsid w:val="00D55489"/>
    <w:rsid w:val="00D57A21"/>
    <w:rsid w:val="00D617B1"/>
    <w:rsid w:val="00D63416"/>
    <w:rsid w:val="00D63FB8"/>
    <w:rsid w:val="00D6546C"/>
    <w:rsid w:val="00D6700D"/>
    <w:rsid w:val="00D67DDC"/>
    <w:rsid w:val="00D70CDE"/>
    <w:rsid w:val="00D7136F"/>
    <w:rsid w:val="00D722B3"/>
    <w:rsid w:val="00D73087"/>
    <w:rsid w:val="00D7380E"/>
    <w:rsid w:val="00D7441E"/>
    <w:rsid w:val="00D80E21"/>
    <w:rsid w:val="00D83D4B"/>
    <w:rsid w:val="00D922E6"/>
    <w:rsid w:val="00D93B5F"/>
    <w:rsid w:val="00D94036"/>
    <w:rsid w:val="00D95DFB"/>
    <w:rsid w:val="00D96F6C"/>
    <w:rsid w:val="00DA1A7C"/>
    <w:rsid w:val="00DA2EF5"/>
    <w:rsid w:val="00DA4603"/>
    <w:rsid w:val="00DA50D1"/>
    <w:rsid w:val="00DA7E4C"/>
    <w:rsid w:val="00DB2510"/>
    <w:rsid w:val="00DB28B3"/>
    <w:rsid w:val="00DB2C49"/>
    <w:rsid w:val="00DB3989"/>
    <w:rsid w:val="00DB5F10"/>
    <w:rsid w:val="00DB7977"/>
    <w:rsid w:val="00DC1938"/>
    <w:rsid w:val="00DC441B"/>
    <w:rsid w:val="00DD0A55"/>
    <w:rsid w:val="00DD1340"/>
    <w:rsid w:val="00DD143B"/>
    <w:rsid w:val="00DD290A"/>
    <w:rsid w:val="00DD37D5"/>
    <w:rsid w:val="00DD63AD"/>
    <w:rsid w:val="00DD70DD"/>
    <w:rsid w:val="00DE0480"/>
    <w:rsid w:val="00DE066F"/>
    <w:rsid w:val="00DE1FBF"/>
    <w:rsid w:val="00DE3390"/>
    <w:rsid w:val="00DE52DC"/>
    <w:rsid w:val="00DE6F8F"/>
    <w:rsid w:val="00DE7FB4"/>
    <w:rsid w:val="00DF0898"/>
    <w:rsid w:val="00DF15D8"/>
    <w:rsid w:val="00DF2153"/>
    <w:rsid w:val="00E009AF"/>
    <w:rsid w:val="00E01170"/>
    <w:rsid w:val="00E04685"/>
    <w:rsid w:val="00E07FEC"/>
    <w:rsid w:val="00E1227C"/>
    <w:rsid w:val="00E12DB7"/>
    <w:rsid w:val="00E13614"/>
    <w:rsid w:val="00E13E9E"/>
    <w:rsid w:val="00E15C9A"/>
    <w:rsid w:val="00E16538"/>
    <w:rsid w:val="00E217F3"/>
    <w:rsid w:val="00E249BA"/>
    <w:rsid w:val="00E27D8F"/>
    <w:rsid w:val="00E3167D"/>
    <w:rsid w:val="00E31E65"/>
    <w:rsid w:val="00E3203D"/>
    <w:rsid w:val="00E324D2"/>
    <w:rsid w:val="00E35A9F"/>
    <w:rsid w:val="00E3681F"/>
    <w:rsid w:val="00E37248"/>
    <w:rsid w:val="00E379C5"/>
    <w:rsid w:val="00E44650"/>
    <w:rsid w:val="00E4496E"/>
    <w:rsid w:val="00E44A0D"/>
    <w:rsid w:val="00E457A4"/>
    <w:rsid w:val="00E4629D"/>
    <w:rsid w:val="00E525F9"/>
    <w:rsid w:val="00E52C6A"/>
    <w:rsid w:val="00E53934"/>
    <w:rsid w:val="00E549A8"/>
    <w:rsid w:val="00E57BF3"/>
    <w:rsid w:val="00E57D05"/>
    <w:rsid w:val="00E607A1"/>
    <w:rsid w:val="00E61FA2"/>
    <w:rsid w:val="00E62ACB"/>
    <w:rsid w:val="00E652B1"/>
    <w:rsid w:val="00E66BF9"/>
    <w:rsid w:val="00E701AD"/>
    <w:rsid w:val="00E701F8"/>
    <w:rsid w:val="00E73362"/>
    <w:rsid w:val="00E76263"/>
    <w:rsid w:val="00E76810"/>
    <w:rsid w:val="00E77165"/>
    <w:rsid w:val="00E776F3"/>
    <w:rsid w:val="00E8238B"/>
    <w:rsid w:val="00E86041"/>
    <w:rsid w:val="00E87CF0"/>
    <w:rsid w:val="00E92A0F"/>
    <w:rsid w:val="00E93924"/>
    <w:rsid w:val="00E943DF"/>
    <w:rsid w:val="00E94EBF"/>
    <w:rsid w:val="00E958D5"/>
    <w:rsid w:val="00E96D74"/>
    <w:rsid w:val="00EA5305"/>
    <w:rsid w:val="00EB3807"/>
    <w:rsid w:val="00EB5BD4"/>
    <w:rsid w:val="00EB69D8"/>
    <w:rsid w:val="00EB7B9F"/>
    <w:rsid w:val="00EC298A"/>
    <w:rsid w:val="00EC34F7"/>
    <w:rsid w:val="00EC7BA8"/>
    <w:rsid w:val="00EC7D5B"/>
    <w:rsid w:val="00ED14FA"/>
    <w:rsid w:val="00ED1E5D"/>
    <w:rsid w:val="00ED279F"/>
    <w:rsid w:val="00ED3197"/>
    <w:rsid w:val="00ED33AF"/>
    <w:rsid w:val="00ED45A7"/>
    <w:rsid w:val="00ED5448"/>
    <w:rsid w:val="00ED60E0"/>
    <w:rsid w:val="00EE0FC5"/>
    <w:rsid w:val="00EE2062"/>
    <w:rsid w:val="00EE2C24"/>
    <w:rsid w:val="00EE397E"/>
    <w:rsid w:val="00EE5668"/>
    <w:rsid w:val="00EF0E68"/>
    <w:rsid w:val="00EF170D"/>
    <w:rsid w:val="00EF224F"/>
    <w:rsid w:val="00EF23FD"/>
    <w:rsid w:val="00EF34A3"/>
    <w:rsid w:val="00EF59D7"/>
    <w:rsid w:val="00EF5F83"/>
    <w:rsid w:val="00F00AB9"/>
    <w:rsid w:val="00F019D3"/>
    <w:rsid w:val="00F026EF"/>
    <w:rsid w:val="00F03EB9"/>
    <w:rsid w:val="00F05C62"/>
    <w:rsid w:val="00F05DB2"/>
    <w:rsid w:val="00F06208"/>
    <w:rsid w:val="00F063BF"/>
    <w:rsid w:val="00F06E5C"/>
    <w:rsid w:val="00F07550"/>
    <w:rsid w:val="00F075DB"/>
    <w:rsid w:val="00F11BA6"/>
    <w:rsid w:val="00F133C3"/>
    <w:rsid w:val="00F14894"/>
    <w:rsid w:val="00F17C28"/>
    <w:rsid w:val="00F17ED5"/>
    <w:rsid w:val="00F2187D"/>
    <w:rsid w:val="00F21D81"/>
    <w:rsid w:val="00F21FCB"/>
    <w:rsid w:val="00F23DF1"/>
    <w:rsid w:val="00F23FA0"/>
    <w:rsid w:val="00F25602"/>
    <w:rsid w:val="00F261AD"/>
    <w:rsid w:val="00F263C6"/>
    <w:rsid w:val="00F263CB"/>
    <w:rsid w:val="00F2641F"/>
    <w:rsid w:val="00F26ED0"/>
    <w:rsid w:val="00F30AE7"/>
    <w:rsid w:val="00F31606"/>
    <w:rsid w:val="00F3222F"/>
    <w:rsid w:val="00F32D30"/>
    <w:rsid w:val="00F33765"/>
    <w:rsid w:val="00F34651"/>
    <w:rsid w:val="00F35567"/>
    <w:rsid w:val="00F3591E"/>
    <w:rsid w:val="00F36DAA"/>
    <w:rsid w:val="00F371DE"/>
    <w:rsid w:val="00F40A24"/>
    <w:rsid w:val="00F4188E"/>
    <w:rsid w:val="00F45B79"/>
    <w:rsid w:val="00F46009"/>
    <w:rsid w:val="00F52273"/>
    <w:rsid w:val="00F53AA9"/>
    <w:rsid w:val="00F54E68"/>
    <w:rsid w:val="00F5509D"/>
    <w:rsid w:val="00F57294"/>
    <w:rsid w:val="00F60243"/>
    <w:rsid w:val="00F641F5"/>
    <w:rsid w:val="00F657C9"/>
    <w:rsid w:val="00F65896"/>
    <w:rsid w:val="00F6794D"/>
    <w:rsid w:val="00F731B1"/>
    <w:rsid w:val="00F73267"/>
    <w:rsid w:val="00F75359"/>
    <w:rsid w:val="00F75A7B"/>
    <w:rsid w:val="00F76197"/>
    <w:rsid w:val="00F80B40"/>
    <w:rsid w:val="00F81EF6"/>
    <w:rsid w:val="00F8457E"/>
    <w:rsid w:val="00F84C76"/>
    <w:rsid w:val="00F85A49"/>
    <w:rsid w:val="00F860F1"/>
    <w:rsid w:val="00F864A1"/>
    <w:rsid w:val="00F92E1F"/>
    <w:rsid w:val="00F941C9"/>
    <w:rsid w:val="00F94E9C"/>
    <w:rsid w:val="00F96696"/>
    <w:rsid w:val="00F969BC"/>
    <w:rsid w:val="00F97C66"/>
    <w:rsid w:val="00FA049D"/>
    <w:rsid w:val="00FA18FB"/>
    <w:rsid w:val="00FA1C4D"/>
    <w:rsid w:val="00FA34DB"/>
    <w:rsid w:val="00FB1183"/>
    <w:rsid w:val="00FB58DC"/>
    <w:rsid w:val="00FB5A69"/>
    <w:rsid w:val="00FC002E"/>
    <w:rsid w:val="00FC0E94"/>
    <w:rsid w:val="00FC2546"/>
    <w:rsid w:val="00FC2712"/>
    <w:rsid w:val="00FC2FBA"/>
    <w:rsid w:val="00FC4783"/>
    <w:rsid w:val="00FC6399"/>
    <w:rsid w:val="00FC6EEE"/>
    <w:rsid w:val="00FC72FE"/>
    <w:rsid w:val="00FC790E"/>
    <w:rsid w:val="00FD0151"/>
    <w:rsid w:val="00FD0CAD"/>
    <w:rsid w:val="00FD4C6D"/>
    <w:rsid w:val="00FD53F5"/>
    <w:rsid w:val="00FD64D0"/>
    <w:rsid w:val="00FE0915"/>
    <w:rsid w:val="00FE0BC9"/>
    <w:rsid w:val="00FE2744"/>
    <w:rsid w:val="00FE2E9B"/>
    <w:rsid w:val="00FE33E8"/>
    <w:rsid w:val="00FE3DE5"/>
    <w:rsid w:val="00FE41B4"/>
    <w:rsid w:val="00FE4BE3"/>
    <w:rsid w:val="00FE57DC"/>
    <w:rsid w:val="00FE6A71"/>
    <w:rsid w:val="00FE71DC"/>
    <w:rsid w:val="00FE7C73"/>
    <w:rsid w:val="00FF0FBF"/>
    <w:rsid w:val="00FF3108"/>
    <w:rsid w:val="00FF4952"/>
    <w:rsid w:val="00FF74D1"/>
    <w:rsid w:val="00FF7B3D"/>
    <w:rsid w:val="010B5980"/>
    <w:rsid w:val="01335440"/>
    <w:rsid w:val="01CDCB1F"/>
    <w:rsid w:val="01EA0722"/>
    <w:rsid w:val="01F3F10E"/>
    <w:rsid w:val="024D765C"/>
    <w:rsid w:val="0259B2E0"/>
    <w:rsid w:val="02FD34A9"/>
    <w:rsid w:val="02FF1BD3"/>
    <w:rsid w:val="034ECE65"/>
    <w:rsid w:val="03A8F117"/>
    <w:rsid w:val="03E946BD"/>
    <w:rsid w:val="0485DC7D"/>
    <w:rsid w:val="04A5921C"/>
    <w:rsid w:val="04AB236D"/>
    <w:rsid w:val="04BDB4B5"/>
    <w:rsid w:val="04FFFD5A"/>
    <w:rsid w:val="05056BE1"/>
    <w:rsid w:val="05284CD3"/>
    <w:rsid w:val="055132CE"/>
    <w:rsid w:val="05964545"/>
    <w:rsid w:val="059D6BB6"/>
    <w:rsid w:val="06A13C42"/>
    <w:rsid w:val="075667AA"/>
    <w:rsid w:val="0759538C"/>
    <w:rsid w:val="082DD2CF"/>
    <w:rsid w:val="083FD6F4"/>
    <w:rsid w:val="0855E5E5"/>
    <w:rsid w:val="089E0E9A"/>
    <w:rsid w:val="091971D7"/>
    <w:rsid w:val="0934D078"/>
    <w:rsid w:val="097D7AE2"/>
    <w:rsid w:val="0A858231"/>
    <w:rsid w:val="0AC7902A"/>
    <w:rsid w:val="0B02B40E"/>
    <w:rsid w:val="0B5717DA"/>
    <w:rsid w:val="0DB9B53E"/>
    <w:rsid w:val="0DCCBDAA"/>
    <w:rsid w:val="0E2EB29A"/>
    <w:rsid w:val="0E9B112D"/>
    <w:rsid w:val="0EABFE9D"/>
    <w:rsid w:val="0EAD6421"/>
    <w:rsid w:val="0EFBD619"/>
    <w:rsid w:val="0EFD3369"/>
    <w:rsid w:val="0F387CA0"/>
    <w:rsid w:val="0F643FEB"/>
    <w:rsid w:val="0FF9B26B"/>
    <w:rsid w:val="100DB3E4"/>
    <w:rsid w:val="107D4413"/>
    <w:rsid w:val="118CF200"/>
    <w:rsid w:val="1199229C"/>
    <w:rsid w:val="11ED5A37"/>
    <w:rsid w:val="124975AA"/>
    <w:rsid w:val="12FA4F57"/>
    <w:rsid w:val="1383DDE2"/>
    <w:rsid w:val="1491AA36"/>
    <w:rsid w:val="14C1DD04"/>
    <w:rsid w:val="1571D7F8"/>
    <w:rsid w:val="15ABED04"/>
    <w:rsid w:val="15D5548F"/>
    <w:rsid w:val="162B15D5"/>
    <w:rsid w:val="16606323"/>
    <w:rsid w:val="169FFF37"/>
    <w:rsid w:val="1727AF62"/>
    <w:rsid w:val="175B1D41"/>
    <w:rsid w:val="180E055E"/>
    <w:rsid w:val="185DE844"/>
    <w:rsid w:val="186D8A15"/>
    <w:rsid w:val="18A978BA"/>
    <w:rsid w:val="18EBF757"/>
    <w:rsid w:val="18FEEC59"/>
    <w:rsid w:val="19214A6C"/>
    <w:rsid w:val="193D1661"/>
    <w:rsid w:val="1984B274"/>
    <w:rsid w:val="198F6E03"/>
    <w:rsid w:val="1A376748"/>
    <w:rsid w:val="1A40F6A8"/>
    <w:rsid w:val="1A621721"/>
    <w:rsid w:val="1AB186A8"/>
    <w:rsid w:val="1AC42CDD"/>
    <w:rsid w:val="1B958906"/>
    <w:rsid w:val="1BC6A620"/>
    <w:rsid w:val="1CA5D028"/>
    <w:rsid w:val="1CF2EF12"/>
    <w:rsid w:val="1D2E8F16"/>
    <w:rsid w:val="1D300CDE"/>
    <w:rsid w:val="1D77FAD8"/>
    <w:rsid w:val="1DB37F1C"/>
    <w:rsid w:val="1E110EA2"/>
    <w:rsid w:val="1E25ACAC"/>
    <w:rsid w:val="1E41A089"/>
    <w:rsid w:val="1E524CAB"/>
    <w:rsid w:val="1EC2C7B0"/>
    <w:rsid w:val="1ECA5F77"/>
    <w:rsid w:val="1F30B45E"/>
    <w:rsid w:val="1F5B38DB"/>
    <w:rsid w:val="1FE0D86D"/>
    <w:rsid w:val="1FF9ADC8"/>
    <w:rsid w:val="20510AAA"/>
    <w:rsid w:val="207AF6C0"/>
    <w:rsid w:val="20A521B9"/>
    <w:rsid w:val="20C35CB8"/>
    <w:rsid w:val="20D49A60"/>
    <w:rsid w:val="20E16008"/>
    <w:rsid w:val="2169666F"/>
    <w:rsid w:val="21AEA64D"/>
    <w:rsid w:val="22585190"/>
    <w:rsid w:val="232142A3"/>
    <w:rsid w:val="23BBB5A6"/>
    <w:rsid w:val="24D03857"/>
    <w:rsid w:val="24D20C81"/>
    <w:rsid w:val="2501570E"/>
    <w:rsid w:val="259A54B4"/>
    <w:rsid w:val="2617C515"/>
    <w:rsid w:val="2626DFA5"/>
    <w:rsid w:val="262827EE"/>
    <w:rsid w:val="26BFBEA1"/>
    <w:rsid w:val="2770E8E9"/>
    <w:rsid w:val="2B06FB34"/>
    <w:rsid w:val="2B072E8B"/>
    <w:rsid w:val="2B98D16A"/>
    <w:rsid w:val="2C12D7B8"/>
    <w:rsid w:val="2C369781"/>
    <w:rsid w:val="2D2B3B68"/>
    <w:rsid w:val="2D5C549C"/>
    <w:rsid w:val="2DC33547"/>
    <w:rsid w:val="2E07A841"/>
    <w:rsid w:val="2EAC5A9C"/>
    <w:rsid w:val="2EC2D022"/>
    <w:rsid w:val="2EE3705F"/>
    <w:rsid w:val="2FBC9B9F"/>
    <w:rsid w:val="2FDBB673"/>
    <w:rsid w:val="2FE93789"/>
    <w:rsid w:val="301F8D2C"/>
    <w:rsid w:val="306DE31C"/>
    <w:rsid w:val="30C1A319"/>
    <w:rsid w:val="30F54E0B"/>
    <w:rsid w:val="30FE64B6"/>
    <w:rsid w:val="3132B04D"/>
    <w:rsid w:val="31CE657C"/>
    <w:rsid w:val="332E26A4"/>
    <w:rsid w:val="33527946"/>
    <w:rsid w:val="337506DB"/>
    <w:rsid w:val="34255920"/>
    <w:rsid w:val="3487EDAB"/>
    <w:rsid w:val="3601F16E"/>
    <w:rsid w:val="3677EA76"/>
    <w:rsid w:val="36817D25"/>
    <w:rsid w:val="36909A74"/>
    <w:rsid w:val="369E22F7"/>
    <w:rsid w:val="3762CA22"/>
    <w:rsid w:val="380220BC"/>
    <w:rsid w:val="38174041"/>
    <w:rsid w:val="387AC8CA"/>
    <w:rsid w:val="38923D00"/>
    <w:rsid w:val="39637DE5"/>
    <w:rsid w:val="39C30214"/>
    <w:rsid w:val="39D1C97F"/>
    <w:rsid w:val="39D5C3B9"/>
    <w:rsid w:val="39F422E3"/>
    <w:rsid w:val="3A0B3795"/>
    <w:rsid w:val="3A48352D"/>
    <w:rsid w:val="3B8D30BD"/>
    <w:rsid w:val="3C27D8AA"/>
    <w:rsid w:val="3CE9F89C"/>
    <w:rsid w:val="3CFCDC46"/>
    <w:rsid w:val="3E1A2854"/>
    <w:rsid w:val="3EB1B679"/>
    <w:rsid w:val="3EB7D993"/>
    <w:rsid w:val="3EECFCDB"/>
    <w:rsid w:val="3F1BA650"/>
    <w:rsid w:val="40590A52"/>
    <w:rsid w:val="406EE696"/>
    <w:rsid w:val="409A621F"/>
    <w:rsid w:val="40FE9811"/>
    <w:rsid w:val="4166DFAD"/>
    <w:rsid w:val="425D0DD2"/>
    <w:rsid w:val="42E5DD07"/>
    <w:rsid w:val="432B52DA"/>
    <w:rsid w:val="43480320"/>
    <w:rsid w:val="434F0BDC"/>
    <w:rsid w:val="4375B4F6"/>
    <w:rsid w:val="444EFC2C"/>
    <w:rsid w:val="448E54B8"/>
    <w:rsid w:val="45D8EEAB"/>
    <w:rsid w:val="45E5E363"/>
    <w:rsid w:val="4607BD2D"/>
    <w:rsid w:val="461D7DC9"/>
    <w:rsid w:val="46BA920C"/>
    <w:rsid w:val="470D8FD8"/>
    <w:rsid w:val="47188106"/>
    <w:rsid w:val="4774BF0C"/>
    <w:rsid w:val="4785569D"/>
    <w:rsid w:val="48A96039"/>
    <w:rsid w:val="49AF9646"/>
    <w:rsid w:val="4A24B529"/>
    <w:rsid w:val="4A4384A9"/>
    <w:rsid w:val="4A6B97BF"/>
    <w:rsid w:val="4B86FA64"/>
    <w:rsid w:val="4B9EF5DC"/>
    <w:rsid w:val="4C465ED1"/>
    <w:rsid w:val="4C5F00B5"/>
    <w:rsid w:val="4DA33881"/>
    <w:rsid w:val="4DD2C5B9"/>
    <w:rsid w:val="4E1B38A3"/>
    <w:rsid w:val="4EE2E2CF"/>
    <w:rsid w:val="4F06A532"/>
    <w:rsid w:val="4F87BE77"/>
    <w:rsid w:val="4FD8F4E5"/>
    <w:rsid w:val="4FE0D637"/>
    <w:rsid w:val="50E2B905"/>
    <w:rsid w:val="51122130"/>
    <w:rsid w:val="511DF224"/>
    <w:rsid w:val="51576B77"/>
    <w:rsid w:val="517378BD"/>
    <w:rsid w:val="5198A785"/>
    <w:rsid w:val="519BB3FF"/>
    <w:rsid w:val="51A83511"/>
    <w:rsid w:val="52758B90"/>
    <w:rsid w:val="52AC2B29"/>
    <w:rsid w:val="530F491E"/>
    <w:rsid w:val="531095A7"/>
    <w:rsid w:val="542C9242"/>
    <w:rsid w:val="545DCC3C"/>
    <w:rsid w:val="547A33A0"/>
    <w:rsid w:val="54B0C464"/>
    <w:rsid w:val="54D83C49"/>
    <w:rsid w:val="54FD6900"/>
    <w:rsid w:val="55078EBA"/>
    <w:rsid w:val="55736208"/>
    <w:rsid w:val="56C889AE"/>
    <w:rsid w:val="56D6457C"/>
    <w:rsid w:val="5716413D"/>
    <w:rsid w:val="57504C67"/>
    <w:rsid w:val="57595097"/>
    <w:rsid w:val="585D4F1F"/>
    <w:rsid w:val="5966AECE"/>
    <w:rsid w:val="5A9C4F44"/>
    <w:rsid w:val="5A9FDB19"/>
    <w:rsid w:val="5ACD6680"/>
    <w:rsid w:val="5B1A5B03"/>
    <w:rsid w:val="5B1BA78C"/>
    <w:rsid w:val="5B50C563"/>
    <w:rsid w:val="5B55C64A"/>
    <w:rsid w:val="5B5E2302"/>
    <w:rsid w:val="5C8DE036"/>
    <w:rsid w:val="5D3E30F2"/>
    <w:rsid w:val="5D430EDD"/>
    <w:rsid w:val="5DAA69AD"/>
    <w:rsid w:val="5E1B31C3"/>
    <w:rsid w:val="5E224CA5"/>
    <w:rsid w:val="5E2E9BCF"/>
    <w:rsid w:val="5E300374"/>
    <w:rsid w:val="5EDA4604"/>
    <w:rsid w:val="5EDCAC76"/>
    <w:rsid w:val="5F346C32"/>
    <w:rsid w:val="5F4440F0"/>
    <w:rsid w:val="60C67600"/>
    <w:rsid w:val="60CA5EA4"/>
    <w:rsid w:val="623AC88F"/>
    <w:rsid w:val="6349203B"/>
    <w:rsid w:val="63E98216"/>
    <w:rsid w:val="64015407"/>
    <w:rsid w:val="6418D481"/>
    <w:rsid w:val="643BDBB3"/>
    <w:rsid w:val="64660CDA"/>
    <w:rsid w:val="64724D52"/>
    <w:rsid w:val="6499CEB0"/>
    <w:rsid w:val="64AB5E4A"/>
    <w:rsid w:val="64F0FE2C"/>
    <w:rsid w:val="65033865"/>
    <w:rsid w:val="654BEDFA"/>
    <w:rsid w:val="65E8B4DE"/>
    <w:rsid w:val="660046C0"/>
    <w:rsid w:val="66966319"/>
    <w:rsid w:val="66ABC624"/>
    <w:rsid w:val="66ACC2E6"/>
    <w:rsid w:val="66D8624A"/>
    <w:rsid w:val="672511F3"/>
    <w:rsid w:val="6737A840"/>
    <w:rsid w:val="674A8F0C"/>
    <w:rsid w:val="677CBCC8"/>
    <w:rsid w:val="67E7E2F1"/>
    <w:rsid w:val="6870EDCF"/>
    <w:rsid w:val="68F66CC9"/>
    <w:rsid w:val="692055A0"/>
    <w:rsid w:val="6957DF81"/>
    <w:rsid w:val="699CCDBE"/>
    <w:rsid w:val="69AC13BC"/>
    <w:rsid w:val="6A1F5F1D"/>
    <w:rsid w:val="6A89BDE8"/>
    <w:rsid w:val="6BA63601"/>
    <w:rsid w:val="6C4185CA"/>
    <w:rsid w:val="6C50F08C"/>
    <w:rsid w:val="6C616FB5"/>
    <w:rsid w:val="6C633CEC"/>
    <w:rsid w:val="6CB1BACB"/>
    <w:rsid w:val="6CD0385F"/>
    <w:rsid w:val="6CD84261"/>
    <w:rsid w:val="6D665691"/>
    <w:rsid w:val="6D895252"/>
    <w:rsid w:val="6D9FFD75"/>
    <w:rsid w:val="6E3FB9B1"/>
    <w:rsid w:val="6EF8ED0F"/>
    <w:rsid w:val="6FE69333"/>
    <w:rsid w:val="700AF5FF"/>
    <w:rsid w:val="7105A4EC"/>
    <w:rsid w:val="714AC659"/>
    <w:rsid w:val="717AA7FA"/>
    <w:rsid w:val="71DA78BC"/>
    <w:rsid w:val="7223EA0C"/>
    <w:rsid w:val="72806211"/>
    <w:rsid w:val="72C8DFBD"/>
    <w:rsid w:val="72D53B12"/>
    <w:rsid w:val="72F54208"/>
    <w:rsid w:val="734A96D5"/>
    <w:rsid w:val="74578102"/>
    <w:rsid w:val="74A6D69F"/>
    <w:rsid w:val="74A98604"/>
    <w:rsid w:val="74CAFF2D"/>
    <w:rsid w:val="74EA150F"/>
    <w:rsid w:val="75452751"/>
    <w:rsid w:val="7569F5BC"/>
    <w:rsid w:val="75ABF329"/>
    <w:rsid w:val="75B1FBA9"/>
    <w:rsid w:val="7607E4D6"/>
    <w:rsid w:val="7614FEE4"/>
    <w:rsid w:val="765034D5"/>
    <w:rsid w:val="7659B559"/>
    <w:rsid w:val="768CCC37"/>
    <w:rsid w:val="76DD1CE3"/>
    <w:rsid w:val="77A08F36"/>
    <w:rsid w:val="788CE119"/>
    <w:rsid w:val="7899B286"/>
    <w:rsid w:val="789C3141"/>
    <w:rsid w:val="78C45228"/>
    <w:rsid w:val="79305797"/>
    <w:rsid w:val="79B489B9"/>
    <w:rsid w:val="7A3CE38D"/>
    <w:rsid w:val="7A43D94E"/>
    <w:rsid w:val="7B2945DA"/>
    <w:rsid w:val="7B58145C"/>
    <w:rsid w:val="7B600762"/>
    <w:rsid w:val="7BD8B3EE"/>
    <w:rsid w:val="7BFFC413"/>
    <w:rsid w:val="7C01FABE"/>
    <w:rsid w:val="7C1F704A"/>
    <w:rsid w:val="7C5C2FE7"/>
    <w:rsid w:val="7CABEDDE"/>
    <w:rsid w:val="7CBF0D85"/>
    <w:rsid w:val="7D53FB4C"/>
    <w:rsid w:val="7D8B4925"/>
    <w:rsid w:val="7DCDB308"/>
    <w:rsid w:val="7DF4B3A7"/>
    <w:rsid w:val="7E97A824"/>
    <w:rsid w:val="7EB0D081"/>
    <w:rsid w:val="7F1054B0"/>
    <w:rsid w:val="7F588A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2364"/>
  <w15:chartTrackingRefBased/>
  <w15:docId w15:val="{B20E0888-5ED1-4B42-B183-6389F01A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9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C2546"/>
    <w:pPr>
      <w:spacing w:after="0" w:line="480" w:lineRule="auto"/>
      <w:ind w:left="720" w:hanging="720"/>
    </w:pPr>
  </w:style>
  <w:style w:type="character" w:styleId="Emphasis">
    <w:name w:val="Emphasis"/>
    <w:basedOn w:val="DefaultParagraphFont"/>
    <w:uiPriority w:val="20"/>
    <w:qFormat/>
    <w:rsid w:val="00CD7B72"/>
    <w:rPr>
      <w:i/>
      <w:iCs/>
    </w:rPr>
  </w:style>
  <w:style w:type="paragraph" w:styleId="NoSpacing">
    <w:name w:val="No Spacing"/>
    <w:uiPriority w:val="1"/>
    <w:qFormat/>
    <w:rsid w:val="00CD7B72"/>
    <w:pPr>
      <w:spacing w:after="0" w:line="240" w:lineRule="auto"/>
    </w:pPr>
  </w:style>
  <w:style w:type="table" w:styleId="TableGrid">
    <w:name w:val="Table Grid"/>
    <w:basedOn w:val="TableNormal"/>
    <w:uiPriority w:val="39"/>
    <w:rsid w:val="008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2F1B"/>
    <w:rPr>
      <w:color w:val="DE7823"/>
      <w:u w:val="single"/>
    </w:rPr>
  </w:style>
  <w:style w:type="character" w:styleId="CommentReference">
    <w:name w:val="annotation reference"/>
    <w:basedOn w:val="DefaultParagraphFont"/>
    <w:uiPriority w:val="99"/>
    <w:semiHidden/>
    <w:unhideWhenUsed/>
    <w:rsid w:val="00B24C26"/>
    <w:rPr>
      <w:sz w:val="16"/>
      <w:szCs w:val="16"/>
    </w:rPr>
  </w:style>
  <w:style w:type="paragraph" w:styleId="CommentText">
    <w:name w:val="annotation text"/>
    <w:basedOn w:val="Normal"/>
    <w:link w:val="CommentTextChar"/>
    <w:uiPriority w:val="99"/>
    <w:unhideWhenUsed/>
    <w:rsid w:val="00B24C26"/>
    <w:pPr>
      <w:spacing w:line="240" w:lineRule="auto"/>
    </w:pPr>
    <w:rPr>
      <w:sz w:val="20"/>
      <w:szCs w:val="20"/>
    </w:rPr>
  </w:style>
  <w:style w:type="character" w:customStyle="1" w:styleId="CommentTextChar">
    <w:name w:val="Comment Text Char"/>
    <w:basedOn w:val="DefaultParagraphFont"/>
    <w:link w:val="CommentText"/>
    <w:uiPriority w:val="99"/>
    <w:rsid w:val="00B24C26"/>
    <w:rPr>
      <w:sz w:val="20"/>
      <w:szCs w:val="20"/>
    </w:rPr>
  </w:style>
  <w:style w:type="paragraph" w:styleId="CommentSubject">
    <w:name w:val="annotation subject"/>
    <w:basedOn w:val="CommentText"/>
    <w:next w:val="CommentText"/>
    <w:link w:val="CommentSubjectChar"/>
    <w:uiPriority w:val="99"/>
    <w:semiHidden/>
    <w:unhideWhenUsed/>
    <w:rsid w:val="00B24C26"/>
    <w:rPr>
      <w:b/>
      <w:bCs/>
    </w:rPr>
  </w:style>
  <w:style w:type="character" w:customStyle="1" w:styleId="CommentSubjectChar">
    <w:name w:val="Comment Subject Char"/>
    <w:basedOn w:val="CommentTextChar"/>
    <w:link w:val="CommentSubject"/>
    <w:uiPriority w:val="99"/>
    <w:semiHidden/>
    <w:rsid w:val="00B24C26"/>
    <w:rPr>
      <w:b/>
      <w:bCs/>
      <w:sz w:val="20"/>
      <w:szCs w:val="20"/>
    </w:rPr>
  </w:style>
  <w:style w:type="character" w:styleId="UnresolvedMention">
    <w:name w:val="Unresolved Mention"/>
    <w:basedOn w:val="DefaultParagraphFont"/>
    <w:uiPriority w:val="99"/>
    <w:semiHidden/>
    <w:unhideWhenUsed/>
    <w:rsid w:val="00407ADB"/>
    <w:rPr>
      <w:color w:val="605E5C"/>
      <w:shd w:val="clear" w:color="auto" w:fill="E1DFDD"/>
    </w:rPr>
  </w:style>
  <w:style w:type="paragraph" w:styleId="ListParagraph">
    <w:name w:val="List Paragraph"/>
    <w:basedOn w:val="Normal"/>
    <w:uiPriority w:val="34"/>
    <w:qFormat/>
    <w:rsid w:val="008D4BC2"/>
    <w:pPr>
      <w:ind w:left="720"/>
      <w:contextualSpacing/>
    </w:pPr>
  </w:style>
  <w:style w:type="character" w:styleId="FollowedHyperlink">
    <w:name w:val="FollowedHyperlink"/>
    <w:basedOn w:val="DefaultParagraphFont"/>
    <w:uiPriority w:val="99"/>
    <w:semiHidden/>
    <w:unhideWhenUsed/>
    <w:rsid w:val="000A1509"/>
    <w:rPr>
      <w:color w:val="954F72" w:themeColor="followedHyperlink"/>
      <w:u w:val="single"/>
    </w:rPr>
  </w:style>
  <w:style w:type="paragraph" w:styleId="Revision">
    <w:name w:val="Revision"/>
    <w:hidden/>
    <w:uiPriority w:val="99"/>
    <w:semiHidden/>
    <w:rsid w:val="00B32777"/>
    <w:pPr>
      <w:spacing w:after="0" w:line="240" w:lineRule="auto"/>
    </w:pPr>
  </w:style>
  <w:style w:type="paragraph" w:styleId="HTMLPreformatted">
    <w:name w:val="HTML Preformatted"/>
    <w:basedOn w:val="Normal"/>
    <w:link w:val="HTMLPreformattedChar"/>
    <w:uiPriority w:val="99"/>
    <w:semiHidden/>
    <w:unhideWhenUsed/>
    <w:rsid w:val="006C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C6003"/>
    <w:rPr>
      <w:rFonts w:ascii="Courier New" w:eastAsia="Times New Roman" w:hAnsi="Courier New" w:cs="Courier New"/>
      <w:sz w:val="20"/>
      <w:szCs w:val="20"/>
      <w:lang w:eastAsia="en-GB"/>
    </w:rPr>
  </w:style>
  <w:style w:type="paragraph" w:styleId="Title">
    <w:name w:val="Title"/>
    <w:basedOn w:val="Normal"/>
    <w:next w:val="Normal"/>
    <w:link w:val="TitleChar"/>
    <w:uiPriority w:val="10"/>
    <w:qFormat/>
    <w:rsid w:val="007E79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9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79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er.com/uk/gambling-statistics" TargetMode="External"/><Relationship Id="rId13" Type="http://schemas.openxmlformats.org/officeDocument/2006/relationships/hyperlink" Target="https://www.emerald.com/insight/search?q=Paul%20McGivern" TargetMode="External"/><Relationship Id="rId18" Type="http://schemas.openxmlformats.org/officeDocument/2006/relationships/hyperlink" Target="https://doi.org/10.1007/s10899-012-9309-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200/JACH.56.1.75-88" TargetMode="External"/><Relationship Id="rId7" Type="http://schemas.openxmlformats.org/officeDocument/2006/relationships/hyperlink" Target="https://www.gamblingcommission.gov.uk/statistics-and-research/publication/taking-a-more-in-depth-look-at-online-gambling" TargetMode="External"/><Relationship Id="rId12" Type="http://schemas.openxmlformats.org/officeDocument/2006/relationships/hyperlink" Target="https://doi.org/10.1007/s10899-015-9561-y" TargetMode="External"/><Relationship Id="rId17" Type="http://schemas.openxmlformats.org/officeDocument/2006/relationships/hyperlink" Target="https://doi.org/10.1108/MHSI-05-2023-006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merald.com/insight/publication/issn/2042-8308" TargetMode="External"/><Relationship Id="rId20" Type="http://schemas.openxmlformats.org/officeDocument/2006/relationships/hyperlink" Target="https://doi.org/10.1007/s10899-018-9765-z" TargetMode="External"/><Relationship Id="rId1" Type="http://schemas.openxmlformats.org/officeDocument/2006/relationships/customXml" Target="../customXml/item1.xml"/><Relationship Id="rId6" Type="http://schemas.openxmlformats.org/officeDocument/2006/relationships/hyperlink" Target="mailto:p.mcgivern@leedstrinity.ac.uk" TargetMode="External"/><Relationship Id="rId11" Type="http://schemas.openxmlformats.org/officeDocument/2006/relationships/hyperlink" Target="https://doi.org/10.1080/1612197X.2015.1121507" TargetMode="External"/><Relationship Id="rId24" Type="http://schemas.openxmlformats.org/officeDocument/2006/relationships/hyperlink" Target="https://www.ygam.org/wp-content/uploads/2023/02/Annual-Student-Gambling-Survey-Feb-2023.pdf" TargetMode="External"/><Relationship Id="rId5" Type="http://schemas.openxmlformats.org/officeDocument/2006/relationships/webSettings" Target="webSettings.xml"/><Relationship Id="rId15" Type="http://schemas.openxmlformats.org/officeDocument/2006/relationships/hyperlink" Target="https://www.emerald.com/insight/search?q=Edward%20Stupple" TargetMode="External"/><Relationship Id="rId23" Type="http://schemas.openxmlformats.org/officeDocument/2006/relationships/hyperlink" Target="https://psycnet.apa.org/doi/10.1007/s10899-012-9305-1" TargetMode="External"/><Relationship Id="rId10" Type="http://schemas.openxmlformats.org/officeDocument/2006/relationships/hyperlink" Target="https://doi.org/10.1016/j.jadohealth.2006.11.146" TargetMode="External"/><Relationship Id="rId19" Type="http://schemas.openxmlformats.org/officeDocument/2006/relationships/hyperlink" Target="https://static1.squarespace.com/static/63f4ed73056f42572785c28e/t/640b4a3d20fc6122160c275e/1678461513650/Cost+of+Living+Report+-+March+2023.pdf" TargetMode="External"/><Relationship Id="rId4" Type="http://schemas.openxmlformats.org/officeDocument/2006/relationships/settings" Target="settings.xml"/><Relationship Id="rId9" Type="http://schemas.openxmlformats.org/officeDocument/2006/relationships/hyperlink" Target="https://doi.org/10.3200/JACH.56.2.93-100" TargetMode="External"/><Relationship Id="rId14" Type="http://schemas.openxmlformats.org/officeDocument/2006/relationships/hyperlink" Target="https://www.emerald.com/insight/search?q=Mark%20Mierzwinski" TargetMode="External"/><Relationship Id="rId22" Type="http://schemas.openxmlformats.org/officeDocument/2006/relationships/hyperlink" Target="https://doi.org/10.1007/s10899-012-9355-4" TargetMode="External"/><Relationship Id="Ra8fc217e226c49f2"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6203-E07B-488E-A374-1829B769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4107</Words>
  <Characters>23410</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McGivern</dc:creator>
  <cp:keywords/>
  <dc:description/>
  <cp:lastModifiedBy>Ruth Mardall (R.Mardall)</cp:lastModifiedBy>
  <cp:revision>2</cp:revision>
  <dcterms:created xsi:type="dcterms:W3CDTF">2024-08-20T10:50:00Z</dcterms:created>
  <dcterms:modified xsi:type="dcterms:W3CDTF">2024-08-20T10:50:00Z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id="4mT8Ukng"/&gt;&lt;style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