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1CEA" w14:textId="1392B5DB" w:rsidR="00A57557" w:rsidRPr="00457D39" w:rsidRDefault="007F58F0" w:rsidP="00C720DB">
      <w:pPr>
        <w:pStyle w:val="Heading1"/>
        <w:spacing w:line="480" w:lineRule="auto"/>
        <w:rPr>
          <w:iCs/>
        </w:rPr>
      </w:pPr>
      <w:r w:rsidRPr="007F58F0">
        <w:rPr>
          <w:iCs/>
        </w:rPr>
        <w:t xml:space="preserve">Inequality Restructured: A Regional Comparison of the Occupational Position of Young People </w:t>
      </w:r>
      <w:r w:rsidR="00C83467">
        <w:rPr>
          <w:iCs/>
        </w:rPr>
        <w:t>B</w:t>
      </w:r>
      <w:r w:rsidRPr="007F58F0">
        <w:rPr>
          <w:iCs/>
        </w:rPr>
        <w:t xml:space="preserve">efore and </w:t>
      </w:r>
      <w:r w:rsidR="00C83467">
        <w:rPr>
          <w:iCs/>
        </w:rPr>
        <w:t>A</w:t>
      </w:r>
      <w:r w:rsidRPr="007F58F0">
        <w:rPr>
          <w:iCs/>
        </w:rPr>
        <w:t>fter the Great Recession of 2008</w:t>
      </w:r>
    </w:p>
    <w:p w14:paraId="7CC52D06" w14:textId="3CCF8D2A" w:rsidR="00A57557" w:rsidRDefault="007F58F0" w:rsidP="00C720DB">
      <w:pPr>
        <w:pStyle w:val="Authorname"/>
        <w:spacing w:line="480" w:lineRule="auto"/>
        <w:rPr>
          <w:vertAlign w:val="superscript"/>
        </w:rPr>
      </w:pPr>
      <w:r w:rsidRPr="007F58F0">
        <w:t>Kevin Ralston</w:t>
      </w:r>
      <w:r w:rsidRPr="007F58F0">
        <w:rPr>
          <w:vertAlign w:val="superscript"/>
        </w:rPr>
        <w:t>1</w:t>
      </w:r>
      <w:r>
        <w:t xml:space="preserve">* and </w:t>
      </w:r>
      <w:r w:rsidRPr="007F58F0">
        <w:t>Adam Formby</w:t>
      </w:r>
      <w:r w:rsidRPr="007F58F0">
        <w:rPr>
          <w:vertAlign w:val="superscript"/>
        </w:rPr>
        <w:t>2</w:t>
      </w:r>
    </w:p>
    <w:p w14:paraId="18C3220B" w14:textId="09847C7F" w:rsidR="00684B69" w:rsidRDefault="007F58F0" w:rsidP="00C720DB">
      <w:pPr>
        <w:pStyle w:val="Authorcompany"/>
        <w:pBdr>
          <w:bottom w:val="single" w:sz="4" w:space="18" w:color="auto"/>
        </w:pBdr>
        <w:spacing w:line="480" w:lineRule="auto"/>
      </w:pPr>
      <w:r>
        <w:t xml:space="preserve">1 The </w:t>
      </w:r>
      <w:r w:rsidRPr="007F58F0">
        <w:t>University of Edinburgh</w:t>
      </w:r>
      <w:r>
        <w:t xml:space="preserve"> 2 </w:t>
      </w:r>
      <w:r w:rsidRPr="007F58F0">
        <w:t>York St John University</w:t>
      </w:r>
    </w:p>
    <w:p w14:paraId="10FDB19A" w14:textId="0C90C1F1" w:rsidR="00040A79" w:rsidRPr="005014D9" w:rsidRDefault="00457D39" w:rsidP="00C720DB">
      <w:pPr>
        <w:pStyle w:val="Heading2"/>
        <w:spacing w:line="480" w:lineRule="auto"/>
      </w:pPr>
      <w:r>
        <w:t>Abstract</w:t>
      </w:r>
    </w:p>
    <w:p w14:paraId="10E317AF" w14:textId="74D61C8F" w:rsidR="00457D39" w:rsidRPr="007F58F0" w:rsidRDefault="007F58F0" w:rsidP="00C720DB">
      <w:pPr>
        <w:pStyle w:val="Topparagraph"/>
        <w:spacing w:line="480" w:lineRule="auto"/>
      </w:pPr>
      <w:r>
        <w:t xml:space="preserve">Developments in the youth labour market are regularly framed as successful by the UK Government who argue that young people have a growing and vibrant </w:t>
      </w:r>
      <w:r>
        <w:rPr>
          <w:color w:val="0B0C0C"/>
          <w:shd w:val="clear" w:color="auto" w:fill="FFFFFF"/>
        </w:rPr>
        <w:t xml:space="preserve">jobs market. Sociological discourse has tended to focus on the growth in precarious work and the substantial decrease in the availability of employment for young people. Far less attention has been paid to the parallel issue of whether these changes are associated with shifts in occupational level. Yet </w:t>
      </w:r>
      <w:r>
        <w:t>occupational position remains one of the most powerful general indicators of life chances, social and material reward and status available.</w:t>
      </w:r>
      <w:r>
        <w:rPr>
          <w:color w:val="0B0C0C"/>
          <w:shd w:val="clear" w:color="auto" w:fill="FFFFFF"/>
        </w:rPr>
        <w:t xml:space="preserve"> T</w:t>
      </w:r>
      <w:r>
        <w:t>o examine how the occupational position of young people in the UK may have altered</w:t>
      </w:r>
      <w:r w:rsidR="00C83467">
        <w:rPr>
          <w:color w:val="7030A0"/>
        </w:rPr>
        <w:t>,</w:t>
      </w:r>
      <w:r w:rsidRPr="00EF57B5">
        <w:rPr>
          <w:color w:val="7030A0"/>
          <w:shd w:val="clear" w:color="auto" w:fill="FFFFFF"/>
        </w:rPr>
        <w:t xml:space="preserve"> </w:t>
      </w:r>
      <w:r>
        <w:rPr>
          <w:color w:val="0B0C0C"/>
          <w:shd w:val="clear" w:color="auto" w:fill="FFFFFF"/>
        </w:rPr>
        <w:t xml:space="preserve">this article </w:t>
      </w:r>
      <w:r>
        <w:t xml:space="preserve">focusses on two periods either side of the Great Recession (2005-7 and 2015-17). We find there has been a reduction in regional inequality in the level of jobs young men and women are doing. For young men, there has been a disproportionate loss of less advantaged occupations, raising the average occupational position in a number of regions. For women, the opposite trend has occurred; there has </w:t>
      </w:r>
      <w:r>
        <w:lastRenderedPageBreak/>
        <w:t>been a disproportionate loss of more advantaged occupations, leading to a general drop in the average advantage level.</w:t>
      </w:r>
    </w:p>
    <w:p w14:paraId="5615A4F3" w14:textId="48B3A9AB" w:rsidR="00457D39" w:rsidRPr="007F58F0" w:rsidRDefault="00457D39" w:rsidP="00C720DB">
      <w:pPr>
        <w:spacing w:line="480" w:lineRule="auto"/>
        <w:rPr>
          <w:rFonts w:ascii="Arial" w:hAnsi="Arial"/>
          <w:szCs w:val="20"/>
        </w:rPr>
      </w:pPr>
      <w:r w:rsidRPr="00055AED">
        <w:t xml:space="preserve">Keywords: </w:t>
      </w:r>
      <w:r w:rsidR="007F58F0">
        <w:rPr>
          <w:rFonts w:ascii="Arial" w:hAnsi="Arial"/>
          <w:szCs w:val="20"/>
        </w:rPr>
        <w:t>Youth Trajectory; Regional Inequality; Youth Labour Market; Employment; Regional Inequality; Unemployment.</w:t>
      </w:r>
    </w:p>
    <w:p w14:paraId="5FFD427D" w14:textId="77777777" w:rsidR="001661F6" w:rsidRPr="00055AED" w:rsidRDefault="001661F6" w:rsidP="00C720DB">
      <w:pPr>
        <w:pBdr>
          <w:bottom w:val="single" w:sz="4" w:space="1" w:color="auto"/>
        </w:pBdr>
        <w:spacing w:line="480" w:lineRule="auto"/>
      </w:pPr>
    </w:p>
    <w:p w14:paraId="397309ED" w14:textId="175CD29D" w:rsidR="001661F6" w:rsidRDefault="001661F6" w:rsidP="00C720DB">
      <w:pPr>
        <w:pStyle w:val="Heading2"/>
        <w:spacing w:line="480" w:lineRule="auto"/>
      </w:pPr>
      <w:bookmarkStart w:id="0" w:name="_Hlk32910963"/>
      <w:r w:rsidRPr="00055AED">
        <w:t>Introduction</w:t>
      </w:r>
    </w:p>
    <w:p w14:paraId="2EFA27CA" w14:textId="77777777" w:rsidR="007F58F0" w:rsidRDefault="007F58F0" w:rsidP="00C720DB">
      <w:pPr>
        <w:spacing w:line="480" w:lineRule="auto"/>
        <w:rPr>
          <w:rFonts w:ascii="Arial" w:hAnsi="Arial"/>
          <w:b/>
          <w:szCs w:val="20"/>
        </w:rPr>
      </w:pPr>
      <w:r>
        <w:rPr>
          <w:rFonts w:ascii="Arial" w:hAnsi="Arial"/>
          <w:b/>
          <w:szCs w:val="20"/>
        </w:rPr>
        <w:t>Introduction</w:t>
      </w:r>
    </w:p>
    <w:p w14:paraId="4DD54247" w14:textId="606650FD" w:rsidR="007F58F0" w:rsidRDefault="007F58F0" w:rsidP="00C720DB">
      <w:pPr>
        <w:pStyle w:val="Topparagraph"/>
        <w:spacing w:line="480" w:lineRule="auto"/>
      </w:pPr>
      <w:r>
        <w:t xml:space="preserve">Sociological analysis of the youth labour market has focussed on its long-run loss of jobs </w:t>
      </w:r>
      <w:r>
        <w:rPr>
          <w:shd w:val="clear" w:color="auto" w:fill="FFFFFF"/>
        </w:rPr>
        <w:t xml:space="preserve">(e.g. MacDonald et al, 2005; Crisp and Powell, 2017) </w:t>
      </w:r>
      <w:r>
        <w:t xml:space="preserve">and the growth of ‘precarity’ </w:t>
      </w:r>
      <w:r>
        <w:rPr>
          <w:szCs w:val="20"/>
        </w:rPr>
        <w:t>(e.g. Standing, 2011; Antonucci, 2018)</w:t>
      </w:r>
      <w:r>
        <w:t xml:space="preserve">. Far less attention has been paid to the parallel issue of occupational position and whether there have been measurable shifts in the relative advantage of youth work. The research presented below is situated in this substantial gap in the international literature. The aim of the article is to compare the occupational position of young people before the Great Recession of 2008, with their situation ten years later. </w:t>
      </w:r>
      <w:r>
        <w:rPr>
          <w:szCs w:val="20"/>
        </w:rPr>
        <w:t>Occupational advantage is an ongoing sociological concern. S</w:t>
      </w:r>
      <w:r>
        <w:t>ociology has built evidence that occupation is amongst the most powerful general ind</w:t>
      </w:r>
      <w:bookmarkStart w:id="1" w:name="_Hlt34389763"/>
      <w:bookmarkStart w:id="2" w:name="_Hlt34389764"/>
      <w:r>
        <w:t>i</w:t>
      </w:r>
      <w:bookmarkEnd w:id="1"/>
      <w:bookmarkEnd w:id="2"/>
      <w:r>
        <w:t>cators of life chances, social and material reward and status, available (Connelly et al, 2016</w:t>
      </w:r>
      <w:r w:rsidR="00291220">
        <w:t>a</w:t>
      </w:r>
      <w:r>
        <w:t xml:space="preserve">). </w:t>
      </w:r>
    </w:p>
    <w:p w14:paraId="095C8C17" w14:textId="7DC5BC75" w:rsidR="007F58F0" w:rsidRDefault="007F58F0" w:rsidP="00C720DB">
      <w:pPr>
        <w:pStyle w:val="Paragraph"/>
        <w:spacing w:line="480" w:lineRule="auto"/>
      </w:pPr>
      <w:r>
        <w:t>The UK youth labour market seems to be defined by constant change. Long-run developments such as labour market deregulation, deindustrialisation and the expansion of higher education have intersected with the Great Recession of 2008 to exacerbate uncertain, complex and non-linear trajectories-to-work for many young people (Crisp and Powell, 2017: 1785).</w:t>
      </w:r>
      <w:r>
        <w:rPr>
          <w:szCs w:val="20"/>
        </w:rPr>
        <w:t xml:space="preserve"> </w:t>
      </w:r>
      <w:r w:rsidR="00C83467">
        <w:rPr>
          <w:szCs w:val="20"/>
        </w:rPr>
        <w:t>T</w:t>
      </w:r>
      <w:r>
        <w:rPr>
          <w:szCs w:val="20"/>
        </w:rPr>
        <w:t>he UK saw a period of limited economic growth and increased economic insecurity after the 2008 recession (</w:t>
      </w:r>
      <w:proofErr w:type="spellStart"/>
      <w:r>
        <w:rPr>
          <w:szCs w:val="20"/>
        </w:rPr>
        <w:t>Junankar</w:t>
      </w:r>
      <w:proofErr w:type="spellEnd"/>
      <w:r>
        <w:rPr>
          <w:szCs w:val="20"/>
        </w:rPr>
        <w:t xml:space="preserve">, 2015; </w:t>
      </w:r>
      <w:r>
        <w:rPr>
          <w:szCs w:val="20"/>
        </w:rPr>
        <w:lastRenderedPageBreak/>
        <w:t xml:space="preserve">Bell and Blanchflower, 2011). </w:t>
      </w:r>
      <w:r>
        <w:t xml:space="preserve">The recession led to an increased probability of </w:t>
      </w:r>
      <w:r>
        <w:rPr>
          <w:shd w:val="clear" w:color="auto" w:fill="FFFFFF"/>
        </w:rPr>
        <w:t>unemployment (Bell and Blanchflower, 2011)</w:t>
      </w:r>
      <w:r w:rsidR="00FD2E7D">
        <w:rPr>
          <w:shd w:val="clear" w:color="auto" w:fill="FFFFFF"/>
        </w:rPr>
        <w:t xml:space="preserve"> </w:t>
      </w:r>
      <w:r>
        <w:rPr>
          <w:shd w:val="clear" w:color="auto" w:fill="FFFFFF"/>
        </w:rPr>
        <w:t>and a</w:t>
      </w:r>
      <w:r w:rsidR="00FD2E7D">
        <w:rPr>
          <w:shd w:val="clear" w:color="auto" w:fill="FFFFFF"/>
        </w:rPr>
        <w:t xml:space="preserve">dverse individual mental health </w:t>
      </w:r>
      <w:r>
        <w:rPr>
          <w:shd w:val="clear" w:color="auto" w:fill="FFFFFF"/>
        </w:rPr>
        <w:t>(</w:t>
      </w:r>
      <w:proofErr w:type="spellStart"/>
      <w:r>
        <w:rPr>
          <w:shd w:val="clear" w:color="auto" w:fill="FFFFFF"/>
        </w:rPr>
        <w:t>Strandh</w:t>
      </w:r>
      <w:proofErr w:type="spellEnd"/>
      <w:r>
        <w:rPr>
          <w:shd w:val="clear" w:color="auto" w:fill="FFFFFF"/>
        </w:rPr>
        <w:t xml:space="preserve"> et al, 2014</w:t>
      </w:r>
      <w:r w:rsidR="00FD2E7D">
        <w:rPr>
          <w:shd w:val="clear" w:color="auto" w:fill="FFFFFF"/>
        </w:rPr>
        <w:t>)</w:t>
      </w:r>
      <w:r>
        <w:rPr>
          <w:shd w:val="clear" w:color="auto" w:fill="FFFFFF"/>
        </w:rPr>
        <w:t>.</w:t>
      </w:r>
      <w:r>
        <w:t xml:space="preserve"> </w:t>
      </w:r>
      <w:r>
        <w:rPr>
          <w:szCs w:val="20"/>
        </w:rPr>
        <w:t xml:space="preserve">By 2011, over one million young people were unemployed (ONS, 2011: 10) – 21.7 per cent of all young people. This impacted </w:t>
      </w:r>
      <w:r>
        <w:rPr>
          <w:szCs w:val="20"/>
          <w:shd w:val="clear" w:color="auto" w:fill="FFFFFF"/>
        </w:rPr>
        <w:t>all groups – even those not usually associated with labour market insecurity</w:t>
      </w:r>
      <w:r w:rsidR="00C83467">
        <w:rPr>
          <w:szCs w:val="20"/>
          <w:shd w:val="clear" w:color="auto" w:fill="FFFFFF"/>
        </w:rPr>
        <w:t xml:space="preserve"> – </w:t>
      </w:r>
      <w:r>
        <w:rPr>
          <w:szCs w:val="20"/>
          <w:shd w:val="clear" w:color="auto" w:fill="FFFFFF"/>
        </w:rPr>
        <w:t>as one in five graduates also became unemployed (O</w:t>
      </w:r>
      <w:r w:rsidR="001709C9">
        <w:rPr>
          <w:szCs w:val="20"/>
          <w:shd w:val="clear" w:color="auto" w:fill="FFFFFF"/>
        </w:rPr>
        <w:t xml:space="preserve">ffice for </w:t>
      </w:r>
      <w:r>
        <w:rPr>
          <w:szCs w:val="20"/>
          <w:shd w:val="clear" w:color="auto" w:fill="FFFFFF"/>
        </w:rPr>
        <w:t>N</w:t>
      </w:r>
      <w:r w:rsidR="001709C9">
        <w:rPr>
          <w:szCs w:val="20"/>
          <w:shd w:val="clear" w:color="auto" w:fill="FFFFFF"/>
        </w:rPr>
        <w:t xml:space="preserve">ational </w:t>
      </w:r>
      <w:r>
        <w:rPr>
          <w:szCs w:val="20"/>
          <w:shd w:val="clear" w:color="auto" w:fill="FFFFFF"/>
        </w:rPr>
        <w:t>S</w:t>
      </w:r>
      <w:r w:rsidR="001709C9">
        <w:rPr>
          <w:szCs w:val="20"/>
          <w:shd w:val="clear" w:color="auto" w:fill="FFFFFF"/>
        </w:rPr>
        <w:t>tatistics</w:t>
      </w:r>
      <w:r>
        <w:rPr>
          <w:szCs w:val="20"/>
          <w:shd w:val="clear" w:color="auto" w:fill="FFFFFF"/>
        </w:rPr>
        <w:t>, 2011; MacDonald, 2011;</w:t>
      </w:r>
      <w:r w:rsidR="00D314D2">
        <w:rPr>
          <w:szCs w:val="20"/>
          <w:shd w:val="clear" w:color="auto" w:fill="FFFFFF"/>
        </w:rPr>
        <w:t xml:space="preserve"> Formby, 2014;</w:t>
      </w:r>
      <w:r>
        <w:rPr>
          <w:szCs w:val="20"/>
          <w:shd w:val="clear" w:color="auto" w:fill="FFFFFF"/>
        </w:rPr>
        <w:t xml:space="preserve"> Formby, 2017).</w:t>
      </w:r>
      <w:r>
        <w:t xml:space="preserve"> </w:t>
      </w:r>
      <w:r>
        <w:rPr>
          <w:szCs w:val="20"/>
          <w:shd w:val="clear" w:color="auto" w:fill="FFFFFF"/>
        </w:rPr>
        <w:t>In the ten years since the Great Recession</w:t>
      </w:r>
      <w:r w:rsidR="00C83467">
        <w:rPr>
          <w:szCs w:val="20"/>
          <w:shd w:val="clear" w:color="auto" w:fill="FFFFFF"/>
        </w:rPr>
        <w:t xml:space="preserve">, </w:t>
      </w:r>
      <w:r>
        <w:rPr>
          <w:szCs w:val="20"/>
          <w:shd w:val="clear" w:color="auto" w:fill="FFFFFF"/>
        </w:rPr>
        <w:t>young people have continued to experience substantial difficulties in the labour market. They have seen a reduction in take-home pay of 12.5 per cent since 2009 (Whit</w:t>
      </w:r>
      <w:r w:rsidR="004A1D1E">
        <w:rPr>
          <w:szCs w:val="20"/>
          <w:shd w:val="clear" w:color="auto" w:fill="FFFFFF"/>
        </w:rPr>
        <w:t>ta</w:t>
      </w:r>
      <w:r>
        <w:rPr>
          <w:szCs w:val="20"/>
          <w:shd w:val="clear" w:color="auto" w:fill="FFFFFF"/>
        </w:rPr>
        <w:t xml:space="preserve">ker, 2015) and, more </w:t>
      </w:r>
      <w:r>
        <w:rPr>
          <w:szCs w:val="20"/>
        </w:rPr>
        <w:t>than any other age group,</w:t>
      </w:r>
      <w:r>
        <w:rPr>
          <w:szCs w:val="20"/>
          <w:shd w:val="clear" w:color="auto" w:fill="FFFFFF"/>
        </w:rPr>
        <w:t xml:space="preserve"> they have experienced decreased wages over this period </w:t>
      </w:r>
      <w:r>
        <w:rPr>
          <w:szCs w:val="20"/>
        </w:rPr>
        <w:t>(Hills et al, 2015: 1).</w:t>
      </w:r>
    </w:p>
    <w:p w14:paraId="3E771038" w14:textId="1DCA949D" w:rsidR="007F58F0" w:rsidRDefault="007F58F0" w:rsidP="00C720DB">
      <w:pPr>
        <w:pStyle w:val="Paragraph"/>
        <w:spacing w:line="480" w:lineRule="auto"/>
      </w:pPr>
      <w:r>
        <w:rPr>
          <w:shd w:val="clear" w:color="auto" w:fill="FFFFFF"/>
        </w:rPr>
        <w:t>The UK labour market as a whole is shaped by inequality. Young people in urban and post-industrial contexts have been disproportionately impacted by declining economic opportunities (MacDonald et al, 2005; Crisp and Powell, 2017</w:t>
      </w:r>
      <w:r w:rsidR="001709C9">
        <w:rPr>
          <w:shd w:val="clear" w:color="auto" w:fill="FFFFFF"/>
        </w:rPr>
        <w:t>)</w:t>
      </w:r>
      <w:r>
        <w:rPr>
          <w:shd w:val="clear" w:color="auto" w:fill="FFFFFF"/>
        </w:rPr>
        <w:t xml:space="preserve">. </w:t>
      </w:r>
      <w:r>
        <w:rPr>
          <w:szCs w:val="20"/>
          <w:shd w:val="clear" w:color="auto" w:fill="FFFFFF"/>
        </w:rPr>
        <w:t>T</w:t>
      </w:r>
      <w:r>
        <w:rPr>
          <w:szCs w:val="20"/>
        </w:rPr>
        <w:t xml:space="preserve">en years on from the Great Recession and the UK youth unemployment rate has fallen to </w:t>
      </w:r>
      <w:r w:rsidR="001709C9">
        <w:t>12.2</w:t>
      </w:r>
      <w:r>
        <w:rPr>
          <w:shd w:val="clear" w:color="auto" w:fill="FFFFFF"/>
        </w:rPr>
        <w:t xml:space="preserve"> per cent (</w:t>
      </w:r>
      <w:r w:rsidR="001709C9">
        <w:rPr>
          <w:shd w:val="clear" w:color="auto" w:fill="FFFFFF"/>
        </w:rPr>
        <w:t>February 2020-April 2020</w:t>
      </w:r>
      <w:r>
        <w:rPr>
          <w:shd w:val="clear" w:color="auto" w:fill="FFFFFF"/>
        </w:rPr>
        <w:t>) and this is low in co</w:t>
      </w:r>
      <w:r w:rsidR="001709C9">
        <w:rPr>
          <w:shd w:val="clear" w:color="auto" w:fill="FFFFFF"/>
        </w:rPr>
        <w:t>mparison to recent years (Foley</w:t>
      </w:r>
      <w:r>
        <w:rPr>
          <w:shd w:val="clear" w:color="auto" w:fill="FFFFFF"/>
        </w:rPr>
        <w:t>, 2020: 2). Yet, this is still considerably higher than the national UK unemployment rate at 3</w:t>
      </w:r>
      <w:r w:rsidR="001709C9">
        <w:rPr>
          <w:shd w:val="clear" w:color="auto" w:fill="FFFFFF"/>
        </w:rPr>
        <w:t>.9</w:t>
      </w:r>
      <w:r>
        <w:rPr>
          <w:shd w:val="clear" w:color="auto" w:fill="FFFFFF"/>
        </w:rPr>
        <w:t xml:space="preserve"> per cent in 20</w:t>
      </w:r>
      <w:r w:rsidR="001709C9">
        <w:rPr>
          <w:shd w:val="clear" w:color="auto" w:fill="FFFFFF"/>
        </w:rPr>
        <w:t>20</w:t>
      </w:r>
      <w:r>
        <w:rPr>
          <w:shd w:val="clear" w:color="auto" w:fill="FFFFFF"/>
        </w:rPr>
        <w:t xml:space="preserve"> and only slightly below the EU average of youth unemployment at 14 per cent (</w:t>
      </w:r>
      <w:r w:rsidR="001709C9">
        <w:rPr>
          <w:shd w:val="clear" w:color="auto" w:fill="FFFFFF"/>
        </w:rPr>
        <w:t>Foley, 2020: 7</w:t>
      </w:r>
      <w:r>
        <w:rPr>
          <w:shd w:val="clear" w:color="auto" w:fill="FFFFFF"/>
        </w:rPr>
        <w:t>). The spatially and demographically unequal nature of</w:t>
      </w:r>
      <w:r w:rsidR="00B44C81">
        <w:rPr>
          <w:shd w:val="clear" w:color="auto" w:fill="FFFFFF"/>
        </w:rPr>
        <w:t xml:space="preserve"> unemployment is summed up</w:t>
      </w:r>
      <w:r>
        <w:rPr>
          <w:shd w:val="clear" w:color="auto" w:fill="FFFFFF"/>
        </w:rPr>
        <w:t xml:space="preserve"> by </w:t>
      </w:r>
      <w:r>
        <w:rPr>
          <w:szCs w:val="20"/>
        </w:rPr>
        <w:t xml:space="preserve">Crowley and </w:t>
      </w:r>
      <w:proofErr w:type="spellStart"/>
      <w:r>
        <w:rPr>
          <w:szCs w:val="20"/>
        </w:rPr>
        <w:t>C</w:t>
      </w:r>
      <w:r w:rsidR="00B44C81">
        <w:rPr>
          <w:szCs w:val="20"/>
        </w:rPr>
        <w:t>ominetti</w:t>
      </w:r>
      <w:proofErr w:type="spellEnd"/>
      <w:r w:rsidR="00B44C81">
        <w:rPr>
          <w:szCs w:val="20"/>
        </w:rPr>
        <w:t xml:space="preserve"> (2014: 1) who have commented:</w:t>
      </w:r>
      <w:r>
        <w:rPr>
          <w:szCs w:val="20"/>
        </w:rPr>
        <w:t xml:space="preserve"> “the recovery is leaving young people, and some places, behind. The labour market has, on the surface, improved… Yet to an extent this improvement has been superficial”. </w:t>
      </w:r>
    </w:p>
    <w:p w14:paraId="78B60138" w14:textId="19EB3F36" w:rsidR="007F58F0" w:rsidRDefault="007F58F0" w:rsidP="00C720DB">
      <w:pPr>
        <w:pStyle w:val="Paragraph"/>
        <w:spacing w:line="480" w:lineRule="auto"/>
      </w:pPr>
      <w:r>
        <w:t>The current article uses the Labour Force Survey to undertake an analysis that compares the youth labour market between periods</w:t>
      </w:r>
      <w:r w:rsidR="00C83467">
        <w:t xml:space="preserve"> </w:t>
      </w:r>
      <w:r>
        <w:t xml:space="preserve">before and after the Great Recession (2005-07 and 2015-17). This is a direct attempt to </w:t>
      </w:r>
      <w:r>
        <w:rPr>
          <w:color w:val="0B0C0C"/>
          <w:shd w:val="clear" w:color="auto" w:fill="FFFFFF"/>
        </w:rPr>
        <w:t xml:space="preserve">“account for historical change and its impact on the power relations in which young people are enmeshed, </w:t>
      </w:r>
      <w:r>
        <w:rPr>
          <w:color w:val="0B0C0C"/>
          <w:shd w:val="clear" w:color="auto" w:fill="FFFFFF"/>
        </w:rPr>
        <w:lastRenderedPageBreak/>
        <w:t>while also being sensitive to spatial difference” (Crisp and Powell, 2017: 1804). To enhance sociological understanding of how the youth labour market has changed (and is changing)</w:t>
      </w:r>
      <w:r w:rsidR="00C83467">
        <w:rPr>
          <w:color w:val="7030A0"/>
          <w:shd w:val="clear" w:color="auto" w:fill="FFFFFF"/>
        </w:rPr>
        <w:t>,</w:t>
      </w:r>
      <w:r w:rsidRPr="00112055">
        <w:rPr>
          <w:color w:val="7030A0"/>
          <w:shd w:val="clear" w:color="auto" w:fill="FFFFFF"/>
        </w:rPr>
        <w:t xml:space="preserve"> </w:t>
      </w:r>
      <w:r>
        <w:rPr>
          <w:color w:val="0B0C0C"/>
          <w:shd w:val="clear" w:color="auto" w:fill="FFFFFF"/>
        </w:rPr>
        <w:t>the analysis also compares the occupational position of young people incorporating a spatial, regional approach. This brings to the fore regional inequalities and gendered patterns in the changing occupational position of young people</w:t>
      </w:r>
      <w:r w:rsidR="00FD2E7D">
        <w:rPr>
          <w:color w:val="0B0C0C"/>
          <w:shd w:val="clear" w:color="auto" w:fill="FFFFFF"/>
        </w:rPr>
        <w:t xml:space="preserve"> (Ralston et al, 2016)</w:t>
      </w:r>
      <w:r>
        <w:rPr>
          <w:color w:val="0B0C0C"/>
          <w:shd w:val="clear" w:color="auto" w:fill="FFFFFF"/>
        </w:rPr>
        <w:t xml:space="preserve">. </w:t>
      </w:r>
      <w:r>
        <w:t xml:space="preserve">The elimination of young people from occupations that had previously employed them is emphasised as an underlying issue affecting changes shown. </w:t>
      </w:r>
      <w:r>
        <w:rPr>
          <w:color w:val="0B0C0C"/>
          <w:shd w:val="clear" w:color="auto" w:fill="FFFFFF"/>
        </w:rPr>
        <w:t xml:space="preserve">Overall, the analysis challenges </w:t>
      </w:r>
      <w:r>
        <w:t xml:space="preserve">governmental claims of a ‘successful’ and ‘thriving’ youth labour market through showing the extent of what has been lost since the Great Recession of 2008-09. Echoing Crowley and </w:t>
      </w:r>
      <w:proofErr w:type="spellStart"/>
      <w:r>
        <w:t>Cominetti</w:t>
      </w:r>
      <w:proofErr w:type="spellEnd"/>
      <w:r>
        <w:t xml:space="preserve"> (2014), the findings indicate that any recent improvement in the position of young people has been ‘superficial’.</w:t>
      </w:r>
    </w:p>
    <w:p w14:paraId="7959A91E" w14:textId="77777777" w:rsidR="007F58F0" w:rsidRDefault="007F58F0" w:rsidP="00C720DB">
      <w:pPr>
        <w:pStyle w:val="Heading2"/>
        <w:spacing w:line="480" w:lineRule="auto"/>
      </w:pPr>
      <w:r>
        <w:rPr>
          <w:color w:val="0B0C0C"/>
          <w:shd w:val="clear" w:color="auto" w:fill="FFFFFF"/>
        </w:rPr>
        <w:t xml:space="preserve">Literature Review - The </w:t>
      </w:r>
      <w:r>
        <w:t>Landscape of the UK Youth Labour Market</w:t>
      </w:r>
    </w:p>
    <w:p w14:paraId="7FB9D3C3" w14:textId="7A39FDCD" w:rsidR="007F58F0" w:rsidRDefault="007F58F0" w:rsidP="00C720DB">
      <w:pPr>
        <w:pStyle w:val="Topparagraph"/>
        <w:spacing w:line="480" w:lineRule="auto"/>
      </w:pPr>
      <w:r>
        <w:t xml:space="preserve">Furlong and </w:t>
      </w:r>
      <w:proofErr w:type="spellStart"/>
      <w:r>
        <w:t>Cartmel</w:t>
      </w:r>
      <w:proofErr w:type="spellEnd"/>
      <w:r>
        <w:t xml:space="preserve"> (2007: 2) argue that the youth labour market is an area that sits “at the crossroads of social reproduction”. By understanding what is happening to employment opportunities and young people, we can be far more informed on how the wider economy may be changing (M</w:t>
      </w:r>
      <w:r w:rsidR="00C83467">
        <w:t xml:space="preserve">acDonald and </w:t>
      </w:r>
      <w:proofErr w:type="spellStart"/>
      <w:r w:rsidR="00C83467">
        <w:t>Giazitzoglu</w:t>
      </w:r>
      <w:proofErr w:type="spellEnd"/>
      <w:r w:rsidR="00C83467">
        <w:t>, 2019)</w:t>
      </w:r>
      <w:r>
        <w:t xml:space="preserve"> and how different groups may be affected by such change. MacDonald argues:</w:t>
      </w:r>
    </w:p>
    <w:p w14:paraId="16FDE763" w14:textId="5C78B6C4" w:rsidR="007F58F0" w:rsidRDefault="007F58F0" w:rsidP="00C720DB">
      <w:pPr>
        <w:pStyle w:val="Quote"/>
        <w:spacing w:line="480" w:lineRule="auto"/>
      </w:pPr>
      <w:r>
        <w:t xml:space="preserve">‘The youth phase allows a privileged vantage point from which to observe broader processes of social change and, as such, to answer questions of wider relevance for sociology. If new social trends emerge it is feasible that they will be seen here first or most obviously, among the coming, new generation of young adults’ </w:t>
      </w:r>
      <w:r w:rsidRPr="00C83467">
        <w:rPr>
          <w:i w:val="0"/>
        </w:rPr>
        <w:t>(MacDonald, 2011: 428)</w:t>
      </w:r>
      <w:r w:rsidR="0091078C" w:rsidRPr="00C83467">
        <w:rPr>
          <w:i w:val="0"/>
          <w:color w:val="7030A0"/>
        </w:rPr>
        <w:t>.</w:t>
      </w:r>
    </w:p>
    <w:p w14:paraId="67BDFDAA" w14:textId="4CB6FA9B" w:rsidR="007F58F0" w:rsidRDefault="007F58F0" w:rsidP="00C720DB">
      <w:pPr>
        <w:pStyle w:val="Paragraph"/>
        <w:spacing w:line="480" w:lineRule="auto"/>
      </w:pPr>
      <w:r>
        <w:t xml:space="preserve">Historical structural changes have fundamentally re-shaped of the youth labour market across decades. Recent increases in numbers of young people entering higher </w:t>
      </w:r>
      <w:r>
        <w:lastRenderedPageBreak/>
        <w:t>education, as well as an increase in the state education leaving age (up to 18 in England and Wales) typifies this constant change to the education-to-work period. In the UK, 50,000 people obtained a first degree in 1970, increasing to 400,000 in 2017 (</w:t>
      </w:r>
      <w:proofErr w:type="spellStart"/>
      <w:r>
        <w:t>Hillage</w:t>
      </w:r>
      <w:proofErr w:type="spellEnd"/>
      <w:r>
        <w:t>, 2018). Before higher education “became the new default option for Britain’s young people” (Roberts, 2013: 4), previous young people’s education-to-work transitions were characterised by far quicker entry into the labour market – notwithstanding times of recession (Roberts, 2013: 2). Yet, many of the entry-level positions young people had traditionally taken up started to disappear by the late 1970s. Coles notes “the economic recession during the latter half of the 1970s and the early 1980s all but destroyed this simple, predominant, and one step transition from school to work”, and despite the subsequent economic ebb and flow, “the youth labour market as it existed in the 1970s has not re-emerged” (Coles, 1995: 35). Over the subsequent decades, young people have increasingly vanished from the labour market (Roberts, 2013), as entry-level positions decreased in quality and quantity. This continues to the case in the contemporary youth labour market. For many young people, public and service sector employment became the dominant entry-route into work as former industrial positions declined over the 1980s, 1990s and 2000s (</w:t>
      </w:r>
      <w:proofErr w:type="spellStart"/>
      <w:r>
        <w:t>Papoutsaki</w:t>
      </w:r>
      <w:proofErr w:type="spellEnd"/>
      <w:r>
        <w:t xml:space="preserve"> et al, 2019: 22). The prevalence of these positions in the youth labour market prompted concerns of repeated ‘low-pay, no-pay cycles’ leading to “broader experiences of disadvantage” over the life-course through the lack of sustainable career options (</w:t>
      </w:r>
      <w:proofErr w:type="spellStart"/>
      <w:r>
        <w:t>Shildrick</w:t>
      </w:r>
      <w:proofErr w:type="spellEnd"/>
      <w:r>
        <w:t xml:space="preserve"> et al, 2010: 1).</w:t>
      </w:r>
    </w:p>
    <w:p w14:paraId="7870B7A0" w14:textId="77777777" w:rsidR="00CA7E19" w:rsidRDefault="007F58F0" w:rsidP="00CA7E19">
      <w:pPr>
        <w:pStyle w:val="Paragraph"/>
        <w:spacing w:line="480" w:lineRule="auto"/>
      </w:pPr>
      <w:r>
        <w:t xml:space="preserve">Normalisation of de-standardised forms of employment within the youth labour market parallels their expansion within the wider economy (MacDonald and </w:t>
      </w:r>
      <w:proofErr w:type="spellStart"/>
      <w:r>
        <w:t>Giazitzoglu</w:t>
      </w:r>
      <w:proofErr w:type="spellEnd"/>
      <w:r>
        <w:t xml:space="preserve">, 2019). This growth in precarity has been a major sociological trend (Standing, 2011; Antonucci, 2018). These forms of employment arrangement include: temporary working, zero-hour contracts, varying forms of underemployment (e.g. under-utility of skill and under-utility of labour e.g. a lack of working hours), and unpaid internships. In </w:t>
      </w:r>
      <w:r>
        <w:lastRenderedPageBreak/>
        <w:t xml:space="preserve">an analysis across 2010-2019, the TUC (2017: 12) noted there were 3.2 million insecure workers in the UK, including people employed on zero-hour contracts, temporary work, </w:t>
      </w:r>
      <w:proofErr w:type="spellStart"/>
      <w:r>
        <w:t>casualised</w:t>
      </w:r>
      <w:proofErr w:type="spellEnd"/>
      <w:r>
        <w:t xml:space="preserve"> and seasonal work as well as low-paid self-employed workers, with young people in many such positions. Gregg and Gardiner (2015) found that up to 50 per cent of 18-29-year-olds were in insecure labour market positions in 2014 – an increase of 40 per cent from 1994. Roberts (2009) argued that global underemployment was a normative aspect of the youth labour market experience throughout the 2000s – as governmental focus on creating broader conditions for ‘flexible’ work meant initial youth interactions with the job-market were often insecure, fleeting and unsupportive in terms of broader life trajectory. </w:t>
      </w:r>
    </w:p>
    <w:p w14:paraId="40BB6B1B" w14:textId="27D10DB3" w:rsidR="007F58F0" w:rsidRDefault="007F58F0" w:rsidP="00C720DB">
      <w:pPr>
        <w:pStyle w:val="Paragraph"/>
        <w:spacing w:line="480" w:lineRule="auto"/>
      </w:pPr>
      <w:r>
        <w:t>When the economy experiences recession job opportunities tend to tighten even further. Watson (20</w:t>
      </w:r>
      <w:r w:rsidR="00B82B36">
        <w:t>20</w:t>
      </w:r>
      <w:r>
        <w:t>) compared pre-and-post 2008 recession periods in the Australian</w:t>
      </w:r>
      <w:r w:rsidR="00CA7E19">
        <w:t xml:space="preserve"> youth labour market and found “the post-GFC cohort fared much worse in the labour market than did the pre-GFC cohort” </w:t>
      </w:r>
      <w:r>
        <w:t>(Watson, 20</w:t>
      </w:r>
      <w:r w:rsidR="00B82B36">
        <w:t>20</w:t>
      </w:r>
      <w:r>
        <w:t xml:space="preserve">: </w:t>
      </w:r>
      <w:r w:rsidR="00CA7E19">
        <w:t>51</w:t>
      </w:r>
      <w:r>
        <w:t>). In particular, analysis points to a collapse in full-time employment for both young men and women – with no substantial rebound following the recession (Watson, 20</w:t>
      </w:r>
      <w:r w:rsidR="00B82B36">
        <w:t>20</w:t>
      </w:r>
      <w:r>
        <w:t xml:space="preserve">: </w:t>
      </w:r>
      <w:r w:rsidR="00B82B36">
        <w:t>33</w:t>
      </w:r>
      <w:r>
        <w:t>). There has been a similar pattern in the UK where long-term reductions in employment opportunities have impacted young people considerably. As Roberts argues, “there is an overall shortage of jobs, not least good jobs” (Roberts, 2009: 365). This is specifically concerning for non-graduates (already experiencing a decline in demand in the types of jobs they would normally do). Jobs that were left became “increasingly contested by older and more experienced workers” (UKCES, 2014: 8). Throughout the recovery (post-2009), declining employment in key sectors, such as sales and customer service occupations (retail sector) and elementary occupations (in</w:t>
      </w:r>
      <w:r w:rsidR="00CA7E19">
        <w:t>cludes many jobs in hospitality)</w:t>
      </w:r>
      <w:r>
        <w:t xml:space="preserve"> has further compounded these issues. In 2013, these types of occupations accounted for over half of all youth employment. Yet the evidence shows young people were squeezed out of the types of occupation that would hav</w:t>
      </w:r>
      <w:r w:rsidR="00B67DAC">
        <w:t xml:space="preserve">e previously </w:t>
      </w:r>
      <w:r w:rsidR="00B67DAC">
        <w:lastRenderedPageBreak/>
        <w:t>employed them (Orti</w:t>
      </w:r>
      <w:r>
        <w:t>z and Cummins 2012). Where there has been growth this has mostly occurred in the technical and professional sectors, benefitting experienced and skilled workers more than other groups (UKCES, 2014: 8).</w:t>
      </w:r>
    </w:p>
    <w:p w14:paraId="76C938DB" w14:textId="1FFBB839" w:rsidR="007F58F0" w:rsidRDefault="007F58F0" w:rsidP="00C720DB">
      <w:pPr>
        <w:pStyle w:val="Paragraph"/>
        <w:spacing w:line="480" w:lineRule="auto"/>
      </w:pPr>
      <w:r>
        <w:t xml:space="preserve">The structural changes outlined above intersect with social divisions of youth and play out unequally among different groups. Structures of class and gender along with spatiality/place shape how young people experience job-entry in the current UK labour market (MacDowell, 2012). Local and regional youth labour markets vary in the extent of job opportunity available. Crowley and </w:t>
      </w:r>
      <w:proofErr w:type="spellStart"/>
      <w:r>
        <w:t>Cominetti</w:t>
      </w:r>
      <w:proofErr w:type="spellEnd"/>
      <w:r>
        <w:t xml:space="preserve"> (2014: 3) argues: “there are large differences in youth unemployment levels within the UK which reflect a familiar pattern of labour market disadvantage”, especially for those that have “experienced economic distress for some time and have failed to adjust to the changing geography of the UK’s economy”. Often, youth policy is framed as an urban rather than rural issue as youth unemployment tends to be higher in urban contexts (Crisp and Powell, 2017), yet each youth labour market has specific challenges that are local to that geographical context e.g. young people moving away from coastal towns due to a lack of work (Reid and </w:t>
      </w:r>
      <w:proofErr w:type="spellStart"/>
      <w:r>
        <w:t>Westergaard</w:t>
      </w:r>
      <w:proofErr w:type="spellEnd"/>
      <w:r>
        <w:t xml:space="preserve">, 2017). Indeed, variation in the marginalisation of groups of young people in different parts of the UK has long-been established in youth transitions research (MacDonald et al, 2001; MacDonald et al, 2005; MacDowell, 2012; </w:t>
      </w:r>
      <w:proofErr w:type="spellStart"/>
      <w:r>
        <w:t>Shildrick</w:t>
      </w:r>
      <w:proofErr w:type="spellEnd"/>
      <w:r>
        <w:t xml:space="preserve"> et al, 2012). Understanding the UK youth labour market necessitates analysis that involves comprehending which groups of young people are most subject to occupational disadvantage – especially in terms of historical and regional context. MacDowell (2012: 587) makes an explicit argument about the vulnerability of young people whom without “the advantages of class privilege or educational success find themselves embedded in sets of economic and social circumstances that make them unsuitable workers in the ‘knowledge’ economy’” (MacDowell, 2012: 587). For young people in this situation</w:t>
      </w:r>
      <w:r w:rsidR="001F03C8">
        <w:t>,</w:t>
      </w:r>
      <w:r>
        <w:t xml:space="preserve"> engaging with a limited local labour market may be one of the only choices they have. </w:t>
      </w:r>
    </w:p>
    <w:p w14:paraId="60470550" w14:textId="3690C087" w:rsidR="007F58F0" w:rsidRDefault="007F58F0" w:rsidP="00C720DB">
      <w:pPr>
        <w:pStyle w:val="Paragraph"/>
        <w:spacing w:line="480" w:lineRule="auto"/>
      </w:pPr>
      <w:r>
        <w:lastRenderedPageBreak/>
        <w:t>The response of Government to the problems faced by young people has been to emphasise a thriving and successful UK youth labour market. Even d</w:t>
      </w:r>
      <w:r>
        <w:rPr>
          <w:shd w:val="clear" w:color="auto" w:fill="FFFFFF"/>
        </w:rPr>
        <w:t xml:space="preserve">evelopments that indicate the relative economic insecurity of young people, such as the rise of the ‘gig economy’, have been framed in positive and ‘entrepreneurial’ terms by Government Ministers (MacDonald and </w:t>
      </w:r>
      <w:proofErr w:type="spellStart"/>
      <w:r>
        <w:rPr>
          <w:bCs/>
        </w:rPr>
        <w:t>Giazitzoglu</w:t>
      </w:r>
      <w:proofErr w:type="spellEnd"/>
      <w:r>
        <w:rPr>
          <w:shd w:val="clear" w:color="auto" w:fill="FFFFFF"/>
        </w:rPr>
        <w:t xml:space="preserve">, 2019). This is despite evidence that shows the problematic nature of non-standard forms of employment in undermining terms and conditions, and reducing the individual agency of workers (Woods, 2017). </w:t>
      </w:r>
      <w:r>
        <w:t>Moreover, policy responses to youth precarity and unemployment continue to be framed in terms of a ‘supply-side orthodoxy’ (McQuaid and Lindsay, 2005). Through such a reading, unemployment is explained by individual</w:t>
      </w:r>
      <w:r w:rsidR="00CA7E19">
        <w:t xml:space="preserve"> lack of skills and commitment</w:t>
      </w:r>
      <w:r>
        <w:t xml:space="preserve"> with unemployment becoming part of the larger discourse of ‘worklessness’ (Pemberton et al, 2016; </w:t>
      </w:r>
      <w:proofErr w:type="spellStart"/>
      <w:r>
        <w:t>Shildrick</w:t>
      </w:r>
      <w:proofErr w:type="spellEnd"/>
      <w:r>
        <w:t xml:space="preserve"> et al, 2012). The argument here is that young people bear responsibility for their own personal ‘employability’. However, policy rooted to ‘supply-side orthodoxies’ fails to account for wider explanatory factors regarding youth unemployment e.g. constrained, local labour markets that may not offer young people sufficient employment opportunities (Crisp and Powell, 2017). The deeper implication here is that young people can individualise experiences of failure in their trajectories-to-work (</w:t>
      </w:r>
      <w:proofErr w:type="spellStart"/>
      <w:r>
        <w:t>Hardgrove</w:t>
      </w:r>
      <w:proofErr w:type="spellEnd"/>
      <w:r>
        <w:t xml:space="preserve"> et al, 2015: 1060) when it is a lack of opportunity in the youth labour market that holds many back. </w:t>
      </w:r>
    </w:p>
    <w:p w14:paraId="65AC2C3C" w14:textId="77777777" w:rsidR="007F58F0" w:rsidRDefault="007F58F0" w:rsidP="00C720DB">
      <w:pPr>
        <w:pStyle w:val="Heading2"/>
        <w:spacing w:line="480" w:lineRule="auto"/>
      </w:pPr>
      <w:r>
        <w:t>Aims</w:t>
      </w:r>
    </w:p>
    <w:p w14:paraId="7507C19E" w14:textId="266D9162" w:rsidR="007F58F0" w:rsidRDefault="007F58F0" w:rsidP="00C720DB">
      <w:pPr>
        <w:pStyle w:val="Topparagraph"/>
        <w:spacing w:line="480" w:lineRule="auto"/>
      </w:pPr>
      <w:r>
        <w:rPr>
          <w:shd w:val="clear" w:color="auto" w:fill="FFFFFF"/>
        </w:rPr>
        <w:t xml:space="preserve">MacDowell argues, young people’s </w:t>
      </w:r>
      <w:r>
        <w:t xml:space="preserve">“likelihood of not finding employment is significantly related to their possession (or lack) of skills, their gender and regional location” </w:t>
      </w:r>
      <w:r>
        <w:rPr>
          <w:shd w:val="clear" w:color="auto" w:fill="FFFFFF"/>
        </w:rPr>
        <w:t xml:space="preserve">(MacDowell, 2012: 580). </w:t>
      </w:r>
      <w:r>
        <w:t xml:space="preserve">Our analysis takes these factors into account. </w:t>
      </w:r>
      <w:r>
        <w:rPr>
          <w:shd w:val="clear" w:color="auto" w:fill="FFFFFF"/>
        </w:rPr>
        <w:t xml:space="preserve">As youth labour markets are shaped by local factors (MacDowell, 2012; Martin and Morrison, 2003) we provide cross-sectional comparison involving a spatial, regional dimension. Our models </w:t>
      </w:r>
      <w:r>
        <w:rPr>
          <w:shd w:val="clear" w:color="auto" w:fill="FFFFFF"/>
        </w:rPr>
        <w:lastRenderedPageBreak/>
        <w:t xml:space="preserve">also account for the gendered nature of the youth labour market and controls for educational attainment levels. </w:t>
      </w:r>
      <w:r>
        <w:t>Watson (20</w:t>
      </w:r>
      <w:r w:rsidR="00B82B36">
        <w:t>20</w:t>
      </w:r>
      <w:r>
        <w:t>) performed sequence analysis to see “</w:t>
      </w:r>
      <w:r>
        <w:rPr>
          <w:shd w:val="clear" w:color="auto" w:fill="FFFFFF"/>
        </w:rPr>
        <w:t>whether labour market outcomes differed between cohorts, and, by extension, between the periods before and after the global financial crisis” (Watson, 20</w:t>
      </w:r>
      <w:r w:rsidR="00B82B36">
        <w:rPr>
          <w:shd w:val="clear" w:color="auto" w:fill="FFFFFF"/>
        </w:rPr>
        <w:t>20</w:t>
      </w:r>
      <w:r>
        <w:rPr>
          <w:shd w:val="clear" w:color="auto" w:fill="FFFFFF"/>
        </w:rPr>
        <w:t xml:space="preserve">: </w:t>
      </w:r>
      <w:r w:rsidR="00B82B36">
        <w:rPr>
          <w:shd w:val="clear" w:color="auto" w:fill="FFFFFF"/>
        </w:rPr>
        <w:t>33</w:t>
      </w:r>
      <w:r>
        <w:rPr>
          <w:shd w:val="clear" w:color="auto" w:fill="FFFFFF"/>
        </w:rPr>
        <w:t xml:space="preserve">). </w:t>
      </w:r>
      <w:r>
        <w:t>Taking a different approach</w:t>
      </w:r>
      <w:r w:rsidR="001621C3">
        <w:t xml:space="preserve">, </w:t>
      </w:r>
      <w:r>
        <w:t>this article compares pre-and post-recessional periods to highlight change that has occurred following the Great Recession.</w:t>
      </w:r>
    </w:p>
    <w:p w14:paraId="01850CA1" w14:textId="77777777" w:rsidR="007F58F0" w:rsidRDefault="007F58F0" w:rsidP="00C720DB">
      <w:pPr>
        <w:pStyle w:val="Topparagraph"/>
        <w:spacing w:line="480" w:lineRule="auto"/>
        <w:rPr>
          <w:shd w:val="clear" w:color="auto" w:fill="FFFFFF"/>
        </w:rPr>
      </w:pPr>
      <w:r>
        <w:rPr>
          <w:shd w:val="clear" w:color="auto" w:fill="FFFFFF"/>
        </w:rPr>
        <w:t>Guiding research questions are:</w:t>
      </w:r>
    </w:p>
    <w:p w14:paraId="68422EB0" w14:textId="77777777" w:rsidR="007F58F0" w:rsidRDefault="007F58F0" w:rsidP="00C720DB">
      <w:pPr>
        <w:pStyle w:val="PPPbullet"/>
        <w:spacing w:line="480" w:lineRule="auto"/>
        <w:rPr>
          <w:shd w:val="clear" w:color="auto" w:fill="FFFFFF"/>
        </w:rPr>
      </w:pPr>
      <w:r>
        <w:rPr>
          <w:shd w:val="clear" w:color="auto" w:fill="FFFFFF"/>
        </w:rPr>
        <w:t>Has the occupational position of the recent cohort of youth workers (2015-2017) shifted compared to the period prior to the Great Recession of 2008 (2005-2007)?</w:t>
      </w:r>
    </w:p>
    <w:p w14:paraId="4E060A9A" w14:textId="77777777" w:rsidR="007F58F0" w:rsidRDefault="007F58F0" w:rsidP="00C720DB">
      <w:pPr>
        <w:pStyle w:val="PPPbullet"/>
        <w:spacing w:line="480" w:lineRule="auto"/>
        <w:rPr>
          <w:shd w:val="clear" w:color="auto" w:fill="FFFFFF"/>
        </w:rPr>
      </w:pPr>
      <w:r>
        <w:rPr>
          <w:shd w:val="clear" w:color="auto" w:fill="FFFFFF"/>
        </w:rPr>
        <w:t>Have there been changes in regional occupational patterns?</w:t>
      </w:r>
    </w:p>
    <w:p w14:paraId="58D19421" w14:textId="77777777" w:rsidR="007F58F0" w:rsidRDefault="007F58F0" w:rsidP="00C720DB">
      <w:pPr>
        <w:pStyle w:val="PPPbullet"/>
        <w:spacing w:line="480" w:lineRule="auto"/>
        <w:rPr>
          <w:shd w:val="clear" w:color="auto" w:fill="FFFFFF"/>
        </w:rPr>
      </w:pPr>
      <w:r>
        <w:rPr>
          <w:shd w:val="clear" w:color="auto" w:fill="FFFFFF"/>
        </w:rPr>
        <w:t>Is there evidence of gendering to any changes in average occupational position?</w:t>
      </w:r>
    </w:p>
    <w:p w14:paraId="788F3E5C" w14:textId="77777777" w:rsidR="007F58F0" w:rsidRDefault="007F58F0" w:rsidP="00C720DB">
      <w:pPr>
        <w:pStyle w:val="Heading2"/>
        <w:spacing w:line="480" w:lineRule="auto"/>
      </w:pPr>
      <w:r>
        <w:t>Data and Methods</w:t>
      </w:r>
    </w:p>
    <w:p w14:paraId="16082080" w14:textId="36833E91" w:rsidR="007F58F0" w:rsidRDefault="007F58F0" w:rsidP="00C720DB">
      <w:pPr>
        <w:pStyle w:val="Topparagraph"/>
        <w:spacing w:line="480" w:lineRule="auto"/>
      </w:pPr>
      <w:r>
        <w:t>The analysis has been undertaken using the Labour Force Survey (LFS) quarterly datasets</w:t>
      </w:r>
      <w:r w:rsidR="008D6E2D">
        <w:t xml:space="preserve"> (Office for National Statistics, 2019)</w:t>
      </w:r>
      <w:r>
        <w:t xml:space="preserve">. The LFS combines a cross-sectional and a short-run longitudinal design. The analyses here are from the pooled cross-sectional part of the survey, therefore only individuals recorded at their first measurement point were included. In order to match respective occupational positions, data on youth employment was pooled from the period leading up to the Great Recession of 2008 (2005-2007) and the period ten years later (2015-2017). This enables analysis of the occupational position of young people, comparing the period prior to the Great Recession with the period ten years later. This strategy makes possible assessment of change in occupational circumstance. The age range of the sample are 18 to 24 years old and the total number of these cases are n=40,637. The analysis was carried out on </w:t>
      </w:r>
      <w:r>
        <w:lastRenderedPageBreak/>
        <w:t xml:space="preserve">young people recorded as working full time only. This is n= 9,447 men, and n=7,609 women. </w:t>
      </w:r>
    </w:p>
    <w:p w14:paraId="50D385CC" w14:textId="0583B916" w:rsidR="007F58F0" w:rsidRDefault="007F58F0" w:rsidP="00C720DB">
      <w:pPr>
        <w:pStyle w:val="Paragraph"/>
        <w:spacing w:line="480" w:lineRule="auto"/>
      </w:pPr>
      <w:r>
        <w:t>The analyses are split by gender. This is because life course trajectories, structures of decision making related to work and occupational outcomes vary between men and women (</w:t>
      </w:r>
      <w:proofErr w:type="spellStart"/>
      <w:r>
        <w:t>Blau</w:t>
      </w:r>
      <w:proofErr w:type="spellEnd"/>
      <w:r>
        <w:t xml:space="preserve"> et al,</w:t>
      </w:r>
      <w:r w:rsidR="001621C3">
        <w:t xml:space="preserve"> 2013</w:t>
      </w:r>
      <w:r>
        <w:t>). Regional change in occupational position of young people is also explored. The UK labour market is dissected by geographical cleavages with London and the South East disproportionately experiencing the greatest share of human and infrastructure resources (</w:t>
      </w:r>
      <w:proofErr w:type="spellStart"/>
      <w:r>
        <w:t>Duranton</w:t>
      </w:r>
      <w:proofErr w:type="spellEnd"/>
      <w:r>
        <w:t xml:space="preserve"> </w:t>
      </w:r>
      <w:r w:rsidR="00030D52">
        <w:t xml:space="preserve">and </w:t>
      </w:r>
      <w:proofErr w:type="spellStart"/>
      <w:r w:rsidR="00030D52" w:rsidRPr="00E00C95">
        <w:t>Monastiriotis</w:t>
      </w:r>
      <w:proofErr w:type="spellEnd"/>
      <w:r>
        <w:t xml:space="preserve">, 2002). For many decades this has helped to drive geographical inequalities in the UK labour market (Lee et al, 2013). </w:t>
      </w:r>
      <w:r>
        <w:rPr>
          <w:shd w:val="clear" w:color="auto" w:fill="FFFFFF"/>
        </w:rPr>
        <w:t xml:space="preserve">Region is included in the analyses using the LFS variable recording region of usual residence. This comprises 20 regions (see Table 1). </w:t>
      </w:r>
    </w:p>
    <w:p w14:paraId="5DC0BEE5" w14:textId="68964A9C" w:rsidR="007F58F0" w:rsidRDefault="007F58F0" w:rsidP="00C720DB">
      <w:pPr>
        <w:pStyle w:val="Paragraph"/>
        <w:spacing w:line="480" w:lineRule="auto"/>
      </w:pPr>
      <w:r>
        <w:t xml:space="preserve">Occupations are included using four-digit standard occupational groups - SOC2000 (Elias et al, 1999). </w:t>
      </w:r>
      <w:r>
        <w:rPr>
          <w:shd w:val="clear" w:color="auto" w:fill="FFFFFF"/>
        </w:rPr>
        <w:t xml:space="preserve">There are 369 occupational groups at this level. These have been used to generate CAMSIS scores for both men and women </w:t>
      </w:r>
      <w:r>
        <w:t>(</w:t>
      </w:r>
      <w:proofErr w:type="spellStart"/>
      <w:r>
        <w:t>Prandy</w:t>
      </w:r>
      <w:proofErr w:type="spellEnd"/>
      <w:r>
        <w:t xml:space="preserve"> and Jones, 2001)</w:t>
      </w:r>
      <w:r>
        <w:rPr>
          <w:shd w:val="clear" w:color="auto" w:fill="FFFFFF"/>
        </w:rPr>
        <w:t xml:space="preserve">. CAMSIS is a measure of occupational position in the form of a scale of social distance </w:t>
      </w:r>
      <w:r w:rsidRPr="007F58F0">
        <w:rPr>
          <w:shd w:val="clear" w:color="auto" w:fill="FFFFFF"/>
        </w:rPr>
        <w:t xml:space="preserve">and occupational advantage </w:t>
      </w:r>
      <w:r w:rsidRPr="007F58F0">
        <w:t>(</w:t>
      </w:r>
      <w:proofErr w:type="spellStart"/>
      <w:r w:rsidRPr="007F58F0">
        <w:t>Prandy</w:t>
      </w:r>
      <w:proofErr w:type="spellEnd"/>
      <w:r w:rsidRPr="007F58F0">
        <w:t xml:space="preserve"> and Lambert, 2003)</w:t>
      </w:r>
      <w:r w:rsidRPr="007F58F0">
        <w:rPr>
          <w:shd w:val="clear" w:color="auto" w:fill="FFFFFF"/>
        </w:rPr>
        <w:t xml:space="preserve">. More advantaged occupations score more highly on the scale, which ranges from 0 to 100 and is designed to have a mean of 50 for the general population. CAMSIS is used here as the outcome variable in describing and modelling the occupational position of young people </w:t>
      </w:r>
      <w:r w:rsidRPr="007F58F0">
        <w:t>(Lambert, 2012)</w:t>
      </w:r>
      <w:r w:rsidRPr="007F58F0">
        <w:rPr>
          <w:shd w:val="clear" w:color="auto" w:fill="FFFFFF"/>
        </w:rPr>
        <w:t>. Educational attainment level is also included in the analyses.</w:t>
      </w:r>
      <w:r w:rsidRPr="007F58F0">
        <w:t xml:space="preserve"> </w:t>
      </w:r>
      <w:r w:rsidRPr="007F58F0">
        <w:rPr>
          <w:shd w:val="clear" w:color="auto" w:fill="FFFFFF"/>
        </w:rPr>
        <w:t>Educational qualifications are intrinsic to transitions of young people into work</w:t>
      </w:r>
      <w:r w:rsidRPr="007F58F0">
        <w:rPr>
          <w:b/>
          <w:shd w:val="clear" w:color="auto" w:fill="FFFFFF"/>
        </w:rPr>
        <w:t xml:space="preserve"> </w:t>
      </w:r>
      <w:r w:rsidRPr="007F58F0">
        <w:rPr>
          <w:shd w:val="clear" w:color="auto" w:fill="FFFFFF"/>
        </w:rPr>
        <w:t xml:space="preserve">and to the types of jobs they end up doing </w:t>
      </w:r>
      <w:r w:rsidRPr="007F58F0">
        <w:rPr>
          <w:color w:val="333333"/>
          <w:szCs w:val="26"/>
        </w:rPr>
        <w:t>(</w:t>
      </w:r>
      <w:proofErr w:type="spellStart"/>
      <w:r w:rsidRPr="007F58F0">
        <w:rPr>
          <w:color w:val="333333"/>
          <w:szCs w:val="26"/>
        </w:rPr>
        <w:t>Bynner</w:t>
      </w:r>
      <w:proofErr w:type="spellEnd"/>
      <w:r w:rsidRPr="007F58F0">
        <w:rPr>
          <w:color w:val="333333"/>
          <w:szCs w:val="26"/>
        </w:rPr>
        <w:t xml:space="preserve"> and Parsons</w:t>
      </w:r>
      <w:r w:rsidRPr="007F58F0">
        <w:rPr>
          <w:szCs w:val="26"/>
        </w:rPr>
        <w:t>,</w:t>
      </w:r>
      <w:r>
        <w:rPr>
          <w:szCs w:val="26"/>
        </w:rPr>
        <w:t xml:space="preserve"> </w:t>
      </w:r>
      <w:r w:rsidRPr="001621C3">
        <w:rPr>
          <w:szCs w:val="26"/>
        </w:rPr>
        <w:t>2002</w:t>
      </w:r>
      <w:r w:rsidRPr="007F58F0">
        <w:rPr>
          <w:color w:val="333333"/>
          <w:szCs w:val="26"/>
        </w:rPr>
        <w:t xml:space="preserve">; </w:t>
      </w:r>
      <w:proofErr w:type="spellStart"/>
      <w:r w:rsidRPr="007F58F0">
        <w:rPr>
          <w:color w:val="333333"/>
          <w:szCs w:val="26"/>
        </w:rPr>
        <w:t>Croll</w:t>
      </w:r>
      <w:proofErr w:type="spellEnd"/>
      <w:r w:rsidRPr="007F58F0">
        <w:rPr>
          <w:color w:val="333333"/>
          <w:szCs w:val="26"/>
        </w:rPr>
        <w:t>,</w:t>
      </w:r>
      <w:r>
        <w:rPr>
          <w:color w:val="333333"/>
          <w:szCs w:val="26"/>
        </w:rPr>
        <w:t xml:space="preserve"> </w:t>
      </w:r>
      <w:r w:rsidRPr="001621C3">
        <w:rPr>
          <w:rStyle w:val="Hyperlink"/>
          <w:color w:val="auto"/>
          <w:szCs w:val="26"/>
          <w:u w:val="none"/>
        </w:rPr>
        <w:t>2009</w:t>
      </w:r>
      <w:r w:rsidRPr="007F58F0">
        <w:rPr>
          <w:color w:val="333333"/>
          <w:szCs w:val="26"/>
        </w:rPr>
        <w:t>)</w:t>
      </w:r>
      <w:r w:rsidRPr="007F58F0">
        <w:rPr>
          <w:shd w:val="clear" w:color="auto" w:fill="FFFFFF"/>
        </w:rPr>
        <w:t xml:space="preserve">. The variable applied records the highest reported attainment level, from degree, higher education level, GCE/A-level or equivalent, GCSE A*-C level or equivalent, other qualifications, no qualifications and don’t know. </w:t>
      </w:r>
      <w:r w:rsidRPr="007F58F0">
        <w:t>Variation in education levels of the workforce</w:t>
      </w:r>
      <w:r>
        <w:t xml:space="preserve"> could explain differences in occupational position. Controlling educational attainment level in modelling means that any observed variation in occupational </w:t>
      </w:r>
      <w:r>
        <w:lastRenderedPageBreak/>
        <w:t xml:space="preserve">position, between regions or over time, is not explained by a differential education level of the workforce. </w:t>
      </w:r>
    </w:p>
    <w:p w14:paraId="46684496" w14:textId="07800545" w:rsidR="007F58F0" w:rsidRDefault="007F58F0" w:rsidP="00C720DB">
      <w:pPr>
        <w:pStyle w:val="Paragraph"/>
        <w:spacing w:line="480" w:lineRule="auto"/>
        <w:rPr>
          <w:shd w:val="clear" w:color="auto" w:fill="FFFFFF"/>
        </w:rPr>
      </w:pPr>
      <w:r>
        <w:rPr>
          <w:shd w:val="clear" w:color="auto" w:fill="FFFFFF"/>
        </w:rPr>
        <w:t>Presentation of results begins with description of CAMSIS score by gender, comparing the periods 2005-2007 and 2015-2017 (Table 2). This is then expanded to also consider region (Table 3). Regression models of CAMSIS position are introduced which control for educational attainment age and time period (Tables 4 and 5). To facilitate comparison between time points and by region, region is interacted with a dummy variable separately specifying the periods 2005-2007 and 2015-2017. This estimates coefficients for the CAMSIS score, for each region, in each period. Predicted margins of the interaction are also estimated and included in graphs (Figures 1 and 2). The margins are estimated as conditional marginal effects (see, Connelly et al, 2016</w:t>
      </w:r>
      <w:r w:rsidR="00291220">
        <w:rPr>
          <w:shd w:val="clear" w:color="auto" w:fill="FFFFFF"/>
        </w:rPr>
        <w:t>b</w:t>
      </w:r>
      <w:r>
        <w:rPr>
          <w:shd w:val="clear" w:color="auto" w:fill="FFFFFF"/>
        </w:rPr>
        <w:t>). Results are presented unweighted but equivalent models applying individual person weights are reported in Appendix 1. Visualisations comparing regional labour markets are also given (Figures 3 to 6). It should be noted that the response rate to the LFS declines across the period of analysis and also, the later cohort is naturally smaller because of demographic change. This has an influence on the raw numbers of young people in each cohort (2005-2007, 10,158 – 60 per cent; 2015-2017, 6,898 – 40 per cent). This accounts for some of the sparseness in Figures showing differential numbers of young people in occupations by region between time points. The general trends in lower proportions of young people in work and in the type of occupations they are employed in are real however</w:t>
      </w:r>
      <w:r w:rsidR="001621C3">
        <w:rPr>
          <w:shd w:val="clear" w:color="auto" w:fill="FFFFFF"/>
        </w:rPr>
        <w:t xml:space="preserve"> </w:t>
      </w:r>
      <w:r>
        <w:rPr>
          <w:shd w:val="clear" w:color="auto" w:fill="FFFFFF"/>
        </w:rPr>
        <w:t>and not an artefact of demography or the declining response rate.</w:t>
      </w:r>
    </w:p>
    <w:p w14:paraId="59B99330" w14:textId="2B9183D0" w:rsidR="00E00C95" w:rsidRDefault="00E00C95" w:rsidP="00C720DB">
      <w:pPr>
        <w:pStyle w:val="TableGraphheading"/>
        <w:spacing w:line="480" w:lineRule="auto"/>
        <w:rPr>
          <w:shd w:val="clear" w:color="auto" w:fill="FFFFFF"/>
        </w:rPr>
      </w:pPr>
      <w:r>
        <w:rPr>
          <w:lang w:val="en-US"/>
        </w:rPr>
        <w:t xml:space="preserve">Table 1- </w:t>
      </w:r>
      <w:r w:rsidR="00346F52">
        <w:rPr>
          <w:lang w:val="en-US"/>
        </w:rPr>
        <w:t>D</w:t>
      </w:r>
      <w:r>
        <w:rPr>
          <w:lang w:val="en-US"/>
        </w:rPr>
        <w:t>escriptive</w:t>
      </w:r>
      <w:r w:rsidR="00684206">
        <w:rPr>
          <w:lang w:val="en-US"/>
        </w:rPr>
        <w:t xml:space="preserve"> table of key variables </w:t>
      </w:r>
    </w:p>
    <w:tbl>
      <w:tblPr>
        <w:tblW w:w="6096" w:type="dxa"/>
        <w:tblLayout w:type="fixed"/>
        <w:tblCellMar>
          <w:left w:w="10" w:type="dxa"/>
          <w:right w:w="10" w:type="dxa"/>
        </w:tblCellMar>
        <w:tblLook w:val="04A0" w:firstRow="1" w:lastRow="0" w:firstColumn="1" w:lastColumn="0" w:noHBand="0" w:noVBand="1"/>
      </w:tblPr>
      <w:tblGrid>
        <w:gridCol w:w="1242"/>
        <w:gridCol w:w="2869"/>
        <w:gridCol w:w="108"/>
        <w:gridCol w:w="947"/>
        <w:gridCol w:w="930"/>
      </w:tblGrid>
      <w:tr w:rsidR="00E3622C" w:rsidRPr="00E3622C" w14:paraId="3620086B" w14:textId="77777777" w:rsidTr="00E3622C">
        <w:tc>
          <w:tcPr>
            <w:tcW w:w="1242" w:type="dxa"/>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cPr>
          <w:p w14:paraId="76728408" w14:textId="77777777" w:rsidR="00E3622C" w:rsidRPr="00E3622C" w:rsidRDefault="00E3622C" w:rsidP="00C720DB">
            <w:pPr>
              <w:pStyle w:val="TableText"/>
              <w:spacing w:before="20" w:after="20" w:line="480" w:lineRule="auto"/>
              <w:rPr>
                <w:b/>
                <w:bCs/>
                <w:szCs w:val="19"/>
                <w:lang w:val="en-US"/>
              </w:rPr>
            </w:pPr>
            <w:r w:rsidRPr="00E3622C">
              <w:rPr>
                <w:b/>
                <w:bCs/>
                <w:szCs w:val="19"/>
                <w:lang w:val="en-US"/>
              </w:rPr>
              <w:t>Variable</w:t>
            </w:r>
          </w:p>
        </w:tc>
        <w:tc>
          <w:tcPr>
            <w:tcW w:w="2869" w:type="dxa"/>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cPr>
          <w:p w14:paraId="224018CD" w14:textId="128A8F19" w:rsidR="00E3622C" w:rsidRPr="00E3622C" w:rsidRDefault="00E3622C" w:rsidP="00C720DB">
            <w:pPr>
              <w:pStyle w:val="TableText"/>
              <w:spacing w:before="20" w:after="20" w:line="480" w:lineRule="auto"/>
              <w:rPr>
                <w:b/>
                <w:bCs/>
                <w:szCs w:val="19"/>
                <w:lang w:val="en-US"/>
              </w:rPr>
            </w:pPr>
            <w:r w:rsidRPr="00E3622C">
              <w:rPr>
                <w:b/>
                <w:bCs/>
                <w:szCs w:val="19"/>
                <w:lang w:val="en-US"/>
              </w:rPr>
              <w:t>Categories</w:t>
            </w:r>
          </w:p>
        </w:tc>
        <w:tc>
          <w:tcPr>
            <w:tcW w:w="1055" w:type="dxa"/>
            <w:gridSpan w:val="2"/>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cPr>
          <w:p w14:paraId="1004278C" w14:textId="12956EFC" w:rsidR="00E3622C" w:rsidRPr="00E3622C" w:rsidRDefault="00E3622C" w:rsidP="00C720DB">
            <w:pPr>
              <w:pStyle w:val="TableText"/>
              <w:spacing w:before="20" w:after="20" w:line="480" w:lineRule="auto"/>
              <w:jc w:val="right"/>
              <w:rPr>
                <w:b/>
                <w:bCs/>
                <w:szCs w:val="19"/>
                <w:lang w:val="en-US"/>
              </w:rPr>
            </w:pPr>
            <w:r w:rsidRPr="00E3622C">
              <w:rPr>
                <w:b/>
                <w:bCs/>
                <w:szCs w:val="19"/>
                <w:lang w:val="en-US"/>
              </w:rPr>
              <w:t>Frequency</w:t>
            </w:r>
          </w:p>
        </w:tc>
        <w:tc>
          <w:tcPr>
            <w:tcW w:w="930" w:type="dxa"/>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cPr>
          <w:p w14:paraId="0A6DECBF" w14:textId="09CF7591" w:rsidR="00E3622C" w:rsidRPr="00E3622C" w:rsidRDefault="00E3622C" w:rsidP="00C720DB">
            <w:pPr>
              <w:pStyle w:val="TableText"/>
              <w:spacing w:before="20" w:after="20" w:line="480" w:lineRule="auto"/>
              <w:jc w:val="right"/>
              <w:rPr>
                <w:b/>
                <w:bCs/>
                <w:szCs w:val="19"/>
                <w:lang w:val="en-US"/>
              </w:rPr>
            </w:pPr>
            <w:r w:rsidRPr="00E3622C">
              <w:rPr>
                <w:b/>
                <w:bCs/>
                <w:szCs w:val="19"/>
                <w:lang w:val="en-US"/>
              </w:rPr>
              <w:t>Percent</w:t>
            </w:r>
          </w:p>
        </w:tc>
      </w:tr>
      <w:tr w:rsidR="00E3622C" w:rsidRPr="00E3622C" w14:paraId="68CF89B9" w14:textId="77777777" w:rsidTr="00E3622C">
        <w:tc>
          <w:tcPr>
            <w:tcW w:w="1242" w:type="dxa"/>
            <w:tcBorders>
              <w:top w:val="single" w:sz="4" w:space="0" w:color="000000"/>
            </w:tcBorders>
            <w:shd w:val="clear" w:color="auto" w:fill="auto"/>
            <w:tcMar>
              <w:top w:w="0" w:type="dxa"/>
              <w:left w:w="108" w:type="dxa"/>
              <w:bottom w:w="0" w:type="dxa"/>
              <w:right w:w="108" w:type="dxa"/>
            </w:tcMar>
          </w:tcPr>
          <w:p w14:paraId="05EFD115" w14:textId="77777777" w:rsidR="00E3622C" w:rsidRPr="00E3622C" w:rsidRDefault="00E3622C" w:rsidP="00C720DB">
            <w:pPr>
              <w:pStyle w:val="TableText"/>
              <w:spacing w:before="20" w:after="20" w:line="480" w:lineRule="auto"/>
              <w:rPr>
                <w:szCs w:val="19"/>
                <w:lang w:val="en-US"/>
              </w:rPr>
            </w:pPr>
            <w:r w:rsidRPr="00E3622C">
              <w:rPr>
                <w:szCs w:val="19"/>
                <w:lang w:val="en-US"/>
              </w:rPr>
              <w:t>Gender</w:t>
            </w:r>
          </w:p>
        </w:tc>
        <w:tc>
          <w:tcPr>
            <w:tcW w:w="2977" w:type="dxa"/>
            <w:gridSpan w:val="2"/>
            <w:tcBorders>
              <w:top w:val="single" w:sz="4" w:space="0" w:color="000000"/>
            </w:tcBorders>
            <w:shd w:val="clear" w:color="auto" w:fill="auto"/>
            <w:tcMar>
              <w:top w:w="0" w:type="dxa"/>
              <w:left w:w="108" w:type="dxa"/>
              <w:bottom w:w="0" w:type="dxa"/>
              <w:right w:w="108" w:type="dxa"/>
            </w:tcMar>
          </w:tcPr>
          <w:p w14:paraId="5C34CECC" w14:textId="68A0652E" w:rsidR="00E3622C" w:rsidRPr="00E3622C" w:rsidRDefault="00E3622C" w:rsidP="00C720DB">
            <w:pPr>
              <w:pStyle w:val="TableText"/>
              <w:spacing w:before="20" w:after="20" w:line="480" w:lineRule="auto"/>
              <w:rPr>
                <w:szCs w:val="19"/>
                <w:lang w:val="en-US"/>
              </w:rPr>
            </w:pPr>
            <w:r w:rsidRPr="00E3622C">
              <w:rPr>
                <w:szCs w:val="19"/>
                <w:lang w:val="en-US"/>
              </w:rPr>
              <w:t>Male</w:t>
            </w:r>
          </w:p>
        </w:tc>
        <w:tc>
          <w:tcPr>
            <w:tcW w:w="947" w:type="dxa"/>
            <w:tcBorders>
              <w:top w:val="single" w:sz="4" w:space="0" w:color="000000"/>
            </w:tcBorders>
            <w:shd w:val="clear" w:color="auto" w:fill="auto"/>
            <w:tcMar>
              <w:top w:w="0" w:type="dxa"/>
              <w:left w:w="108" w:type="dxa"/>
              <w:bottom w:w="0" w:type="dxa"/>
              <w:right w:w="108" w:type="dxa"/>
            </w:tcMar>
          </w:tcPr>
          <w:p w14:paraId="70EE3C7A"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9447</w:t>
            </w:r>
          </w:p>
        </w:tc>
        <w:tc>
          <w:tcPr>
            <w:tcW w:w="930" w:type="dxa"/>
            <w:tcBorders>
              <w:top w:val="single" w:sz="4" w:space="0" w:color="000000"/>
            </w:tcBorders>
            <w:shd w:val="clear" w:color="auto" w:fill="auto"/>
            <w:tcMar>
              <w:top w:w="0" w:type="dxa"/>
              <w:left w:w="108" w:type="dxa"/>
              <w:bottom w:w="0" w:type="dxa"/>
              <w:right w:w="108" w:type="dxa"/>
            </w:tcMar>
          </w:tcPr>
          <w:p w14:paraId="7E930263"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55</w:t>
            </w:r>
          </w:p>
        </w:tc>
      </w:tr>
      <w:tr w:rsidR="00E3622C" w:rsidRPr="00E3622C" w14:paraId="6FE45E3A" w14:textId="77777777" w:rsidTr="00E3622C">
        <w:tc>
          <w:tcPr>
            <w:tcW w:w="1242" w:type="dxa"/>
            <w:shd w:val="clear" w:color="auto" w:fill="auto"/>
            <w:tcMar>
              <w:top w:w="0" w:type="dxa"/>
              <w:left w:w="108" w:type="dxa"/>
              <w:bottom w:w="0" w:type="dxa"/>
              <w:right w:w="108" w:type="dxa"/>
            </w:tcMar>
          </w:tcPr>
          <w:p w14:paraId="7CE35E7D"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39ACCAE9" w14:textId="6C569144" w:rsidR="00E3622C" w:rsidRPr="00E3622C" w:rsidRDefault="00E3622C" w:rsidP="00C720DB">
            <w:pPr>
              <w:pStyle w:val="TableText"/>
              <w:spacing w:before="20" w:after="20" w:line="480" w:lineRule="auto"/>
              <w:rPr>
                <w:szCs w:val="19"/>
                <w:lang w:val="en-US"/>
              </w:rPr>
            </w:pPr>
            <w:r w:rsidRPr="00E3622C">
              <w:rPr>
                <w:szCs w:val="19"/>
                <w:lang w:val="en-US"/>
              </w:rPr>
              <w:t>Female</w:t>
            </w:r>
          </w:p>
        </w:tc>
        <w:tc>
          <w:tcPr>
            <w:tcW w:w="947" w:type="dxa"/>
            <w:shd w:val="clear" w:color="auto" w:fill="auto"/>
            <w:tcMar>
              <w:top w:w="0" w:type="dxa"/>
              <w:left w:w="108" w:type="dxa"/>
              <w:bottom w:w="0" w:type="dxa"/>
              <w:right w:w="108" w:type="dxa"/>
            </w:tcMar>
          </w:tcPr>
          <w:p w14:paraId="34F11CE5"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7609</w:t>
            </w:r>
          </w:p>
        </w:tc>
        <w:tc>
          <w:tcPr>
            <w:tcW w:w="930" w:type="dxa"/>
            <w:shd w:val="clear" w:color="auto" w:fill="auto"/>
            <w:tcMar>
              <w:top w:w="0" w:type="dxa"/>
              <w:left w:w="108" w:type="dxa"/>
              <w:bottom w:w="0" w:type="dxa"/>
              <w:right w:w="108" w:type="dxa"/>
            </w:tcMar>
          </w:tcPr>
          <w:p w14:paraId="20EE4546"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w:t>
            </w:r>
            <w:bookmarkStart w:id="3" w:name="_GoBack"/>
            <w:bookmarkEnd w:id="3"/>
            <w:r w:rsidRPr="00E3622C">
              <w:rPr>
                <w:szCs w:val="19"/>
                <w:lang w:val="en-US"/>
              </w:rPr>
              <w:t>6</w:t>
            </w:r>
          </w:p>
        </w:tc>
      </w:tr>
      <w:tr w:rsidR="00E3622C" w:rsidRPr="00E3622C" w14:paraId="2EC2236C" w14:textId="77777777" w:rsidTr="00E3622C">
        <w:tc>
          <w:tcPr>
            <w:tcW w:w="1242" w:type="dxa"/>
            <w:shd w:val="clear" w:color="auto" w:fill="auto"/>
            <w:tcMar>
              <w:top w:w="0" w:type="dxa"/>
              <w:left w:w="108" w:type="dxa"/>
              <w:bottom w:w="0" w:type="dxa"/>
              <w:right w:w="108" w:type="dxa"/>
            </w:tcMar>
          </w:tcPr>
          <w:p w14:paraId="26FFC212"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3CC4EEB4" w14:textId="77777777" w:rsidR="00E3622C" w:rsidRPr="00E3622C" w:rsidRDefault="00E3622C" w:rsidP="00C720DB">
            <w:pPr>
              <w:pStyle w:val="TableText"/>
              <w:spacing w:before="20" w:after="20" w:line="480" w:lineRule="auto"/>
              <w:rPr>
                <w:szCs w:val="19"/>
                <w:lang w:val="en-US"/>
              </w:rPr>
            </w:pPr>
          </w:p>
        </w:tc>
        <w:tc>
          <w:tcPr>
            <w:tcW w:w="947" w:type="dxa"/>
            <w:shd w:val="clear" w:color="auto" w:fill="auto"/>
            <w:tcMar>
              <w:top w:w="0" w:type="dxa"/>
              <w:left w:w="108" w:type="dxa"/>
              <w:bottom w:w="0" w:type="dxa"/>
              <w:right w:w="108" w:type="dxa"/>
            </w:tcMar>
          </w:tcPr>
          <w:p w14:paraId="6A0631C6" w14:textId="77777777" w:rsidR="00E3622C" w:rsidRPr="00E3622C" w:rsidRDefault="00E3622C" w:rsidP="00C720DB">
            <w:pPr>
              <w:pStyle w:val="TableText"/>
              <w:spacing w:before="20" w:after="20" w:line="480" w:lineRule="auto"/>
              <w:jc w:val="right"/>
              <w:rPr>
                <w:szCs w:val="19"/>
                <w:lang w:val="en-US"/>
              </w:rPr>
            </w:pPr>
          </w:p>
        </w:tc>
        <w:tc>
          <w:tcPr>
            <w:tcW w:w="930" w:type="dxa"/>
            <w:shd w:val="clear" w:color="auto" w:fill="auto"/>
            <w:tcMar>
              <w:top w:w="0" w:type="dxa"/>
              <w:left w:w="108" w:type="dxa"/>
              <w:bottom w:w="0" w:type="dxa"/>
              <w:right w:w="108" w:type="dxa"/>
            </w:tcMar>
          </w:tcPr>
          <w:p w14:paraId="0AB07697" w14:textId="77777777" w:rsidR="00E3622C" w:rsidRPr="00E3622C" w:rsidRDefault="00E3622C" w:rsidP="00C720DB">
            <w:pPr>
              <w:pStyle w:val="TableText"/>
              <w:spacing w:before="20" w:after="20" w:line="480" w:lineRule="auto"/>
              <w:jc w:val="right"/>
              <w:rPr>
                <w:szCs w:val="19"/>
                <w:lang w:val="en-US"/>
              </w:rPr>
            </w:pPr>
          </w:p>
        </w:tc>
      </w:tr>
      <w:tr w:rsidR="00E3622C" w:rsidRPr="00E3622C" w14:paraId="4762F750" w14:textId="77777777" w:rsidTr="00E3622C">
        <w:tc>
          <w:tcPr>
            <w:tcW w:w="1242" w:type="dxa"/>
            <w:shd w:val="clear" w:color="auto" w:fill="auto"/>
            <w:tcMar>
              <w:top w:w="0" w:type="dxa"/>
              <w:left w:w="108" w:type="dxa"/>
              <w:bottom w:w="0" w:type="dxa"/>
              <w:right w:w="108" w:type="dxa"/>
            </w:tcMar>
          </w:tcPr>
          <w:p w14:paraId="68D5B249" w14:textId="77777777" w:rsidR="00E3622C" w:rsidRPr="00E3622C" w:rsidRDefault="00E3622C" w:rsidP="00C720DB">
            <w:pPr>
              <w:pStyle w:val="TableText"/>
              <w:spacing w:before="20" w:after="20" w:line="480" w:lineRule="auto"/>
              <w:rPr>
                <w:szCs w:val="19"/>
                <w:lang w:val="en-US"/>
              </w:rPr>
            </w:pPr>
            <w:r w:rsidRPr="00E3622C">
              <w:rPr>
                <w:szCs w:val="19"/>
                <w:lang w:val="en-US"/>
              </w:rPr>
              <w:t>Cohort</w:t>
            </w:r>
          </w:p>
        </w:tc>
        <w:tc>
          <w:tcPr>
            <w:tcW w:w="2977" w:type="dxa"/>
            <w:gridSpan w:val="2"/>
            <w:shd w:val="clear" w:color="auto" w:fill="auto"/>
            <w:tcMar>
              <w:top w:w="0" w:type="dxa"/>
              <w:left w:w="108" w:type="dxa"/>
              <w:bottom w:w="0" w:type="dxa"/>
              <w:right w:w="108" w:type="dxa"/>
            </w:tcMar>
          </w:tcPr>
          <w:p w14:paraId="6925825E" w14:textId="77777777" w:rsidR="00E3622C" w:rsidRPr="00E3622C" w:rsidRDefault="00E3622C" w:rsidP="00C720DB">
            <w:pPr>
              <w:pStyle w:val="TableText"/>
              <w:spacing w:before="20" w:after="20" w:line="480" w:lineRule="auto"/>
              <w:rPr>
                <w:szCs w:val="19"/>
                <w:lang w:val="en-US"/>
              </w:rPr>
            </w:pPr>
            <w:r w:rsidRPr="00E3622C">
              <w:rPr>
                <w:szCs w:val="19"/>
                <w:lang w:val="en-US"/>
              </w:rPr>
              <w:t>2005-2007</w:t>
            </w:r>
          </w:p>
        </w:tc>
        <w:tc>
          <w:tcPr>
            <w:tcW w:w="947" w:type="dxa"/>
            <w:shd w:val="clear" w:color="auto" w:fill="auto"/>
            <w:tcMar>
              <w:top w:w="0" w:type="dxa"/>
              <w:left w:w="108" w:type="dxa"/>
              <w:bottom w:w="0" w:type="dxa"/>
              <w:right w:w="108" w:type="dxa"/>
            </w:tcMar>
          </w:tcPr>
          <w:p w14:paraId="5F0746E9"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10158</w:t>
            </w:r>
          </w:p>
        </w:tc>
        <w:tc>
          <w:tcPr>
            <w:tcW w:w="930" w:type="dxa"/>
            <w:shd w:val="clear" w:color="auto" w:fill="auto"/>
            <w:tcMar>
              <w:top w:w="0" w:type="dxa"/>
              <w:left w:w="108" w:type="dxa"/>
              <w:bottom w:w="0" w:type="dxa"/>
              <w:right w:w="108" w:type="dxa"/>
            </w:tcMar>
          </w:tcPr>
          <w:p w14:paraId="35382EAA"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60</w:t>
            </w:r>
          </w:p>
        </w:tc>
      </w:tr>
      <w:tr w:rsidR="00E3622C" w:rsidRPr="00E3622C" w14:paraId="0C9E6E7B" w14:textId="77777777" w:rsidTr="00E3622C">
        <w:tc>
          <w:tcPr>
            <w:tcW w:w="1242" w:type="dxa"/>
            <w:shd w:val="clear" w:color="auto" w:fill="auto"/>
            <w:tcMar>
              <w:top w:w="0" w:type="dxa"/>
              <w:left w:w="108" w:type="dxa"/>
              <w:bottom w:w="0" w:type="dxa"/>
              <w:right w:w="108" w:type="dxa"/>
            </w:tcMar>
          </w:tcPr>
          <w:p w14:paraId="3AB6A3CF"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0BB71DAF" w14:textId="77777777" w:rsidR="00E3622C" w:rsidRPr="00E3622C" w:rsidRDefault="00E3622C" w:rsidP="00C720DB">
            <w:pPr>
              <w:pStyle w:val="TableText"/>
              <w:spacing w:before="20" w:after="20" w:line="480" w:lineRule="auto"/>
              <w:rPr>
                <w:szCs w:val="19"/>
                <w:lang w:val="en-US"/>
              </w:rPr>
            </w:pPr>
            <w:r w:rsidRPr="00E3622C">
              <w:rPr>
                <w:szCs w:val="19"/>
                <w:lang w:val="en-US"/>
              </w:rPr>
              <w:t>2015-2017</w:t>
            </w:r>
          </w:p>
        </w:tc>
        <w:tc>
          <w:tcPr>
            <w:tcW w:w="947" w:type="dxa"/>
            <w:shd w:val="clear" w:color="auto" w:fill="auto"/>
            <w:tcMar>
              <w:top w:w="0" w:type="dxa"/>
              <w:left w:w="108" w:type="dxa"/>
              <w:bottom w:w="0" w:type="dxa"/>
              <w:right w:w="108" w:type="dxa"/>
            </w:tcMar>
          </w:tcPr>
          <w:p w14:paraId="0AFA821E"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6898</w:t>
            </w:r>
          </w:p>
        </w:tc>
        <w:tc>
          <w:tcPr>
            <w:tcW w:w="930" w:type="dxa"/>
            <w:shd w:val="clear" w:color="auto" w:fill="auto"/>
            <w:tcMar>
              <w:top w:w="0" w:type="dxa"/>
              <w:left w:w="108" w:type="dxa"/>
              <w:bottom w:w="0" w:type="dxa"/>
              <w:right w:w="108" w:type="dxa"/>
            </w:tcMar>
          </w:tcPr>
          <w:p w14:paraId="475E6D93"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40</w:t>
            </w:r>
          </w:p>
        </w:tc>
      </w:tr>
      <w:tr w:rsidR="00E3622C" w:rsidRPr="00E3622C" w14:paraId="5B45A017" w14:textId="77777777" w:rsidTr="00E3622C">
        <w:tc>
          <w:tcPr>
            <w:tcW w:w="1242" w:type="dxa"/>
            <w:shd w:val="clear" w:color="auto" w:fill="auto"/>
            <w:tcMar>
              <w:top w:w="0" w:type="dxa"/>
              <w:left w:w="108" w:type="dxa"/>
              <w:bottom w:w="0" w:type="dxa"/>
              <w:right w:w="108" w:type="dxa"/>
            </w:tcMar>
          </w:tcPr>
          <w:p w14:paraId="35012280"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07955CB9" w14:textId="77777777" w:rsidR="00E3622C" w:rsidRPr="00E3622C" w:rsidRDefault="00E3622C" w:rsidP="00C720DB">
            <w:pPr>
              <w:pStyle w:val="TableText"/>
              <w:spacing w:before="20" w:after="20" w:line="480" w:lineRule="auto"/>
              <w:rPr>
                <w:szCs w:val="19"/>
                <w:lang w:val="en-US"/>
              </w:rPr>
            </w:pPr>
          </w:p>
        </w:tc>
        <w:tc>
          <w:tcPr>
            <w:tcW w:w="947" w:type="dxa"/>
            <w:shd w:val="clear" w:color="auto" w:fill="auto"/>
            <w:tcMar>
              <w:top w:w="0" w:type="dxa"/>
              <w:left w:w="108" w:type="dxa"/>
              <w:bottom w:w="0" w:type="dxa"/>
              <w:right w:w="108" w:type="dxa"/>
            </w:tcMar>
          </w:tcPr>
          <w:p w14:paraId="0812DEFB" w14:textId="77777777" w:rsidR="00E3622C" w:rsidRPr="00E3622C" w:rsidRDefault="00E3622C" w:rsidP="00C720DB">
            <w:pPr>
              <w:pStyle w:val="TableText"/>
              <w:spacing w:before="20" w:after="20" w:line="480" w:lineRule="auto"/>
              <w:jc w:val="right"/>
              <w:rPr>
                <w:szCs w:val="19"/>
                <w:lang w:val="en-US"/>
              </w:rPr>
            </w:pPr>
          </w:p>
        </w:tc>
        <w:tc>
          <w:tcPr>
            <w:tcW w:w="930" w:type="dxa"/>
            <w:shd w:val="clear" w:color="auto" w:fill="auto"/>
            <w:tcMar>
              <w:top w:w="0" w:type="dxa"/>
              <w:left w:w="108" w:type="dxa"/>
              <w:bottom w:w="0" w:type="dxa"/>
              <w:right w:w="108" w:type="dxa"/>
            </w:tcMar>
          </w:tcPr>
          <w:p w14:paraId="5700F862" w14:textId="77777777" w:rsidR="00E3622C" w:rsidRPr="00E3622C" w:rsidRDefault="00E3622C" w:rsidP="00C720DB">
            <w:pPr>
              <w:pStyle w:val="TableText"/>
              <w:spacing w:before="20" w:after="20" w:line="480" w:lineRule="auto"/>
              <w:jc w:val="right"/>
              <w:rPr>
                <w:szCs w:val="19"/>
                <w:lang w:val="en-US"/>
              </w:rPr>
            </w:pPr>
          </w:p>
        </w:tc>
      </w:tr>
      <w:tr w:rsidR="00E3622C" w:rsidRPr="00E3622C" w14:paraId="53FEB24D" w14:textId="77777777" w:rsidTr="00E3622C">
        <w:tc>
          <w:tcPr>
            <w:tcW w:w="1242" w:type="dxa"/>
            <w:shd w:val="clear" w:color="auto" w:fill="auto"/>
            <w:tcMar>
              <w:top w:w="0" w:type="dxa"/>
              <w:left w:w="108" w:type="dxa"/>
              <w:bottom w:w="0" w:type="dxa"/>
              <w:right w:w="108" w:type="dxa"/>
            </w:tcMar>
          </w:tcPr>
          <w:p w14:paraId="191B800E" w14:textId="77777777" w:rsidR="00E3622C" w:rsidRPr="00E3622C" w:rsidRDefault="00E3622C" w:rsidP="00C720DB">
            <w:pPr>
              <w:pStyle w:val="TableText"/>
              <w:spacing w:before="20" w:after="20" w:line="480" w:lineRule="auto"/>
              <w:rPr>
                <w:szCs w:val="19"/>
                <w:lang w:val="en-US"/>
              </w:rPr>
            </w:pPr>
            <w:r w:rsidRPr="00E3622C">
              <w:rPr>
                <w:szCs w:val="19"/>
                <w:lang w:val="en-US"/>
              </w:rPr>
              <w:t>Region</w:t>
            </w:r>
          </w:p>
        </w:tc>
        <w:tc>
          <w:tcPr>
            <w:tcW w:w="2977" w:type="dxa"/>
            <w:gridSpan w:val="2"/>
            <w:shd w:val="clear" w:color="auto" w:fill="auto"/>
            <w:tcMar>
              <w:top w:w="0" w:type="dxa"/>
              <w:left w:w="108" w:type="dxa"/>
              <w:bottom w:w="0" w:type="dxa"/>
              <w:right w:w="108" w:type="dxa"/>
            </w:tcMar>
          </w:tcPr>
          <w:p w14:paraId="4F0C4990" w14:textId="500FCBB2" w:rsidR="00E3622C" w:rsidRPr="00E3622C" w:rsidRDefault="00E3622C" w:rsidP="00C720DB">
            <w:pPr>
              <w:pStyle w:val="TableText"/>
              <w:spacing w:before="20" w:after="20" w:line="480" w:lineRule="auto"/>
              <w:rPr>
                <w:szCs w:val="19"/>
                <w:lang w:val="en-US"/>
              </w:rPr>
            </w:pPr>
            <w:r w:rsidRPr="00E3622C">
              <w:rPr>
                <w:szCs w:val="19"/>
                <w:lang w:val="en-US"/>
              </w:rPr>
              <w:t>Tyne &amp; Wear</w:t>
            </w:r>
          </w:p>
        </w:tc>
        <w:tc>
          <w:tcPr>
            <w:tcW w:w="947" w:type="dxa"/>
            <w:shd w:val="clear" w:color="auto" w:fill="auto"/>
            <w:tcMar>
              <w:top w:w="0" w:type="dxa"/>
              <w:left w:w="108" w:type="dxa"/>
              <w:bottom w:w="0" w:type="dxa"/>
              <w:right w:w="108" w:type="dxa"/>
            </w:tcMar>
          </w:tcPr>
          <w:p w14:paraId="256F0729"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349</w:t>
            </w:r>
          </w:p>
        </w:tc>
        <w:tc>
          <w:tcPr>
            <w:tcW w:w="930" w:type="dxa"/>
            <w:shd w:val="clear" w:color="auto" w:fill="auto"/>
            <w:tcMar>
              <w:top w:w="0" w:type="dxa"/>
              <w:left w:w="108" w:type="dxa"/>
              <w:bottom w:w="0" w:type="dxa"/>
              <w:right w:w="108" w:type="dxa"/>
            </w:tcMar>
          </w:tcPr>
          <w:p w14:paraId="2F726E50"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2</w:t>
            </w:r>
          </w:p>
        </w:tc>
      </w:tr>
      <w:tr w:rsidR="00E3622C" w:rsidRPr="00E3622C" w14:paraId="217956DB" w14:textId="77777777" w:rsidTr="00E3622C">
        <w:tc>
          <w:tcPr>
            <w:tcW w:w="1242" w:type="dxa"/>
            <w:shd w:val="clear" w:color="auto" w:fill="auto"/>
            <w:tcMar>
              <w:top w:w="0" w:type="dxa"/>
              <w:left w:w="108" w:type="dxa"/>
              <w:bottom w:w="0" w:type="dxa"/>
              <w:right w:w="108" w:type="dxa"/>
            </w:tcMar>
          </w:tcPr>
          <w:p w14:paraId="6D0B1980"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5DDE220F" w14:textId="09065E62" w:rsidR="00E3622C" w:rsidRPr="00E3622C" w:rsidRDefault="00E3622C" w:rsidP="00C720DB">
            <w:pPr>
              <w:pStyle w:val="TableText"/>
              <w:spacing w:before="20" w:after="20" w:line="480" w:lineRule="auto"/>
              <w:rPr>
                <w:szCs w:val="19"/>
                <w:lang w:val="en-US"/>
              </w:rPr>
            </w:pPr>
            <w:r w:rsidRPr="00E3622C">
              <w:rPr>
                <w:szCs w:val="19"/>
                <w:lang w:val="en-US"/>
              </w:rPr>
              <w:t>Rest of Northern region</w:t>
            </w:r>
          </w:p>
        </w:tc>
        <w:tc>
          <w:tcPr>
            <w:tcW w:w="947" w:type="dxa"/>
            <w:shd w:val="clear" w:color="auto" w:fill="auto"/>
            <w:tcMar>
              <w:top w:w="0" w:type="dxa"/>
              <w:left w:w="108" w:type="dxa"/>
              <w:bottom w:w="0" w:type="dxa"/>
              <w:right w:w="108" w:type="dxa"/>
            </w:tcMar>
          </w:tcPr>
          <w:p w14:paraId="2DCD7C48"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516</w:t>
            </w:r>
          </w:p>
        </w:tc>
        <w:tc>
          <w:tcPr>
            <w:tcW w:w="930" w:type="dxa"/>
            <w:shd w:val="clear" w:color="auto" w:fill="auto"/>
            <w:tcMar>
              <w:top w:w="0" w:type="dxa"/>
              <w:left w:w="108" w:type="dxa"/>
              <w:bottom w:w="0" w:type="dxa"/>
              <w:right w:w="108" w:type="dxa"/>
            </w:tcMar>
          </w:tcPr>
          <w:p w14:paraId="3F25A009"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3</w:t>
            </w:r>
          </w:p>
        </w:tc>
      </w:tr>
      <w:tr w:rsidR="00E3622C" w:rsidRPr="00E3622C" w14:paraId="30B78740" w14:textId="77777777" w:rsidTr="00E3622C">
        <w:tc>
          <w:tcPr>
            <w:tcW w:w="1242" w:type="dxa"/>
            <w:shd w:val="clear" w:color="auto" w:fill="auto"/>
            <w:tcMar>
              <w:top w:w="0" w:type="dxa"/>
              <w:left w:w="108" w:type="dxa"/>
              <w:bottom w:w="0" w:type="dxa"/>
              <w:right w:w="108" w:type="dxa"/>
            </w:tcMar>
          </w:tcPr>
          <w:p w14:paraId="4705E461"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48172864" w14:textId="545F8C99" w:rsidR="00E3622C" w:rsidRPr="00E3622C" w:rsidRDefault="00E3622C" w:rsidP="00C720DB">
            <w:pPr>
              <w:pStyle w:val="TableText"/>
              <w:spacing w:before="20" w:after="20" w:line="480" w:lineRule="auto"/>
              <w:rPr>
                <w:szCs w:val="19"/>
                <w:lang w:val="en-US"/>
              </w:rPr>
            </w:pPr>
            <w:r w:rsidRPr="00E3622C">
              <w:rPr>
                <w:szCs w:val="19"/>
                <w:lang w:val="en-US"/>
              </w:rPr>
              <w:t>South Yorkshire</w:t>
            </w:r>
          </w:p>
        </w:tc>
        <w:tc>
          <w:tcPr>
            <w:tcW w:w="947" w:type="dxa"/>
            <w:shd w:val="clear" w:color="auto" w:fill="auto"/>
            <w:tcMar>
              <w:top w:w="0" w:type="dxa"/>
              <w:left w:w="108" w:type="dxa"/>
              <w:bottom w:w="0" w:type="dxa"/>
              <w:right w:w="108" w:type="dxa"/>
            </w:tcMar>
          </w:tcPr>
          <w:p w14:paraId="3B756549"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401</w:t>
            </w:r>
          </w:p>
        </w:tc>
        <w:tc>
          <w:tcPr>
            <w:tcW w:w="930" w:type="dxa"/>
            <w:shd w:val="clear" w:color="auto" w:fill="auto"/>
            <w:tcMar>
              <w:top w:w="0" w:type="dxa"/>
              <w:left w:w="108" w:type="dxa"/>
              <w:bottom w:w="0" w:type="dxa"/>
              <w:right w:w="108" w:type="dxa"/>
            </w:tcMar>
          </w:tcPr>
          <w:p w14:paraId="21BB7D02"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2</w:t>
            </w:r>
          </w:p>
        </w:tc>
      </w:tr>
      <w:tr w:rsidR="00E3622C" w:rsidRPr="00E3622C" w14:paraId="45F157A1" w14:textId="77777777" w:rsidTr="00E3622C">
        <w:tc>
          <w:tcPr>
            <w:tcW w:w="1242" w:type="dxa"/>
            <w:shd w:val="clear" w:color="auto" w:fill="auto"/>
            <w:tcMar>
              <w:top w:w="0" w:type="dxa"/>
              <w:left w:w="108" w:type="dxa"/>
              <w:bottom w:w="0" w:type="dxa"/>
              <w:right w:w="108" w:type="dxa"/>
            </w:tcMar>
          </w:tcPr>
          <w:p w14:paraId="0BCC6DB5"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3C9968DC" w14:textId="70A1AFDB" w:rsidR="00E3622C" w:rsidRPr="00E3622C" w:rsidRDefault="00E3622C" w:rsidP="00C720DB">
            <w:pPr>
              <w:pStyle w:val="TableText"/>
              <w:spacing w:before="20" w:after="20" w:line="480" w:lineRule="auto"/>
              <w:rPr>
                <w:szCs w:val="19"/>
                <w:lang w:val="en-US"/>
              </w:rPr>
            </w:pPr>
            <w:r w:rsidRPr="00E3622C">
              <w:rPr>
                <w:szCs w:val="19"/>
                <w:lang w:val="en-US"/>
              </w:rPr>
              <w:t>West Yorkshire</w:t>
            </w:r>
          </w:p>
        </w:tc>
        <w:tc>
          <w:tcPr>
            <w:tcW w:w="947" w:type="dxa"/>
            <w:shd w:val="clear" w:color="auto" w:fill="auto"/>
            <w:tcMar>
              <w:top w:w="0" w:type="dxa"/>
              <w:left w:w="108" w:type="dxa"/>
              <w:bottom w:w="0" w:type="dxa"/>
              <w:right w:w="108" w:type="dxa"/>
            </w:tcMar>
          </w:tcPr>
          <w:p w14:paraId="64588AEC"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739</w:t>
            </w:r>
          </w:p>
        </w:tc>
        <w:tc>
          <w:tcPr>
            <w:tcW w:w="930" w:type="dxa"/>
            <w:shd w:val="clear" w:color="auto" w:fill="auto"/>
            <w:tcMar>
              <w:top w:w="0" w:type="dxa"/>
              <w:left w:w="108" w:type="dxa"/>
              <w:bottom w:w="0" w:type="dxa"/>
              <w:right w:w="108" w:type="dxa"/>
            </w:tcMar>
          </w:tcPr>
          <w:p w14:paraId="33D6791F"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w:t>
            </w:r>
          </w:p>
        </w:tc>
      </w:tr>
      <w:tr w:rsidR="00E3622C" w:rsidRPr="00E3622C" w14:paraId="7B0838A0" w14:textId="77777777" w:rsidTr="00E3622C">
        <w:tc>
          <w:tcPr>
            <w:tcW w:w="1242" w:type="dxa"/>
            <w:shd w:val="clear" w:color="auto" w:fill="auto"/>
            <w:tcMar>
              <w:top w:w="0" w:type="dxa"/>
              <w:left w:w="108" w:type="dxa"/>
              <w:bottom w:w="0" w:type="dxa"/>
              <w:right w:w="108" w:type="dxa"/>
            </w:tcMar>
          </w:tcPr>
          <w:p w14:paraId="56BB8C43"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7400B8D5" w14:textId="05E46271" w:rsidR="00E3622C" w:rsidRPr="00E3622C" w:rsidRDefault="00E3622C" w:rsidP="00C720DB">
            <w:pPr>
              <w:pStyle w:val="TableText"/>
              <w:spacing w:before="20" w:after="20" w:line="480" w:lineRule="auto"/>
              <w:rPr>
                <w:szCs w:val="19"/>
                <w:lang w:val="en-US"/>
              </w:rPr>
            </w:pPr>
            <w:r w:rsidRPr="00E3622C">
              <w:rPr>
                <w:szCs w:val="19"/>
                <w:lang w:val="en-US"/>
              </w:rPr>
              <w:t xml:space="preserve">Rest of </w:t>
            </w:r>
            <w:proofErr w:type="spellStart"/>
            <w:r w:rsidRPr="00E3622C">
              <w:rPr>
                <w:szCs w:val="19"/>
                <w:lang w:val="en-US"/>
              </w:rPr>
              <w:t>Yorks</w:t>
            </w:r>
            <w:proofErr w:type="spellEnd"/>
            <w:r w:rsidRPr="00E3622C">
              <w:rPr>
                <w:szCs w:val="19"/>
                <w:lang w:val="en-US"/>
              </w:rPr>
              <w:t xml:space="preserve"> &amp; Humberside</w:t>
            </w:r>
          </w:p>
        </w:tc>
        <w:tc>
          <w:tcPr>
            <w:tcW w:w="947" w:type="dxa"/>
            <w:shd w:val="clear" w:color="auto" w:fill="auto"/>
            <w:tcMar>
              <w:top w:w="0" w:type="dxa"/>
              <w:left w:w="108" w:type="dxa"/>
              <w:bottom w:w="0" w:type="dxa"/>
              <w:right w:w="108" w:type="dxa"/>
            </w:tcMar>
          </w:tcPr>
          <w:p w14:paraId="5ABFC30E"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493</w:t>
            </w:r>
          </w:p>
        </w:tc>
        <w:tc>
          <w:tcPr>
            <w:tcW w:w="930" w:type="dxa"/>
            <w:shd w:val="clear" w:color="auto" w:fill="auto"/>
            <w:tcMar>
              <w:top w:w="0" w:type="dxa"/>
              <w:left w:w="108" w:type="dxa"/>
              <w:bottom w:w="0" w:type="dxa"/>
              <w:right w:w="108" w:type="dxa"/>
            </w:tcMar>
          </w:tcPr>
          <w:p w14:paraId="09AADDB6"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w:t>
            </w:r>
          </w:p>
        </w:tc>
      </w:tr>
      <w:tr w:rsidR="00E3622C" w:rsidRPr="00E3622C" w14:paraId="1664C973" w14:textId="77777777" w:rsidTr="00E3622C">
        <w:tc>
          <w:tcPr>
            <w:tcW w:w="1242" w:type="dxa"/>
            <w:shd w:val="clear" w:color="auto" w:fill="auto"/>
            <w:tcMar>
              <w:top w:w="0" w:type="dxa"/>
              <w:left w:w="108" w:type="dxa"/>
              <w:bottom w:w="0" w:type="dxa"/>
              <w:right w:w="108" w:type="dxa"/>
            </w:tcMar>
          </w:tcPr>
          <w:p w14:paraId="05714418"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654E0AD5" w14:textId="25A14286" w:rsidR="00E3622C" w:rsidRPr="00E3622C" w:rsidRDefault="00E3622C" w:rsidP="00C720DB">
            <w:pPr>
              <w:pStyle w:val="TableText"/>
              <w:spacing w:before="20" w:after="20" w:line="480" w:lineRule="auto"/>
              <w:rPr>
                <w:szCs w:val="19"/>
                <w:lang w:val="en-US"/>
              </w:rPr>
            </w:pPr>
            <w:r w:rsidRPr="00E3622C">
              <w:rPr>
                <w:szCs w:val="19"/>
                <w:lang w:val="en-US"/>
              </w:rPr>
              <w:t>East Midlands</w:t>
            </w:r>
          </w:p>
        </w:tc>
        <w:tc>
          <w:tcPr>
            <w:tcW w:w="947" w:type="dxa"/>
            <w:shd w:val="clear" w:color="auto" w:fill="auto"/>
            <w:tcMar>
              <w:top w:w="0" w:type="dxa"/>
              <w:left w:w="108" w:type="dxa"/>
              <w:bottom w:w="0" w:type="dxa"/>
              <w:right w:w="108" w:type="dxa"/>
            </w:tcMar>
          </w:tcPr>
          <w:p w14:paraId="7E027D78"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1396</w:t>
            </w:r>
          </w:p>
        </w:tc>
        <w:tc>
          <w:tcPr>
            <w:tcW w:w="930" w:type="dxa"/>
            <w:shd w:val="clear" w:color="auto" w:fill="auto"/>
            <w:tcMar>
              <w:top w:w="0" w:type="dxa"/>
              <w:left w:w="108" w:type="dxa"/>
              <w:bottom w:w="0" w:type="dxa"/>
              <w:right w:w="108" w:type="dxa"/>
            </w:tcMar>
          </w:tcPr>
          <w:p w14:paraId="40945A9B"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8</w:t>
            </w:r>
          </w:p>
        </w:tc>
      </w:tr>
      <w:tr w:rsidR="00E3622C" w:rsidRPr="00E3622C" w14:paraId="5F92CE11" w14:textId="77777777" w:rsidTr="00E3622C">
        <w:tc>
          <w:tcPr>
            <w:tcW w:w="1242" w:type="dxa"/>
            <w:shd w:val="clear" w:color="auto" w:fill="auto"/>
            <w:tcMar>
              <w:top w:w="0" w:type="dxa"/>
              <w:left w:w="108" w:type="dxa"/>
              <w:bottom w:w="0" w:type="dxa"/>
              <w:right w:w="108" w:type="dxa"/>
            </w:tcMar>
          </w:tcPr>
          <w:p w14:paraId="3390EBCA"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59B261E6" w14:textId="3681CE5F" w:rsidR="00E3622C" w:rsidRPr="00E3622C" w:rsidRDefault="00E3622C" w:rsidP="00C720DB">
            <w:pPr>
              <w:pStyle w:val="TableText"/>
              <w:spacing w:before="20" w:after="20" w:line="480" w:lineRule="auto"/>
              <w:rPr>
                <w:szCs w:val="19"/>
                <w:lang w:val="en-US"/>
              </w:rPr>
            </w:pPr>
            <w:r w:rsidRPr="00E3622C">
              <w:rPr>
                <w:szCs w:val="19"/>
                <w:lang w:val="en-US"/>
              </w:rPr>
              <w:t>East Anglia</w:t>
            </w:r>
          </w:p>
        </w:tc>
        <w:tc>
          <w:tcPr>
            <w:tcW w:w="947" w:type="dxa"/>
            <w:shd w:val="clear" w:color="auto" w:fill="auto"/>
            <w:tcMar>
              <w:top w:w="0" w:type="dxa"/>
              <w:left w:w="108" w:type="dxa"/>
              <w:bottom w:w="0" w:type="dxa"/>
              <w:right w:w="108" w:type="dxa"/>
            </w:tcMar>
          </w:tcPr>
          <w:p w14:paraId="2B629344"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741</w:t>
            </w:r>
          </w:p>
        </w:tc>
        <w:tc>
          <w:tcPr>
            <w:tcW w:w="930" w:type="dxa"/>
            <w:shd w:val="clear" w:color="auto" w:fill="auto"/>
            <w:tcMar>
              <w:top w:w="0" w:type="dxa"/>
              <w:left w:w="108" w:type="dxa"/>
              <w:bottom w:w="0" w:type="dxa"/>
              <w:right w:w="108" w:type="dxa"/>
            </w:tcMar>
          </w:tcPr>
          <w:p w14:paraId="7FB861F4"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w:t>
            </w:r>
          </w:p>
        </w:tc>
      </w:tr>
      <w:tr w:rsidR="00E3622C" w:rsidRPr="00E3622C" w14:paraId="4EB39D6E" w14:textId="77777777" w:rsidTr="00E3622C">
        <w:tc>
          <w:tcPr>
            <w:tcW w:w="1242" w:type="dxa"/>
            <w:shd w:val="clear" w:color="auto" w:fill="auto"/>
            <w:tcMar>
              <w:top w:w="0" w:type="dxa"/>
              <w:left w:w="108" w:type="dxa"/>
              <w:bottom w:w="0" w:type="dxa"/>
              <w:right w:w="108" w:type="dxa"/>
            </w:tcMar>
          </w:tcPr>
          <w:p w14:paraId="1DF848E8"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5911A0E1" w14:textId="2CD6D520" w:rsidR="00E3622C" w:rsidRPr="00E3622C" w:rsidRDefault="00E3622C" w:rsidP="00C720DB">
            <w:pPr>
              <w:pStyle w:val="TableText"/>
              <w:spacing w:before="20" w:after="20" w:line="480" w:lineRule="auto"/>
              <w:rPr>
                <w:szCs w:val="19"/>
                <w:lang w:val="en-US"/>
              </w:rPr>
            </w:pPr>
            <w:r w:rsidRPr="00E3622C">
              <w:rPr>
                <w:szCs w:val="19"/>
                <w:lang w:val="en-US"/>
              </w:rPr>
              <w:t>Inner London</w:t>
            </w:r>
          </w:p>
        </w:tc>
        <w:tc>
          <w:tcPr>
            <w:tcW w:w="947" w:type="dxa"/>
            <w:shd w:val="clear" w:color="auto" w:fill="auto"/>
            <w:tcMar>
              <w:top w:w="0" w:type="dxa"/>
              <w:left w:w="108" w:type="dxa"/>
              <w:bottom w:w="0" w:type="dxa"/>
              <w:right w:w="108" w:type="dxa"/>
            </w:tcMar>
          </w:tcPr>
          <w:p w14:paraId="1455C536"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493</w:t>
            </w:r>
          </w:p>
        </w:tc>
        <w:tc>
          <w:tcPr>
            <w:tcW w:w="930" w:type="dxa"/>
            <w:shd w:val="clear" w:color="auto" w:fill="auto"/>
            <w:tcMar>
              <w:top w:w="0" w:type="dxa"/>
              <w:left w:w="108" w:type="dxa"/>
              <w:bottom w:w="0" w:type="dxa"/>
              <w:right w:w="108" w:type="dxa"/>
            </w:tcMar>
          </w:tcPr>
          <w:p w14:paraId="397B6A8E"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3</w:t>
            </w:r>
          </w:p>
        </w:tc>
      </w:tr>
      <w:tr w:rsidR="00E3622C" w:rsidRPr="00E3622C" w14:paraId="46CF6479" w14:textId="77777777" w:rsidTr="00E3622C">
        <w:tc>
          <w:tcPr>
            <w:tcW w:w="1242" w:type="dxa"/>
            <w:shd w:val="clear" w:color="auto" w:fill="auto"/>
            <w:tcMar>
              <w:top w:w="0" w:type="dxa"/>
              <w:left w:w="108" w:type="dxa"/>
              <w:bottom w:w="0" w:type="dxa"/>
              <w:right w:w="108" w:type="dxa"/>
            </w:tcMar>
          </w:tcPr>
          <w:p w14:paraId="5BAB689D"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59D93F34" w14:textId="48BAF275" w:rsidR="00E3622C" w:rsidRPr="00E3622C" w:rsidRDefault="00E3622C" w:rsidP="00C720DB">
            <w:pPr>
              <w:pStyle w:val="TableText"/>
              <w:spacing w:before="20" w:after="20" w:line="480" w:lineRule="auto"/>
              <w:rPr>
                <w:szCs w:val="19"/>
                <w:lang w:val="en-US"/>
              </w:rPr>
            </w:pPr>
            <w:r w:rsidRPr="00E3622C">
              <w:rPr>
                <w:szCs w:val="19"/>
                <w:lang w:val="en-US"/>
              </w:rPr>
              <w:t>Outer London</w:t>
            </w:r>
          </w:p>
        </w:tc>
        <w:tc>
          <w:tcPr>
            <w:tcW w:w="947" w:type="dxa"/>
            <w:shd w:val="clear" w:color="auto" w:fill="auto"/>
            <w:tcMar>
              <w:top w:w="0" w:type="dxa"/>
              <w:left w:w="108" w:type="dxa"/>
              <w:bottom w:w="0" w:type="dxa"/>
              <w:right w:w="108" w:type="dxa"/>
            </w:tcMar>
          </w:tcPr>
          <w:p w14:paraId="7E5A8481"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1040</w:t>
            </w:r>
          </w:p>
        </w:tc>
        <w:tc>
          <w:tcPr>
            <w:tcW w:w="930" w:type="dxa"/>
            <w:shd w:val="clear" w:color="auto" w:fill="auto"/>
            <w:tcMar>
              <w:top w:w="0" w:type="dxa"/>
              <w:left w:w="108" w:type="dxa"/>
              <w:bottom w:w="0" w:type="dxa"/>
              <w:right w:w="108" w:type="dxa"/>
            </w:tcMar>
          </w:tcPr>
          <w:p w14:paraId="719A482A"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6</w:t>
            </w:r>
          </w:p>
        </w:tc>
      </w:tr>
      <w:tr w:rsidR="00E3622C" w:rsidRPr="00E3622C" w14:paraId="2B251354" w14:textId="77777777" w:rsidTr="00E3622C">
        <w:tc>
          <w:tcPr>
            <w:tcW w:w="1242" w:type="dxa"/>
            <w:shd w:val="clear" w:color="auto" w:fill="auto"/>
            <w:tcMar>
              <w:top w:w="0" w:type="dxa"/>
              <w:left w:w="108" w:type="dxa"/>
              <w:bottom w:w="0" w:type="dxa"/>
              <w:right w:w="108" w:type="dxa"/>
            </w:tcMar>
          </w:tcPr>
          <w:p w14:paraId="1D4E617B"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62FE7842" w14:textId="46F4576F" w:rsidR="00E3622C" w:rsidRPr="00E3622C" w:rsidRDefault="00E3622C" w:rsidP="00C720DB">
            <w:pPr>
              <w:pStyle w:val="TableText"/>
              <w:spacing w:before="20" w:after="20" w:line="480" w:lineRule="auto"/>
              <w:rPr>
                <w:szCs w:val="19"/>
                <w:lang w:val="en-US"/>
              </w:rPr>
            </w:pPr>
            <w:r w:rsidRPr="00E3622C">
              <w:rPr>
                <w:szCs w:val="19"/>
                <w:lang w:val="en-US"/>
              </w:rPr>
              <w:t>Rest of South East</w:t>
            </w:r>
          </w:p>
        </w:tc>
        <w:tc>
          <w:tcPr>
            <w:tcW w:w="947" w:type="dxa"/>
            <w:shd w:val="clear" w:color="auto" w:fill="auto"/>
            <w:tcMar>
              <w:top w:w="0" w:type="dxa"/>
              <w:left w:w="108" w:type="dxa"/>
              <w:bottom w:w="0" w:type="dxa"/>
              <w:right w:w="108" w:type="dxa"/>
            </w:tcMar>
          </w:tcPr>
          <w:p w14:paraId="57586E3E"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3257</w:t>
            </w:r>
          </w:p>
        </w:tc>
        <w:tc>
          <w:tcPr>
            <w:tcW w:w="930" w:type="dxa"/>
            <w:shd w:val="clear" w:color="auto" w:fill="auto"/>
            <w:tcMar>
              <w:top w:w="0" w:type="dxa"/>
              <w:left w:w="108" w:type="dxa"/>
              <w:bottom w:w="0" w:type="dxa"/>
              <w:right w:w="108" w:type="dxa"/>
            </w:tcMar>
          </w:tcPr>
          <w:p w14:paraId="768A1A6F"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19</w:t>
            </w:r>
          </w:p>
        </w:tc>
      </w:tr>
      <w:tr w:rsidR="00E3622C" w:rsidRPr="00E3622C" w14:paraId="44C1C2DA" w14:textId="77777777" w:rsidTr="00E3622C">
        <w:tc>
          <w:tcPr>
            <w:tcW w:w="1242" w:type="dxa"/>
            <w:shd w:val="clear" w:color="auto" w:fill="auto"/>
            <w:tcMar>
              <w:top w:w="0" w:type="dxa"/>
              <w:left w:w="108" w:type="dxa"/>
              <w:bottom w:w="0" w:type="dxa"/>
              <w:right w:w="108" w:type="dxa"/>
            </w:tcMar>
          </w:tcPr>
          <w:p w14:paraId="486352DC"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256E977E" w14:textId="26CB0A81" w:rsidR="00E3622C" w:rsidRPr="00E3622C" w:rsidRDefault="00E3622C" w:rsidP="00C720DB">
            <w:pPr>
              <w:pStyle w:val="TableText"/>
              <w:spacing w:before="20" w:after="20" w:line="480" w:lineRule="auto"/>
              <w:rPr>
                <w:szCs w:val="19"/>
                <w:lang w:val="en-US"/>
              </w:rPr>
            </w:pPr>
            <w:r w:rsidRPr="00E3622C">
              <w:rPr>
                <w:szCs w:val="19"/>
                <w:lang w:val="en-US"/>
              </w:rPr>
              <w:t>South West</w:t>
            </w:r>
          </w:p>
        </w:tc>
        <w:tc>
          <w:tcPr>
            <w:tcW w:w="947" w:type="dxa"/>
            <w:shd w:val="clear" w:color="auto" w:fill="auto"/>
            <w:tcMar>
              <w:top w:w="0" w:type="dxa"/>
              <w:left w:w="108" w:type="dxa"/>
              <w:bottom w:w="0" w:type="dxa"/>
              <w:right w:w="108" w:type="dxa"/>
            </w:tcMar>
          </w:tcPr>
          <w:p w14:paraId="1EB680E3"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1405</w:t>
            </w:r>
          </w:p>
        </w:tc>
        <w:tc>
          <w:tcPr>
            <w:tcW w:w="930" w:type="dxa"/>
            <w:shd w:val="clear" w:color="auto" w:fill="auto"/>
            <w:tcMar>
              <w:top w:w="0" w:type="dxa"/>
              <w:left w:w="108" w:type="dxa"/>
              <w:bottom w:w="0" w:type="dxa"/>
              <w:right w:w="108" w:type="dxa"/>
            </w:tcMar>
          </w:tcPr>
          <w:p w14:paraId="5A7B3C36"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8</w:t>
            </w:r>
          </w:p>
        </w:tc>
      </w:tr>
      <w:tr w:rsidR="00E3622C" w:rsidRPr="00E3622C" w14:paraId="23232E97" w14:textId="77777777" w:rsidTr="00E3622C">
        <w:tc>
          <w:tcPr>
            <w:tcW w:w="1242" w:type="dxa"/>
            <w:shd w:val="clear" w:color="auto" w:fill="auto"/>
            <w:tcMar>
              <w:top w:w="0" w:type="dxa"/>
              <w:left w:w="108" w:type="dxa"/>
              <w:bottom w:w="0" w:type="dxa"/>
              <w:right w:w="108" w:type="dxa"/>
            </w:tcMar>
          </w:tcPr>
          <w:p w14:paraId="585CF9DD"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01EA76DE" w14:textId="565EADC9" w:rsidR="00E3622C" w:rsidRPr="00E3622C" w:rsidRDefault="00E3622C" w:rsidP="00C720DB">
            <w:pPr>
              <w:pStyle w:val="TableText"/>
              <w:spacing w:before="20" w:after="20" w:line="480" w:lineRule="auto"/>
              <w:rPr>
                <w:szCs w:val="19"/>
                <w:lang w:val="en-US"/>
              </w:rPr>
            </w:pPr>
            <w:r w:rsidRPr="00E3622C">
              <w:rPr>
                <w:szCs w:val="19"/>
                <w:lang w:val="en-US"/>
              </w:rPr>
              <w:t>West Midlands (met county)</w:t>
            </w:r>
          </w:p>
        </w:tc>
        <w:tc>
          <w:tcPr>
            <w:tcW w:w="947" w:type="dxa"/>
            <w:shd w:val="clear" w:color="auto" w:fill="auto"/>
            <w:tcMar>
              <w:top w:w="0" w:type="dxa"/>
              <w:left w:w="108" w:type="dxa"/>
              <w:bottom w:w="0" w:type="dxa"/>
              <w:right w:w="108" w:type="dxa"/>
            </w:tcMar>
          </w:tcPr>
          <w:p w14:paraId="1ADEE57D"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618</w:t>
            </w:r>
          </w:p>
        </w:tc>
        <w:tc>
          <w:tcPr>
            <w:tcW w:w="930" w:type="dxa"/>
            <w:shd w:val="clear" w:color="auto" w:fill="auto"/>
            <w:tcMar>
              <w:top w:w="0" w:type="dxa"/>
              <w:left w:w="108" w:type="dxa"/>
              <w:bottom w:w="0" w:type="dxa"/>
              <w:right w:w="108" w:type="dxa"/>
            </w:tcMar>
          </w:tcPr>
          <w:p w14:paraId="7416A0C9"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w:t>
            </w:r>
          </w:p>
        </w:tc>
      </w:tr>
      <w:tr w:rsidR="00E3622C" w:rsidRPr="00E3622C" w14:paraId="771C2AE9" w14:textId="77777777" w:rsidTr="00E3622C">
        <w:tc>
          <w:tcPr>
            <w:tcW w:w="1242" w:type="dxa"/>
            <w:shd w:val="clear" w:color="auto" w:fill="auto"/>
            <w:tcMar>
              <w:top w:w="0" w:type="dxa"/>
              <w:left w:w="108" w:type="dxa"/>
              <w:bottom w:w="0" w:type="dxa"/>
              <w:right w:w="108" w:type="dxa"/>
            </w:tcMar>
          </w:tcPr>
          <w:p w14:paraId="17BF1C2B"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19A851C6" w14:textId="093DD755" w:rsidR="00E3622C" w:rsidRPr="00E3622C" w:rsidRDefault="00E3622C" w:rsidP="00C720DB">
            <w:pPr>
              <w:pStyle w:val="TableText"/>
              <w:spacing w:before="20" w:after="20" w:line="480" w:lineRule="auto"/>
              <w:rPr>
                <w:szCs w:val="19"/>
                <w:lang w:val="en-US"/>
              </w:rPr>
            </w:pPr>
            <w:r w:rsidRPr="00E3622C">
              <w:rPr>
                <w:szCs w:val="19"/>
                <w:lang w:val="en-US"/>
              </w:rPr>
              <w:t>Rest of West Midlands</w:t>
            </w:r>
          </w:p>
        </w:tc>
        <w:tc>
          <w:tcPr>
            <w:tcW w:w="947" w:type="dxa"/>
            <w:shd w:val="clear" w:color="auto" w:fill="auto"/>
            <w:tcMar>
              <w:top w:w="0" w:type="dxa"/>
              <w:left w:w="108" w:type="dxa"/>
              <w:bottom w:w="0" w:type="dxa"/>
              <w:right w:w="108" w:type="dxa"/>
            </w:tcMar>
          </w:tcPr>
          <w:p w14:paraId="6955DC96"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798</w:t>
            </w:r>
          </w:p>
        </w:tc>
        <w:tc>
          <w:tcPr>
            <w:tcW w:w="930" w:type="dxa"/>
            <w:shd w:val="clear" w:color="auto" w:fill="auto"/>
            <w:tcMar>
              <w:top w:w="0" w:type="dxa"/>
              <w:left w:w="108" w:type="dxa"/>
              <w:bottom w:w="0" w:type="dxa"/>
              <w:right w:w="108" w:type="dxa"/>
            </w:tcMar>
          </w:tcPr>
          <w:p w14:paraId="1DFC6785"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5</w:t>
            </w:r>
          </w:p>
        </w:tc>
      </w:tr>
      <w:tr w:rsidR="00E3622C" w:rsidRPr="00E3622C" w14:paraId="2947F154" w14:textId="77777777" w:rsidTr="00E3622C">
        <w:tc>
          <w:tcPr>
            <w:tcW w:w="1242" w:type="dxa"/>
            <w:shd w:val="clear" w:color="auto" w:fill="auto"/>
            <w:tcMar>
              <w:top w:w="0" w:type="dxa"/>
              <w:left w:w="108" w:type="dxa"/>
              <w:bottom w:w="0" w:type="dxa"/>
              <w:right w:w="108" w:type="dxa"/>
            </w:tcMar>
          </w:tcPr>
          <w:p w14:paraId="0EA7256F"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3D53BF4F" w14:textId="247A8D28" w:rsidR="00E3622C" w:rsidRPr="00E3622C" w:rsidRDefault="00E3622C" w:rsidP="00C720DB">
            <w:pPr>
              <w:pStyle w:val="TableText"/>
              <w:spacing w:before="20" w:after="20" w:line="480" w:lineRule="auto"/>
              <w:rPr>
                <w:szCs w:val="19"/>
                <w:lang w:val="en-US"/>
              </w:rPr>
            </w:pPr>
            <w:r w:rsidRPr="00E3622C">
              <w:rPr>
                <w:szCs w:val="19"/>
                <w:lang w:val="en-US"/>
              </w:rPr>
              <w:t>Greater Manchester</w:t>
            </w:r>
          </w:p>
        </w:tc>
        <w:tc>
          <w:tcPr>
            <w:tcW w:w="947" w:type="dxa"/>
            <w:shd w:val="clear" w:color="auto" w:fill="auto"/>
            <w:tcMar>
              <w:top w:w="0" w:type="dxa"/>
              <w:left w:w="108" w:type="dxa"/>
              <w:bottom w:w="0" w:type="dxa"/>
              <w:right w:w="108" w:type="dxa"/>
            </w:tcMar>
          </w:tcPr>
          <w:p w14:paraId="50DF0514"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853</w:t>
            </w:r>
          </w:p>
        </w:tc>
        <w:tc>
          <w:tcPr>
            <w:tcW w:w="930" w:type="dxa"/>
            <w:shd w:val="clear" w:color="auto" w:fill="auto"/>
            <w:tcMar>
              <w:top w:w="0" w:type="dxa"/>
              <w:left w:w="108" w:type="dxa"/>
              <w:bottom w:w="0" w:type="dxa"/>
              <w:right w:w="108" w:type="dxa"/>
            </w:tcMar>
          </w:tcPr>
          <w:p w14:paraId="16D29FC4"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5</w:t>
            </w:r>
          </w:p>
        </w:tc>
      </w:tr>
      <w:tr w:rsidR="00E3622C" w:rsidRPr="00E3622C" w14:paraId="1B72FF92" w14:textId="77777777" w:rsidTr="00E3622C">
        <w:tc>
          <w:tcPr>
            <w:tcW w:w="1242" w:type="dxa"/>
            <w:shd w:val="clear" w:color="auto" w:fill="auto"/>
            <w:tcMar>
              <w:top w:w="0" w:type="dxa"/>
              <w:left w:w="108" w:type="dxa"/>
              <w:bottom w:w="0" w:type="dxa"/>
              <w:right w:w="108" w:type="dxa"/>
            </w:tcMar>
          </w:tcPr>
          <w:p w14:paraId="4801F629"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0E4D6A26" w14:textId="0C85F0A1" w:rsidR="00E3622C" w:rsidRPr="00E3622C" w:rsidRDefault="00E3622C" w:rsidP="00C720DB">
            <w:pPr>
              <w:pStyle w:val="TableText"/>
              <w:spacing w:before="20" w:after="20" w:line="480" w:lineRule="auto"/>
              <w:rPr>
                <w:szCs w:val="19"/>
                <w:lang w:val="en-US"/>
              </w:rPr>
            </w:pPr>
            <w:r w:rsidRPr="00E3622C">
              <w:rPr>
                <w:szCs w:val="19"/>
                <w:lang w:val="en-US"/>
              </w:rPr>
              <w:t>Merseyside</w:t>
            </w:r>
          </w:p>
        </w:tc>
        <w:tc>
          <w:tcPr>
            <w:tcW w:w="947" w:type="dxa"/>
            <w:shd w:val="clear" w:color="auto" w:fill="auto"/>
            <w:tcMar>
              <w:top w:w="0" w:type="dxa"/>
              <w:left w:w="108" w:type="dxa"/>
              <w:bottom w:w="0" w:type="dxa"/>
              <w:right w:w="108" w:type="dxa"/>
            </w:tcMar>
          </w:tcPr>
          <w:p w14:paraId="4AEDF2D2"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357</w:t>
            </w:r>
          </w:p>
        </w:tc>
        <w:tc>
          <w:tcPr>
            <w:tcW w:w="930" w:type="dxa"/>
            <w:shd w:val="clear" w:color="auto" w:fill="auto"/>
            <w:tcMar>
              <w:top w:w="0" w:type="dxa"/>
              <w:left w:w="108" w:type="dxa"/>
              <w:bottom w:w="0" w:type="dxa"/>
              <w:right w:w="108" w:type="dxa"/>
            </w:tcMar>
          </w:tcPr>
          <w:p w14:paraId="258932EA"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2</w:t>
            </w:r>
          </w:p>
        </w:tc>
      </w:tr>
      <w:tr w:rsidR="00E3622C" w:rsidRPr="00E3622C" w14:paraId="3D41648C" w14:textId="77777777" w:rsidTr="00E3622C">
        <w:tc>
          <w:tcPr>
            <w:tcW w:w="1242" w:type="dxa"/>
            <w:shd w:val="clear" w:color="auto" w:fill="auto"/>
            <w:tcMar>
              <w:top w:w="0" w:type="dxa"/>
              <w:left w:w="108" w:type="dxa"/>
              <w:bottom w:w="0" w:type="dxa"/>
              <w:right w:w="108" w:type="dxa"/>
            </w:tcMar>
          </w:tcPr>
          <w:p w14:paraId="25C33F3C"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4E5DA74E" w14:textId="096D13B4" w:rsidR="00E3622C" w:rsidRPr="00E3622C" w:rsidRDefault="00E3622C" w:rsidP="00C720DB">
            <w:pPr>
              <w:pStyle w:val="TableText"/>
              <w:spacing w:before="20" w:after="20" w:line="480" w:lineRule="auto"/>
              <w:rPr>
                <w:szCs w:val="19"/>
                <w:lang w:val="en-US"/>
              </w:rPr>
            </w:pPr>
            <w:r w:rsidRPr="00E3622C">
              <w:rPr>
                <w:szCs w:val="19"/>
                <w:lang w:val="en-US"/>
              </w:rPr>
              <w:t>Rest of North West</w:t>
            </w:r>
          </w:p>
        </w:tc>
        <w:tc>
          <w:tcPr>
            <w:tcW w:w="947" w:type="dxa"/>
            <w:shd w:val="clear" w:color="auto" w:fill="auto"/>
            <w:tcMar>
              <w:top w:w="0" w:type="dxa"/>
              <w:left w:w="108" w:type="dxa"/>
              <w:bottom w:w="0" w:type="dxa"/>
              <w:right w:w="108" w:type="dxa"/>
            </w:tcMar>
          </w:tcPr>
          <w:p w14:paraId="79E83240"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736</w:t>
            </w:r>
          </w:p>
        </w:tc>
        <w:tc>
          <w:tcPr>
            <w:tcW w:w="930" w:type="dxa"/>
            <w:shd w:val="clear" w:color="auto" w:fill="auto"/>
            <w:tcMar>
              <w:top w:w="0" w:type="dxa"/>
              <w:left w:w="108" w:type="dxa"/>
              <w:bottom w:w="0" w:type="dxa"/>
              <w:right w:w="108" w:type="dxa"/>
            </w:tcMar>
          </w:tcPr>
          <w:p w14:paraId="5BDCB610"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w:t>
            </w:r>
          </w:p>
        </w:tc>
      </w:tr>
      <w:tr w:rsidR="00E3622C" w:rsidRPr="00E3622C" w14:paraId="26E85801" w14:textId="77777777" w:rsidTr="00E3622C">
        <w:tc>
          <w:tcPr>
            <w:tcW w:w="1242" w:type="dxa"/>
            <w:shd w:val="clear" w:color="auto" w:fill="auto"/>
            <w:tcMar>
              <w:top w:w="0" w:type="dxa"/>
              <w:left w:w="108" w:type="dxa"/>
              <w:bottom w:w="0" w:type="dxa"/>
              <w:right w:w="108" w:type="dxa"/>
            </w:tcMar>
          </w:tcPr>
          <w:p w14:paraId="10BB1572"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74326DEF" w14:textId="3899913F" w:rsidR="00E3622C" w:rsidRPr="00E3622C" w:rsidRDefault="00E3622C" w:rsidP="00C720DB">
            <w:pPr>
              <w:pStyle w:val="TableText"/>
              <w:spacing w:before="20" w:after="20" w:line="480" w:lineRule="auto"/>
              <w:rPr>
                <w:szCs w:val="19"/>
                <w:lang w:val="en-US"/>
              </w:rPr>
            </w:pPr>
            <w:r w:rsidRPr="00E3622C">
              <w:rPr>
                <w:szCs w:val="19"/>
                <w:lang w:val="en-US"/>
              </w:rPr>
              <w:t>Wales</w:t>
            </w:r>
          </w:p>
        </w:tc>
        <w:tc>
          <w:tcPr>
            <w:tcW w:w="947" w:type="dxa"/>
            <w:shd w:val="clear" w:color="auto" w:fill="auto"/>
            <w:tcMar>
              <w:top w:w="0" w:type="dxa"/>
              <w:left w:w="108" w:type="dxa"/>
              <w:bottom w:w="0" w:type="dxa"/>
              <w:right w:w="108" w:type="dxa"/>
            </w:tcMar>
          </w:tcPr>
          <w:p w14:paraId="4DB05A84"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796</w:t>
            </w:r>
          </w:p>
        </w:tc>
        <w:tc>
          <w:tcPr>
            <w:tcW w:w="930" w:type="dxa"/>
            <w:shd w:val="clear" w:color="auto" w:fill="auto"/>
            <w:tcMar>
              <w:top w:w="0" w:type="dxa"/>
              <w:left w:w="108" w:type="dxa"/>
              <w:bottom w:w="0" w:type="dxa"/>
              <w:right w:w="108" w:type="dxa"/>
            </w:tcMar>
          </w:tcPr>
          <w:p w14:paraId="018D5AFD"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5</w:t>
            </w:r>
          </w:p>
        </w:tc>
      </w:tr>
      <w:tr w:rsidR="00E3622C" w:rsidRPr="00E3622C" w14:paraId="1E131814" w14:textId="77777777" w:rsidTr="00E3622C">
        <w:tc>
          <w:tcPr>
            <w:tcW w:w="1242" w:type="dxa"/>
            <w:shd w:val="clear" w:color="auto" w:fill="auto"/>
            <w:tcMar>
              <w:top w:w="0" w:type="dxa"/>
              <w:left w:w="108" w:type="dxa"/>
              <w:bottom w:w="0" w:type="dxa"/>
              <w:right w:w="108" w:type="dxa"/>
            </w:tcMar>
          </w:tcPr>
          <w:p w14:paraId="3A84EBC4"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18559589" w14:textId="7665E1D8" w:rsidR="00E3622C" w:rsidRPr="00E3622C" w:rsidRDefault="00E3622C" w:rsidP="00C720DB">
            <w:pPr>
              <w:pStyle w:val="TableText"/>
              <w:spacing w:before="20" w:after="20" w:line="480" w:lineRule="auto"/>
              <w:rPr>
                <w:szCs w:val="19"/>
                <w:lang w:val="en-US"/>
              </w:rPr>
            </w:pPr>
            <w:r w:rsidRPr="00E3622C">
              <w:rPr>
                <w:szCs w:val="19"/>
                <w:lang w:val="en-US"/>
              </w:rPr>
              <w:t>Strathclyde</w:t>
            </w:r>
          </w:p>
        </w:tc>
        <w:tc>
          <w:tcPr>
            <w:tcW w:w="947" w:type="dxa"/>
            <w:shd w:val="clear" w:color="auto" w:fill="auto"/>
            <w:tcMar>
              <w:top w:w="0" w:type="dxa"/>
              <w:left w:w="108" w:type="dxa"/>
              <w:bottom w:w="0" w:type="dxa"/>
              <w:right w:w="108" w:type="dxa"/>
            </w:tcMar>
          </w:tcPr>
          <w:p w14:paraId="265663F7"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625</w:t>
            </w:r>
          </w:p>
        </w:tc>
        <w:tc>
          <w:tcPr>
            <w:tcW w:w="930" w:type="dxa"/>
            <w:shd w:val="clear" w:color="auto" w:fill="auto"/>
            <w:tcMar>
              <w:top w:w="0" w:type="dxa"/>
              <w:left w:w="108" w:type="dxa"/>
              <w:bottom w:w="0" w:type="dxa"/>
              <w:right w:w="108" w:type="dxa"/>
            </w:tcMar>
          </w:tcPr>
          <w:p w14:paraId="5B45C13D"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w:t>
            </w:r>
          </w:p>
        </w:tc>
      </w:tr>
      <w:tr w:rsidR="00E3622C" w:rsidRPr="00E3622C" w14:paraId="0F4BC2A8" w14:textId="77777777" w:rsidTr="00E3622C">
        <w:tc>
          <w:tcPr>
            <w:tcW w:w="1242" w:type="dxa"/>
            <w:shd w:val="clear" w:color="auto" w:fill="auto"/>
            <w:tcMar>
              <w:top w:w="0" w:type="dxa"/>
              <w:left w:w="108" w:type="dxa"/>
              <w:bottom w:w="0" w:type="dxa"/>
              <w:right w:w="108" w:type="dxa"/>
            </w:tcMar>
          </w:tcPr>
          <w:p w14:paraId="5D8F85B7"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66099E23" w14:textId="3D961201" w:rsidR="00E3622C" w:rsidRPr="00E3622C" w:rsidRDefault="00E3622C" w:rsidP="00C720DB">
            <w:pPr>
              <w:pStyle w:val="TableText"/>
              <w:spacing w:before="20" w:after="20" w:line="480" w:lineRule="auto"/>
              <w:rPr>
                <w:szCs w:val="19"/>
                <w:lang w:val="en-US"/>
              </w:rPr>
            </w:pPr>
            <w:r w:rsidRPr="00E3622C">
              <w:rPr>
                <w:szCs w:val="19"/>
                <w:lang w:val="en-US"/>
              </w:rPr>
              <w:t>Rest of Scotland</w:t>
            </w:r>
          </w:p>
        </w:tc>
        <w:tc>
          <w:tcPr>
            <w:tcW w:w="947" w:type="dxa"/>
            <w:shd w:val="clear" w:color="auto" w:fill="auto"/>
            <w:tcMar>
              <w:top w:w="0" w:type="dxa"/>
              <w:left w:w="108" w:type="dxa"/>
              <w:bottom w:w="0" w:type="dxa"/>
              <w:right w:w="108" w:type="dxa"/>
            </w:tcMar>
          </w:tcPr>
          <w:p w14:paraId="1A048AB2"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746</w:t>
            </w:r>
          </w:p>
        </w:tc>
        <w:tc>
          <w:tcPr>
            <w:tcW w:w="930" w:type="dxa"/>
            <w:shd w:val="clear" w:color="auto" w:fill="auto"/>
            <w:tcMar>
              <w:top w:w="0" w:type="dxa"/>
              <w:left w:w="108" w:type="dxa"/>
              <w:bottom w:w="0" w:type="dxa"/>
              <w:right w:w="108" w:type="dxa"/>
            </w:tcMar>
          </w:tcPr>
          <w:p w14:paraId="3B498A4F"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w:t>
            </w:r>
          </w:p>
        </w:tc>
      </w:tr>
      <w:tr w:rsidR="00E3622C" w:rsidRPr="00E3622C" w14:paraId="6447CE98" w14:textId="77777777" w:rsidTr="00E3622C">
        <w:tc>
          <w:tcPr>
            <w:tcW w:w="1242" w:type="dxa"/>
            <w:shd w:val="clear" w:color="auto" w:fill="auto"/>
            <w:tcMar>
              <w:top w:w="0" w:type="dxa"/>
              <w:left w:w="108" w:type="dxa"/>
              <w:bottom w:w="0" w:type="dxa"/>
              <w:right w:w="108" w:type="dxa"/>
            </w:tcMar>
          </w:tcPr>
          <w:p w14:paraId="68776538"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47730C68" w14:textId="413D97FD" w:rsidR="00E3622C" w:rsidRPr="00E3622C" w:rsidRDefault="00E3622C" w:rsidP="00C720DB">
            <w:pPr>
              <w:pStyle w:val="TableText"/>
              <w:spacing w:before="20" w:after="20" w:line="480" w:lineRule="auto"/>
              <w:rPr>
                <w:szCs w:val="19"/>
                <w:lang w:val="en-US"/>
              </w:rPr>
            </w:pPr>
            <w:r w:rsidRPr="00E3622C">
              <w:rPr>
                <w:szCs w:val="19"/>
                <w:lang w:val="en-US"/>
              </w:rPr>
              <w:t>Northern Ireland</w:t>
            </w:r>
          </w:p>
        </w:tc>
        <w:tc>
          <w:tcPr>
            <w:tcW w:w="947" w:type="dxa"/>
            <w:shd w:val="clear" w:color="auto" w:fill="auto"/>
            <w:tcMar>
              <w:top w:w="0" w:type="dxa"/>
              <w:left w:w="108" w:type="dxa"/>
              <w:bottom w:w="0" w:type="dxa"/>
              <w:right w:w="108" w:type="dxa"/>
            </w:tcMar>
          </w:tcPr>
          <w:p w14:paraId="23AFBD50"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697</w:t>
            </w:r>
          </w:p>
        </w:tc>
        <w:tc>
          <w:tcPr>
            <w:tcW w:w="930" w:type="dxa"/>
            <w:shd w:val="clear" w:color="auto" w:fill="auto"/>
            <w:tcMar>
              <w:top w:w="0" w:type="dxa"/>
              <w:left w:w="108" w:type="dxa"/>
              <w:bottom w:w="0" w:type="dxa"/>
              <w:right w:w="108" w:type="dxa"/>
            </w:tcMar>
          </w:tcPr>
          <w:p w14:paraId="27FE5D23"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w:t>
            </w:r>
          </w:p>
        </w:tc>
      </w:tr>
      <w:tr w:rsidR="00E3622C" w:rsidRPr="00E3622C" w14:paraId="4CFFEE23" w14:textId="77777777" w:rsidTr="00E3622C">
        <w:tc>
          <w:tcPr>
            <w:tcW w:w="1242" w:type="dxa"/>
            <w:shd w:val="clear" w:color="auto" w:fill="auto"/>
            <w:tcMar>
              <w:top w:w="0" w:type="dxa"/>
              <w:left w:w="108" w:type="dxa"/>
              <w:bottom w:w="0" w:type="dxa"/>
              <w:right w:w="108" w:type="dxa"/>
            </w:tcMar>
          </w:tcPr>
          <w:p w14:paraId="31CD96FA"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3725D507" w14:textId="77777777" w:rsidR="00E3622C" w:rsidRPr="00E3622C" w:rsidRDefault="00E3622C" w:rsidP="00C720DB">
            <w:pPr>
              <w:pStyle w:val="TableText"/>
              <w:spacing w:before="20" w:after="20" w:line="480" w:lineRule="auto"/>
              <w:rPr>
                <w:szCs w:val="19"/>
                <w:lang w:val="en-US"/>
              </w:rPr>
            </w:pPr>
          </w:p>
        </w:tc>
        <w:tc>
          <w:tcPr>
            <w:tcW w:w="947" w:type="dxa"/>
            <w:shd w:val="clear" w:color="auto" w:fill="auto"/>
            <w:tcMar>
              <w:top w:w="0" w:type="dxa"/>
              <w:left w:w="108" w:type="dxa"/>
              <w:bottom w:w="0" w:type="dxa"/>
              <w:right w:w="108" w:type="dxa"/>
            </w:tcMar>
          </w:tcPr>
          <w:p w14:paraId="416A5013" w14:textId="77777777" w:rsidR="00E3622C" w:rsidRPr="00E3622C" w:rsidRDefault="00E3622C" w:rsidP="00C720DB">
            <w:pPr>
              <w:pStyle w:val="TableText"/>
              <w:spacing w:before="20" w:after="20" w:line="480" w:lineRule="auto"/>
              <w:jc w:val="right"/>
              <w:rPr>
                <w:szCs w:val="19"/>
                <w:lang w:val="en-US"/>
              </w:rPr>
            </w:pPr>
          </w:p>
        </w:tc>
        <w:tc>
          <w:tcPr>
            <w:tcW w:w="930" w:type="dxa"/>
            <w:shd w:val="clear" w:color="auto" w:fill="auto"/>
            <w:tcMar>
              <w:top w:w="0" w:type="dxa"/>
              <w:left w:w="108" w:type="dxa"/>
              <w:bottom w:w="0" w:type="dxa"/>
              <w:right w:w="108" w:type="dxa"/>
            </w:tcMar>
          </w:tcPr>
          <w:p w14:paraId="268EBD46" w14:textId="77777777" w:rsidR="00E3622C" w:rsidRPr="00E3622C" w:rsidRDefault="00E3622C" w:rsidP="00C720DB">
            <w:pPr>
              <w:pStyle w:val="TableText"/>
              <w:spacing w:before="20" w:after="20" w:line="480" w:lineRule="auto"/>
              <w:jc w:val="right"/>
              <w:rPr>
                <w:szCs w:val="19"/>
                <w:lang w:val="en-US"/>
              </w:rPr>
            </w:pPr>
          </w:p>
        </w:tc>
      </w:tr>
      <w:tr w:rsidR="00E3622C" w:rsidRPr="00E3622C" w14:paraId="69C9A186" w14:textId="77777777" w:rsidTr="00E3622C">
        <w:tc>
          <w:tcPr>
            <w:tcW w:w="1242" w:type="dxa"/>
            <w:shd w:val="clear" w:color="auto" w:fill="auto"/>
            <w:tcMar>
              <w:top w:w="0" w:type="dxa"/>
              <w:left w:w="108" w:type="dxa"/>
              <w:bottom w:w="0" w:type="dxa"/>
              <w:right w:w="108" w:type="dxa"/>
            </w:tcMar>
          </w:tcPr>
          <w:p w14:paraId="115F880A" w14:textId="77777777" w:rsidR="00E3622C" w:rsidRPr="00E3622C" w:rsidRDefault="00E3622C" w:rsidP="00C720DB">
            <w:pPr>
              <w:pStyle w:val="TableText"/>
              <w:spacing w:before="20" w:after="20" w:line="480" w:lineRule="auto"/>
              <w:rPr>
                <w:szCs w:val="19"/>
                <w:lang w:val="en-US"/>
              </w:rPr>
            </w:pPr>
            <w:r w:rsidRPr="00E3622C">
              <w:rPr>
                <w:szCs w:val="19"/>
                <w:lang w:val="en-US"/>
              </w:rPr>
              <w:t>Age</w:t>
            </w:r>
          </w:p>
        </w:tc>
        <w:tc>
          <w:tcPr>
            <w:tcW w:w="2977" w:type="dxa"/>
            <w:gridSpan w:val="2"/>
            <w:shd w:val="clear" w:color="auto" w:fill="auto"/>
            <w:tcMar>
              <w:top w:w="0" w:type="dxa"/>
              <w:left w:w="108" w:type="dxa"/>
              <w:bottom w:w="0" w:type="dxa"/>
              <w:right w:w="108" w:type="dxa"/>
            </w:tcMar>
          </w:tcPr>
          <w:p w14:paraId="18F29A83" w14:textId="72FCA6C4" w:rsidR="00E3622C" w:rsidRPr="00E3622C" w:rsidRDefault="00E3622C" w:rsidP="00C720DB">
            <w:pPr>
              <w:pStyle w:val="TableText"/>
              <w:spacing w:before="20" w:after="20" w:line="480" w:lineRule="auto"/>
              <w:rPr>
                <w:szCs w:val="19"/>
                <w:lang w:val="en-US"/>
              </w:rPr>
            </w:pPr>
            <w:r w:rsidRPr="00E3622C">
              <w:rPr>
                <w:szCs w:val="19"/>
                <w:lang w:val="en-US"/>
              </w:rPr>
              <w:t>18</w:t>
            </w:r>
          </w:p>
        </w:tc>
        <w:tc>
          <w:tcPr>
            <w:tcW w:w="947" w:type="dxa"/>
            <w:shd w:val="clear" w:color="auto" w:fill="auto"/>
            <w:tcMar>
              <w:top w:w="0" w:type="dxa"/>
              <w:left w:w="108" w:type="dxa"/>
              <w:bottom w:w="0" w:type="dxa"/>
              <w:right w:w="108" w:type="dxa"/>
            </w:tcMar>
          </w:tcPr>
          <w:p w14:paraId="2E1E53E1"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1312</w:t>
            </w:r>
          </w:p>
        </w:tc>
        <w:tc>
          <w:tcPr>
            <w:tcW w:w="930" w:type="dxa"/>
            <w:shd w:val="clear" w:color="auto" w:fill="auto"/>
            <w:tcMar>
              <w:top w:w="0" w:type="dxa"/>
              <w:left w:w="108" w:type="dxa"/>
              <w:bottom w:w="0" w:type="dxa"/>
              <w:right w:w="108" w:type="dxa"/>
            </w:tcMar>
          </w:tcPr>
          <w:p w14:paraId="5C84B2BB"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8</w:t>
            </w:r>
          </w:p>
        </w:tc>
      </w:tr>
      <w:tr w:rsidR="00E3622C" w:rsidRPr="00E3622C" w14:paraId="3BDF966F" w14:textId="77777777" w:rsidTr="00E3622C">
        <w:tc>
          <w:tcPr>
            <w:tcW w:w="1242" w:type="dxa"/>
            <w:shd w:val="clear" w:color="auto" w:fill="auto"/>
            <w:tcMar>
              <w:top w:w="0" w:type="dxa"/>
              <w:left w:w="108" w:type="dxa"/>
              <w:bottom w:w="0" w:type="dxa"/>
              <w:right w:w="108" w:type="dxa"/>
            </w:tcMar>
          </w:tcPr>
          <w:p w14:paraId="7746799A"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65B406AC" w14:textId="61968F95" w:rsidR="00E3622C" w:rsidRPr="00E3622C" w:rsidRDefault="00E3622C" w:rsidP="00C720DB">
            <w:pPr>
              <w:pStyle w:val="TableText"/>
              <w:spacing w:before="20" w:after="20" w:line="480" w:lineRule="auto"/>
              <w:rPr>
                <w:szCs w:val="19"/>
                <w:lang w:val="en-US"/>
              </w:rPr>
            </w:pPr>
            <w:r w:rsidRPr="00E3622C">
              <w:rPr>
                <w:szCs w:val="19"/>
                <w:lang w:val="en-US"/>
              </w:rPr>
              <w:t>19</w:t>
            </w:r>
          </w:p>
        </w:tc>
        <w:tc>
          <w:tcPr>
            <w:tcW w:w="947" w:type="dxa"/>
            <w:shd w:val="clear" w:color="auto" w:fill="auto"/>
            <w:tcMar>
              <w:top w:w="0" w:type="dxa"/>
              <w:left w:w="108" w:type="dxa"/>
              <w:bottom w:w="0" w:type="dxa"/>
              <w:right w:w="108" w:type="dxa"/>
            </w:tcMar>
          </w:tcPr>
          <w:p w14:paraId="4670ECE5"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1710</w:t>
            </w:r>
          </w:p>
        </w:tc>
        <w:tc>
          <w:tcPr>
            <w:tcW w:w="930" w:type="dxa"/>
            <w:shd w:val="clear" w:color="auto" w:fill="auto"/>
            <w:tcMar>
              <w:top w:w="0" w:type="dxa"/>
              <w:left w:w="108" w:type="dxa"/>
              <w:bottom w:w="0" w:type="dxa"/>
              <w:right w:w="108" w:type="dxa"/>
            </w:tcMar>
          </w:tcPr>
          <w:p w14:paraId="753CE30E"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10</w:t>
            </w:r>
          </w:p>
        </w:tc>
      </w:tr>
      <w:tr w:rsidR="00E3622C" w:rsidRPr="00E3622C" w14:paraId="0CF92737" w14:textId="77777777" w:rsidTr="00E3622C">
        <w:tc>
          <w:tcPr>
            <w:tcW w:w="1242" w:type="dxa"/>
            <w:shd w:val="clear" w:color="auto" w:fill="auto"/>
            <w:tcMar>
              <w:top w:w="0" w:type="dxa"/>
              <w:left w:w="108" w:type="dxa"/>
              <w:bottom w:w="0" w:type="dxa"/>
              <w:right w:w="108" w:type="dxa"/>
            </w:tcMar>
          </w:tcPr>
          <w:p w14:paraId="0B9AEE07"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51AA43E1" w14:textId="680F33FF" w:rsidR="00E3622C" w:rsidRPr="00E3622C" w:rsidRDefault="00E3622C" w:rsidP="00C720DB">
            <w:pPr>
              <w:pStyle w:val="TableText"/>
              <w:spacing w:before="20" w:after="20" w:line="480" w:lineRule="auto"/>
              <w:rPr>
                <w:szCs w:val="19"/>
                <w:lang w:val="en-US"/>
              </w:rPr>
            </w:pPr>
            <w:r w:rsidRPr="00E3622C">
              <w:rPr>
                <w:szCs w:val="19"/>
                <w:lang w:val="en-US"/>
              </w:rPr>
              <w:t>20</w:t>
            </w:r>
          </w:p>
        </w:tc>
        <w:tc>
          <w:tcPr>
            <w:tcW w:w="947" w:type="dxa"/>
            <w:shd w:val="clear" w:color="auto" w:fill="auto"/>
            <w:tcMar>
              <w:top w:w="0" w:type="dxa"/>
              <w:left w:w="108" w:type="dxa"/>
              <w:bottom w:w="0" w:type="dxa"/>
              <w:right w:w="108" w:type="dxa"/>
            </w:tcMar>
          </w:tcPr>
          <w:p w14:paraId="0BFAF791"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2031</w:t>
            </w:r>
          </w:p>
        </w:tc>
        <w:tc>
          <w:tcPr>
            <w:tcW w:w="930" w:type="dxa"/>
            <w:shd w:val="clear" w:color="auto" w:fill="auto"/>
            <w:tcMar>
              <w:top w:w="0" w:type="dxa"/>
              <w:left w:w="108" w:type="dxa"/>
              <w:bottom w:w="0" w:type="dxa"/>
              <w:right w:w="108" w:type="dxa"/>
            </w:tcMar>
          </w:tcPr>
          <w:p w14:paraId="35F82D93"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12</w:t>
            </w:r>
          </w:p>
        </w:tc>
      </w:tr>
      <w:tr w:rsidR="00E3622C" w:rsidRPr="00E3622C" w14:paraId="658A063D" w14:textId="77777777" w:rsidTr="00E3622C">
        <w:tc>
          <w:tcPr>
            <w:tcW w:w="1242" w:type="dxa"/>
            <w:shd w:val="clear" w:color="auto" w:fill="auto"/>
            <w:tcMar>
              <w:top w:w="0" w:type="dxa"/>
              <w:left w:w="108" w:type="dxa"/>
              <w:bottom w:w="0" w:type="dxa"/>
              <w:right w:w="108" w:type="dxa"/>
            </w:tcMar>
          </w:tcPr>
          <w:p w14:paraId="4D620F0B"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45E7FD53" w14:textId="2A4ABAEB" w:rsidR="00E3622C" w:rsidRPr="00E3622C" w:rsidRDefault="00E3622C" w:rsidP="00C720DB">
            <w:pPr>
              <w:pStyle w:val="TableText"/>
              <w:spacing w:before="20" w:after="20" w:line="480" w:lineRule="auto"/>
              <w:rPr>
                <w:szCs w:val="19"/>
                <w:lang w:val="en-US"/>
              </w:rPr>
            </w:pPr>
            <w:r w:rsidRPr="00E3622C">
              <w:rPr>
                <w:szCs w:val="19"/>
                <w:lang w:val="en-US"/>
              </w:rPr>
              <w:t>21</w:t>
            </w:r>
          </w:p>
        </w:tc>
        <w:tc>
          <w:tcPr>
            <w:tcW w:w="947" w:type="dxa"/>
            <w:shd w:val="clear" w:color="auto" w:fill="auto"/>
            <w:tcMar>
              <w:top w:w="0" w:type="dxa"/>
              <w:left w:w="108" w:type="dxa"/>
              <w:bottom w:w="0" w:type="dxa"/>
              <w:right w:w="108" w:type="dxa"/>
            </w:tcMar>
          </w:tcPr>
          <w:p w14:paraId="6FEE3B4E"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2367</w:t>
            </w:r>
          </w:p>
        </w:tc>
        <w:tc>
          <w:tcPr>
            <w:tcW w:w="930" w:type="dxa"/>
            <w:shd w:val="clear" w:color="auto" w:fill="auto"/>
            <w:tcMar>
              <w:top w:w="0" w:type="dxa"/>
              <w:left w:w="108" w:type="dxa"/>
              <w:bottom w:w="0" w:type="dxa"/>
              <w:right w:w="108" w:type="dxa"/>
            </w:tcMar>
          </w:tcPr>
          <w:p w14:paraId="21661D98"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14</w:t>
            </w:r>
          </w:p>
        </w:tc>
      </w:tr>
      <w:tr w:rsidR="00E3622C" w:rsidRPr="00E3622C" w14:paraId="79AF65A6" w14:textId="77777777" w:rsidTr="00E3622C">
        <w:tc>
          <w:tcPr>
            <w:tcW w:w="1242" w:type="dxa"/>
            <w:shd w:val="clear" w:color="auto" w:fill="auto"/>
            <w:tcMar>
              <w:top w:w="0" w:type="dxa"/>
              <w:left w:w="108" w:type="dxa"/>
              <w:bottom w:w="0" w:type="dxa"/>
              <w:right w:w="108" w:type="dxa"/>
            </w:tcMar>
          </w:tcPr>
          <w:p w14:paraId="7B1E50EF"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5513EDEA" w14:textId="0FF197D3" w:rsidR="00E3622C" w:rsidRPr="00E3622C" w:rsidRDefault="00E3622C" w:rsidP="00C720DB">
            <w:pPr>
              <w:pStyle w:val="TableText"/>
              <w:spacing w:before="20" w:after="20" w:line="480" w:lineRule="auto"/>
              <w:rPr>
                <w:szCs w:val="19"/>
                <w:lang w:val="en-US"/>
              </w:rPr>
            </w:pPr>
            <w:r w:rsidRPr="00E3622C">
              <w:rPr>
                <w:szCs w:val="19"/>
                <w:lang w:val="en-US"/>
              </w:rPr>
              <w:t>22</w:t>
            </w:r>
          </w:p>
        </w:tc>
        <w:tc>
          <w:tcPr>
            <w:tcW w:w="947" w:type="dxa"/>
            <w:shd w:val="clear" w:color="auto" w:fill="auto"/>
            <w:tcMar>
              <w:top w:w="0" w:type="dxa"/>
              <w:left w:w="108" w:type="dxa"/>
              <w:bottom w:w="0" w:type="dxa"/>
              <w:right w:w="108" w:type="dxa"/>
            </w:tcMar>
          </w:tcPr>
          <w:p w14:paraId="789B050B"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2908</w:t>
            </w:r>
          </w:p>
        </w:tc>
        <w:tc>
          <w:tcPr>
            <w:tcW w:w="930" w:type="dxa"/>
            <w:shd w:val="clear" w:color="auto" w:fill="auto"/>
            <w:tcMar>
              <w:top w:w="0" w:type="dxa"/>
              <w:left w:w="108" w:type="dxa"/>
              <w:bottom w:w="0" w:type="dxa"/>
              <w:right w:w="108" w:type="dxa"/>
            </w:tcMar>
          </w:tcPr>
          <w:p w14:paraId="6E1D6B6F"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17</w:t>
            </w:r>
          </w:p>
        </w:tc>
      </w:tr>
      <w:tr w:rsidR="00E3622C" w:rsidRPr="00E3622C" w14:paraId="0E11B11B" w14:textId="77777777" w:rsidTr="00E3622C">
        <w:tc>
          <w:tcPr>
            <w:tcW w:w="1242" w:type="dxa"/>
            <w:shd w:val="clear" w:color="auto" w:fill="auto"/>
            <w:tcMar>
              <w:top w:w="0" w:type="dxa"/>
              <w:left w:w="108" w:type="dxa"/>
              <w:bottom w:w="0" w:type="dxa"/>
              <w:right w:w="108" w:type="dxa"/>
            </w:tcMar>
          </w:tcPr>
          <w:p w14:paraId="58DB99E6"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7BABEB7C" w14:textId="425A33F2" w:rsidR="00E3622C" w:rsidRPr="00E3622C" w:rsidRDefault="00E3622C" w:rsidP="00C720DB">
            <w:pPr>
              <w:pStyle w:val="TableText"/>
              <w:spacing w:before="20" w:after="20" w:line="480" w:lineRule="auto"/>
              <w:rPr>
                <w:szCs w:val="19"/>
                <w:lang w:val="en-US"/>
              </w:rPr>
            </w:pPr>
            <w:r w:rsidRPr="00E3622C">
              <w:rPr>
                <w:szCs w:val="19"/>
                <w:lang w:val="en-US"/>
              </w:rPr>
              <w:t>23</w:t>
            </w:r>
          </w:p>
        </w:tc>
        <w:tc>
          <w:tcPr>
            <w:tcW w:w="947" w:type="dxa"/>
            <w:shd w:val="clear" w:color="auto" w:fill="auto"/>
            <w:tcMar>
              <w:top w:w="0" w:type="dxa"/>
              <w:left w:w="108" w:type="dxa"/>
              <w:bottom w:w="0" w:type="dxa"/>
              <w:right w:w="108" w:type="dxa"/>
            </w:tcMar>
          </w:tcPr>
          <w:p w14:paraId="0D75F993"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3146</w:t>
            </w:r>
          </w:p>
        </w:tc>
        <w:tc>
          <w:tcPr>
            <w:tcW w:w="930" w:type="dxa"/>
            <w:shd w:val="clear" w:color="auto" w:fill="auto"/>
            <w:tcMar>
              <w:top w:w="0" w:type="dxa"/>
              <w:left w:w="108" w:type="dxa"/>
              <w:bottom w:w="0" w:type="dxa"/>
              <w:right w:w="108" w:type="dxa"/>
            </w:tcMar>
          </w:tcPr>
          <w:p w14:paraId="01F423E5"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18</w:t>
            </w:r>
          </w:p>
        </w:tc>
      </w:tr>
      <w:tr w:rsidR="00E3622C" w:rsidRPr="00E3622C" w14:paraId="77039AC0" w14:textId="77777777" w:rsidTr="00E3622C">
        <w:tc>
          <w:tcPr>
            <w:tcW w:w="1242" w:type="dxa"/>
            <w:shd w:val="clear" w:color="auto" w:fill="auto"/>
            <w:tcMar>
              <w:top w:w="0" w:type="dxa"/>
              <w:left w:w="108" w:type="dxa"/>
              <w:bottom w:w="0" w:type="dxa"/>
              <w:right w:w="108" w:type="dxa"/>
            </w:tcMar>
          </w:tcPr>
          <w:p w14:paraId="57C41307"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181AE98F" w14:textId="1987B0E5" w:rsidR="00E3622C" w:rsidRPr="00E3622C" w:rsidRDefault="00E3622C" w:rsidP="00C720DB">
            <w:pPr>
              <w:pStyle w:val="TableText"/>
              <w:spacing w:before="20" w:after="20" w:line="480" w:lineRule="auto"/>
              <w:rPr>
                <w:szCs w:val="19"/>
                <w:lang w:val="en-US"/>
              </w:rPr>
            </w:pPr>
            <w:r w:rsidRPr="00E3622C">
              <w:rPr>
                <w:szCs w:val="19"/>
                <w:lang w:val="en-US"/>
              </w:rPr>
              <w:t>24</w:t>
            </w:r>
          </w:p>
        </w:tc>
        <w:tc>
          <w:tcPr>
            <w:tcW w:w="947" w:type="dxa"/>
            <w:shd w:val="clear" w:color="auto" w:fill="auto"/>
            <w:tcMar>
              <w:top w:w="0" w:type="dxa"/>
              <w:left w:w="108" w:type="dxa"/>
              <w:bottom w:w="0" w:type="dxa"/>
              <w:right w:w="108" w:type="dxa"/>
            </w:tcMar>
          </w:tcPr>
          <w:p w14:paraId="5B7EC9A5"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3582</w:t>
            </w:r>
          </w:p>
        </w:tc>
        <w:tc>
          <w:tcPr>
            <w:tcW w:w="930" w:type="dxa"/>
            <w:shd w:val="clear" w:color="auto" w:fill="auto"/>
            <w:tcMar>
              <w:top w:w="0" w:type="dxa"/>
              <w:left w:w="108" w:type="dxa"/>
              <w:bottom w:w="0" w:type="dxa"/>
              <w:right w:w="108" w:type="dxa"/>
            </w:tcMar>
          </w:tcPr>
          <w:p w14:paraId="2A0AAFB6"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21</w:t>
            </w:r>
          </w:p>
        </w:tc>
      </w:tr>
      <w:tr w:rsidR="00E3622C" w:rsidRPr="00E3622C" w14:paraId="4500733E" w14:textId="77777777" w:rsidTr="00E3622C">
        <w:tc>
          <w:tcPr>
            <w:tcW w:w="1242" w:type="dxa"/>
            <w:shd w:val="clear" w:color="auto" w:fill="auto"/>
            <w:tcMar>
              <w:top w:w="0" w:type="dxa"/>
              <w:left w:w="108" w:type="dxa"/>
              <w:bottom w:w="0" w:type="dxa"/>
              <w:right w:w="108" w:type="dxa"/>
            </w:tcMar>
          </w:tcPr>
          <w:p w14:paraId="6054BC72"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2DCE55A1" w14:textId="77777777" w:rsidR="00E3622C" w:rsidRPr="00E3622C" w:rsidRDefault="00E3622C" w:rsidP="00C720DB">
            <w:pPr>
              <w:pStyle w:val="TableText"/>
              <w:spacing w:before="20" w:after="20" w:line="480" w:lineRule="auto"/>
              <w:rPr>
                <w:szCs w:val="19"/>
                <w:lang w:val="en-US"/>
              </w:rPr>
            </w:pPr>
          </w:p>
        </w:tc>
        <w:tc>
          <w:tcPr>
            <w:tcW w:w="947" w:type="dxa"/>
            <w:shd w:val="clear" w:color="auto" w:fill="auto"/>
            <w:tcMar>
              <w:top w:w="0" w:type="dxa"/>
              <w:left w:w="108" w:type="dxa"/>
              <w:bottom w:w="0" w:type="dxa"/>
              <w:right w:w="108" w:type="dxa"/>
            </w:tcMar>
          </w:tcPr>
          <w:p w14:paraId="5FB7D0C3" w14:textId="77777777" w:rsidR="00E3622C" w:rsidRPr="00E3622C" w:rsidRDefault="00E3622C" w:rsidP="00C720DB">
            <w:pPr>
              <w:pStyle w:val="TableText"/>
              <w:spacing w:before="20" w:after="20" w:line="480" w:lineRule="auto"/>
              <w:jc w:val="right"/>
              <w:rPr>
                <w:szCs w:val="19"/>
                <w:lang w:val="en-US"/>
              </w:rPr>
            </w:pPr>
          </w:p>
        </w:tc>
        <w:tc>
          <w:tcPr>
            <w:tcW w:w="930" w:type="dxa"/>
            <w:shd w:val="clear" w:color="auto" w:fill="auto"/>
            <w:tcMar>
              <w:top w:w="0" w:type="dxa"/>
              <w:left w:w="108" w:type="dxa"/>
              <w:bottom w:w="0" w:type="dxa"/>
              <w:right w:w="108" w:type="dxa"/>
            </w:tcMar>
          </w:tcPr>
          <w:p w14:paraId="29D0A96D" w14:textId="77777777" w:rsidR="00E3622C" w:rsidRPr="00E3622C" w:rsidRDefault="00E3622C" w:rsidP="00C720DB">
            <w:pPr>
              <w:pStyle w:val="TableText"/>
              <w:spacing w:before="20" w:after="20" w:line="480" w:lineRule="auto"/>
              <w:jc w:val="right"/>
              <w:rPr>
                <w:szCs w:val="19"/>
                <w:lang w:val="en-US"/>
              </w:rPr>
            </w:pPr>
          </w:p>
        </w:tc>
      </w:tr>
      <w:tr w:rsidR="00E3622C" w:rsidRPr="00E3622C" w14:paraId="3711D924" w14:textId="77777777" w:rsidTr="00E3622C">
        <w:tc>
          <w:tcPr>
            <w:tcW w:w="1242" w:type="dxa"/>
            <w:shd w:val="clear" w:color="auto" w:fill="auto"/>
            <w:tcMar>
              <w:top w:w="0" w:type="dxa"/>
              <w:left w:w="108" w:type="dxa"/>
              <w:bottom w:w="0" w:type="dxa"/>
              <w:right w:w="108" w:type="dxa"/>
            </w:tcMar>
          </w:tcPr>
          <w:p w14:paraId="3D51F7A7" w14:textId="77777777" w:rsidR="00E3622C" w:rsidRPr="00E3622C" w:rsidRDefault="00E3622C" w:rsidP="00C720DB">
            <w:pPr>
              <w:pStyle w:val="TableText"/>
              <w:spacing w:before="20" w:after="20" w:line="480" w:lineRule="auto"/>
              <w:rPr>
                <w:szCs w:val="19"/>
                <w:lang w:val="en-US"/>
              </w:rPr>
            </w:pPr>
            <w:r w:rsidRPr="00E3622C">
              <w:rPr>
                <w:szCs w:val="19"/>
                <w:lang w:val="en-US"/>
              </w:rPr>
              <w:t>Educational</w:t>
            </w:r>
          </w:p>
        </w:tc>
        <w:tc>
          <w:tcPr>
            <w:tcW w:w="2977" w:type="dxa"/>
            <w:gridSpan w:val="2"/>
            <w:shd w:val="clear" w:color="auto" w:fill="auto"/>
            <w:tcMar>
              <w:top w:w="0" w:type="dxa"/>
              <w:left w:w="108" w:type="dxa"/>
              <w:bottom w:w="0" w:type="dxa"/>
              <w:right w:w="108" w:type="dxa"/>
            </w:tcMar>
          </w:tcPr>
          <w:p w14:paraId="0C968B40" w14:textId="77777777" w:rsidR="00E3622C" w:rsidRPr="00E3622C" w:rsidRDefault="00E3622C" w:rsidP="00C720DB">
            <w:pPr>
              <w:pStyle w:val="TableText"/>
              <w:spacing w:before="20" w:after="20" w:line="480" w:lineRule="auto"/>
              <w:rPr>
                <w:szCs w:val="19"/>
                <w:lang w:val="en-US"/>
              </w:rPr>
            </w:pPr>
            <w:r w:rsidRPr="00E3622C">
              <w:rPr>
                <w:szCs w:val="19"/>
                <w:lang w:val="en-US"/>
              </w:rPr>
              <w:t>Degree or equivalent</w:t>
            </w:r>
          </w:p>
        </w:tc>
        <w:tc>
          <w:tcPr>
            <w:tcW w:w="947" w:type="dxa"/>
            <w:shd w:val="clear" w:color="auto" w:fill="auto"/>
            <w:tcMar>
              <w:top w:w="0" w:type="dxa"/>
              <w:left w:w="108" w:type="dxa"/>
              <w:bottom w:w="0" w:type="dxa"/>
              <w:right w:w="108" w:type="dxa"/>
            </w:tcMar>
          </w:tcPr>
          <w:p w14:paraId="0668D7F7"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3276</w:t>
            </w:r>
          </w:p>
        </w:tc>
        <w:tc>
          <w:tcPr>
            <w:tcW w:w="930" w:type="dxa"/>
            <w:shd w:val="clear" w:color="auto" w:fill="auto"/>
            <w:tcMar>
              <w:top w:w="0" w:type="dxa"/>
              <w:left w:w="108" w:type="dxa"/>
              <w:bottom w:w="0" w:type="dxa"/>
              <w:right w:w="108" w:type="dxa"/>
            </w:tcMar>
          </w:tcPr>
          <w:p w14:paraId="7F31DDAB"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19</w:t>
            </w:r>
          </w:p>
        </w:tc>
      </w:tr>
      <w:tr w:rsidR="00E3622C" w:rsidRPr="00E3622C" w14:paraId="1A0F2E4C" w14:textId="77777777" w:rsidTr="00E3622C">
        <w:tc>
          <w:tcPr>
            <w:tcW w:w="1242" w:type="dxa"/>
            <w:shd w:val="clear" w:color="auto" w:fill="auto"/>
            <w:tcMar>
              <w:top w:w="0" w:type="dxa"/>
              <w:left w:w="108" w:type="dxa"/>
              <w:bottom w:w="0" w:type="dxa"/>
              <w:right w:w="108" w:type="dxa"/>
            </w:tcMar>
          </w:tcPr>
          <w:p w14:paraId="42C402D5" w14:textId="77777777" w:rsidR="00E3622C" w:rsidRPr="00E3622C" w:rsidRDefault="00E3622C" w:rsidP="00C720DB">
            <w:pPr>
              <w:pStyle w:val="TableText"/>
              <w:spacing w:before="20" w:after="20" w:line="480" w:lineRule="auto"/>
              <w:rPr>
                <w:szCs w:val="19"/>
                <w:lang w:val="en-US"/>
              </w:rPr>
            </w:pPr>
            <w:r w:rsidRPr="00E3622C">
              <w:rPr>
                <w:szCs w:val="19"/>
                <w:lang w:val="en-US"/>
              </w:rPr>
              <w:t>attainment</w:t>
            </w:r>
          </w:p>
        </w:tc>
        <w:tc>
          <w:tcPr>
            <w:tcW w:w="2977" w:type="dxa"/>
            <w:gridSpan w:val="2"/>
            <w:shd w:val="clear" w:color="auto" w:fill="auto"/>
            <w:tcMar>
              <w:top w:w="0" w:type="dxa"/>
              <w:left w:w="108" w:type="dxa"/>
              <w:bottom w:w="0" w:type="dxa"/>
              <w:right w:w="108" w:type="dxa"/>
            </w:tcMar>
          </w:tcPr>
          <w:p w14:paraId="74AD8D87" w14:textId="77777777" w:rsidR="00E3622C" w:rsidRPr="00E3622C" w:rsidRDefault="00E3622C" w:rsidP="00C720DB">
            <w:pPr>
              <w:pStyle w:val="TableText"/>
              <w:spacing w:before="20" w:after="20" w:line="480" w:lineRule="auto"/>
              <w:rPr>
                <w:szCs w:val="19"/>
                <w:lang w:val="en-US"/>
              </w:rPr>
            </w:pPr>
            <w:r w:rsidRPr="00E3622C">
              <w:rPr>
                <w:szCs w:val="19"/>
                <w:lang w:val="en-US"/>
              </w:rPr>
              <w:t>Higher education</w:t>
            </w:r>
          </w:p>
        </w:tc>
        <w:tc>
          <w:tcPr>
            <w:tcW w:w="947" w:type="dxa"/>
            <w:shd w:val="clear" w:color="auto" w:fill="auto"/>
            <w:tcMar>
              <w:top w:w="0" w:type="dxa"/>
              <w:left w:w="108" w:type="dxa"/>
              <w:bottom w:w="0" w:type="dxa"/>
              <w:right w:w="108" w:type="dxa"/>
            </w:tcMar>
          </w:tcPr>
          <w:p w14:paraId="411B6051"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919</w:t>
            </w:r>
          </w:p>
        </w:tc>
        <w:tc>
          <w:tcPr>
            <w:tcW w:w="930" w:type="dxa"/>
            <w:shd w:val="clear" w:color="auto" w:fill="auto"/>
            <w:tcMar>
              <w:top w:w="0" w:type="dxa"/>
              <w:left w:w="108" w:type="dxa"/>
              <w:bottom w:w="0" w:type="dxa"/>
              <w:right w:w="108" w:type="dxa"/>
            </w:tcMar>
          </w:tcPr>
          <w:p w14:paraId="524AC909"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5</w:t>
            </w:r>
          </w:p>
        </w:tc>
      </w:tr>
      <w:tr w:rsidR="00E3622C" w:rsidRPr="00E3622C" w14:paraId="5D5B512F" w14:textId="77777777" w:rsidTr="00E3622C">
        <w:tc>
          <w:tcPr>
            <w:tcW w:w="1242" w:type="dxa"/>
            <w:shd w:val="clear" w:color="auto" w:fill="auto"/>
            <w:tcMar>
              <w:top w:w="0" w:type="dxa"/>
              <w:left w:w="108" w:type="dxa"/>
              <w:bottom w:w="0" w:type="dxa"/>
              <w:right w:w="108" w:type="dxa"/>
            </w:tcMar>
          </w:tcPr>
          <w:p w14:paraId="536FCCC9"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0310172F" w14:textId="77777777" w:rsidR="00E3622C" w:rsidRPr="00E3622C" w:rsidRDefault="00E3622C" w:rsidP="00C720DB">
            <w:pPr>
              <w:pStyle w:val="TableText"/>
              <w:spacing w:before="20" w:after="20" w:line="480" w:lineRule="auto"/>
              <w:rPr>
                <w:szCs w:val="19"/>
                <w:lang w:val="en-US"/>
              </w:rPr>
            </w:pPr>
            <w:r w:rsidRPr="00E3622C">
              <w:rPr>
                <w:szCs w:val="19"/>
                <w:lang w:val="en-US"/>
              </w:rPr>
              <w:t>GCE A level or equivalent</w:t>
            </w:r>
          </w:p>
        </w:tc>
        <w:tc>
          <w:tcPr>
            <w:tcW w:w="947" w:type="dxa"/>
            <w:shd w:val="clear" w:color="auto" w:fill="auto"/>
            <w:tcMar>
              <w:top w:w="0" w:type="dxa"/>
              <w:left w:w="108" w:type="dxa"/>
              <w:bottom w:w="0" w:type="dxa"/>
              <w:right w:w="108" w:type="dxa"/>
            </w:tcMar>
          </w:tcPr>
          <w:p w14:paraId="1B562996"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5636</w:t>
            </w:r>
          </w:p>
        </w:tc>
        <w:tc>
          <w:tcPr>
            <w:tcW w:w="930" w:type="dxa"/>
            <w:shd w:val="clear" w:color="auto" w:fill="auto"/>
            <w:tcMar>
              <w:top w:w="0" w:type="dxa"/>
              <w:left w:w="108" w:type="dxa"/>
              <w:bottom w:w="0" w:type="dxa"/>
              <w:right w:w="108" w:type="dxa"/>
            </w:tcMar>
          </w:tcPr>
          <w:p w14:paraId="53862C38"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33</w:t>
            </w:r>
          </w:p>
        </w:tc>
      </w:tr>
      <w:tr w:rsidR="00E3622C" w:rsidRPr="00E3622C" w14:paraId="171F92CC" w14:textId="77777777" w:rsidTr="00E3622C">
        <w:tc>
          <w:tcPr>
            <w:tcW w:w="1242" w:type="dxa"/>
            <w:shd w:val="clear" w:color="auto" w:fill="auto"/>
            <w:tcMar>
              <w:top w:w="0" w:type="dxa"/>
              <w:left w:w="108" w:type="dxa"/>
              <w:bottom w:w="0" w:type="dxa"/>
              <w:right w:w="108" w:type="dxa"/>
            </w:tcMar>
          </w:tcPr>
          <w:p w14:paraId="1346670C"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0EEBEB37" w14:textId="77777777" w:rsidR="00E3622C" w:rsidRPr="00E3622C" w:rsidRDefault="00E3622C" w:rsidP="00C720DB">
            <w:pPr>
              <w:pStyle w:val="TableText"/>
              <w:spacing w:before="20" w:after="20" w:line="480" w:lineRule="auto"/>
              <w:rPr>
                <w:szCs w:val="19"/>
                <w:lang w:val="en-US"/>
              </w:rPr>
            </w:pPr>
            <w:r w:rsidRPr="00E3622C">
              <w:rPr>
                <w:szCs w:val="19"/>
                <w:lang w:val="en-US"/>
              </w:rPr>
              <w:t>GCSE grades A*-C or equivalent</w:t>
            </w:r>
          </w:p>
        </w:tc>
        <w:tc>
          <w:tcPr>
            <w:tcW w:w="947" w:type="dxa"/>
            <w:shd w:val="clear" w:color="auto" w:fill="auto"/>
            <w:tcMar>
              <w:top w:w="0" w:type="dxa"/>
              <w:left w:w="108" w:type="dxa"/>
              <w:bottom w:w="0" w:type="dxa"/>
              <w:right w:w="108" w:type="dxa"/>
            </w:tcMar>
          </w:tcPr>
          <w:p w14:paraId="0BAB44C5"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4570</w:t>
            </w:r>
          </w:p>
        </w:tc>
        <w:tc>
          <w:tcPr>
            <w:tcW w:w="930" w:type="dxa"/>
            <w:shd w:val="clear" w:color="auto" w:fill="auto"/>
            <w:tcMar>
              <w:top w:w="0" w:type="dxa"/>
              <w:left w:w="108" w:type="dxa"/>
              <w:bottom w:w="0" w:type="dxa"/>
              <w:right w:w="108" w:type="dxa"/>
            </w:tcMar>
          </w:tcPr>
          <w:p w14:paraId="4479FE5A"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27</w:t>
            </w:r>
          </w:p>
        </w:tc>
      </w:tr>
      <w:tr w:rsidR="00E3622C" w:rsidRPr="00E3622C" w14:paraId="66C481FF" w14:textId="77777777" w:rsidTr="00E3622C">
        <w:tc>
          <w:tcPr>
            <w:tcW w:w="1242" w:type="dxa"/>
            <w:shd w:val="clear" w:color="auto" w:fill="auto"/>
            <w:tcMar>
              <w:top w:w="0" w:type="dxa"/>
              <w:left w:w="108" w:type="dxa"/>
              <w:bottom w:w="0" w:type="dxa"/>
              <w:right w:w="108" w:type="dxa"/>
            </w:tcMar>
          </w:tcPr>
          <w:p w14:paraId="314F5641"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4BACD3A7" w14:textId="77777777" w:rsidR="00E3622C" w:rsidRPr="00E3622C" w:rsidRDefault="00E3622C" w:rsidP="00C720DB">
            <w:pPr>
              <w:pStyle w:val="TableText"/>
              <w:spacing w:before="20" w:after="20" w:line="480" w:lineRule="auto"/>
              <w:rPr>
                <w:szCs w:val="19"/>
                <w:lang w:val="en-US"/>
              </w:rPr>
            </w:pPr>
            <w:r w:rsidRPr="00E3622C">
              <w:rPr>
                <w:szCs w:val="19"/>
                <w:lang w:val="en-US"/>
              </w:rPr>
              <w:t>Other qualification</w:t>
            </w:r>
          </w:p>
        </w:tc>
        <w:tc>
          <w:tcPr>
            <w:tcW w:w="947" w:type="dxa"/>
            <w:shd w:val="clear" w:color="auto" w:fill="auto"/>
            <w:tcMar>
              <w:top w:w="0" w:type="dxa"/>
              <w:left w:w="108" w:type="dxa"/>
              <w:bottom w:w="0" w:type="dxa"/>
              <w:right w:w="108" w:type="dxa"/>
            </w:tcMar>
          </w:tcPr>
          <w:p w14:paraId="404097EB"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1349</w:t>
            </w:r>
          </w:p>
        </w:tc>
        <w:tc>
          <w:tcPr>
            <w:tcW w:w="930" w:type="dxa"/>
            <w:shd w:val="clear" w:color="auto" w:fill="auto"/>
            <w:tcMar>
              <w:top w:w="0" w:type="dxa"/>
              <w:left w:w="108" w:type="dxa"/>
              <w:bottom w:w="0" w:type="dxa"/>
              <w:right w:w="108" w:type="dxa"/>
            </w:tcMar>
          </w:tcPr>
          <w:p w14:paraId="0910DB94"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8</w:t>
            </w:r>
          </w:p>
        </w:tc>
      </w:tr>
      <w:tr w:rsidR="00E3622C" w:rsidRPr="00E3622C" w14:paraId="5275573B" w14:textId="77777777" w:rsidTr="00E3622C">
        <w:tc>
          <w:tcPr>
            <w:tcW w:w="1242" w:type="dxa"/>
            <w:shd w:val="clear" w:color="auto" w:fill="auto"/>
            <w:tcMar>
              <w:top w:w="0" w:type="dxa"/>
              <w:left w:w="108" w:type="dxa"/>
              <w:bottom w:w="0" w:type="dxa"/>
              <w:right w:w="108" w:type="dxa"/>
            </w:tcMar>
          </w:tcPr>
          <w:p w14:paraId="1BBC0D8C"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18607BA5" w14:textId="77777777" w:rsidR="00E3622C" w:rsidRPr="00E3622C" w:rsidRDefault="00E3622C" w:rsidP="00C720DB">
            <w:pPr>
              <w:pStyle w:val="TableText"/>
              <w:spacing w:before="20" w:after="20" w:line="480" w:lineRule="auto"/>
              <w:rPr>
                <w:szCs w:val="19"/>
                <w:lang w:val="en-US"/>
              </w:rPr>
            </w:pPr>
            <w:r w:rsidRPr="00E3622C">
              <w:rPr>
                <w:szCs w:val="19"/>
                <w:lang w:val="en-US"/>
              </w:rPr>
              <w:t>No qualification</w:t>
            </w:r>
          </w:p>
        </w:tc>
        <w:tc>
          <w:tcPr>
            <w:tcW w:w="947" w:type="dxa"/>
            <w:shd w:val="clear" w:color="auto" w:fill="auto"/>
            <w:tcMar>
              <w:top w:w="0" w:type="dxa"/>
              <w:left w:w="108" w:type="dxa"/>
              <w:bottom w:w="0" w:type="dxa"/>
              <w:right w:w="108" w:type="dxa"/>
            </w:tcMar>
          </w:tcPr>
          <w:p w14:paraId="48741CDE"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949</w:t>
            </w:r>
          </w:p>
        </w:tc>
        <w:tc>
          <w:tcPr>
            <w:tcW w:w="930" w:type="dxa"/>
            <w:shd w:val="clear" w:color="auto" w:fill="auto"/>
            <w:tcMar>
              <w:top w:w="0" w:type="dxa"/>
              <w:left w:w="108" w:type="dxa"/>
              <w:bottom w:w="0" w:type="dxa"/>
              <w:right w:w="108" w:type="dxa"/>
            </w:tcMar>
          </w:tcPr>
          <w:p w14:paraId="298445C5"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6</w:t>
            </w:r>
          </w:p>
        </w:tc>
      </w:tr>
      <w:tr w:rsidR="00E3622C" w:rsidRPr="00E3622C" w14:paraId="2962DE7C" w14:textId="77777777" w:rsidTr="00E3622C">
        <w:tc>
          <w:tcPr>
            <w:tcW w:w="1242" w:type="dxa"/>
            <w:shd w:val="clear" w:color="auto" w:fill="auto"/>
            <w:tcMar>
              <w:top w:w="0" w:type="dxa"/>
              <w:left w:w="108" w:type="dxa"/>
              <w:bottom w:w="0" w:type="dxa"/>
              <w:right w:w="108" w:type="dxa"/>
            </w:tcMar>
          </w:tcPr>
          <w:p w14:paraId="7AA042E7"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71339B44" w14:textId="77777777" w:rsidR="00E3622C" w:rsidRPr="00E3622C" w:rsidRDefault="00E3622C" w:rsidP="00C720DB">
            <w:pPr>
              <w:pStyle w:val="TableText"/>
              <w:spacing w:before="20" w:after="20" w:line="480" w:lineRule="auto"/>
              <w:rPr>
                <w:szCs w:val="19"/>
                <w:lang w:val="en-US"/>
              </w:rPr>
            </w:pPr>
            <w:r w:rsidRPr="00E3622C">
              <w:rPr>
                <w:szCs w:val="19"/>
                <w:lang w:val="en-US"/>
              </w:rPr>
              <w:t>Don't know</w:t>
            </w:r>
          </w:p>
        </w:tc>
        <w:tc>
          <w:tcPr>
            <w:tcW w:w="947" w:type="dxa"/>
            <w:shd w:val="clear" w:color="auto" w:fill="auto"/>
            <w:tcMar>
              <w:top w:w="0" w:type="dxa"/>
              <w:left w:w="108" w:type="dxa"/>
              <w:bottom w:w="0" w:type="dxa"/>
              <w:right w:w="108" w:type="dxa"/>
            </w:tcMar>
          </w:tcPr>
          <w:p w14:paraId="63D86993"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357</w:t>
            </w:r>
          </w:p>
        </w:tc>
        <w:tc>
          <w:tcPr>
            <w:tcW w:w="930" w:type="dxa"/>
            <w:shd w:val="clear" w:color="auto" w:fill="auto"/>
            <w:tcMar>
              <w:top w:w="0" w:type="dxa"/>
              <w:left w:w="108" w:type="dxa"/>
              <w:bottom w:w="0" w:type="dxa"/>
              <w:right w:w="108" w:type="dxa"/>
            </w:tcMar>
          </w:tcPr>
          <w:p w14:paraId="00571F92"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2</w:t>
            </w:r>
          </w:p>
        </w:tc>
      </w:tr>
      <w:tr w:rsidR="00E3622C" w:rsidRPr="00E3622C" w14:paraId="0A3CDF71" w14:textId="77777777" w:rsidTr="00E3622C">
        <w:tc>
          <w:tcPr>
            <w:tcW w:w="1242" w:type="dxa"/>
            <w:shd w:val="clear" w:color="auto" w:fill="auto"/>
            <w:tcMar>
              <w:top w:w="0" w:type="dxa"/>
              <w:left w:w="108" w:type="dxa"/>
              <w:bottom w:w="0" w:type="dxa"/>
              <w:right w:w="108" w:type="dxa"/>
            </w:tcMar>
          </w:tcPr>
          <w:p w14:paraId="50FE0899" w14:textId="77777777" w:rsidR="00E3622C" w:rsidRPr="00E3622C" w:rsidRDefault="00E3622C" w:rsidP="00C720DB">
            <w:pPr>
              <w:pStyle w:val="TableText"/>
              <w:spacing w:before="20" w:after="20" w:line="480" w:lineRule="auto"/>
              <w:rPr>
                <w:szCs w:val="19"/>
                <w:lang w:val="en-US"/>
              </w:rPr>
            </w:pPr>
          </w:p>
        </w:tc>
        <w:tc>
          <w:tcPr>
            <w:tcW w:w="2977" w:type="dxa"/>
            <w:gridSpan w:val="2"/>
            <w:shd w:val="clear" w:color="auto" w:fill="auto"/>
            <w:tcMar>
              <w:top w:w="0" w:type="dxa"/>
              <w:left w:w="108" w:type="dxa"/>
              <w:bottom w:w="0" w:type="dxa"/>
              <w:right w:w="108" w:type="dxa"/>
            </w:tcMar>
          </w:tcPr>
          <w:p w14:paraId="3C9CBDBC" w14:textId="77777777" w:rsidR="00E3622C" w:rsidRPr="00E3622C" w:rsidRDefault="00E3622C" w:rsidP="00C720DB">
            <w:pPr>
              <w:pStyle w:val="TableText"/>
              <w:spacing w:before="20" w:after="20" w:line="480" w:lineRule="auto"/>
              <w:rPr>
                <w:szCs w:val="19"/>
                <w:lang w:val="en-US"/>
              </w:rPr>
            </w:pPr>
          </w:p>
        </w:tc>
        <w:tc>
          <w:tcPr>
            <w:tcW w:w="947" w:type="dxa"/>
            <w:shd w:val="clear" w:color="auto" w:fill="auto"/>
            <w:tcMar>
              <w:top w:w="0" w:type="dxa"/>
              <w:left w:w="108" w:type="dxa"/>
              <w:bottom w:w="0" w:type="dxa"/>
              <w:right w:w="108" w:type="dxa"/>
            </w:tcMar>
          </w:tcPr>
          <w:p w14:paraId="64279B34"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Mean</w:t>
            </w:r>
          </w:p>
        </w:tc>
        <w:tc>
          <w:tcPr>
            <w:tcW w:w="930" w:type="dxa"/>
            <w:shd w:val="clear" w:color="auto" w:fill="auto"/>
            <w:tcMar>
              <w:top w:w="0" w:type="dxa"/>
              <w:left w:w="108" w:type="dxa"/>
              <w:bottom w:w="0" w:type="dxa"/>
              <w:right w:w="108" w:type="dxa"/>
            </w:tcMar>
          </w:tcPr>
          <w:p w14:paraId="5E7A05C9"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SD</w:t>
            </w:r>
          </w:p>
        </w:tc>
      </w:tr>
      <w:tr w:rsidR="00E3622C" w:rsidRPr="00E3622C" w14:paraId="7E73AACE" w14:textId="77777777" w:rsidTr="00E3622C">
        <w:tc>
          <w:tcPr>
            <w:tcW w:w="1242" w:type="dxa"/>
            <w:vMerge w:val="restart"/>
            <w:tcBorders>
              <w:bottom w:val="single" w:sz="4" w:space="0" w:color="000000"/>
            </w:tcBorders>
            <w:shd w:val="clear" w:color="auto" w:fill="auto"/>
            <w:tcMar>
              <w:top w:w="0" w:type="dxa"/>
              <w:left w:w="108" w:type="dxa"/>
              <w:bottom w:w="0" w:type="dxa"/>
              <w:right w:w="108" w:type="dxa"/>
            </w:tcMar>
          </w:tcPr>
          <w:p w14:paraId="5C54A959" w14:textId="77777777" w:rsidR="00E3622C" w:rsidRPr="00E3622C" w:rsidRDefault="00E3622C" w:rsidP="00C720DB">
            <w:pPr>
              <w:pStyle w:val="TableText"/>
              <w:spacing w:before="20" w:after="20" w:line="480" w:lineRule="auto"/>
              <w:rPr>
                <w:szCs w:val="19"/>
                <w:lang w:val="en-US"/>
              </w:rPr>
            </w:pPr>
            <w:r w:rsidRPr="00E3622C">
              <w:rPr>
                <w:szCs w:val="19"/>
                <w:lang w:val="en-US"/>
              </w:rPr>
              <w:t>CAMSIS score</w:t>
            </w:r>
          </w:p>
        </w:tc>
        <w:tc>
          <w:tcPr>
            <w:tcW w:w="2977" w:type="dxa"/>
            <w:gridSpan w:val="2"/>
            <w:shd w:val="clear" w:color="auto" w:fill="auto"/>
            <w:tcMar>
              <w:top w:w="0" w:type="dxa"/>
              <w:left w:w="108" w:type="dxa"/>
              <w:bottom w:w="0" w:type="dxa"/>
              <w:right w:w="108" w:type="dxa"/>
            </w:tcMar>
          </w:tcPr>
          <w:p w14:paraId="36F1971F" w14:textId="77777777" w:rsidR="00E3622C" w:rsidRPr="00E3622C" w:rsidRDefault="00E3622C" w:rsidP="00C720DB">
            <w:pPr>
              <w:pStyle w:val="TableText"/>
              <w:spacing w:before="20" w:after="20" w:line="480" w:lineRule="auto"/>
              <w:rPr>
                <w:szCs w:val="19"/>
                <w:lang w:val="en-US"/>
              </w:rPr>
            </w:pPr>
            <w:r w:rsidRPr="00E3622C">
              <w:rPr>
                <w:szCs w:val="19"/>
                <w:lang w:val="en-US"/>
              </w:rPr>
              <w:t>Men</w:t>
            </w:r>
          </w:p>
        </w:tc>
        <w:tc>
          <w:tcPr>
            <w:tcW w:w="947" w:type="dxa"/>
            <w:shd w:val="clear" w:color="auto" w:fill="auto"/>
            <w:tcMar>
              <w:top w:w="0" w:type="dxa"/>
              <w:left w:w="108" w:type="dxa"/>
              <w:bottom w:w="0" w:type="dxa"/>
              <w:right w:w="108" w:type="dxa"/>
            </w:tcMar>
          </w:tcPr>
          <w:p w14:paraId="6D3F474B"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47</w:t>
            </w:r>
          </w:p>
        </w:tc>
        <w:tc>
          <w:tcPr>
            <w:tcW w:w="930" w:type="dxa"/>
            <w:shd w:val="clear" w:color="auto" w:fill="auto"/>
            <w:tcMar>
              <w:top w:w="0" w:type="dxa"/>
              <w:left w:w="108" w:type="dxa"/>
              <w:bottom w:w="0" w:type="dxa"/>
              <w:right w:w="108" w:type="dxa"/>
            </w:tcMar>
          </w:tcPr>
          <w:p w14:paraId="2F9EE994"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12.5</w:t>
            </w:r>
          </w:p>
        </w:tc>
      </w:tr>
      <w:tr w:rsidR="00E3622C" w:rsidRPr="00E3622C" w14:paraId="4A96AEE5" w14:textId="77777777" w:rsidTr="00E3622C">
        <w:tc>
          <w:tcPr>
            <w:tcW w:w="1242" w:type="dxa"/>
            <w:vMerge/>
            <w:tcBorders>
              <w:bottom w:val="single" w:sz="4" w:space="0" w:color="000000"/>
            </w:tcBorders>
            <w:shd w:val="clear" w:color="auto" w:fill="auto"/>
            <w:tcMar>
              <w:top w:w="0" w:type="dxa"/>
              <w:left w:w="108" w:type="dxa"/>
              <w:bottom w:w="0" w:type="dxa"/>
              <w:right w:w="108" w:type="dxa"/>
            </w:tcMar>
          </w:tcPr>
          <w:p w14:paraId="366C8B16" w14:textId="77777777" w:rsidR="00E3622C" w:rsidRPr="00E3622C" w:rsidRDefault="00E3622C" w:rsidP="00C720DB">
            <w:pPr>
              <w:pStyle w:val="TableText"/>
              <w:spacing w:before="20" w:after="20" w:line="480" w:lineRule="auto"/>
              <w:rPr>
                <w:szCs w:val="19"/>
                <w:lang w:val="en-US"/>
              </w:rPr>
            </w:pPr>
          </w:p>
        </w:tc>
        <w:tc>
          <w:tcPr>
            <w:tcW w:w="2977" w:type="dxa"/>
            <w:gridSpan w:val="2"/>
            <w:tcBorders>
              <w:bottom w:val="single" w:sz="4" w:space="0" w:color="000000"/>
            </w:tcBorders>
            <w:shd w:val="clear" w:color="auto" w:fill="auto"/>
            <w:tcMar>
              <w:top w:w="0" w:type="dxa"/>
              <w:left w:w="108" w:type="dxa"/>
              <w:bottom w:w="0" w:type="dxa"/>
              <w:right w:w="108" w:type="dxa"/>
            </w:tcMar>
          </w:tcPr>
          <w:p w14:paraId="7D209458" w14:textId="77777777" w:rsidR="00E3622C" w:rsidRPr="00E3622C" w:rsidRDefault="00E3622C" w:rsidP="00C720DB">
            <w:pPr>
              <w:pStyle w:val="TableText"/>
              <w:spacing w:before="20" w:after="20" w:line="480" w:lineRule="auto"/>
              <w:rPr>
                <w:szCs w:val="19"/>
                <w:lang w:val="en-US"/>
              </w:rPr>
            </w:pPr>
            <w:r w:rsidRPr="00E3622C">
              <w:rPr>
                <w:szCs w:val="19"/>
                <w:lang w:val="en-US"/>
              </w:rPr>
              <w:t>Women</w:t>
            </w:r>
          </w:p>
        </w:tc>
        <w:tc>
          <w:tcPr>
            <w:tcW w:w="947" w:type="dxa"/>
            <w:tcBorders>
              <w:bottom w:val="single" w:sz="4" w:space="0" w:color="000000"/>
            </w:tcBorders>
            <w:shd w:val="clear" w:color="auto" w:fill="auto"/>
            <w:tcMar>
              <w:top w:w="0" w:type="dxa"/>
              <w:left w:w="108" w:type="dxa"/>
              <w:bottom w:w="0" w:type="dxa"/>
              <w:right w:w="108" w:type="dxa"/>
            </w:tcMar>
          </w:tcPr>
          <w:p w14:paraId="65E7ED80"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53</w:t>
            </w:r>
          </w:p>
        </w:tc>
        <w:tc>
          <w:tcPr>
            <w:tcW w:w="930" w:type="dxa"/>
            <w:tcBorders>
              <w:bottom w:val="single" w:sz="4" w:space="0" w:color="000000"/>
            </w:tcBorders>
            <w:shd w:val="clear" w:color="auto" w:fill="auto"/>
            <w:tcMar>
              <w:top w:w="0" w:type="dxa"/>
              <w:left w:w="108" w:type="dxa"/>
              <w:bottom w:w="0" w:type="dxa"/>
              <w:right w:w="108" w:type="dxa"/>
            </w:tcMar>
          </w:tcPr>
          <w:p w14:paraId="0D8F3952" w14:textId="77777777" w:rsidR="00E3622C" w:rsidRPr="00E3622C" w:rsidRDefault="00E3622C" w:rsidP="00C720DB">
            <w:pPr>
              <w:pStyle w:val="TableText"/>
              <w:spacing w:before="20" w:after="20" w:line="480" w:lineRule="auto"/>
              <w:jc w:val="right"/>
              <w:rPr>
                <w:szCs w:val="19"/>
                <w:lang w:val="en-US"/>
              </w:rPr>
            </w:pPr>
            <w:r w:rsidRPr="00E3622C">
              <w:rPr>
                <w:szCs w:val="19"/>
                <w:lang w:val="en-US"/>
              </w:rPr>
              <w:t>13.2</w:t>
            </w:r>
          </w:p>
        </w:tc>
      </w:tr>
    </w:tbl>
    <w:p w14:paraId="2BFAF2BE" w14:textId="77777777" w:rsidR="00E00C95" w:rsidRDefault="00E00C95" w:rsidP="00C720DB">
      <w:pPr>
        <w:pStyle w:val="TableGraphSource"/>
        <w:spacing w:after="0" w:line="480" w:lineRule="auto"/>
        <w:rPr>
          <w:lang w:val="en-US"/>
        </w:rPr>
      </w:pPr>
      <w:r>
        <w:rPr>
          <w:lang w:val="en-US"/>
        </w:rPr>
        <w:t xml:space="preserve">Source: </w:t>
      </w:r>
      <w:proofErr w:type="spellStart"/>
      <w:r>
        <w:rPr>
          <w:lang w:val="en-US"/>
        </w:rPr>
        <w:t>Labour</w:t>
      </w:r>
      <w:proofErr w:type="spellEnd"/>
      <w:r>
        <w:rPr>
          <w:lang w:val="en-US"/>
        </w:rPr>
        <w:t xml:space="preserve"> Force Survey, pooled quarterly datasets 05-07, 15-17</w:t>
      </w:r>
    </w:p>
    <w:p w14:paraId="6C97BB54" w14:textId="553F38E4" w:rsidR="00E00C95" w:rsidRDefault="00E00C95" w:rsidP="00C720DB">
      <w:pPr>
        <w:pStyle w:val="TableGraphSource"/>
        <w:spacing w:before="0" w:line="480" w:lineRule="auto"/>
      </w:pPr>
      <w:r>
        <w:rPr>
          <w:lang w:val="en-US"/>
        </w:rPr>
        <w:t>SD – standard deviation</w:t>
      </w:r>
    </w:p>
    <w:p w14:paraId="3497E99F" w14:textId="3387676E" w:rsidR="007F58F0" w:rsidRDefault="007F58F0" w:rsidP="00C720DB">
      <w:pPr>
        <w:pStyle w:val="Heading2"/>
        <w:spacing w:line="480" w:lineRule="auto"/>
      </w:pPr>
      <w:r>
        <w:t>Results</w:t>
      </w:r>
    </w:p>
    <w:p w14:paraId="42EA35AE" w14:textId="77777777" w:rsidR="007F58F0" w:rsidRDefault="007F58F0" w:rsidP="00C720DB">
      <w:pPr>
        <w:pStyle w:val="Heading3"/>
        <w:spacing w:line="480" w:lineRule="auto"/>
      </w:pPr>
      <w:r>
        <w:t>General trends and regional inequalities</w:t>
      </w:r>
    </w:p>
    <w:p w14:paraId="2E1A218A" w14:textId="77777777" w:rsidR="007F58F0" w:rsidRDefault="007F58F0" w:rsidP="00C720DB">
      <w:pPr>
        <w:pStyle w:val="Topparagraph"/>
        <w:spacing w:line="480" w:lineRule="auto"/>
      </w:pPr>
      <w:r>
        <w:t xml:space="preserve">Table 2 describes the mean CAMSIS score of young people by gender comparing the time points 2005-07 with 2015-17. A statistically significant uplift in position is evident, although the magnitude is small for men and particularly women. Table 3 </w:t>
      </w:r>
      <w:r>
        <w:lastRenderedPageBreak/>
        <w:t>breaks the trend down by region. A statistically significant uplift in position is again evident between many regions for men. The pattern for women in this descriptive table is one of continuity, as the CAMSIS scores are similar across the time points and there are no statistically significant differences within regions. Transferring this to a modelling context, Table 4 provides results from regression models of CAMSIS score for men and women separately, controlling for educational attainment level and age. The models include a variable contrasting the score for youth workers in 2005-2007 with 2015-2017. Here it can be seen that the average score for men was slightly higher for the 2015-2017 period than the 2005-2007 reference category (Coefficient [</w:t>
      </w:r>
      <w:proofErr w:type="spellStart"/>
      <w:r>
        <w:t>Coef</w:t>
      </w:r>
      <w:proofErr w:type="spellEnd"/>
      <w:r>
        <w:t>] 1.1, lower confidence interval [</w:t>
      </w:r>
      <w:proofErr w:type="spellStart"/>
      <w:r>
        <w:t>lci</w:t>
      </w:r>
      <w:proofErr w:type="spellEnd"/>
      <w:r>
        <w:t>] 0.6, upper confidence interval [</w:t>
      </w:r>
      <w:proofErr w:type="spellStart"/>
      <w:r>
        <w:t>uci</w:t>
      </w:r>
      <w:proofErr w:type="spellEnd"/>
      <w:r>
        <w:t xml:space="preserve">] 1.6). For women the opposite pattern is evident, and there has been a drop in the average occupational position between the time periods (Coef. -1.2, </w:t>
      </w:r>
      <w:proofErr w:type="spellStart"/>
      <w:r>
        <w:t>lci</w:t>
      </w:r>
      <w:proofErr w:type="spellEnd"/>
      <w:r>
        <w:t xml:space="preserve">. -1.8, </w:t>
      </w:r>
      <w:proofErr w:type="spellStart"/>
      <w:r>
        <w:t>uci</w:t>
      </w:r>
      <w:proofErr w:type="spellEnd"/>
      <w:r>
        <w:t xml:space="preserve">. -0.7). This results for women contrast with the descriptive tables and indicate that, once differences in education and age have been controlled, the pattern is negative. </w:t>
      </w:r>
    </w:p>
    <w:p w14:paraId="3B856FFE" w14:textId="77777777" w:rsidR="007F58F0" w:rsidRDefault="007F58F0" w:rsidP="00C720DB">
      <w:pPr>
        <w:pStyle w:val="Heading3"/>
        <w:spacing w:line="480" w:lineRule="auto"/>
      </w:pPr>
      <w:r>
        <w:t>Modelling regional change in occupational position</w:t>
      </w:r>
    </w:p>
    <w:p w14:paraId="09263A58" w14:textId="77777777" w:rsidR="007F58F0" w:rsidRDefault="007F58F0" w:rsidP="00C720DB">
      <w:pPr>
        <w:pStyle w:val="Paragraph"/>
        <w:spacing w:line="480" w:lineRule="auto"/>
      </w:pPr>
      <w:r>
        <w:t xml:space="preserve">Full models controlling age, education and region interacted with the time points ten years apart, by gender, are provided in Table 5. These models take the most advantaged region, inner-London in the time period 2015-2017, after the Great Recession, as the reference category. </w:t>
      </w:r>
      <w:r>
        <w:rPr>
          <w:color w:val="000000"/>
        </w:rPr>
        <w:t xml:space="preserve">All other regions report negative coefficients in comparison, whether before or after the Great Recession, for both men and women. Examining the results for men, a first point to note is that inner-London 2005-2007 scores virtually identically to inner-London ten years later. There has been no drop off in the average occupational position for men in inner-London across the period. A second point is that </w:t>
      </w:r>
      <w:proofErr w:type="gramStart"/>
      <w:r>
        <w:rPr>
          <w:color w:val="000000"/>
        </w:rPr>
        <w:t>a number of</w:t>
      </w:r>
      <w:proofErr w:type="gramEnd"/>
      <w:r>
        <w:rPr>
          <w:color w:val="000000"/>
        </w:rPr>
        <w:t xml:space="preserve"> regions where the contrast with inner-London 2015-2017 was significantly different for the 2005-2007 period are not significantly different for the 2015-2017 period. This is the case for the </w:t>
      </w:r>
      <w:r>
        <w:rPr>
          <w:lang w:val="en-US"/>
        </w:rPr>
        <w:t xml:space="preserve">rest of Yorkshire and Humberside, </w:t>
      </w:r>
      <w:r>
        <w:rPr>
          <w:lang w:val="en-US"/>
        </w:rPr>
        <w:lastRenderedPageBreak/>
        <w:t>Tyne and Wear, South Yorkshire, Merseyside, Greater Manchester, East Anglia, West Yorkshire and Strathclyde. This is further evidence that there has been an uplift in average occupational position for men in many regions.</w:t>
      </w:r>
    </w:p>
    <w:p w14:paraId="1A98F7FF" w14:textId="45403E89" w:rsidR="007F58F0" w:rsidRDefault="007F58F0" w:rsidP="00C720DB">
      <w:pPr>
        <w:pStyle w:val="Paragraph"/>
        <w:spacing w:line="480" w:lineRule="auto"/>
      </w:pPr>
      <w:r>
        <w:t xml:space="preserve">For women, the modelling results contrast with the results in Table 3 and those for </w:t>
      </w:r>
      <w:proofErr w:type="gramStart"/>
      <w:r>
        <w:t>men, and</w:t>
      </w:r>
      <w:proofErr w:type="gramEnd"/>
      <w:r>
        <w:t xml:space="preserve"> suggests a trend of decline in the average occupational position. A first point here is that </w:t>
      </w:r>
      <w:r>
        <w:rPr>
          <w:color w:val="000000"/>
        </w:rPr>
        <w:t>that inner-London of 2005-2007 scores statistically significantly higher than 2015-17, suggesting that there has been a decline in the average position for women in inner-London</w:t>
      </w:r>
      <w:r>
        <w:rPr>
          <w:rStyle w:val="FootnoteReference"/>
          <w:rFonts w:ascii="Arial" w:hAnsi="Arial"/>
          <w:szCs w:val="20"/>
        </w:rPr>
        <w:footnoteReference w:id="1"/>
      </w:r>
      <w:r>
        <w:rPr>
          <w:color w:val="000000"/>
        </w:rPr>
        <w:t>.</w:t>
      </w:r>
      <w:r>
        <w:t xml:space="preserve"> The general pattern of decline is re-enforced by the estimates for other regions. Most other regions are non-statistically significantly different from inner-London 2015-17. Several regions score statistically significantly lower than the inner-London reference category, only one of these was a region measured at the 2005-07 time point (the rest of Yorkshire and Humberside). Again, this is evidence that the regions have tended to experience a decline across the period. The position for women in inner-London has dropped so that it is no different from the average position in most regions. While a minority of regions have experienced a drop that maintains them as significantly worse than inner-London, a region which has itself undergone a decline by comparison to 2005-07 (see the margin estimates in Figure 2 for a visualisation of this pattern). </w:t>
      </w:r>
    </w:p>
    <w:p w14:paraId="77715968" w14:textId="20DB8412" w:rsidR="00E00C95" w:rsidRDefault="00E00C95" w:rsidP="00C720DB">
      <w:pPr>
        <w:pageBreakBefore/>
        <w:spacing w:line="480" w:lineRule="auto"/>
        <w:rPr>
          <w:rFonts w:ascii="Arial" w:hAnsi="Arial"/>
          <w:szCs w:val="20"/>
        </w:rPr>
      </w:pPr>
      <w:r>
        <w:rPr>
          <w:b/>
          <w:lang w:val="en-US"/>
        </w:rPr>
        <w:lastRenderedPageBreak/>
        <w:t>Table 2:</w:t>
      </w:r>
      <w:r>
        <w:rPr>
          <w:lang w:val="en-US"/>
        </w:rPr>
        <w:t xml:space="preserve"> </w:t>
      </w:r>
      <w:r w:rsidR="002636EB">
        <w:rPr>
          <w:b/>
        </w:rPr>
        <w:t>M</w:t>
      </w:r>
      <w:r w:rsidR="00282D3A" w:rsidRPr="00C95CD5">
        <w:rPr>
          <w:b/>
        </w:rPr>
        <w:t xml:space="preserve">ean CAMSIS score of young </w:t>
      </w:r>
      <w:r w:rsidR="00677CBB">
        <w:rPr>
          <w:b/>
        </w:rPr>
        <w:t>workers</w:t>
      </w:r>
    </w:p>
    <w:tbl>
      <w:tblPr>
        <w:tblW w:w="6096" w:type="dxa"/>
        <w:tblCellMar>
          <w:left w:w="10" w:type="dxa"/>
          <w:right w:w="10" w:type="dxa"/>
        </w:tblCellMar>
        <w:tblLook w:val="04A0" w:firstRow="1" w:lastRow="0" w:firstColumn="1" w:lastColumn="0" w:noHBand="0" w:noVBand="1"/>
      </w:tblPr>
      <w:tblGrid>
        <w:gridCol w:w="2032"/>
        <w:gridCol w:w="2032"/>
        <w:gridCol w:w="2032"/>
      </w:tblGrid>
      <w:tr w:rsidR="00E00C95" w:rsidRPr="003B4E1A" w14:paraId="3FF139BB" w14:textId="77777777" w:rsidTr="00112055">
        <w:tc>
          <w:tcPr>
            <w:tcW w:w="2032" w:type="dxa"/>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527FD015" w14:textId="77777777" w:rsidR="00E00C95" w:rsidRPr="003B4E1A" w:rsidRDefault="00E00C95" w:rsidP="00C720DB">
            <w:pPr>
              <w:pStyle w:val="TableText"/>
              <w:spacing w:line="480" w:lineRule="auto"/>
              <w:rPr>
                <w:b/>
                <w:bCs/>
              </w:rPr>
            </w:pPr>
          </w:p>
        </w:tc>
        <w:tc>
          <w:tcPr>
            <w:tcW w:w="2032" w:type="dxa"/>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0C5EA5A6" w14:textId="77777777" w:rsidR="00E00C95" w:rsidRPr="003B4E1A" w:rsidRDefault="00E00C95" w:rsidP="00C720DB">
            <w:pPr>
              <w:pStyle w:val="TableText"/>
              <w:spacing w:line="480" w:lineRule="auto"/>
              <w:rPr>
                <w:b/>
                <w:bCs/>
                <w:lang w:val="en-US"/>
              </w:rPr>
            </w:pPr>
            <w:r w:rsidRPr="003B4E1A">
              <w:rPr>
                <w:b/>
                <w:bCs/>
                <w:lang w:val="en-US"/>
              </w:rPr>
              <w:t xml:space="preserve">2005-07    </w:t>
            </w:r>
          </w:p>
        </w:tc>
        <w:tc>
          <w:tcPr>
            <w:tcW w:w="2032" w:type="dxa"/>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260599FD" w14:textId="77777777" w:rsidR="00E00C95" w:rsidRPr="003B4E1A" w:rsidRDefault="00E00C95" w:rsidP="00C720DB">
            <w:pPr>
              <w:pStyle w:val="TableText"/>
              <w:spacing w:line="480" w:lineRule="auto"/>
              <w:rPr>
                <w:b/>
                <w:bCs/>
                <w:lang w:val="en-US"/>
              </w:rPr>
            </w:pPr>
            <w:r w:rsidRPr="003B4E1A">
              <w:rPr>
                <w:b/>
                <w:bCs/>
                <w:lang w:val="en-US"/>
              </w:rPr>
              <w:t>2015-17</w:t>
            </w:r>
          </w:p>
        </w:tc>
      </w:tr>
      <w:tr w:rsidR="00E00C95" w14:paraId="2EF6B8AF" w14:textId="77777777" w:rsidTr="00112055">
        <w:tc>
          <w:tcPr>
            <w:tcW w:w="2032" w:type="dxa"/>
            <w:tcBorders>
              <w:top w:val="single" w:sz="4" w:space="0" w:color="auto"/>
            </w:tcBorders>
            <w:shd w:val="clear" w:color="auto" w:fill="auto"/>
            <w:tcMar>
              <w:top w:w="0" w:type="dxa"/>
              <w:left w:w="108" w:type="dxa"/>
              <w:bottom w:w="0" w:type="dxa"/>
              <w:right w:w="108" w:type="dxa"/>
            </w:tcMar>
          </w:tcPr>
          <w:p w14:paraId="244084F7" w14:textId="77777777" w:rsidR="00E00C95" w:rsidRDefault="00E00C95" w:rsidP="00C720DB">
            <w:pPr>
              <w:pStyle w:val="TableText"/>
              <w:spacing w:line="480" w:lineRule="auto"/>
            </w:pPr>
            <w:r>
              <w:t xml:space="preserve">Men </w:t>
            </w:r>
          </w:p>
        </w:tc>
        <w:tc>
          <w:tcPr>
            <w:tcW w:w="2032" w:type="dxa"/>
            <w:tcBorders>
              <w:top w:val="single" w:sz="4" w:space="0" w:color="auto"/>
            </w:tcBorders>
            <w:shd w:val="clear" w:color="auto" w:fill="auto"/>
            <w:tcMar>
              <w:top w:w="0" w:type="dxa"/>
              <w:left w:w="108" w:type="dxa"/>
              <w:bottom w:w="0" w:type="dxa"/>
              <w:right w:w="108" w:type="dxa"/>
            </w:tcMar>
          </w:tcPr>
          <w:p w14:paraId="5A39BCE3" w14:textId="77777777" w:rsidR="00E00C95" w:rsidRDefault="00E00C95" w:rsidP="00C720DB">
            <w:pPr>
              <w:pStyle w:val="TableText"/>
              <w:spacing w:line="480" w:lineRule="auto"/>
            </w:pPr>
            <w:r>
              <w:t>46.0 (12.9)</w:t>
            </w:r>
          </w:p>
        </w:tc>
        <w:tc>
          <w:tcPr>
            <w:tcW w:w="2032" w:type="dxa"/>
            <w:tcBorders>
              <w:top w:val="single" w:sz="4" w:space="0" w:color="auto"/>
            </w:tcBorders>
            <w:shd w:val="clear" w:color="auto" w:fill="auto"/>
            <w:tcMar>
              <w:top w:w="0" w:type="dxa"/>
              <w:left w:w="108" w:type="dxa"/>
              <w:bottom w:w="0" w:type="dxa"/>
              <w:right w:w="108" w:type="dxa"/>
            </w:tcMar>
          </w:tcPr>
          <w:p w14:paraId="74104367" w14:textId="77777777" w:rsidR="00E00C95" w:rsidRDefault="00E00C95" w:rsidP="00C720DB">
            <w:pPr>
              <w:pStyle w:val="TableText"/>
              <w:spacing w:line="480" w:lineRule="auto"/>
            </w:pPr>
            <w:r>
              <w:t>48.9*** (13.5)</w:t>
            </w:r>
          </w:p>
        </w:tc>
      </w:tr>
      <w:tr w:rsidR="00E00C95" w14:paraId="7F864513" w14:textId="77777777" w:rsidTr="00112055">
        <w:tc>
          <w:tcPr>
            <w:tcW w:w="2032" w:type="dxa"/>
            <w:tcBorders>
              <w:bottom w:val="single" w:sz="4" w:space="0" w:color="auto"/>
            </w:tcBorders>
            <w:shd w:val="clear" w:color="auto" w:fill="auto"/>
            <w:tcMar>
              <w:top w:w="0" w:type="dxa"/>
              <w:left w:w="108" w:type="dxa"/>
              <w:bottom w:w="0" w:type="dxa"/>
              <w:right w:w="108" w:type="dxa"/>
            </w:tcMar>
          </w:tcPr>
          <w:p w14:paraId="4A17EB90" w14:textId="77777777" w:rsidR="00E00C95" w:rsidRDefault="00E00C95" w:rsidP="00C720DB">
            <w:pPr>
              <w:pStyle w:val="TableText"/>
              <w:spacing w:line="480" w:lineRule="auto"/>
            </w:pPr>
            <w:r>
              <w:t>Women</w:t>
            </w:r>
          </w:p>
        </w:tc>
        <w:tc>
          <w:tcPr>
            <w:tcW w:w="2032" w:type="dxa"/>
            <w:tcBorders>
              <w:bottom w:val="single" w:sz="4" w:space="0" w:color="auto"/>
            </w:tcBorders>
            <w:shd w:val="clear" w:color="auto" w:fill="auto"/>
            <w:tcMar>
              <w:top w:w="0" w:type="dxa"/>
              <w:left w:w="108" w:type="dxa"/>
              <w:bottom w:w="0" w:type="dxa"/>
              <w:right w:w="108" w:type="dxa"/>
            </w:tcMar>
          </w:tcPr>
          <w:p w14:paraId="12B4D2ED" w14:textId="77777777" w:rsidR="00E00C95" w:rsidRDefault="00E00C95" w:rsidP="00C720DB">
            <w:pPr>
              <w:pStyle w:val="TableText"/>
              <w:spacing w:line="480" w:lineRule="auto"/>
            </w:pPr>
            <w:r>
              <w:t>53.1 (12.1)</w:t>
            </w:r>
          </w:p>
        </w:tc>
        <w:tc>
          <w:tcPr>
            <w:tcW w:w="2032" w:type="dxa"/>
            <w:tcBorders>
              <w:bottom w:val="single" w:sz="4" w:space="0" w:color="auto"/>
            </w:tcBorders>
            <w:shd w:val="clear" w:color="auto" w:fill="auto"/>
            <w:tcMar>
              <w:top w:w="0" w:type="dxa"/>
              <w:left w:w="108" w:type="dxa"/>
              <w:bottom w:w="0" w:type="dxa"/>
              <w:right w:w="108" w:type="dxa"/>
            </w:tcMar>
          </w:tcPr>
          <w:p w14:paraId="3E0C78E2" w14:textId="77777777" w:rsidR="00E00C95" w:rsidRDefault="00E00C95" w:rsidP="00C720DB">
            <w:pPr>
              <w:pStyle w:val="TableText"/>
              <w:spacing w:line="480" w:lineRule="auto"/>
            </w:pPr>
            <w:r>
              <w:t>53.8* (13.1)</w:t>
            </w:r>
          </w:p>
        </w:tc>
      </w:tr>
    </w:tbl>
    <w:p w14:paraId="5D14D4F9" w14:textId="77777777" w:rsidR="00E00C95" w:rsidRPr="003B4E1A" w:rsidRDefault="00E00C95" w:rsidP="00C720DB">
      <w:pPr>
        <w:pStyle w:val="TableGraphSource"/>
        <w:spacing w:before="0" w:after="0" w:line="480" w:lineRule="auto"/>
        <w:rPr>
          <w:sz w:val="16"/>
          <w:szCs w:val="16"/>
          <w:lang w:val="en-US"/>
        </w:rPr>
      </w:pPr>
      <w:r w:rsidRPr="003B4E1A">
        <w:rPr>
          <w:sz w:val="16"/>
          <w:szCs w:val="16"/>
          <w:lang w:val="en-US"/>
        </w:rPr>
        <w:t xml:space="preserve">Source: </w:t>
      </w:r>
      <w:proofErr w:type="spellStart"/>
      <w:r w:rsidRPr="003B4E1A">
        <w:rPr>
          <w:sz w:val="16"/>
          <w:szCs w:val="16"/>
          <w:lang w:val="en-US"/>
        </w:rPr>
        <w:t>Labour</w:t>
      </w:r>
      <w:proofErr w:type="spellEnd"/>
      <w:r w:rsidRPr="003B4E1A">
        <w:rPr>
          <w:sz w:val="16"/>
          <w:szCs w:val="16"/>
          <w:lang w:val="en-US"/>
        </w:rPr>
        <w:t xml:space="preserve"> Force Survey, pooled quarterly datasets 05-07, 15-17</w:t>
      </w:r>
    </w:p>
    <w:p w14:paraId="033B4407" w14:textId="77777777" w:rsidR="00E00C95" w:rsidRPr="003B4E1A" w:rsidRDefault="00E00C95" w:rsidP="00C720DB">
      <w:pPr>
        <w:pStyle w:val="TableGraphSource"/>
        <w:spacing w:before="0" w:after="0" w:line="480" w:lineRule="auto"/>
        <w:rPr>
          <w:sz w:val="16"/>
          <w:szCs w:val="16"/>
        </w:rPr>
      </w:pPr>
      <w:r w:rsidRPr="003B4E1A">
        <w:rPr>
          <w:sz w:val="16"/>
          <w:szCs w:val="16"/>
        </w:rPr>
        <w:t>*** p&lt;.001, ** p&lt;.01, * p&lt;.05</w:t>
      </w:r>
    </w:p>
    <w:p w14:paraId="13AD85C8" w14:textId="77777777" w:rsidR="00E00C95" w:rsidRDefault="00E00C95" w:rsidP="00C720DB">
      <w:pPr>
        <w:pStyle w:val="TableGraphSource"/>
        <w:spacing w:before="0" w:after="0" w:line="480" w:lineRule="auto"/>
        <w:rPr>
          <w:sz w:val="16"/>
          <w:szCs w:val="16"/>
        </w:rPr>
      </w:pPr>
      <w:r w:rsidRPr="003B4E1A">
        <w:rPr>
          <w:sz w:val="16"/>
          <w:szCs w:val="16"/>
        </w:rPr>
        <w:t>n=9447 men n=7609 women</w:t>
      </w:r>
    </w:p>
    <w:p w14:paraId="02F1F6D8" w14:textId="77777777" w:rsidR="00E00C95" w:rsidRPr="00E00C95" w:rsidRDefault="00E00C95" w:rsidP="00C720DB">
      <w:pPr>
        <w:spacing w:before="0" w:line="480" w:lineRule="auto"/>
        <w:rPr>
          <w:rFonts w:ascii="Arial" w:hAnsi="Arial"/>
          <w:b/>
          <w:sz w:val="16"/>
          <w:szCs w:val="16"/>
        </w:rPr>
      </w:pPr>
      <w:r w:rsidRPr="00E00C95">
        <w:rPr>
          <w:sz w:val="16"/>
          <w:szCs w:val="16"/>
        </w:rPr>
        <w:t xml:space="preserve">Note: </w:t>
      </w:r>
      <w:r w:rsidRPr="00E00C95">
        <w:rPr>
          <w:sz w:val="16"/>
          <w:szCs w:val="16"/>
          <w:lang w:val="en-US"/>
        </w:rPr>
        <w:t>Mean CAMSIS score of young people aged 18-24 in full-time employment in the UK comparing the three year period prior to the Great Recession of 2008 with the equivalent ten years later (standard deviation), t-tests have been conducted to compare between time points</w:t>
      </w:r>
    </w:p>
    <w:p w14:paraId="11E6B99C" w14:textId="0162EDA6" w:rsidR="00E00C95" w:rsidRPr="00AA2207" w:rsidRDefault="00E00C95" w:rsidP="00C720DB">
      <w:pPr>
        <w:pStyle w:val="TableGraphheading"/>
        <w:spacing w:before="240" w:line="480" w:lineRule="auto"/>
        <w:rPr>
          <w:rFonts w:ascii="Arial" w:hAnsi="Arial"/>
        </w:rPr>
      </w:pPr>
      <w:r w:rsidRPr="00E00C95">
        <w:rPr>
          <w:lang w:val="en-US"/>
        </w:rPr>
        <w:t xml:space="preserve">Table 3: </w:t>
      </w:r>
      <w:r w:rsidR="002636EB">
        <w:t>M</w:t>
      </w:r>
      <w:r w:rsidR="00AA2207" w:rsidRPr="00AA2207">
        <w:t xml:space="preserve">ean CAMSIS score of young </w:t>
      </w:r>
      <w:r w:rsidR="00A02012">
        <w:t>workers</w:t>
      </w:r>
      <w:r w:rsidR="00A02012" w:rsidRPr="00AA2207">
        <w:t xml:space="preserve"> </w:t>
      </w:r>
      <w:r w:rsidR="00AA2207" w:rsidRPr="00AA2207">
        <w:t>by region</w:t>
      </w:r>
    </w:p>
    <w:tbl>
      <w:tblPr>
        <w:tblW w:w="7656" w:type="dxa"/>
        <w:tblLayout w:type="fixed"/>
        <w:tblCellMar>
          <w:left w:w="10" w:type="dxa"/>
          <w:right w:w="10" w:type="dxa"/>
        </w:tblCellMar>
        <w:tblLook w:val="04A0" w:firstRow="1" w:lastRow="0" w:firstColumn="1" w:lastColumn="0" w:noHBand="0" w:noVBand="1"/>
      </w:tblPr>
      <w:tblGrid>
        <w:gridCol w:w="2694"/>
        <w:gridCol w:w="1275"/>
        <w:gridCol w:w="1276"/>
        <w:gridCol w:w="1276"/>
        <w:gridCol w:w="1135"/>
      </w:tblGrid>
      <w:tr w:rsidR="00E00C95" w:rsidRPr="00E00C95" w14:paraId="389793BD" w14:textId="77777777" w:rsidTr="00112055">
        <w:tc>
          <w:tcPr>
            <w:tcW w:w="2694" w:type="dxa"/>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5B6B5EBA" w14:textId="77777777" w:rsidR="00E00C95" w:rsidRPr="00E00C95" w:rsidRDefault="00E00C95" w:rsidP="00C720DB">
            <w:pPr>
              <w:pStyle w:val="TableText"/>
              <w:spacing w:line="480" w:lineRule="auto"/>
              <w:rPr>
                <w:sz w:val="16"/>
                <w:szCs w:val="16"/>
                <w:lang w:val="en-US"/>
              </w:rPr>
            </w:pPr>
          </w:p>
        </w:tc>
        <w:tc>
          <w:tcPr>
            <w:tcW w:w="2551" w:type="dxa"/>
            <w:gridSpan w:val="2"/>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411DE33B" w14:textId="77777777" w:rsidR="00E00C95" w:rsidRPr="00E00C95" w:rsidRDefault="00E00C95" w:rsidP="00C720DB">
            <w:pPr>
              <w:pStyle w:val="TableText"/>
              <w:spacing w:line="480" w:lineRule="auto"/>
              <w:jc w:val="center"/>
              <w:rPr>
                <w:b/>
                <w:sz w:val="16"/>
                <w:szCs w:val="16"/>
                <w:lang w:val="en-US"/>
              </w:rPr>
            </w:pPr>
            <w:r w:rsidRPr="00E00C95">
              <w:rPr>
                <w:b/>
                <w:sz w:val="16"/>
                <w:szCs w:val="16"/>
                <w:lang w:val="en-US"/>
              </w:rPr>
              <w:t>Men</w:t>
            </w:r>
          </w:p>
        </w:tc>
        <w:tc>
          <w:tcPr>
            <w:tcW w:w="2411" w:type="dxa"/>
            <w:gridSpan w:val="2"/>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32A32A39" w14:textId="77777777" w:rsidR="00E00C95" w:rsidRPr="00E00C95" w:rsidRDefault="00E00C95" w:rsidP="00C720DB">
            <w:pPr>
              <w:pStyle w:val="TableText"/>
              <w:spacing w:line="480" w:lineRule="auto"/>
              <w:jc w:val="center"/>
              <w:rPr>
                <w:b/>
                <w:sz w:val="16"/>
                <w:szCs w:val="16"/>
                <w:lang w:val="en-US"/>
              </w:rPr>
            </w:pPr>
            <w:r w:rsidRPr="00E00C95">
              <w:rPr>
                <w:b/>
                <w:sz w:val="16"/>
                <w:szCs w:val="16"/>
                <w:lang w:val="en-US"/>
              </w:rPr>
              <w:t>Women</w:t>
            </w:r>
          </w:p>
        </w:tc>
      </w:tr>
      <w:tr w:rsidR="00E00C95" w:rsidRPr="00E00C95" w14:paraId="5357A526" w14:textId="77777777" w:rsidTr="00112055">
        <w:tc>
          <w:tcPr>
            <w:tcW w:w="2694" w:type="dxa"/>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cPr>
          <w:p w14:paraId="2A0B9AFE" w14:textId="77777777" w:rsidR="00E00C95" w:rsidRPr="00E00C95" w:rsidRDefault="00E00C95" w:rsidP="00C720DB">
            <w:pPr>
              <w:pStyle w:val="TableText"/>
              <w:spacing w:line="480" w:lineRule="auto"/>
              <w:rPr>
                <w:b/>
                <w:bCs/>
                <w:sz w:val="16"/>
                <w:szCs w:val="16"/>
                <w:lang w:val="en-US"/>
              </w:rPr>
            </w:pPr>
            <w:r w:rsidRPr="00E00C95">
              <w:rPr>
                <w:b/>
                <w:bCs/>
                <w:sz w:val="16"/>
                <w:szCs w:val="16"/>
                <w:lang w:val="en-US"/>
              </w:rPr>
              <w:t xml:space="preserve">Regions  </w:t>
            </w:r>
          </w:p>
        </w:tc>
        <w:tc>
          <w:tcPr>
            <w:tcW w:w="1275" w:type="dxa"/>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cPr>
          <w:p w14:paraId="1A45DA3E" w14:textId="77777777" w:rsidR="00E00C95" w:rsidRPr="00E00C95" w:rsidRDefault="00E00C95" w:rsidP="00C720DB">
            <w:pPr>
              <w:pStyle w:val="TableText"/>
              <w:spacing w:line="480" w:lineRule="auto"/>
              <w:jc w:val="right"/>
              <w:rPr>
                <w:b/>
                <w:bCs/>
                <w:sz w:val="16"/>
                <w:szCs w:val="16"/>
                <w:lang w:val="en-US"/>
              </w:rPr>
            </w:pPr>
            <w:r w:rsidRPr="00E00C95">
              <w:rPr>
                <w:b/>
                <w:bCs/>
                <w:sz w:val="16"/>
                <w:szCs w:val="16"/>
                <w:lang w:val="en-US"/>
              </w:rPr>
              <w:t xml:space="preserve">2005-07    </w:t>
            </w:r>
          </w:p>
        </w:tc>
        <w:tc>
          <w:tcPr>
            <w:tcW w:w="1276" w:type="dxa"/>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cPr>
          <w:p w14:paraId="04D23972" w14:textId="77777777" w:rsidR="00E00C95" w:rsidRPr="00E00C95" w:rsidRDefault="00E00C95" w:rsidP="00C720DB">
            <w:pPr>
              <w:pStyle w:val="TableText"/>
              <w:spacing w:line="480" w:lineRule="auto"/>
              <w:jc w:val="right"/>
              <w:rPr>
                <w:b/>
                <w:bCs/>
                <w:sz w:val="16"/>
                <w:szCs w:val="16"/>
                <w:lang w:val="en-US"/>
              </w:rPr>
            </w:pPr>
            <w:r w:rsidRPr="00E00C95">
              <w:rPr>
                <w:b/>
                <w:bCs/>
                <w:sz w:val="16"/>
                <w:szCs w:val="16"/>
                <w:lang w:val="en-US"/>
              </w:rPr>
              <w:t>2015-17</w:t>
            </w:r>
          </w:p>
        </w:tc>
        <w:tc>
          <w:tcPr>
            <w:tcW w:w="1276" w:type="dxa"/>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cPr>
          <w:p w14:paraId="0FF27161" w14:textId="77777777" w:rsidR="00E00C95" w:rsidRPr="00E00C95" w:rsidRDefault="00E00C95" w:rsidP="00C720DB">
            <w:pPr>
              <w:pStyle w:val="TableText"/>
              <w:spacing w:line="480" w:lineRule="auto"/>
              <w:jc w:val="right"/>
              <w:rPr>
                <w:b/>
                <w:bCs/>
                <w:sz w:val="16"/>
                <w:szCs w:val="16"/>
                <w:lang w:val="en-US"/>
              </w:rPr>
            </w:pPr>
            <w:r w:rsidRPr="00E00C95">
              <w:rPr>
                <w:b/>
                <w:bCs/>
                <w:sz w:val="16"/>
                <w:szCs w:val="16"/>
                <w:lang w:val="en-US"/>
              </w:rPr>
              <w:t xml:space="preserve">2005-07    </w:t>
            </w:r>
          </w:p>
        </w:tc>
        <w:tc>
          <w:tcPr>
            <w:tcW w:w="1135" w:type="dxa"/>
            <w:tcBorders>
              <w:top w:val="single" w:sz="4" w:space="0" w:color="auto"/>
              <w:bottom w:val="single" w:sz="4" w:space="0" w:color="000000"/>
            </w:tcBorders>
            <w:shd w:val="clear" w:color="auto" w:fill="D9D9D9" w:themeFill="background1" w:themeFillShade="D9"/>
            <w:tcMar>
              <w:top w:w="0" w:type="dxa"/>
              <w:left w:w="10" w:type="dxa"/>
              <w:bottom w:w="0" w:type="dxa"/>
              <w:right w:w="10" w:type="dxa"/>
            </w:tcMar>
          </w:tcPr>
          <w:p w14:paraId="62F45B18" w14:textId="77777777" w:rsidR="00E00C95" w:rsidRPr="00E00C95" w:rsidRDefault="00E00C95" w:rsidP="00C720DB">
            <w:pPr>
              <w:pStyle w:val="TableText"/>
              <w:spacing w:line="480" w:lineRule="auto"/>
              <w:jc w:val="right"/>
              <w:rPr>
                <w:b/>
                <w:bCs/>
                <w:sz w:val="16"/>
                <w:szCs w:val="16"/>
                <w:lang w:val="en-US"/>
              </w:rPr>
            </w:pPr>
            <w:r w:rsidRPr="00E00C95">
              <w:rPr>
                <w:b/>
                <w:bCs/>
                <w:sz w:val="16"/>
                <w:szCs w:val="16"/>
                <w:lang w:val="en-US"/>
              </w:rPr>
              <w:t>2015-17</w:t>
            </w:r>
          </w:p>
        </w:tc>
      </w:tr>
      <w:tr w:rsidR="00E00C95" w:rsidRPr="00E00C95" w14:paraId="79B7B256" w14:textId="77777777" w:rsidTr="00112055">
        <w:tc>
          <w:tcPr>
            <w:tcW w:w="2694" w:type="dxa"/>
            <w:tcBorders>
              <w:top w:val="single" w:sz="4" w:space="0" w:color="000000"/>
            </w:tcBorders>
            <w:shd w:val="clear" w:color="auto" w:fill="auto"/>
            <w:tcMar>
              <w:top w:w="0" w:type="dxa"/>
              <w:left w:w="108" w:type="dxa"/>
              <w:bottom w:w="0" w:type="dxa"/>
              <w:right w:w="108" w:type="dxa"/>
            </w:tcMar>
          </w:tcPr>
          <w:p w14:paraId="64677F30"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Rest of Scotland  </w:t>
            </w:r>
          </w:p>
        </w:tc>
        <w:tc>
          <w:tcPr>
            <w:tcW w:w="1275" w:type="dxa"/>
            <w:tcBorders>
              <w:top w:val="single" w:sz="4" w:space="0" w:color="000000"/>
            </w:tcBorders>
            <w:shd w:val="clear" w:color="auto" w:fill="auto"/>
            <w:tcMar>
              <w:top w:w="0" w:type="dxa"/>
              <w:left w:w="108" w:type="dxa"/>
              <w:bottom w:w="0" w:type="dxa"/>
              <w:right w:w="108" w:type="dxa"/>
            </w:tcMar>
          </w:tcPr>
          <w:p w14:paraId="71875337"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44.1 (11.5)   </w:t>
            </w:r>
          </w:p>
        </w:tc>
        <w:tc>
          <w:tcPr>
            <w:tcW w:w="1276" w:type="dxa"/>
            <w:tcBorders>
              <w:top w:val="single" w:sz="4" w:space="0" w:color="000000"/>
            </w:tcBorders>
            <w:shd w:val="clear" w:color="auto" w:fill="auto"/>
            <w:tcMar>
              <w:top w:w="0" w:type="dxa"/>
              <w:left w:w="108" w:type="dxa"/>
              <w:bottom w:w="0" w:type="dxa"/>
              <w:right w:w="108" w:type="dxa"/>
            </w:tcMar>
          </w:tcPr>
          <w:p w14:paraId="6F904BB4"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44.8 (11.7)</w:t>
            </w:r>
          </w:p>
        </w:tc>
        <w:tc>
          <w:tcPr>
            <w:tcW w:w="1276" w:type="dxa"/>
            <w:tcBorders>
              <w:top w:val="single" w:sz="4" w:space="0" w:color="000000"/>
            </w:tcBorders>
            <w:shd w:val="clear" w:color="auto" w:fill="auto"/>
            <w:tcMar>
              <w:top w:w="0" w:type="dxa"/>
              <w:left w:w="108" w:type="dxa"/>
              <w:bottom w:w="0" w:type="dxa"/>
              <w:right w:w="108" w:type="dxa"/>
            </w:tcMar>
          </w:tcPr>
          <w:p w14:paraId="0DB539CC"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52.3 (12.3)  </w:t>
            </w:r>
          </w:p>
        </w:tc>
        <w:tc>
          <w:tcPr>
            <w:tcW w:w="1135" w:type="dxa"/>
            <w:tcBorders>
              <w:top w:val="single" w:sz="4" w:space="0" w:color="000000"/>
            </w:tcBorders>
            <w:shd w:val="clear" w:color="auto" w:fill="auto"/>
            <w:tcMar>
              <w:top w:w="0" w:type="dxa"/>
              <w:left w:w="10" w:type="dxa"/>
              <w:bottom w:w="0" w:type="dxa"/>
              <w:right w:w="10" w:type="dxa"/>
            </w:tcMar>
          </w:tcPr>
          <w:p w14:paraId="7C76EEE5"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53.2 (13.4)</w:t>
            </w:r>
          </w:p>
        </w:tc>
      </w:tr>
      <w:tr w:rsidR="00E00C95" w:rsidRPr="00E00C95" w14:paraId="71E702E3" w14:textId="77777777" w:rsidTr="00112055">
        <w:tc>
          <w:tcPr>
            <w:tcW w:w="2694" w:type="dxa"/>
            <w:shd w:val="clear" w:color="auto" w:fill="auto"/>
            <w:tcMar>
              <w:top w:w="0" w:type="dxa"/>
              <w:left w:w="108" w:type="dxa"/>
              <w:bottom w:w="0" w:type="dxa"/>
              <w:right w:w="108" w:type="dxa"/>
            </w:tcMar>
          </w:tcPr>
          <w:p w14:paraId="174183DB" w14:textId="77777777" w:rsidR="00E00C95" w:rsidRPr="00E00C95" w:rsidRDefault="00E00C95" w:rsidP="00C720DB">
            <w:pPr>
              <w:pStyle w:val="TableText"/>
              <w:spacing w:line="480" w:lineRule="auto"/>
              <w:rPr>
                <w:sz w:val="16"/>
                <w:szCs w:val="16"/>
              </w:rPr>
            </w:pPr>
            <w:r w:rsidRPr="00E00C95">
              <w:rPr>
                <w:sz w:val="16"/>
                <w:szCs w:val="16"/>
                <w:lang w:val="en-US"/>
              </w:rPr>
              <w:t xml:space="preserve">Rest of Yorkshire and Humberside  </w:t>
            </w:r>
          </w:p>
        </w:tc>
        <w:tc>
          <w:tcPr>
            <w:tcW w:w="1275" w:type="dxa"/>
            <w:shd w:val="clear" w:color="auto" w:fill="auto"/>
            <w:tcMar>
              <w:top w:w="0" w:type="dxa"/>
              <w:left w:w="108" w:type="dxa"/>
              <w:bottom w:w="0" w:type="dxa"/>
              <w:right w:w="108" w:type="dxa"/>
            </w:tcMar>
          </w:tcPr>
          <w:p w14:paraId="476C30B7"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43.8 (12.7)</w:t>
            </w:r>
          </w:p>
        </w:tc>
        <w:tc>
          <w:tcPr>
            <w:tcW w:w="1276" w:type="dxa"/>
            <w:shd w:val="clear" w:color="auto" w:fill="auto"/>
            <w:tcMar>
              <w:top w:w="0" w:type="dxa"/>
              <w:left w:w="108" w:type="dxa"/>
              <w:bottom w:w="0" w:type="dxa"/>
              <w:right w:w="108" w:type="dxa"/>
            </w:tcMar>
          </w:tcPr>
          <w:p w14:paraId="1C95B340"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47.7 (13.4)*</w:t>
            </w:r>
          </w:p>
        </w:tc>
        <w:tc>
          <w:tcPr>
            <w:tcW w:w="1276" w:type="dxa"/>
            <w:shd w:val="clear" w:color="auto" w:fill="auto"/>
            <w:tcMar>
              <w:top w:w="0" w:type="dxa"/>
              <w:left w:w="108" w:type="dxa"/>
              <w:bottom w:w="0" w:type="dxa"/>
              <w:right w:w="108" w:type="dxa"/>
            </w:tcMar>
          </w:tcPr>
          <w:p w14:paraId="360A5EC4"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49.1(12.4)   </w:t>
            </w:r>
          </w:p>
        </w:tc>
        <w:tc>
          <w:tcPr>
            <w:tcW w:w="1135" w:type="dxa"/>
            <w:shd w:val="clear" w:color="auto" w:fill="auto"/>
            <w:tcMar>
              <w:top w:w="0" w:type="dxa"/>
              <w:left w:w="10" w:type="dxa"/>
              <w:bottom w:w="0" w:type="dxa"/>
              <w:right w:w="10" w:type="dxa"/>
            </w:tcMar>
          </w:tcPr>
          <w:p w14:paraId="46E247BD"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52.4 (13.7)</w:t>
            </w:r>
          </w:p>
        </w:tc>
      </w:tr>
      <w:tr w:rsidR="00E00C95" w:rsidRPr="00E00C95" w14:paraId="081CAD9E" w14:textId="77777777" w:rsidTr="00112055">
        <w:tc>
          <w:tcPr>
            <w:tcW w:w="2694" w:type="dxa"/>
            <w:shd w:val="clear" w:color="auto" w:fill="auto"/>
            <w:tcMar>
              <w:top w:w="0" w:type="dxa"/>
              <w:left w:w="108" w:type="dxa"/>
              <w:bottom w:w="0" w:type="dxa"/>
              <w:right w:w="108" w:type="dxa"/>
            </w:tcMar>
          </w:tcPr>
          <w:p w14:paraId="4666A784"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Northern Ireland  </w:t>
            </w:r>
          </w:p>
        </w:tc>
        <w:tc>
          <w:tcPr>
            <w:tcW w:w="1275" w:type="dxa"/>
            <w:shd w:val="clear" w:color="auto" w:fill="auto"/>
            <w:tcMar>
              <w:top w:w="0" w:type="dxa"/>
              <w:left w:w="108" w:type="dxa"/>
              <w:bottom w:w="0" w:type="dxa"/>
              <w:right w:w="108" w:type="dxa"/>
            </w:tcMar>
          </w:tcPr>
          <w:p w14:paraId="6B353FE7"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43.2 (11.1)</w:t>
            </w:r>
          </w:p>
        </w:tc>
        <w:tc>
          <w:tcPr>
            <w:tcW w:w="1276" w:type="dxa"/>
            <w:shd w:val="clear" w:color="auto" w:fill="auto"/>
            <w:tcMar>
              <w:top w:w="0" w:type="dxa"/>
              <w:left w:w="108" w:type="dxa"/>
              <w:bottom w:w="0" w:type="dxa"/>
              <w:right w:w="108" w:type="dxa"/>
            </w:tcMar>
          </w:tcPr>
          <w:p w14:paraId="74E16FA9"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45.9 (13.0)*</w:t>
            </w:r>
          </w:p>
        </w:tc>
        <w:tc>
          <w:tcPr>
            <w:tcW w:w="1276" w:type="dxa"/>
            <w:shd w:val="clear" w:color="auto" w:fill="auto"/>
            <w:tcMar>
              <w:top w:w="0" w:type="dxa"/>
              <w:left w:w="108" w:type="dxa"/>
              <w:bottom w:w="0" w:type="dxa"/>
              <w:right w:w="108" w:type="dxa"/>
            </w:tcMar>
          </w:tcPr>
          <w:p w14:paraId="07859238"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52.4 (13.4)   </w:t>
            </w:r>
          </w:p>
        </w:tc>
        <w:tc>
          <w:tcPr>
            <w:tcW w:w="1135" w:type="dxa"/>
            <w:shd w:val="clear" w:color="auto" w:fill="auto"/>
            <w:tcMar>
              <w:top w:w="0" w:type="dxa"/>
              <w:left w:w="10" w:type="dxa"/>
              <w:bottom w:w="0" w:type="dxa"/>
              <w:right w:w="10" w:type="dxa"/>
            </w:tcMar>
          </w:tcPr>
          <w:p w14:paraId="2A473082"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50.0 (14.4)</w:t>
            </w:r>
          </w:p>
        </w:tc>
      </w:tr>
      <w:tr w:rsidR="00E00C95" w:rsidRPr="00E00C95" w14:paraId="367C909A" w14:textId="77777777" w:rsidTr="00112055">
        <w:tc>
          <w:tcPr>
            <w:tcW w:w="2694" w:type="dxa"/>
            <w:shd w:val="clear" w:color="auto" w:fill="auto"/>
            <w:tcMar>
              <w:top w:w="0" w:type="dxa"/>
              <w:left w:w="108" w:type="dxa"/>
              <w:bottom w:w="0" w:type="dxa"/>
              <w:right w:w="108" w:type="dxa"/>
            </w:tcMar>
          </w:tcPr>
          <w:p w14:paraId="4F3D3753"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Tyne and Wear  </w:t>
            </w:r>
          </w:p>
        </w:tc>
        <w:tc>
          <w:tcPr>
            <w:tcW w:w="1275" w:type="dxa"/>
            <w:shd w:val="clear" w:color="auto" w:fill="auto"/>
            <w:tcMar>
              <w:top w:w="0" w:type="dxa"/>
              <w:left w:w="108" w:type="dxa"/>
              <w:bottom w:w="0" w:type="dxa"/>
              <w:right w:w="108" w:type="dxa"/>
            </w:tcMar>
          </w:tcPr>
          <w:p w14:paraId="7A805C71"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45.5 (10.8)  </w:t>
            </w:r>
          </w:p>
        </w:tc>
        <w:tc>
          <w:tcPr>
            <w:tcW w:w="1276" w:type="dxa"/>
            <w:shd w:val="clear" w:color="auto" w:fill="auto"/>
            <w:tcMar>
              <w:top w:w="0" w:type="dxa"/>
              <w:left w:w="108" w:type="dxa"/>
              <w:bottom w:w="0" w:type="dxa"/>
              <w:right w:w="108" w:type="dxa"/>
            </w:tcMar>
          </w:tcPr>
          <w:p w14:paraId="29674D78"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48.2 (13.8)</w:t>
            </w:r>
          </w:p>
        </w:tc>
        <w:tc>
          <w:tcPr>
            <w:tcW w:w="1276" w:type="dxa"/>
            <w:shd w:val="clear" w:color="auto" w:fill="auto"/>
            <w:tcMar>
              <w:top w:w="0" w:type="dxa"/>
              <w:left w:w="108" w:type="dxa"/>
              <w:bottom w:w="0" w:type="dxa"/>
              <w:right w:w="108" w:type="dxa"/>
            </w:tcMar>
          </w:tcPr>
          <w:p w14:paraId="7B13B627"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53.1 (11.7)   </w:t>
            </w:r>
          </w:p>
        </w:tc>
        <w:tc>
          <w:tcPr>
            <w:tcW w:w="1135" w:type="dxa"/>
            <w:shd w:val="clear" w:color="auto" w:fill="auto"/>
            <w:tcMar>
              <w:top w:w="0" w:type="dxa"/>
              <w:left w:w="10" w:type="dxa"/>
              <w:bottom w:w="0" w:type="dxa"/>
              <w:right w:w="10" w:type="dxa"/>
            </w:tcMar>
          </w:tcPr>
          <w:p w14:paraId="3E3FF3E6"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52.6 (12.6)</w:t>
            </w:r>
          </w:p>
        </w:tc>
      </w:tr>
      <w:tr w:rsidR="00E00C95" w:rsidRPr="00E00C95" w14:paraId="61DAEA0B" w14:textId="77777777" w:rsidTr="00112055">
        <w:tc>
          <w:tcPr>
            <w:tcW w:w="2694" w:type="dxa"/>
            <w:shd w:val="clear" w:color="auto" w:fill="auto"/>
            <w:tcMar>
              <w:top w:w="0" w:type="dxa"/>
              <w:left w:w="108" w:type="dxa"/>
              <w:bottom w:w="0" w:type="dxa"/>
              <w:right w:w="108" w:type="dxa"/>
            </w:tcMar>
          </w:tcPr>
          <w:p w14:paraId="63C439D0"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South Yorkshire  </w:t>
            </w:r>
          </w:p>
        </w:tc>
        <w:tc>
          <w:tcPr>
            <w:tcW w:w="1275" w:type="dxa"/>
            <w:shd w:val="clear" w:color="auto" w:fill="auto"/>
            <w:tcMar>
              <w:top w:w="0" w:type="dxa"/>
              <w:left w:w="108" w:type="dxa"/>
              <w:bottom w:w="0" w:type="dxa"/>
              <w:right w:w="108" w:type="dxa"/>
            </w:tcMar>
          </w:tcPr>
          <w:p w14:paraId="79EAC08B"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44.4 (12.1)   </w:t>
            </w:r>
          </w:p>
        </w:tc>
        <w:tc>
          <w:tcPr>
            <w:tcW w:w="1276" w:type="dxa"/>
            <w:shd w:val="clear" w:color="auto" w:fill="auto"/>
            <w:tcMar>
              <w:top w:w="0" w:type="dxa"/>
              <w:left w:w="108" w:type="dxa"/>
              <w:bottom w:w="0" w:type="dxa"/>
              <w:right w:w="108" w:type="dxa"/>
            </w:tcMar>
          </w:tcPr>
          <w:p w14:paraId="3DE9887C"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49.9 (13.3)***</w:t>
            </w:r>
          </w:p>
        </w:tc>
        <w:tc>
          <w:tcPr>
            <w:tcW w:w="1276" w:type="dxa"/>
            <w:shd w:val="clear" w:color="auto" w:fill="auto"/>
            <w:tcMar>
              <w:top w:w="0" w:type="dxa"/>
              <w:left w:w="108" w:type="dxa"/>
              <w:bottom w:w="0" w:type="dxa"/>
              <w:right w:w="108" w:type="dxa"/>
            </w:tcMar>
          </w:tcPr>
          <w:p w14:paraId="4325DDC8"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51.7 (12.0)   </w:t>
            </w:r>
          </w:p>
        </w:tc>
        <w:tc>
          <w:tcPr>
            <w:tcW w:w="1135" w:type="dxa"/>
            <w:shd w:val="clear" w:color="auto" w:fill="auto"/>
            <w:tcMar>
              <w:top w:w="0" w:type="dxa"/>
              <w:left w:w="10" w:type="dxa"/>
              <w:bottom w:w="0" w:type="dxa"/>
              <w:right w:w="10" w:type="dxa"/>
            </w:tcMar>
          </w:tcPr>
          <w:p w14:paraId="1EBA083E"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53.9 (14.3)</w:t>
            </w:r>
          </w:p>
        </w:tc>
      </w:tr>
      <w:tr w:rsidR="00E00C95" w:rsidRPr="00E00C95" w14:paraId="09740697" w14:textId="77777777" w:rsidTr="00112055">
        <w:tc>
          <w:tcPr>
            <w:tcW w:w="2694" w:type="dxa"/>
            <w:shd w:val="clear" w:color="auto" w:fill="auto"/>
            <w:tcMar>
              <w:top w:w="0" w:type="dxa"/>
              <w:left w:w="108" w:type="dxa"/>
              <w:bottom w:w="0" w:type="dxa"/>
              <w:right w:w="108" w:type="dxa"/>
            </w:tcMar>
          </w:tcPr>
          <w:p w14:paraId="265198B1"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Wales  </w:t>
            </w:r>
          </w:p>
        </w:tc>
        <w:tc>
          <w:tcPr>
            <w:tcW w:w="1275" w:type="dxa"/>
            <w:shd w:val="clear" w:color="auto" w:fill="auto"/>
            <w:tcMar>
              <w:top w:w="0" w:type="dxa"/>
              <w:left w:w="108" w:type="dxa"/>
              <w:bottom w:w="0" w:type="dxa"/>
              <w:right w:w="108" w:type="dxa"/>
            </w:tcMar>
          </w:tcPr>
          <w:p w14:paraId="235B78F9"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44.4 (12.5)</w:t>
            </w:r>
          </w:p>
        </w:tc>
        <w:tc>
          <w:tcPr>
            <w:tcW w:w="1276" w:type="dxa"/>
            <w:shd w:val="clear" w:color="auto" w:fill="auto"/>
            <w:tcMar>
              <w:top w:w="0" w:type="dxa"/>
              <w:left w:w="108" w:type="dxa"/>
              <w:bottom w:w="0" w:type="dxa"/>
              <w:right w:w="108" w:type="dxa"/>
            </w:tcMar>
          </w:tcPr>
          <w:p w14:paraId="073CA48E"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47.2 (12.8)**</w:t>
            </w:r>
          </w:p>
        </w:tc>
        <w:tc>
          <w:tcPr>
            <w:tcW w:w="1276" w:type="dxa"/>
            <w:shd w:val="clear" w:color="auto" w:fill="auto"/>
            <w:tcMar>
              <w:top w:w="0" w:type="dxa"/>
              <w:left w:w="108" w:type="dxa"/>
              <w:bottom w:w="0" w:type="dxa"/>
              <w:right w:w="108" w:type="dxa"/>
            </w:tcMar>
          </w:tcPr>
          <w:p w14:paraId="3C8182A0"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51.6 (12.6) </w:t>
            </w:r>
          </w:p>
        </w:tc>
        <w:tc>
          <w:tcPr>
            <w:tcW w:w="1135" w:type="dxa"/>
            <w:shd w:val="clear" w:color="auto" w:fill="auto"/>
            <w:tcMar>
              <w:top w:w="0" w:type="dxa"/>
              <w:left w:w="10" w:type="dxa"/>
              <w:bottom w:w="0" w:type="dxa"/>
              <w:right w:w="10" w:type="dxa"/>
            </w:tcMar>
          </w:tcPr>
          <w:p w14:paraId="4F7CFFF4"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53.1 (12.3)</w:t>
            </w:r>
          </w:p>
        </w:tc>
      </w:tr>
      <w:tr w:rsidR="00E00C95" w:rsidRPr="00E00C95" w14:paraId="2C8E3B0C" w14:textId="77777777" w:rsidTr="00112055">
        <w:tc>
          <w:tcPr>
            <w:tcW w:w="2694" w:type="dxa"/>
            <w:shd w:val="clear" w:color="auto" w:fill="auto"/>
            <w:tcMar>
              <w:top w:w="0" w:type="dxa"/>
              <w:left w:w="108" w:type="dxa"/>
              <w:bottom w:w="0" w:type="dxa"/>
              <w:right w:w="108" w:type="dxa"/>
            </w:tcMar>
          </w:tcPr>
          <w:p w14:paraId="432D8541"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Merseyside  </w:t>
            </w:r>
          </w:p>
        </w:tc>
        <w:tc>
          <w:tcPr>
            <w:tcW w:w="1275" w:type="dxa"/>
            <w:shd w:val="clear" w:color="auto" w:fill="auto"/>
            <w:tcMar>
              <w:top w:w="0" w:type="dxa"/>
              <w:left w:w="108" w:type="dxa"/>
              <w:bottom w:w="0" w:type="dxa"/>
              <w:right w:w="108" w:type="dxa"/>
            </w:tcMar>
          </w:tcPr>
          <w:p w14:paraId="445DE382"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45.0 (11.8)</w:t>
            </w:r>
          </w:p>
        </w:tc>
        <w:tc>
          <w:tcPr>
            <w:tcW w:w="1276" w:type="dxa"/>
            <w:shd w:val="clear" w:color="auto" w:fill="auto"/>
            <w:tcMar>
              <w:top w:w="0" w:type="dxa"/>
              <w:left w:w="108" w:type="dxa"/>
              <w:bottom w:w="0" w:type="dxa"/>
              <w:right w:w="108" w:type="dxa"/>
            </w:tcMar>
          </w:tcPr>
          <w:p w14:paraId="60EDC459"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49.3 (11.4)*</w:t>
            </w:r>
          </w:p>
        </w:tc>
        <w:tc>
          <w:tcPr>
            <w:tcW w:w="1276" w:type="dxa"/>
            <w:shd w:val="clear" w:color="auto" w:fill="auto"/>
            <w:tcMar>
              <w:top w:w="0" w:type="dxa"/>
              <w:left w:w="108" w:type="dxa"/>
              <w:bottom w:w="0" w:type="dxa"/>
              <w:right w:w="108" w:type="dxa"/>
            </w:tcMar>
          </w:tcPr>
          <w:p w14:paraId="1C92672C"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52.3 (10.6)  </w:t>
            </w:r>
          </w:p>
        </w:tc>
        <w:tc>
          <w:tcPr>
            <w:tcW w:w="1135" w:type="dxa"/>
            <w:shd w:val="clear" w:color="auto" w:fill="auto"/>
            <w:tcMar>
              <w:top w:w="0" w:type="dxa"/>
              <w:left w:w="10" w:type="dxa"/>
              <w:bottom w:w="0" w:type="dxa"/>
              <w:right w:w="10" w:type="dxa"/>
            </w:tcMar>
          </w:tcPr>
          <w:p w14:paraId="378CB87C"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54.4 (12.6)</w:t>
            </w:r>
          </w:p>
        </w:tc>
      </w:tr>
      <w:tr w:rsidR="00E00C95" w:rsidRPr="00E00C95" w14:paraId="6070CC02" w14:textId="77777777" w:rsidTr="00112055">
        <w:tc>
          <w:tcPr>
            <w:tcW w:w="2694" w:type="dxa"/>
            <w:shd w:val="clear" w:color="auto" w:fill="auto"/>
            <w:tcMar>
              <w:top w:w="0" w:type="dxa"/>
              <w:left w:w="108" w:type="dxa"/>
              <w:bottom w:w="0" w:type="dxa"/>
              <w:right w:w="108" w:type="dxa"/>
            </w:tcMar>
          </w:tcPr>
          <w:p w14:paraId="677C1891"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Rest of West Midlands  </w:t>
            </w:r>
          </w:p>
        </w:tc>
        <w:tc>
          <w:tcPr>
            <w:tcW w:w="1275" w:type="dxa"/>
            <w:shd w:val="clear" w:color="auto" w:fill="auto"/>
            <w:tcMar>
              <w:top w:w="0" w:type="dxa"/>
              <w:left w:w="108" w:type="dxa"/>
              <w:bottom w:w="0" w:type="dxa"/>
              <w:right w:w="108" w:type="dxa"/>
            </w:tcMar>
          </w:tcPr>
          <w:p w14:paraId="1EC77162"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44.7 (12.4)</w:t>
            </w:r>
          </w:p>
        </w:tc>
        <w:tc>
          <w:tcPr>
            <w:tcW w:w="1276" w:type="dxa"/>
            <w:shd w:val="clear" w:color="auto" w:fill="auto"/>
            <w:tcMar>
              <w:top w:w="0" w:type="dxa"/>
              <w:left w:w="108" w:type="dxa"/>
              <w:bottom w:w="0" w:type="dxa"/>
              <w:right w:w="108" w:type="dxa"/>
            </w:tcMar>
          </w:tcPr>
          <w:p w14:paraId="645575FF"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46.9 (13.2)*</w:t>
            </w:r>
          </w:p>
        </w:tc>
        <w:tc>
          <w:tcPr>
            <w:tcW w:w="1276" w:type="dxa"/>
            <w:shd w:val="clear" w:color="auto" w:fill="auto"/>
            <w:tcMar>
              <w:top w:w="0" w:type="dxa"/>
              <w:left w:w="108" w:type="dxa"/>
              <w:bottom w:w="0" w:type="dxa"/>
              <w:right w:w="108" w:type="dxa"/>
            </w:tcMar>
          </w:tcPr>
          <w:p w14:paraId="3D9C96B9"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53.2 (13.2)   </w:t>
            </w:r>
          </w:p>
        </w:tc>
        <w:tc>
          <w:tcPr>
            <w:tcW w:w="1135" w:type="dxa"/>
            <w:shd w:val="clear" w:color="auto" w:fill="auto"/>
            <w:tcMar>
              <w:top w:w="0" w:type="dxa"/>
              <w:left w:w="10" w:type="dxa"/>
              <w:bottom w:w="0" w:type="dxa"/>
              <w:right w:w="10" w:type="dxa"/>
            </w:tcMar>
          </w:tcPr>
          <w:p w14:paraId="3B4EFDF1"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55.3 (13.6)</w:t>
            </w:r>
          </w:p>
        </w:tc>
      </w:tr>
      <w:tr w:rsidR="00E00C95" w:rsidRPr="00E00C95" w14:paraId="4B120800" w14:textId="77777777" w:rsidTr="00112055">
        <w:tc>
          <w:tcPr>
            <w:tcW w:w="2694" w:type="dxa"/>
            <w:shd w:val="clear" w:color="auto" w:fill="auto"/>
            <w:tcMar>
              <w:top w:w="0" w:type="dxa"/>
              <w:left w:w="108" w:type="dxa"/>
              <w:bottom w:w="0" w:type="dxa"/>
              <w:right w:w="108" w:type="dxa"/>
            </w:tcMar>
          </w:tcPr>
          <w:p w14:paraId="624F512D"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South West  </w:t>
            </w:r>
          </w:p>
        </w:tc>
        <w:tc>
          <w:tcPr>
            <w:tcW w:w="1275" w:type="dxa"/>
            <w:shd w:val="clear" w:color="auto" w:fill="auto"/>
            <w:tcMar>
              <w:top w:w="0" w:type="dxa"/>
              <w:left w:w="108" w:type="dxa"/>
              <w:bottom w:w="0" w:type="dxa"/>
              <w:right w:w="108" w:type="dxa"/>
            </w:tcMar>
          </w:tcPr>
          <w:p w14:paraId="17EA0D22"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44.8 (12.2)</w:t>
            </w:r>
          </w:p>
        </w:tc>
        <w:tc>
          <w:tcPr>
            <w:tcW w:w="1276" w:type="dxa"/>
            <w:shd w:val="clear" w:color="auto" w:fill="auto"/>
            <w:tcMar>
              <w:top w:w="0" w:type="dxa"/>
              <w:left w:w="108" w:type="dxa"/>
              <w:bottom w:w="0" w:type="dxa"/>
              <w:right w:w="108" w:type="dxa"/>
            </w:tcMar>
          </w:tcPr>
          <w:p w14:paraId="09068668"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47.3 (13.2)**</w:t>
            </w:r>
          </w:p>
        </w:tc>
        <w:tc>
          <w:tcPr>
            <w:tcW w:w="1276" w:type="dxa"/>
            <w:shd w:val="clear" w:color="auto" w:fill="auto"/>
            <w:tcMar>
              <w:top w:w="0" w:type="dxa"/>
              <w:left w:w="108" w:type="dxa"/>
              <w:bottom w:w="0" w:type="dxa"/>
              <w:right w:w="108" w:type="dxa"/>
            </w:tcMar>
          </w:tcPr>
          <w:p w14:paraId="5A5EE7F8"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52.5 (11.3)  </w:t>
            </w:r>
          </w:p>
        </w:tc>
        <w:tc>
          <w:tcPr>
            <w:tcW w:w="1135" w:type="dxa"/>
            <w:shd w:val="clear" w:color="auto" w:fill="auto"/>
            <w:tcMar>
              <w:top w:w="0" w:type="dxa"/>
              <w:left w:w="10" w:type="dxa"/>
              <w:bottom w:w="0" w:type="dxa"/>
              <w:right w:w="10" w:type="dxa"/>
            </w:tcMar>
          </w:tcPr>
          <w:p w14:paraId="05F60B09"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52.2 (13.5)</w:t>
            </w:r>
          </w:p>
        </w:tc>
      </w:tr>
      <w:tr w:rsidR="00E00C95" w:rsidRPr="00E00C95" w14:paraId="6E4ED62C" w14:textId="77777777" w:rsidTr="00112055">
        <w:tc>
          <w:tcPr>
            <w:tcW w:w="2694" w:type="dxa"/>
            <w:shd w:val="clear" w:color="auto" w:fill="auto"/>
            <w:tcMar>
              <w:top w:w="0" w:type="dxa"/>
              <w:left w:w="108" w:type="dxa"/>
              <w:bottom w:w="0" w:type="dxa"/>
              <w:right w:w="108" w:type="dxa"/>
            </w:tcMar>
          </w:tcPr>
          <w:p w14:paraId="0DC9B687"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East Midlands  </w:t>
            </w:r>
          </w:p>
        </w:tc>
        <w:tc>
          <w:tcPr>
            <w:tcW w:w="1275" w:type="dxa"/>
            <w:shd w:val="clear" w:color="auto" w:fill="auto"/>
            <w:tcMar>
              <w:top w:w="0" w:type="dxa"/>
              <w:left w:w="108" w:type="dxa"/>
              <w:bottom w:w="0" w:type="dxa"/>
              <w:right w:w="108" w:type="dxa"/>
            </w:tcMar>
          </w:tcPr>
          <w:p w14:paraId="0E6C1A4F"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44.4 (12.2)</w:t>
            </w:r>
          </w:p>
        </w:tc>
        <w:tc>
          <w:tcPr>
            <w:tcW w:w="1276" w:type="dxa"/>
            <w:shd w:val="clear" w:color="auto" w:fill="auto"/>
            <w:tcMar>
              <w:top w:w="0" w:type="dxa"/>
              <w:left w:w="108" w:type="dxa"/>
              <w:bottom w:w="0" w:type="dxa"/>
              <w:right w:w="108" w:type="dxa"/>
            </w:tcMar>
          </w:tcPr>
          <w:p w14:paraId="643A0431"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48.2 (13.4)***</w:t>
            </w:r>
          </w:p>
        </w:tc>
        <w:tc>
          <w:tcPr>
            <w:tcW w:w="1276" w:type="dxa"/>
            <w:shd w:val="clear" w:color="auto" w:fill="auto"/>
            <w:tcMar>
              <w:top w:w="0" w:type="dxa"/>
              <w:left w:w="108" w:type="dxa"/>
              <w:bottom w:w="0" w:type="dxa"/>
              <w:right w:w="108" w:type="dxa"/>
            </w:tcMar>
          </w:tcPr>
          <w:p w14:paraId="20BFAE2F"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52.2 (12.5)  </w:t>
            </w:r>
          </w:p>
        </w:tc>
        <w:tc>
          <w:tcPr>
            <w:tcW w:w="1135" w:type="dxa"/>
            <w:shd w:val="clear" w:color="auto" w:fill="auto"/>
            <w:tcMar>
              <w:top w:w="0" w:type="dxa"/>
              <w:left w:w="10" w:type="dxa"/>
              <w:bottom w:w="0" w:type="dxa"/>
              <w:right w:w="10" w:type="dxa"/>
            </w:tcMar>
          </w:tcPr>
          <w:p w14:paraId="748A0781"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52.8 (13.2)</w:t>
            </w:r>
          </w:p>
        </w:tc>
      </w:tr>
      <w:tr w:rsidR="00E00C95" w:rsidRPr="00E00C95" w14:paraId="54BDBFCB" w14:textId="77777777" w:rsidTr="00112055">
        <w:tc>
          <w:tcPr>
            <w:tcW w:w="2694" w:type="dxa"/>
            <w:shd w:val="clear" w:color="auto" w:fill="auto"/>
            <w:tcMar>
              <w:top w:w="0" w:type="dxa"/>
              <w:left w:w="108" w:type="dxa"/>
              <w:bottom w:w="0" w:type="dxa"/>
              <w:right w:w="108" w:type="dxa"/>
            </w:tcMar>
          </w:tcPr>
          <w:p w14:paraId="617B4EFE"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Greater Manchester  </w:t>
            </w:r>
          </w:p>
        </w:tc>
        <w:tc>
          <w:tcPr>
            <w:tcW w:w="1275" w:type="dxa"/>
            <w:shd w:val="clear" w:color="auto" w:fill="auto"/>
            <w:tcMar>
              <w:top w:w="0" w:type="dxa"/>
              <w:left w:w="108" w:type="dxa"/>
              <w:bottom w:w="0" w:type="dxa"/>
              <w:right w:w="108" w:type="dxa"/>
            </w:tcMar>
          </w:tcPr>
          <w:p w14:paraId="52924D99"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45.7 (13.3)</w:t>
            </w:r>
          </w:p>
        </w:tc>
        <w:tc>
          <w:tcPr>
            <w:tcW w:w="1276" w:type="dxa"/>
            <w:shd w:val="clear" w:color="auto" w:fill="auto"/>
            <w:tcMar>
              <w:top w:w="0" w:type="dxa"/>
              <w:left w:w="108" w:type="dxa"/>
              <w:bottom w:w="0" w:type="dxa"/>
              <w:right w:w="108" w:type="dxa"/>
            </w:tcMar>
          </w:tcPr>
          <w:p w14:paraId="51B7D2ED"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51.3 (12.7)***</w:t>
            </w:r>
          </w:p>
        </w:tc>
        <w:tc>
          <w:tcPr>
            <w:tcW w:w="1276" w:type="dxa"/>
            <w:shd w:val="clear" w:color="auto" w:fill="auto"/>
            <w:tcMar>
              <w:top w:w="0" w:type="dxa"/>
              <w:left w:w="108" w:type="dxa"/>
              <w:bottom w:w="0" w:type="dxa"/>
              <w:right w:w="108" w:type="dxa"/>
            </w:tcMar>
          </w:tcPr>
          <w:p w14:paraId="1423C0F7"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54.3 (12.1)  </w:t>
            </w:r>
          </w:p>
        </w:tc>
        <w:tc>
          <w:tcPr>
            <w:tcW w:w="1135" w:type="dxa"/>
            <w:shd w:val="clear" w:color="auto" w:fill="auto"/>
            <w:tcMar>
              <w:top w:w="0" w:type="dxa"/>
              <w:left w:w="10" w:type="dxa"/>
              <w:bottom w:w="0" w:type="dxa"/>
              <w:right w:w="10" w:type="dxa"/>
            </w:tcMar>
          </w:tcPr>
          <w:p w14:paraId="3AAE88AA"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54.5 (12.8)</w:t>
            </w:r>
          </w:p>
        </w:tc>
      </w:tr>
      <w:tr w:rsidR="00E00C95" w:rsidRPr="00E00C95" w14:paraId="69CDB2D6" w14:textId="77777777" w:rsidTr="00112055">
        <w:tc>
          <w:tcPr>
            <w:tcW w:w="2694" w:type="dxa"/>
            <w:shd w:val="clear" w:color="auto" w:fill="auto"/>
            <w:tcMar>
              <w:top w:w="0" w:type="dxa"/>
              <w:left w:w="108" w:type="dxa"/>
              <w:bottom w:w="0" w:type="dxa"/>
              <w:right w:w="108" w:type="dxa"/>
            </w:tcMar>
          </w:tcPr>
          <w:p w14:paraId="0E73A704"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Rest of Northern Region  </w:t>
            </w:r>
          </w:p>
        </w:tc>
        <w:tc>
          <w:tcPr>
            <w:tcW w:w="1275" w:type="dxa"/>
            <w:shd w:val="clear" w:color="auto" w:fill="auto"/>
            <w:tcMar>
              <w:top w:w="0" w:type="dxa"/>
              <w:left w:w="108" w:type="dxa"/>
              <w:bottom w:w="0" w:type="dxa"/>
              <w:right w:w="108" w:type="dxa"/>
            </w:tcMar>
          </w:tcPr>
          <w:p w14:paraId="05DAF6E2"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45.2 (12.8)  </w:t>
            </w:r>
          </w:p>
        </w:tc>
        <w:tc>
          <w:tcPr>
            <w:tcW w:w="1276" w:type="dxa"/>
            <w:shd w:val="clear" w:color="auto" w:fill="auto"/>
            <w:tcMar>
              <w:top w:w="0" w:type="dxa"/>
              <w:left w:w="108" w:type="dxa"/>
              <w:bottom w:w="0" w:type="dxa"/>
              <w:right w:w="108" w:type="dxa"/>
            </w:tcMar>
          </w:tcPr>
          <w:p w14:paraId="3C3DF8F2"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46.6 (13.7)</w:t>
            </w:r>
          </w:p>
        </w:tc>
        <w:tc>
          <w:tcPr>
            <w:tcW w:w="1276" w:type="dxa"/>
            <w:shd w:val="clear" w:color="auto" w:fill="auto"/>
            <w:tcMar>
              <w:top w:w="0" w:type="dxa"/>
              <w:left w:w="108" w:type="dxa"/>
              <w:bottom w:w="0" w:type="dxa"/>
              <w:right w:w="108" w:type="dxa"/>
            </w:tcMar>
          </w:tcPr>
          <w:p w14:paraId="30842246"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51.7 (10.6)</w:t>
            </w:r>
          </w:p>
        </w:tc>
        <w:tc>
          <w:tcPr>
            <w:tcW w:w="1135" w:type="dxa"/>
            <w:shd w:val="clear" w:color="auto" w:fill="auto"/>
            <w:tcMar>
              <w:top w:w="0" w:type="dxa"/>
              <w:left w:w="10" w:type="dxa"/>
              <w:bottom w:w="0" w:type="dxa"/>
              <w:right w:w="10" w:type="dxa"/>
            </w:tcMar>
          </w:tcPr>
          <w:p w14:paraId="5823A069"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50.5 (12.6)</w:t>
            </w:r>
          </w:p>
        </w:tc>
      </w:tr>
      <w:tr w:rsidR="00E00C95" w:rsidRPr="00E00C95" w14:paraId="4F4B075E" w14:textId="77777777" w:rsidTr="00112055">
        <w:tc>
          <w:tcPr>
            <w:tcW w:w="2694" w:type="dxa"/>
            <w:shd w:val="clear" w:color="auto" w:fill="auto"/>
            <w:tcMar>
              <w:top w:w="0" w:type="dxa"/>
              <w:left w:w="108" w:type="dxa"/>
              <w:bottom w:w="0" w:type="dxa"/>
              <w:right w:w="108" w:type="dxa"/>
            </w:tcMar>
          </w:tcPr>
          <w:p w14:paraId="13529BA7" w14:textId="77777777" w:rsidR="00E00C95" w:rsidRPr="00E00C95" w:rsidRDefault="00E00C95" w:rsidP="00C720DB">
            <w:pPr>
              <w:pStyle w:val="TableText"/>
              <w:spacing w:line="480" w:lineRule="auto"/>
              <w:rPr>
                <w:sz w:val="16"/>
                <w:szCs w:val="16"/>
                <w:lang w:val="en-US"/>
              </w:rPr>
            </w:pPr>
            <w:r w:rsidRPr="00E00C95">
              <w:rPr>
                <w:sz w:val="16"/>
                <w:szCs w:val="16"/>
                <w:lang w:val="en-US"/>
              </w:rPr>
              <w:lastRenderedPageBreak/>
              <w:t xml:space="preserve">Rest of North West  </w:t>
            </w:r>
          </w:p>
        </w:tc>
        <w:tc>
          <w:tcPr>
            <w:tcW w:w="1275" w:type="dxa"/>
            <w:shd w:val="clear" w:color="auto" w:fill="auto"/>
            <w:tcMar>
              <w:top w:w="0" w:type="dxa"/>
              <w:left w:w="108" w:type="dxa"/>
              <w:bottom w:w="0" w:type="dxa"/>
              <w:right w:w="108" w:type="dxa"/>
            </w:tcMar>
          </w:tcPr>
          <w:p w14:paraId="632A1C53"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45.7 (13.0)</w:t>
            </w:r>
          </w:p>
        </w:tc>
        <w:tc>
          <w:tcPr>
            <w:tcW w:w="1276" w:type="dxa"/>
            <w:shd w:val="clear" w:color="auto" w:fill="auto"/>
            <w:tcMar>
              <w:top w:w="0" w:type="dxa"/>
              <w:left w:w="108" w:type="dxa"/>
              <w:bottom w:w="0" w:type="dxa"/>
              <w:right w:w="108" w:type="dxa"/>
            </w:tcMar>
          </w:tcPr>
          <w:p w14:paraId="618D8101"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47.4 (13.1)</w:t>
            </w:r>
          </w:p>
        </w:tc>
        <w:tc>
          <w:tcPr>
            <w:tcW w:w="1276" w:type="dxa"/>
            <w:shd w:val="clear" w:color="auto" w:fill="auto"/>
            <w:tcMar>
              <w:top w:w="0" w:type="dxa"/>
              <w:left w:w="108" w:type="dxa"/>
              <w:bottom w:w="0" w:type="dxa"/>
              <w:right w:w="108" w:type="dxa"/>
            </w:tcMar>
          </w:tcPr>
          <w:p w14:paraId="0C9AEFF0"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52.7 (11.4)  </w:t>
            </w:r>
          </w:p>
        </w:tc>
        <w:tc>
          <w:tcPr>
            <w:tcW w:w="1135" w:type="dxa"/>
            <w:shd w:val="clear" w:color="auto" w:fill="auto"/>
            <w:tcMar>
              <w:top w:w="0" w:type="dxa"/>
              <w:left w:w="10" w:type="dxa"/>
              <w:bottom w:w="0" w:type="dxa"/>
              <w:right w:w="10" w:type="dxa"/>
            </w:tcMar>
          </w:tcPr>
          <w:p w14:paraId="2EF3853B"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52.7 (11.5)</w:t>
            </w:r>
          </w:p>
        </w:tc>
      </w:tr>
      <w:tr w:rsidR="00E00C95" w:rsidRPr="00E00C95" w14:paraId="03E02B97" w14:textId="77777777" w:rsidTr="00112055">
        <w:tc>
          <w:tcPr>
            <w:tcW w:w="2694" w:type="dxa"/>
            <w:shd w:val="clear" w:color="auto" w:fill="auto"/>
            <w:tcMar>
              <w:top w:w="0" w:type="dxa"/>
              <w:left w:w="108" w:type="dxa"/>
              <w:bottom w:w="0" w:type="dxa"/>
              <w:right w:w="108" w:type="dxa"/>
            </w:tcMar>
          </w:tcPr>
          <w:p w14:paraId="0C668050"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East Anglia  </w:t>
            </w:r>
          </w:p>
        </w:tc>
        <w:tc>
          <w:tcPr>
            <w:tcW w:w="1275" w:type="dxa"/>
            <w:shd w:val="clear" w:color="auto" w:fill="auto"/>
            <w:tcMar>
              <w:top w:w="0" w:type="dxa"/>
              <w:left w:w="108" w:type="dxa"/>
              <w:bottom w:w="0" w:type="dxa"/>
              <w:right w:w="108" w:type="dxa"/>
            </w:tcMar>
          </w:tcPr>
          <w:p w14:paraId="53552466"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45.0 (12.2)  </w:t>
            </w:r>
          </w:p>
        </w:tc>
        <w:tc>
          <w:tcPr>
            <w:tcW w:w="1276" w:type="dxa"/>
            <w:shd w:val="clear" w:color="auto" w:fill="auto"/>
            <w:tcMar>
              <w:top w:w="0" w:type="dxa"/>
              <w:left w:w="108" w:type="dxa"/>
              <w:bottom w:w="0" w:type="dxa"/>
              <w:right w:w="108" w:type="dxa"/>
            </w:tcMar>
          </w:tcPr>
          <w:p w14:paraId="046244C2"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47.6 (13.9)</w:t>
            </w:r>
          </w:p>
        </w:tc>
        <w:tc>
          <w:tcPr>
            <w:tcW w:w="1276" w:type="dxa"/>
            <w:shd w:val="clear" w:color="auto" w:fill="auto"/>
            <w:tcMar>
              <w:top w:w="0" w:type="dxa"/>
              <w:left w:w="108" w:type="dxa"/>
              <w:bottom w:w="0" w:type="dxa"/>
              <w:right w:w="108" w:type="dxa"/>
            </w:tcMar>
          </w:tcPr>
          <w:p w14:paraId="48F488F0"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51.5 (12.1)  </w:t>
            </w:r>
          </w:p>
        </w:tc>
        <w:tc>
          <w:tcPr>
            <w:tcW w:w="1135" w:type="dxa"/>
            <w:shd w:val="clear" w:color="auto" w:fill="auto"/>
            <w:tcMar>
              <w:top w:w="0" w:type="dxa"/>
              <w:left w:w="10" w:type="dxa"/>
              <w:bottom w:w="0" w:type="dxa"/>
              <w:right w:w="10" w:type="dxa"/>
            </w:tcMar>
          </w:tcPr>
          <w:p w14:paraId="68363D72"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51.2 (13.8)</w:t>
            </w:r>
          </w:p>
        </w:tc>
      </w:tr>
      <w:tr w:rsidR="00E00C95" w:rsidRPr="00E00C95" w14:paraId="1118DE72" w14:textId="77777777" w:rsidTr="00112055">
        <w:tc>
          <w:tcPr>
            <w:tcW w:w="2694" w:type="dxa"/>
            <w:shd w:val="clear" w:color="auto" w:fill="auto"/>
            <w:tcMar>
              <w:top w:w="0" w:type="dxa"/>
              <w:left w:w="108" w:type="dxa"/>
              <w:bottom w:w="0" w:type="dxa"/>
              <w:right w:w="108" w:type="dxa"/>
            </w:tcMar>
          </w:tcPr>
          <w:p w14:paraId="49F4E5EB"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West Yorkshire  </w:t>
            </w:r>
          </w:p>
        </w:tc>
        <w:tc>
          <w:tcPr>
            <w:tcW w:w="1275" w:type="dxa"/>
            <w:shd w:val="clear" w:color="auto" w:fill="auto"/>
            <w:tcMar>
              <w:top w:w="0" w:type="dxa"/>
              <w:left w:w="108" w:type="dxa"/>
              <w:bottom w:w="0" w:type="dxa"/>
              <w:right w:w="108" w:type="dxa"/>
            </w:tcMar>
          </w:tcPr>
          <w:p w14:paraId="53254CB3"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45.7 (12.1)</w:t>
            </w:r>
          </w:p>
        </w:tc>
        <w:tc>
          <w:tcPr>
            <w:tcW w:w="1276" w:type="dxa"/>
            <w:shd w:val="clear" w:color="auto" w:fill="auto"/>
            <w:tcMar>
              <w:top w:w="0" w:type="dxa"/>
              <w:left w:w="108" w:type="dxa"/>
              <w:bottom w:w="0" w:type="dxa"/>
              <w:right w:w="108" w:type="dxa"/>
            </w:tcMar>
          </w:tcPr>
          <w:p w14:paraId="58FC512F"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48.6 (14.2)*</w:t>
            </w:r>
          </w:p>
        </w:tc>
        <w:tc>
          <w:tcPr>
            <w:tcW w:w="1276" w:type="dxa"/>
            <w:shd w:val="clear" w:color="auto" w:fill="auto"/>
            <w:tcMar>
              <w:top w:w="0" w:type="dxa"/>
              <w:left w:w="108" w:type="dxa"/>
              <w:bottom w:w="0" w:type="dxa"/>
              <w:right w:w="108" w:type="dxa"/>
            </w:tcMar>
          </w:tcPr>
          <w:p w14:paraId="62C34FF7"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53.0 (11.4)  </w:t>
            </w:r>
          </w:p>
        </w:tc>
        <w:tc>
          <w:tcPr>
            <w:tcW w:w="1135" w:type="dxa"/>
            <w:shd w:val="clear" w:color="auto" w:fill="auto"/>
            <w:tcMar>
              <w:top w:w="0" w:type="dxa"/>
              <w:left w:w="10" w:type="dxa"/>
              <w:bottom w:w="0" w:type="dxa"/>
              <w:right w:w="10" w:type="dxa"/>
            </w:tcMar>
          </w:tcPr>
          <w:p w14:paraId="79DF930A"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54.0 (12.4)</w:t>
            </w:r>
          </w:p>
        </w:tc>
      </w:tr>
      <w:tr w:rsidR="00E00C95" w:rsidRPr="00E00C95" w14:paraId="35C0A130" w14:textId="77777777" w:rsidTr="00112055">
        <w:tc>
          <w:tcPr>
            <w:tcW w:w="2694" w:type="dxa"/>
            <w:shd w:val="clear" w:color="auto" w:fill="auto"/>
            <w:tcMar>
              <w:top w:w="0" w:type="dxa"/>
              <w:left w:w="108" w:type="dxa"/>
              <w:bottom w:w="0" w:type="dxa"/>
              <w:right w:w="108" w:type="dxa"/>
            </w:tcMar>
          </w:tcPr>
          <w:p w14:paraId="021A7FFA"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Strathclyde  </w:t>
            </w:r>
          </w:p>
        </w:tc>
        <w:tc>
          <w:tcPr>
            <w:tcW w:w="1275" w:type="dxa"/>
            <w:shd w:val="clear" w:color="auto" w:fill="auto"/>
            <w:tcMar>
              <w:top w:w="0" w:type="dxa"/>
              <w:left w:w="108" w:type="dxa"/>
              <w:bottom w:w="0" w:type="dxa"/>
              <w:right w:w="108" w:type="dxa"/>
            </w:tcMar>
          </w:tcPr>
          <w:p w14:paraId="4DAC5503"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47.7 (13.9)</w:t>
            </w:r>
          </w:p>
        </w:tc>
        <w:tc>
          <w:tcPr>
            <w:tcW w:w="1276" w:type="dxa"/>
            <w:shd w:val="clear" w:color="auto" w:fill="auto"/>
            <w:tcMar>
              <w:top w:w="0" w:type="dxa"/>
              <w:left w:w="108" w:type="dxa"/>
              <w:bottom w:w="0" w:type="dxa"/>
              <w:right w:w="108" w:type="dxa"/>
            </w:tcMar>
          </w:tcPr>
          <w:p w14:paraId="674640F6"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49.3 (13.1)</w:t>
            </w:r>
          </w:p>
        </w:tc>
        <w:tc>
          <w:tcPr>
            <w:tcW w:w="1276" w:type="dxa"/>
            <w:shd w:val="clear" w:color="auto" w:fill="auto"/>
            <w:tcMar>
              <w:top w:w="0" w:type="dxa"/>
              <w:left w:w="108" w:type="dxa"/>
              <w:bottom w:w="0" w:type="dxa"/>
              <w:right w:w="108" w:type="dxa"/>
            </w:tcMar>
          </w:tcPr>
          <w:p w14:paraId="0D370B4A"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53.0 (12.1)   </w:t>
            </w:r>
          </w:p>
        </w:tc>
        <w:tc>
          <w:tcPr>
            <w:tcW w:w="1135" w:type="dxa"/>
            <w:shd w:val="clear" w:color="auto" w:fill="auto"/>
            <w:tcMar>
              <w:top w:w="0" w:type="dxa"/>
              <w:left w:w="10" w:type="dxa"/>
              <w:bottom w:w="0" w:type="dxa"/>
              <w:right w:w="10" w:type="dxa"/>
            </w:tcMar>
          </w:tcPr>
          <w:p w14:paraId="13B8DB45"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53.6 (12.2)</w:t>
            </w:r>
          </w:p>
        </w:tc>
      </w:tr>
      <w:tr w:rsidR="00E00C95" w:rsidRPr="00E00C95" w14:paraId="586B5A5B" w14:textId="77777777" w:rsidTr="00112055">
        <w:tc>
          <w:tcPr>
            <w:tcW w:w="2694" w:type="dxa"/>
            <w:shd w:val="clear" w:color="auto" w:fill="auto"/>
            <w:tcMar>
              <w:top w:w="0" w:type="dxa"/>
              <w:left w:w="108" w:type="dxa"/>
              <w:bottom w:w="0" w:type="dxa"/>
              <w:right w:w="108" w:type="dxa"/>
            </w:tcMar>
          </w:tcPr>
          <w:p w14:paraId="39F46DFA"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Rest of South East  </w:t>
            </w:r>
          </w:p>
        </w:tc>
        <w:tc>
          <w:tcPr>
            <w:tcW w:w="1275" w:type="dxa"/>
            <w:shd w:val="clear" w:color="auto" w:fill="auto"/>
            <w:tcMar>
              <w:top w:w="0" w:type="dxa"/>
              <w:left w:w="108" w:type="dxa"/>
              <w:bottom w:w="0" w:type="dxa"/>
              <w:right w:w="108" w:type="dxa"/>
            </w:tcMar>
          </w:tcPr>
          <w:p w14:paraId="712BEADB"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47.9 (12.8)</w:t>
            </w:r>
          </w:p>
        </w:tc>
        <w:tc>
          <w:tcPr>
            <w:tcW w:w="1276" w:type="dxa"/>
            <w:shd w:val="clear" w:color="auto" w:fill="auto"/>
            <w:tcMar>
              <w:top w:w="0" w:type="dxa"/>
              <w:left w:w="108" w:type="dxa"/>
              <w:bottom w:w="0" w:type="dxa"/>
              <w:right w:w="108" w:type="dxa"/>
            </w:tcMar>
          </w:tcPr>
          <w:p w14:paraId="3CDDC7FF"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50.2 (13.7)***</w:t>
            </w:r>
          </w:p>
        </w:tc>
        <w:tc>
          <w:tcPr>
            <w:tcW w:w="1276" w:type="dxa"/>
            <w:shd w:val="clear" w:color="auto" w:fill="auto"/>
            <w:tcMar>
              <w:top w:w="0" w:type="dxa"/>
              <w:left w:w="108" w:type="dxa"/>
              <w:bottom w:w="0" w:type="dxa"/>
              <w:right w:w="108" w:type="dxa"/>
            </w:tcMar>
          </w:tcPr>
          <w:p w14:paraId="234E65F8"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53.8 (11.6)  </w:t>
            </w:r>
          </w:p>
        </w:tc>
        <w:tc>
          <w:tcPr>
            <w:tcW w:w="1135" w:type="dxa"/>
            <w:shd w:val="clear" w:color="auto" w:fill="auto"/>
            <w:tcMar>
              <w:top w:w="0" w:type="dxa"/>
              <w:left w:w="10" w:type="dxa"/>
              <w:bottom w:w="0" w:type="dxa"/>
              <w:right w:w="10" w:type="dxa"/>
            </w:tcMar>
          </w:tcPr>
          <w:p w14:paraId="11AA96E4"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54.9 (13.0)</w:t>
            </w:r>
          </w:p>
        </w:tc>
      </w:tr>
      <w:tr w:rsidR="00E00C95" w:rsidRPr="00E00C95" w14:paraId="25B8E7D9" w14:textId="77777777" w:rsidTr="00112055">
        <w:tc>
          <w:tcPr>
            <w:tcW w:w="2694" w:type="dxa"/>
            <w:shd w:val="clear" w:color="auto" w:fill="auto"/>
            <w:tcMar>
              <w:top w:w="0" w:type="dxa"/>
              <w:left w:w="108" w:type="dxa"/>
              <w:bottom w:w="0" w:type="dxa"/>
              <w:right w:w="108" w:type="dxa"/>
            </w:tcMar>
          </w:tcPr>
          <w:p w14:paraId="2976315F"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West Midlands  </w:t>
            </w:r>
          </w:p>
        </w:tc>
        <w:tc>
          <w:tcPr>
            <w:tcW w:w="1275" w:type="dxa"/>
            <w:shd w:val="clear" w:color="auto" w:fill="auto"/>
            <w:tcMar>
              <w:top w:w="0" w:type="dxa"/>
              <w:left w:w="108" w:type="dxa"/>
              <w:bottom w:w="0" w:type="dxa"/>
              <w:right w:w="108" w:type="dxa"/>
            </w:tcMar>
          </w:tcPr>
          <w:p w14:paraId="3650DAF6"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47.4 (13.5)  </w:t>
            </w:r>
          </w:p>
        </w:tc>
        <w:tc>
          <w:tcPr>
            <w:tcW w:w="1276" w:type="dxa"/>
            <w:shd w:val="clear" w:color="auto" w:fill="auto"/>
            <w:tcMar>
              <w:top w:w="0" w:type="dxa"/>
              <w:left w:w="108" w:type="dxa"/>
              <w:bottom w:w="0" w:type="dxa"/>
              <w:right w:w="108" w:type="dxa"/>
            </w:tcMar>
          </w:tcPr>
          <w:p w14:paraId="56ECD3DA"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49.5 (14.2)</w:t>
            </w:r>
          </w:p>
        </w:tc>
        <w:tc>
          <w:tcPr>
            <w:tcW w:w="1276" w:type="dxa"/>
            <w:shd w:val="clear" w:color="auto" w:fill="auto"/>
            <w:tcMar>
              <w:top w:w="0" w:type="dxa"/>
              <w:left w:w="108" w:type="dxa"/>
              <w:bottom w:w="0" w:type="dxa"/>
              <w:right w:w="108" w:type="dxa"/>
            </w:tcMar>
          </w:tcPr>
          <w:p w14:paraId="56882CC8"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54.4 (11.3)  </w:t>
            </w:r>
          </w:p>
        </w:tc>
        <w:tc>
          <w:tcPr>
            <w:tcW w:w="1135" w:type="dxa"/>
            <w:shd w:val="clear" w:color="auto" w:fill="auto"/>
            <w:tcMar>
              <w:top w:w="0" w:type="dxa"/>
              <w:left w:w="10" w:type="dxa"/>
              <w:bottom w:w="0" w:type="dxa"/>
              <w:right w:w="10" w:type="dxa"/>
            </w:tcMar>
          </w:tcPr>
          <w:p w14:paraId="412AE5A6"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53.7 (12.6)</w:t>
            </w:r>
          </w:p>
        </w:tc>
      </w:tr>
      <w:tr w:rsidR="00E00C95" w:rsidRPr="00E00C95" w14:paraId="18980811" w14:textId="77777777" w:rsidTr="00112055">
        <w:tc>
          <w:tcPr>
            <w:tcW w:w="2694" w:type="dxa"/>
            <w:shd w:val="clear" w:color="auto" w:fill="auto"/>
            <w:tcMar>
              <w:top w:w="0" w:type="dxa"/>
              <w:left w:w="108" w:type="dxa"/>
              <w:bottom w:w="0" w:type="dxa"/>
              <w:right w:w="108" w:type="dxa"/>
            </w:tcMar>
          </w:tcPr>
          <w:p w14:paraId="41A341CE"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Outer London  </w:t>
            </w:r>
          </w:p>
        </w:tc>
        <w:tc>
          <w:tcPr>
            <w:tcW w:w="1275" w:type="dxa"/>
            <w:shd w:val="clear" w:color="auto" w:fill="auto"/>
            <w:tcMar>
              <w:top w:w="0" w:type="dxa"/>
              <w:left w:w="108" w:type="dxa"/>
              <w:bottom w:w="0" w:type="dxa"/>
              <w:right w:w="108" w:type="dxa"/>
            </w:tcMar>
          </w:tcPr>
          <w:p w14:paraId="2F204ABD"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50.2 (13.6)</w:t>
            </w:r>
          </w:p>
        </w:tc>
        <w:tc>
          <w:tcPr>
            <w:tcW w:w="1276" w:type="dxa"/>
            <w:shd w:val="clear" w:color="auto" w:fill="auto"/>
            <w:tcMar>
              <w:top w:w="0" w:type="dxa"/>
              <w:left w:w="108" w:type="dxa"/>
              <w:bottom w:w="0" w:type="dxa"/>
              <w:right w:w="108" w:type="dxa"/>
            </w:tcMar>
          </w:tcPr>
          <w:p w14:paraId="04DFF268"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51.5 (13.4)</w:t>
            </w:r>
          </w:p>
        </w:tc>
        <w:tc>
          <w:tcPr>
            <w:tcW w:w="1276" w:type="dxa"/>
            <w:shd w:val="clear" w:color="auto" w:fill="auto"/>
            <w:tcMar>
              <w:top w:w="0" w:type="dxa"/>
              <w:left w:w="108" w:type="dxa"/>
              <w:bottom w:w="0" w:type="dxa"/>
              <w:right w:w="108" w:type="dxa"/>
            </w:tcMar>
          </w:tcPr>
          <w:p w14:paraId="1E6326AC"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55.1 (11.5)  </w:t>
            </w:r>
          </w:p>
        </w:tc>
        <w:tc>
          <w:tcPr>
            <w:tcW w:w="1135" w:type="dxa"/>
            <w:shd w:val="clear" w:color="auto" w:fill="auto"/>
            <w:tcMar>
              <w:top w:w="0" w:type="dxa"/>
              <w:left w:w="10" w:type="dxa"/>
              <w:bottom w:w="0" w:type="dxa"/>
              <w:right w:w="10" w:type="dxa"/>
            </w:tcMar>
          </w:tcPr>
          <w:p w14:paraId="5CCF5260"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56.6 (13.0)</w:t>
            </w:r>
          </w:p>
        </w:tc>
      </w:tr>
      <w:tr w:rsidR="00E00C95" w:rsidRPr="00E00C95" w14:paraId="10ABC2C5" w14:textId="77777777" w:rsidTr="00112055">
        <w:tc>
          <w:tcPr>
            <w:tcW w:w="2694" w:type="dxa"/>
            <w:tcBorders>
              <w:bottom w:val="single" w:sz="4" w:space="0" w:color="auto"/>
            </w:tcBorders>
            <w:shd w:val="clear" w:color="auto" w:fill="auto"/>
            <w:tcMar>
              <w:top w:w="0" w:type="dxa"/>
              <w:left w:w="108" w:type="dxa"/>
              <w:bottom w:w="0" w:type="dxa"/>
              <w:right w:w="108" w:type="dxa"/>
            </w:tcMar>
          </w:tcPr>
          <w:p w14:paraId="1B7A29D4" w14:textId="77777777" w:rsidR="00E00C95" w:rsidRPr="00E00C95" w:rsidRDefault="00E00C95" w:rsidP="00C720DB">
            <w:pPr>
              <w:pStyle w:val="TableText"/>
              <w:spacing w:line="480" w:lineRule="auto"/>
              <w:rPr>
                <w:sz w:val="16"/>
                <w:szCs w:val="16"/>
                <w:lang w:val="en-US"/>
              </w:rPr>
            </w:pPr>
            <w:r w:rsidRPr="00E00C95">
              <w:rPr>
                <w:sz w:val="16"/>
                <w:szCs w:val="16"/>
                <w:lang w:val="en-US"/>
              </w:rPr>
              <w:t xml:space="preserve">Inner London  </w:t>
            </w:r>
          </w:p>
        </w:tc>
        <w:tc>
          <w:tcPr>
            <w:tcW w:w="1275" w:type="dxa"/>
            <w:tcBorders>
              <w:bottom w:val="single" w:sz="4" w:space="0" w:color="auto"/>
            </w:tcBorders>
            <w:shd w:val="clear" w:color="auto" w:fill="auto"/>
            <w:tcMar>
              <w:top w:w="0" w:type="dxa"/>
              <w:left w:w="108" w:type="dxa"/>
              <w:bottom w:w="0" w:type="dxa"/>
              <w:right w:w="108" w:type="dxa"/>
            </w:tcMar>
          </w:tcPr>
          <w:p w14:paraId="38A35F97"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53.9 (14.5)</w:t>
            </w:r>
          </w:p>
        </w:tc>
        <w:tc>
          <w:tcPr>
            <w:tcW w:w="1276" w:type="dxa"/>
            <w:tcBorders>
              <w:bottom w:val="single" w:sz="4" w:space="0" w:color="auto"/>
            </w:tcBorders>
            <w:shd w:val="clear" w:color="auto" w:fill="auto"/>
            <w:tcMar>
              <w:top w:w="0" w:type="dxa"/>
              <w:left w:w="108" w:type="dxa"/>
              <w:bottom w:w="0" w:type="dxa"/>
              <w:right w:w="108" w:type="dxa"/>
            </w:tcMar>
          </w:tcPr>
          <w:p w14:paraId="6E96F8D2"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56.9 (13.8)</w:t>
            </w:r>
          </w:p>
        </w:tc>
        <w:tc>
          <w:tcPr>
            <w:tcW w:w="1276" w:type="dxa"/>
            <w:tcBorders>
              <w:bottom w:val="single" w:sz="4" w:space="0" w:color="auto"/>
            </w:tcBorders>
            <w:shd w:val="clear" w:color="auto" w:fill="auto"/>
            <w:tcMar>
              <w:top w:w="0" w:type="dxa"/>
              <w:left w:w="108" w:type="dxa"/>
              <w:bottom w:w="0" w:type="dxa"/>
              <w:right w:w="108" w:type="dxa"/>
            </w:tcMar>
          </w:tcPr>
          <w:p w14:paraId="30D48FBE"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 xml:space="preserve">59.6 (13.4)  </w:t>
            </w:r>
          </w:p>
        </w:tc>
        <w:tc>
          <w:tcPr>
            <w:tcW w:w="1135" w:type="dxa"/>
            <w:tcBorders>
              <w:bottom w:val="single" w:sz="4" w:space="0" w:color="auto"/>
            </w:tcBorders>
            <w:shd w:val="clear" w:color="auto" w:fill="auto"/>
            <w:tcMar>
              <w:top w:w="0" w:type="dxa"/>
              <w:left w:w="10" w:type="dxa"/>
              <w:bottom w:w="0" w:type="dxa"/>
              <w:right w:w="10" w:type="dxa"/>
            </w:tcMar>
          </w:tcPr>
          <w:p w14:paraId="659B44D0" w14:textId="77777777" w:rsidR="00E00C95" w:rsidRPr="00E00C95" w:rsidRDefault="00E00C95" w:rsidP="00C720DB">
            <w:pPr>
              <w:pStyle w:val="TableText"/>
              <w:spacing w:line="480" w:lineRule="auto"/>
              <w:jc w:val="right"/>
              <w:rPr>
                <w:sz w:val="16"/>
                <w:szCs w:val="16"/>
                <w:lang w:val="en-US"/>
              </w:rPr>
            </w:pPr>
            <w:r w:rsidRPr="00E00C95">
              <w:rPr>
                <w:sz w:val="16"/>
                <w:szCs w:val="16"/>
                <w:lang w:val="en-US"/>
              </w:rPr>
              <w:t>58.9 (12.5)</w:t>
            </w:r>
          </w:p>
        </w:tc>
      </w:tr>
    </w:tbl>
    <w:p w14:paraId="285BC5ED" w14:textId="77777777" w:rsidR="00E00C95" w:rsidRPr="00E00C95" w:rsidRDefault="00E00C95" w:rsidP="00C720DB">
      <w:pPr>
        <w:pStyle w:val="TableGraphSource"/>
        <w:spacing w:after="0" w:line="480" w:lineRule="auto"/>
        <w:rPr>
          <w:lang w:val="en-US"/>
        </w:rPr>
      </w:pPr>
      <w:r w:rsidRPr="00E00C95">
        <w:rPr>
          <w:lang w:val="en-US"/>
        </w:rPr>
        <w:t xml:space="preserve">Source: </w:t>
      </w:r>
      <w:proofErr w:type="spellStart"/>
      <w:r w:rsidRPr="00E00C95">
        <w:rPr>
          <w:lang w:val="en-US"/>
        </w:rPr>
        <w:t>Labour</w:t>
      </w:r>
      <w:proofErr w:type="spellEnd"/>
      <w:r w:rsidRPr="00E00C95">
        <w:rPr>
          <w:lang w:val="en-US"/>
        </w:rPr>
        <w:t xml:space="preserve"> Force Survey, pooled quarterly datasets 05-07, 15-17</w:t>
      </w:r>
    </w:p>
    <w:p w14:paraId="63C4DE13" w14:textId="77777777" w:rsidR="00E00C95" w:rsidRPr="00E00C95" w:rsidRDefault="00E00C95" w:rsidP="00C720DB">
      <w:pPr>
        <w:pStyle w:val="TableGraphSource"/>
        <w:spacing w:before="0" w:after="0" w:line="480" w:lineRule="auto"/>
      </w:pPr>
      <w:r w:rsidRPr="00E00C95">
        <w:t>*** p&lt;.001, ** p&lt;.01, * p&lt;.05</w:t>
      </w:r>
    </w:p>
    <w:p w14:paraId="12887BF6" w14:textId="77777777" w:rsidR="00E00C95" w:rsidRDefault="00E00C95" w:rsidP="00C720DB">
      <w:pPr>
        <w:pStyle w:val="TableGraphSource"/>
        <w:spacing w:before="0" w:after="0" w:line="480" w:lineRule="auto"/>
        <w:rPr>
          <w:rFonts w:ascii="Arial" w:hAnsi="Arial"/>
          <w:szCs w:val="20"/>
        </w:rPr>
      </w:pPr>
      <w:r w:rsidRPr="00E00C95">
        <w:t>n=9447 men n=7609 women</w:t>
      </w:r>
    </w:p>
    <w:p w14:paraId="190845EA" w14:textId="77777777" w:rsidR="00E00C95" w:rsidRDefault="00E00C95" w:rsidP="00C720DB">
      <w:pPr>
        <w:pStyle w:val="TableGraphSource"/>
        <w:spacing w:line="480" w:lineRule="auto"/>
        <w:rPr>
          <w:rFonts w:ascii="Arial" w:hAnsi="Arial"/>
          <w:szCs w:val="20"/>
        </w:rPr>
      </w:pPr>
      <w:r>
        <w:rPr>
          <w:rFonts w:ascii="Arial" w:hAnsi="Arial"/>
          <w:szCs w:val="20"/>
        </w:rPr>
        <w:t xml:space="preserve">Note: </w:t>
      </w:r>
      <w:r w:rsidRPr="00E00C95">
        <w:rPr>
          <w:lang w:val="en-US"/>
        </w:rPr>
        <w:t>Mean CAMSIS score of young people aged 18-24 in full-time employment by region (standard deviation). t-tests have been conducted to compare between time points within regions</w:t>
      </w:r>
    </w:p>
    <w:p w14:paraId="248A7DAB" w14:textId="77777777" w:rsidR="007F58F0" w:rsidRDefault="007F58F0" w:rsidP="00C720DB">
      <w:pPr>
        <w:pStyle w:val="Paragraph"/>
        <w:spacing w:line="480" w:lineRule="auto"/>
      </w:pPr>
      <w:r>
        <w:t>The relatively complex patterns described above are more clearly evident in the graphs of the marginal estimates. Figures 1 and 2 indicate the predicted marginal scores of the CAMSIS occupational position estimated from the models reported in Table 5. For men, the uplift across many regions is evident, indicating an improved average occupational position across the ten-year time period, and a number of regions ‘catch up’ with inner-London. For women, the general trend is a slight decline in average CAMSIS score ten years after the Great Recession, with inner-London 2015-17 dropping back towards the average level.</w:t>
      </w:r>
    </w:p>
    <w:p w14:paraId="7003BDCB" w14:textId="78427E1F" w:rsidR="007F58F0" w:rsidRDefault="007F58F0" w:rsidP="00C720DB">
      <w:pPr>
        <w:pStyle w:val="Paragraph"/>
        <w:spacing w:line="480" w:lineRule="auto"/>
      </w:pPr>
      <w:r>
        <w:t xml:space="preserve">Overall, the results indicate a restructuring in regional occupational inequality. For men, there has been an uplift in several regions that has moved them closer to inner-London, which had been the highest performing regional economy in terms of the average occupational position of young people. In this respect it seems that inner-London no longer outperforms many of the regions it has in the past. For women the </w:t>
      </w:r>
      <w:r>
        <w:lastRenderedPageBreak/>
        <w:t>general trend is a drop off in occupational position across the time periods. This has also restructured regional inequality as a substantial drop has occurred for inner-London. Although the trend for women is the obverse of men, the outcome is similar as inner-London no longer appears to outperform many regions.</w:t>
      </w:r>
    </w:p>
    <w:p w14:paraId="40140658" w14:textId="2D2B8EC0" w:rsidR="003B4E1A" w:rsidRDefault="00B372B8" w:rsidP="00C720DB">
      <w:pPr>
        <w:pStyle w:val="TableGraphheading"/>
        <w:spacing w:line="480" w:lineRule="auto"/>
      </w:pPr>
      <w:r>
        <w:rPr>
          <w:bCs/>
          <w:lang w:val="en-US"/>
        </w:rPr>
        <w:t>T</w:t>
      </w:r>
      <w:r w:rsidR="009C4DC1">
        <w:rPr>
          <w:bCs/>
          <w:lang w:val="en-US"/>
        </w:rPr>
        <w:t>able 4:</w:t>
      </w:r>
      <w:r w:rsidR="003B4E1A">
        <w:rPr>
          <w:bCs/>
          <w:lang w:val="en-US"/>
        </w:rPr>
        <w:t xml:space="preserve"> </w:t>
      </w:r>
      <w:r w:rsidR="004F2946" w:rsidRPr="00E3622C">
        <w:rPr>
          <w:lang w:val="en-US"/>
        </w:rPr>
        <w:t>Linear regressions</w:t>
      </w:r>
      <w:r w:rsidR="009C4DC1">
        <w:rPr>
          <w:bCs/>
          <w:lang w:val="en-US"/>
        </w:rPr>
        <w:t>,</w:t>
      </w:r>
      <w:r w:rsidR="004F2946">
        <w:rPr>
          <w:bCs/>
          <w:lang w:val="en-US"/>
        </w:rPr>
        <w:t xml:space="preserve"> </w:t>
      </w:r>
      <w:r w:rsidR="004F2946">
        <w:t>CAMSIS score of men and women</w:t>
      </w:r>
      <w:r w:rsidR="006D5BDC">
        <w:t>, comparing time periods</w:t>
      </w:r>
    </w:p>
    <w:tbl>
      <w:tblPr>
        <w:tblW w:w="9356" w:type="dxa"/>
        <w:tblLayout w:type="fixed"/>
        <w:tblCellMar>
          <w:left w:w="10" w:type="dxa"/>
          <w:right w:w="10" w:type="dxa"/>
        </w:tblCellMar>
        <w:tblLook w:val="04A0" w:firstRow="1" w:lastRow="0" w:firstColumn="1" w:lastColumn="0" w:noHBand="0" w:noVBand="1"/>
      </w:tblPr>
      <w:tblGrid>
        <w:gridCol w:w="1101"/>
        <w:gridCol w:w="1593"/>
        <w:gridCol w:w="567"/>
        <w:gridCol w:w="70"/>
        <w:gridCol w:w="780"/>
        <w:gridCol w:w="567"/>
        <w:gridCol w:w="142"/>
        <w:gridCol w:w="567"/>
        <w:gridCol w:w="283"/>
        <w:gridCol w:w="851"/>
        <w:gridCol w:w="283"/>
        <w:gridCol w:w="567"/>
        <w:gridCol w:w="567"/>
        <w:gridCol w:w="709"/>
        <w:gridCol w:w="709"/>
      </w:tblGrid>
      <w:tr w:rsidR="003B4E1A" w14:paraId="4F17A991" w14:textId="77777777" w:rsidTr="003B4E1A">
        <w:tc>
          <w:tcPr>
            <w:tcW w:w="1101" w:type="dxa"/>
            <w:tcBorders>
              <w:bottom w:val="single" w:sz="4" w:space="0" w:color="auto"/>
            </w:tcBorders>
            <w:shd w:val="clear" w:color="auto" w:fill="auto"/>
            <w:tcMar>
              <w:top w:w="0" w:type="dxa"/>
              <w:left w:w="108" w:type="dxa"/>
              <w:bottom w:w="0" w:type="dxa"/>
              <w:right w:w="108" w:type="dxa"/>
            </w:tcMar>
          </w:tcPr>
          <w:p w14:paraId="5B4434BC" w14:textId="77777777" w:rsidR="003B4E1A" w:rsidRDefault="003B4E1A" w:rsidP="00C720DB">
            <w:pPr>
              <w:autoSpaceDE w:val="0"/>
              <w:spacing w:after="0" w:line="480" w:lineRule="auto"/>
              <w:rPr>
                <w:sz w:val="16"/>
              </w:rPr>
            </w:pPr>
          </w:p>
        </w:tc>
        <w:tc>
          <w:tcPr>
            <w:tcW w:w="2160" w:type="dxa"/>
            <w:gridSpan w:val="2"/>
            <w:tcBorders>
              <w:bottom w:val="single" w:sz="4" w:space="0" w:color="auto"/>
            </w:tcBorders>
            <w:shd w:val="clear" w:color="auto" w:fill="auto"/>
            <w:tcMar>
              <w:top w:w="0" w:type="dxa"/>
              <w:left w:w="108" w:type="dxa"/>
              <w:bottom w:w="0" w:type="dxa"/>
              <w:right w:w="108" w:type="dxa"/>
            </w:tcMar>
          </w:tcPr>
          <w:p w14:paraId="62A7F72C" w14:textId="77777777" w:rsidR="003B4E1A" w:rsidRDefault="003B4E1A" w:rsidP="00C720DB">
            <w:pPr>
              <w:autoSpaceDE w:val="0"/>
              <w:spacing w:after="0" w:line="480" w:lineRule="auto"/>
              <w:rPr>
                <w:sz w:val="16"/>
              </w:rPr>
            </w:pPr>
          </w:p>
        </w:tc>
        <w:tc>
          <w:tcPr>
            <w:tcW w:w="3260" w:type="dxa"/>
            <w:gridSpan w:val="7"/>
            <w:tcBorders>
              <w:bottom w:val="single" w:sz="4" w:space="0" w:color="auto"/>
            </w:tcBorders>
            <w:shd w:val="clear" w:color="auto" w:fill="auto"/>
            <w:tcMar>
              <w:top w:w="0" w:type="dxa"/>
              <w:left w:w="108" w:type="dxa"/>
              <w:bottom w:w="0" w:type="dxa"/>
              <w:right w:w="108" w:type="dxa"/>
            </w:tcMar>
          </w:tcPr>
          <w:p w14:paraId="60C23BE2" w14:textId="77777777" w:rsidR="003B4E1A" w:rsidRDefault="003B4E1A" w:rsidP="00C720DB">
            <w:pPr>
              <w:autoSpaceDE w:val="0"/>
              <w:spacing w:after="0" w:line="480" w:lineRule="auto"/>
              <w:jc w:val="center"/>
              <w:rPr>
                <w:b/>
                <w:sz w:val="16"/>
                <w:szCs w:val="12"/>
              </w:rPr>
            </w:pPr>
            <w:r>
              <w:rPr>
                <w:b/>
                <w:sz w:val="16"/>
                <w:szCs w:val="12"/>
              </w:rPr>
              <w:t>Men</w:t>
            </w:r>
          </w:p>
        </w:tc>
        <w:tc>
          <w:tcPr>
            <w:tcW w:w="2835" w:type="dxa"/>
            <w:gridSpan w:val="5"/>
            <w:tcBorders>
              <w:bottom w:val="single" w:sz="4" w:space="0" w:color="auto"/>
            </w:tcBorders>
            <w:shd w:val="clear" w:color="auto" w:fill="auto"/>
            <w:tcMar>
              <w:top w:w="0" w:type="dxa"/>
              <w:left w:w="108" w:type="dxa"/>
              <w:bottom w:w="0" w:type="dxa"/>
              <w:right w:w="108" w:type="dxa"/>
            </w:tcMar>
          </w:tcPr>
          <w:p w14:paraId="16803255" w14:textId="77777777" w:rsidR="003B4E1A" w:rsidRDefault="003B4E1A" w:rsidP="00C720DB">
            <w:pPr>
              <w:autoSpaceDE w:val="0"/>
              <w:spacing w:after="0" w:line="480" w:lineRule="auto"/>
              <w:jc w:val="center"/>
              <w:rPr>
                <w:b/>
                <w:sz w:val="16"/>
                <w:szCs w:val="12"/>
              </w:rPr>
            </w:pPr>
            <w:r>
              <w:rPr>
                <w:b/>
                <w:sz w:val="16"/>
                <w:szCs w:val="12"/>
              </w:rPr>
              <w:t>Women</w:t>
            </w:r>
          </w:p>
        </w:tc>
      </w:tr>
      <w:tr w:rsidR="003B4E1A" w:rsidRPr="00E3622C" w14:paraId="2C3B3233" w14:textId="77777777" w:rsidTr="003B4E1A">
        <w:trPr>
          <w:cantSplit/>
          <w:trHeight w:val="940"/>
        </w:trPr>
        <w:tc>
          <w:tcPr>
            <w:tcW w:w="1101" w:type="dxa"/>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cPr>
          <w:p w14:paraId="59D0EC7A" w14:textId="77777777" w:rsidR="003B4E1A" w:rsidRPr="00E3622C" w:rsidRDefault="003B4E1A" w:rsidP="00C720DB">
            <w:pPr>
              <w:pStyle w:val="TableText"/>
              <w:spacing w:before="20" w:after="20" w:line="480" w:lineRule="auto"/>
              <w:rPr>
                <w:b/>
                <w:bCs/>
                <w:sz w:val="16"/>
                <w:szCs w:val="16"/>
              </w:rPr>
            </w:pPr>
            <w:r w:rsidRPr="00E3622C">
              <w:rPr>
                <w:b/>
                <w:bCs/>
                <w:sz w:val="16"/>
                <w:szCs w:val="16"/>
              </w:rPr>
              <w:t>Variable</w:t>
            </w:r>
          </w:p>
        </w:tc>
        <w:tc>
          <w:tcPr>
            <w:tcW w:w="2160" w:type="dxa"/>
            <w:gridSpan w:val="2"/>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cPr>
          <w:p w14:paraId="3F0CE521" w14:textId="77777777" w:rsidR="003B4E1A" w:rsidRPr="00E3622C" w:rsidRDefault="003B4E1A" w:rsidP="00C720DB">
            <w:pPr>
              <w:pStyle w:val="TableText"/>
              <w:spacing w:before="20" w:after="20" w:line="480" w:lineRule="auto"/>
              <w:rPr>
                <w:b/>
                <w:bCs/>
                <w:sz w:val="16"/>
                <w:szCs w:val="16"/>
              </w:rPr>
            </w:pPr>
            <w:r w:rsidRPr="00E3622C">
              <w:rPr>
                <w:b/>
                <w:bCs/>
                <w:sz w:val="16"/>
                <w:szCs w:val="16"/>
              </w:rPr>
              <w:t>Categories</w:t>
            </w:r>
          </w:p>
        </w:tc>
        <w:tc>
          <w:tcPr>
            <w:tcW w:w="850" w:type="dxa"/>
            <w:gridSpan w:val="2"/>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extDirection w:val="btLr"/>
            <w:vAlign w:val="bottom"/>
          </w:tcPr>
          <w:p w14:paraId="6CBEF089" w14:textId="77777777" w:rsidR="003B4E1A" w:rsidRPr="00E3622C" w:rsidRDefault="003B4E1A" w:rsidP="00C720DB">
            <w:pPr>
              <w:pStyle w:val="TableText"/>
              <w:spacing w:before="20" w:after="20" w:line="480" w:lineRule="auto"/>
              <w:ind w:left="113" w:right="113"/>
              <w:rPr>
                <w:b/>
                <w:bCs/>
                <w:sz w:val="16"/>
                <w:szCs w:val="16"/>
              </w:rPr>
            </w:pPr>
            <w:r w:rsidRPr="00E3622C">
              <w:rPr>
                <w:b/>
                <w:bCs/>
                <w:sz w:val="16"/>
                <w:szCs w:val="16"/>
              </w:rPr>
              <w:t>Coefficient</w:t>
            </w:r>
          </w:p>
        </w:tc>
        <w:tc>
          <w:tcPr>
            <w:tcW w:w="709" w:type="dxa"/>
            <w:gridSpan w:val="2"/>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extDirection w:val="btLr"/>
            <w:vAlign w:val="bottom"/>
          </w:tcPr>
          <w:p w14:paraId="741EB7E5" w14:textId="77777777" w:rsidR="003B4E1A" w:rsidRPr="00E3622C" w:rsidRDefault="003B4E1A" w:rsidP="00C720DB">
            <w:pPr>
              <w:pStyle w:val="TableText"/>
              <w:spacing w:before="20" w:after="20" w:line="480" w:lineRule="auto"/>
              <w:ind w:left="113" w:right="113"/>
              <w:rPr>
                <w:b/>
                <w:bCs/>
                <w:sz w:val="16"/>
                <w:szCs w:val="16"/>
              </w:rPr>
            </w:pPr>
            <w:r w:rsidRPr="00E3622C">
              <w:rPr>
                <w:b/>
                <w:bCs/>
                <w:sz w:val="16"/>
                <w:szCs w:val="16"/>
              </w:rPr>
              <w:t>Standard error</w:t>
            </w:r>
          </w:p>
        </w:tc>
        <w:tc>
          <w:tcPr>
            <w:tcW w:w="850" w:type="dxa"/>
            <w:gridSpan w:val="2"/>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extDirection w:val="btLr"/>
            <w:vAlign w:val="bottom"/>
          </w:tcPr>
          <w:p w14:paraId="5981BD68" w14:textId="77777777" w:rsidR="003B4E1A" w:rsidRPr="00E3622C" w:rsidRDefault="003B4E1A" w:rsidP="00C720DB">
            <w:pPr>
              <w:pStyle w:val="TableText"/>
              <w:spacing w:before="20" w:after="20" w:line="480" w:lineRule="auto"/>
              <w:ind w:left="113" w:right="113"/>
              <w:rPr>
                <w:b/>
                <w:bCs/>
                <w:sz w:val="16"/>
                <w:szCs w:val="16"/>
              </w:rPr>
            </w:pPr>
            <w:r w:rsidRPr="00E3622C">
              <w:rPr>
                <w:b/>
                <w:bCs/>
                <w:sz w:val="16"/>
                <w:szCs w:val="16"/>
              </w:rPr>
              <w:t>Lower confidence interval</w:t>
            </w:r>
          </w:p>
        </w:tc>
        <w:tc>
          <w:tcPr>
            <w:tcW w:w="851" w:type="dxa"/>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extDirection w:val="btLr"/>
            <w:vAlign w:val="bottom"/>
          </w:tcPr>
          <w:p w14:paraId="614C2A4D" w14:textId="77777777" w:rsidR="003B4E1A" w:rsidRPr="00E3622C" w:rsidRDefault="003B4E1A" w:rsidP="00C720DB">
            <w:pPr>
              <w:pStyle w:val="TableText"/>
              <w:spacing w:before="20" w:after="20" w:line="480" w:lineRule="auto"/>
              <w:ind w:left="113" w:right="113"/>
              <w:rPr>
                <w:b/>
                <w:bCs/>
                <w:sz w:val="16"/>
                <w:szCs w:val="16"/>
              </w:rPr>
            </w:pPr>
            <w:r w:rsidRPr="00E3622C">
              <w:rPr>
                <w:b/>
                <w:bCs/>
                <w:sz w:val="16"/>
                <w:szCs w:val="16"/>
              </w:rPr>
              <w:t>Upper confidence interval</w:t>
            </w:r>
          </w:p>
        </w:tc>
        <w:tc>
          <w:tcPr>
            <w:tcW w:w="850" w:type="dxa"/>
            <w:gridSpan w:val="2"/>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extDirection w:val="btLr"/>
            <w:vAlign w:val="bottom"/>
          </w:tcPr>
          <w:p w14:paraId="41FFBEEA" w14:textId="77777777" w:rsidR="003B4E1A" w:rsidRPr="00E3622C" w:rsidRDefault="003B4E1A" w:rsidP="00C720DB">
            <w:pPr>
              <w:pStyle w:val="TableText"/>
              <w:spacing w:before="20" w:after="20" w:line="480" w:lineRule="auto"/>
              <w:ind w:left="113" w:right="113"/>
              <w:rPr>
                <w:b/>
                <w:bCs/>
                <w:sz w:val="16"/>
                <w:szCs w:val="16"/>
              </w:rPr>
            </w:pPr>
            <w:r w:rsidRPr="00E3622C">
              <w:rPr>
                <w:b/>
                <w:bCs/>
                <w:sz w:val="16"/>
                <w:szCs w:val="16"/>
              </w:rPr>
              <w:t>Coefficient</w:t>
            </w:r>
          </w:p>
        </w:tc>
        <w:tc>
          <w:tcPr>
            <w:tcW w:w="567" w:type="dxa"/>
            <w:tcBorders>
              <w:top w:val="single" w:sz="4" w:space="0" w:color="auto"/>
              <w:bottom w:val="single" w:sz="4" w:space="0" w:color="000000"/>
            </w:tcBorders>
            <w:shd w:val="clear" w:color="auto" w:fill="D9D9D9" w:themeFill="background1" w:themeFillShade="D9"/>
            <w:tcMar>
              <w:top w:w="0" w:type="dxa"/>
              <w:left w:w="10" w:type="dxa"/>
              <w:bottom w:w="0" w:type="dxa"/>
              <w:right w:w="10" w:type="dxa"/>
            </w:tcMar>
            <w:textDirection w:val="btLr"/>
            <w:vAlign w:val="bottom"/>
          </w:tcPr>
          <w:p w14:paraId="0B4BE2EA" w14:textId="77777777" w:rsidR="003B4E1A" w:rsidRPr="00E3622C" w:rsidRDefault="003B4E1A" w:rsidP="00C720DB">
            <w:pPr>
              <w:pStyle w:val="TableText"/>
              <w:spacing w:before="20" w:after="20" w:line="480" w:lineRule="auto"/>
              <w:ind w:left="113" w:right="113"/>
              <w:rPr>
                <w:b/>
                <w:bCs/>
                <w:sz w:val="16"/>
                <w:szCs w:val="16"/>
              </w:rPr>
            </w:pPr>
            <w:r w:rsidRPr="00E3622C">
              <w:rPr>
                <w:b/>
                <w:bCs/>
                <w:sz w:val="16"/>
                <w:szCs w:val="16"/>
              </w:rPr>
              <w:t>Standard error</w:t>
            </w:r>
          </w:p>
        </w:tc>
        <w:tc>
          <w:tcPr>
            <w:tcW w:w="709" w:type="dxa"/>
            <w:tcBorders>
              <w:top w:val="single" w:sz="4" w:space="0" w:color="auto"/>
              <w:bottom w:val="single" w:sz="4" w:space="0" w:color="000000"/>
            </w:tcBorders>
            <w:shd w:val="clear" w:color="auto" w:fill="D9D9D9" w:themeFill="background1" w:themeFillShade="D9"/>
            <w:tcMar>
              <w:top w:w="0" w:type="dxa"/>
              <w:left w:w="10" w:type="dxa"/>
              <w:bottom w:w="0" w:type="dxa"/>
              <w:right w:w="10" w:type="dxa"/>
            </w:tcMar>
            <w:textDirection w:val="btLr"/>
            <w:vAlign w:val="bottom"/>
          </w:tcPr>
          <w:p w14:paraId="794CDE8E" w14:textId="77777777" w:rsidR="003B4E1A" w:rsidRPr="00E3622C" w:rsidRDefault="003B4E1A" w:rsidP="00C720DB">
            <w:pPr>
              <w:pStyle w:val="TableText"/>
              <w:spacing w:before="20" w:after="20" w:line="480" w:lineRule="auto"/>
              <w:ind w:left="113" w:right="113"/>
              <w:rPr>
                <w:b/>
                <w:bCs/>
                <w:sz w:val="16"/>
                <w:szCs w:val="16"/>
              </w:rPr>
            </w:pPr>
            <w:r w:rsidRPr="00E3622C">
              <w:rPr>
                <w:b/>
                <w:bCs/>
                <w:sz w:val="16"/>
                <w:szCs w:val="16"/>
              </w:rPr>
              <w:t>Lower confidence interval</w:t>
            </w:r>
          </w:p>
        </w:tc>
        <w:tc>
          <w:tcPr>
            <w:tcW w:w="709" w:type="dxa"/>
            <w:tcBorders>
              <w:top w:val="single" w:sz="4" w:space="0" w:color="auto"/>
              <w:bottom w:val="single" w:sz="4" w:space="0" w:color="000000"/>
            </w:tcBorders>
            <w:shd w:val="clear" w:color="auto" w:fill="D9D9D9" w:themeFill="background1" w:themeFillShade="D9"/>
            <w:tcMar>
              <w:top w:w="0" w:type="dxa"/>
              <w:left w:w="10" w:type="dxa"/>
              <w:bottom w:w="0" w:type="dxa"/>
              <w:right w:w="10" w:type="dxa"/>
            </w:tcMar>
            <w:textDirection w:val="btLr"/>
            <w:vAlign w:val="bottom"/>
          </w:tcPr>
          <w:p w14:paraId="1502EC98" w14:textId="77777777" w:rsidR="003B4E1A" w:rsidRPr="00E3622C" w:rsidRDefault="003B4E1A" w:rsidP="00C720DB">
            <w:pPr>
              <w:pStyle w:val="TableText"/>
              <w:spacing w:before="20" w:after="20" w:line="480" w:lineRule="auto"/>
              <w:ind w:left="113" w:right="113"/>
              <w:rPr>
                <w:b/>
                <w:bCs/>
                <w:sz w:val="16"/>
                <w:szCs w:val="16"/>
              </w:rPr>
            </w:pPr>
            <w:r w:rsidRPr="00E3622C">
              <w:rPr>
                <w:b/>
                <w:bCs/>
                <w:sz w:val="16"/>
                <w:szCs w:val="16"/>
              </w:rPr>
              <w:t>Upper confidence interval</w:t>
            </w:r>
          </w:p>
        </w:tc>
      </w:tr>
      <w:tr w:rsidR="003B4E1A" w:rsidRPr="00E3622C" w14:paraId="5DE0A7D6" w14:textId="77777777" w:rsidTr="003B4E1A">
        <w:tc>
          <w:tcPr>
            <w:tcW w:w="1101" w:type="dxa"/>
            <w:vMerge w:val="restart"/>
            <w:tcBorders>
              <w:top w:val="single" w:sz="4" w:space="0" w:color="000000"/>
            </w:tcBorders>
            <w:shd w:val="clear" w:color="auto" w:fill="auto"/>
            <w:tcMar>
              <w:top w:w="0" w:type="dxa"/>
              <w:left w:w="108" w:type="dxa"/>
              <w:bottom w:w="0" w:type="dxa"/>
              <w:right w:w="108" w:type="dxa"/>
            </w:tcMar>
          </w:tcPr>
          <w:p w14:paraId="7601A418" w14:textId="77777777" w:rsidR="003B4E1A" w:rsidRPr="00E3622C" w:rsidRDefault="003B4E1A" w:rsidP="00C720DB">
            <w:pPr>
              <w:pStyle w:val="TableText"/>
              <w:spacing w:before="20" w:after="20" w:line="480" w:lineRule="auto"/>
              <w:rPr>
                <w:rFonts w:cs="Calibri"/>
                <w:sz w:val="16"/>
                <w:szCs w:val="16"/>
                <w:lang w:val="en-US"/>
              </w:rPr>
            </w:pPr>
            <w:r w:rsidRPr="00E3622C">
              <w:rPr>
                <w:rFonts w:cs="Calibri"/>
                <w:sz w:val="16"/>
                <w:szCs w:val="16"/>
                <w:lang w:val="en-US"/>
              </w:rPr>
              <w:t>Years</w:t>
            </w:r>
          </w:p>
        </w:tc>
        <w:tc>
          <w:tcPr>
            <w:tcW w:w="2160" w:type="dxa"/>
            <w:gridSpan w:val="2"/>
            <w:tcBorders>
              <w:top w:val="single" w:sz="4" w:space="0" w:color="000000"/>
            </w:tcBorders>
            <w:shd w:val="clear" w:color="auto" w:fill="auto"/>
            <w:tcMar>
              <w:top w:w="0" w:type="dxa"/>
              <w:left w:w="108" w:type="dxa"/>
              <w:bottom w:w="0" w:type="dxa"/>
              <w:right w:w="108" w:type="dxa"/>
            </w:tcMar>
          </w:tcPr>
          <w:p w14:paraId="38011731" w14:textId="77777777" w:rsidR="003B4E1A" w:rsidRPr="00E3622C" w:rsidRDefault="003B4E1A" w:rsidP="00C720DB">
            <w:pPr>
              <w:pStyle w:val="TableText"/>
              <w:spacing w:before="20" w:after="20" w:line="480" w:lineRule="auto"/>
              <w:rPr>
                <w:rFonts w:cs="Calibri"/>
                <w:sz w:val="16"/>
                <w:szCs w:val="16"/>
                <w:lang w:val="en-US"/>
              </w:rPr>
            </w:pPr>
            <w:r w:rsidRPr="00E3622C">
              <w:rPr>
                <w:rFonts w:cs="Calibri"/>
                <w:sz w:val="16"/>
                <w:szCs w:val="16"/>
                <w:lang w:val="en-US"/>
              </w:rPr>
              <w:t>2005-2007</w:t>
            </w:r>
          </w:p>
        </w:tc>
        <w:tc>
          <w:tcPr>
            <w:tcW w:w="850" w:type="dxa"/>
            <w:gridSpan w:val="2"/>
            <w:tcBorders>
              <w:top w:val="single" w:sz="4" w:space="0" w:color="000000"/>
            </w:tcBorders>
            <w:shd w:val="clear" w:color="auto" w:fill="auto"/>
            <w:tcMar>
              <w:top w:w="0" w:type="dxa"/>
              <w:left w:w="108" w:type="dxa"/>
              <w:bottom w:w="0" w:type="dxa"/>
              <w:right w:w="108" w:type="dxa"/>
            </w:tcMar>
          </w:tcPr>
          <w:p w14:paraId="1CE390FD"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709" w:type="dxa"/>
            <w:gridSpan w:val="2"/>
            <w:tcBorders>
              <w:top w:val="single" w:sz="4" w:space="0" w:color="000000"/>
            </w:tcBorders>
            <w:shd w:val="clear" w:color="auto" w:fill="auto"/>
            <w:tcMar>
              <w:top w:w="0" w:type="dxa"/>
              <w:left w:w="108" w:type="dxa"/>
              <w:bottom w:w="0" w:type="dxa"/>
              <w:right w:w="108" w:type="dxa"/>
            </w:tcMar>
          </w:tcPr>
          <w:p w14:paraId="613DF9BF"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850" w:type="dxa"/>
            <w:gridSpan w:val="2"/>
            <w:tcBorders>
              <w:top w:val="single" w:sz="4" w:space="0" w:color="000000"/>
            </w:tcBorders>
            <w:shd w:val="clear" w:color="auto" w:fill="auto"/>
            <w:tcMar>
              <w:top w:w="0" w:type="dxa"/>
              <w:left w:w="108" w:type="dxa"/>
              <w:bottom w:w="0" w:type="dxa"/>
              <w:right w:w="108" w:type="dxa"/>
            </w:tcMar>
          </w:tcPr>
          <w:p w14:paraId="21A30B4D"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851" w:type="dxa"/>
            <w:tcBorders>
              <w:top w:val="single" w:sz="4" w:space="0" w:color="000000"/>
            </w:tcBorders>
            <w:shd w:val="clear" w:color="auto" w:fill="auto"/>
            <w:tcMar>
              <w:top w:w="0" w:type="dxa"/>
              <w:left w:w="108" w:type="dxa"/>
              <w:bottom w:w="0" w:type="dxa"/>
              <w:right w:w="108" w:type="dxa"/>
            </w:tcMar>
          </w:tcPr>
          <w:p w14:paraId="06F54691"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850" w:type="dxa"/>
            <w:gridSpan w:val="2"/>
            <w:tcBorders>
              <w:top w:val="single" w:sz="4" w:space="0" w:color="000000"/>
            </w:tcBorders>
            <w:shd w:val="clear" w:color="auto" w:fill="auto"/>
            <w:tcMar>
              <w:top w:w="0" w:type="dxa"/>
              <w:left w:w="108" w:type="dxa"/>
              <w:bottom w:w="0" w:type="dxa"/>
              <w:right w:w="108" w:type="dxa"/>
            </w:tcMar>
          </w:tcPr>
          <w:p w14:paraId="0AA0E7FE"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567" w:type="dxa"/>
            <w:tcBorders>
              <w:top w:val="single" w:sz="4" w:space="0" w:color="000000"/>
            </w:tcBorders>
            <w:shd w:val="clear" w:color="auto" w:fill="auto"/>
            <w:tcMar>
              <w:top w:w="0" w:type="dxa"/>
              <w:left w:w="10" w:type="dxa"/>
              <w:bottom w:w="0" w:type="dxa"/>
              <w:right w:w="10" w:type="dxa"/>
            </w:tcMar>
          </w:tcPr>
          <w:p w14:paraId="59F0C168"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709" w:type="dxa"/>
            <w:tcBorders>
              <w:top w:val="single" w:sz="4" w:space="0" w:color="000000"/>
            </w:tcBorders>
            <w:shd w:val="clear" w:color="auto" w:fill="auto"/>
            <w:tcMar>
              <w:top w:w="0" w:type="dxa"/>
              <w:left w:w="10" w:type="dxa"/>
              <w:bottom w:w="0" w:type="dxa"/>
              <w:right w:w="10" w:type="dxa"/>
            </w:tcMar>
          </w:tcPr>
          <w:p w14:paraId="04388D39"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709" w:type="dxa"/>
            <w:tcBorders>
              <w:top w:val="single" w:sz="4" w:space="0" w:color="000000"/>
            </w:tcBorders>
            <w:shd w:val="clear" w:color="auto" w:fill="auto"/>
            <w:tcMar>
              <w:top w:w="0" w:type="dxa"/>
              <w:left w:w="10" w:type="dxa"/>
              <w:bottom w:w="0" w:type="dxa"/>
              <w:right w:w="10" w:type="dxa"/>
            </w:tcMar>
          </w:tcPr>
          <w:p w14:paraId="088E8067"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r>
      <w:tr w:rsidR="003B4E1A" w:rsidRPr="00E3622C" w14:paraId="77D6C0AA" w14:textId="77777777" w:rsidTr="003B4E1A">
        <w:tc>
          <w:tcPr>
            <w:tcW w:w="1101" w:type="dxa"/>
            <w:vMerge/>
            <w:tcBorders>
              <w:top w:val="single" w:sz="4" w:space="0" w:color="000000"/>
            </w:tcBorders>
            <w:shd w:val="clear" w:color="auto" w:fill="auto"/>
            <w:tcMar>
              <w:top w:w="0" w:type="dxa"/>
              <w:left w:w="108" w:type="dxa"/>
              <w:bottom w:w="0" w:type="dxa"/>
              <w:right w:w="108" w:type="dxa"/>
            </w:tcMar>
          </w:tcPr>
          <w:p w14:paraId="0E93B455" w14:textId="77777777" w:rsidR="003B4E1A" w:rsidRPr="00E3622C" w:rsidRDefault="003B4E1A" w:rsidP="00C720DB">
            <w:pPr>
              <w:pStyle w:val="TableText"/>
              <w:spacing w:before="20" w:after="20" w:line="480" w:lineRule="auto"/>
              <w:rPr>
                <w:rFonts w:cs="Calibri"/>
                <w:sz w:val="16"/>
                <w:szCs w:val="16"/>
                <w:lang w:val="en-US"/>
              </w:rPr>
            </w:pPr>
          </w:p>
        </w:tc>
        <w:tc>
          <w:tcPr>
            <w:tcW w:w="2160" w:type="dxa"/>
            <w:gridSpan w:val="2"/>
            <w:shd w:val="clear" w:color="auto" w:fill="auto"/>
            <w:tcMar>
              <w:top w:w="0" w:type="dxa"/>
              <w:left w:w="108" w:type="dxa"/>
              <w:bottom w:w="0" w:type="dxa"/>
              <w:right w:w="108" w:type="dxa"/>
            </w:tcMar>
          </w:tcPr>
          <w:p w14:paraId="5379D075" w14:textId="77777777" w:rsidR="003B4E1A" w:rsidRPr="00E3622C" w:rsidRDefault="003B4E1A" w:rsidP="00C720DB">
            <w:pPr>
              <w:pStyle w:val="TableText"/>
              <w:spacing w:before="20" w:after="20" w:line="480" w:lineRule="auto"/>
              <w:rPr>
                <w:rFonts w:cs="Calibri"/>
                <w:sz w:val="16"/>
                <w:szCs w:val="16"/>
                <w:lang w:val="en-US"/>
              </w:rPr>
            </w:pPr>
            <w:r w:rsidRPr="00E3622C">
              <w:rPr>
                <w:rFonts w:cs="Calibri"/>
                <w:sz w:val="16"/>
                <w:szCs w:val="16"/>
                <w:lang w:val="en-US"/>
              </w:rPr>
              <w:t>2015-2017</w:t>
            </w:r>
          </w:p>
        </w:tc>
        <w:tc>
          <w:tcPr>
            <w:tcW w:w="850" w:type="dxa"/>
            <w:gridSpan w:val="2"/>
            <w:shd w:val="clear" w:color="auto" w:fill="auto"/>
            <w:tcMar>
              <w:top w:w="0" w:type="dxa"/>
              <w:left w:w="108" w:type="dxa"/>
              <w:bottom w:w="0" w:type="dxa"/>
              <w:right w:w="108" w:type="dxa"/>
            </w:tcMar>
          </w:tcPr>
          <w:p w14:paraId="033EFF76"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1.1***</w:t>
            </w:r>
          </w:p>
        </w:tc>
        <w:tc>
          <w:tcPr>
            <w:tcW w:w="709" w:type="dxa"/>
            <w:gridSpan w:val="2"/>
            <w:shd w:val="clear" w:color="auto" w:fill="auto"/>
            <w:tcMar>
              <w:top w:w="0" w:type="dxa"/>
              <w:left w:w="108" w:type="dxa"/>
              <w:bottom w:w="0" w:type="dxa"/>
              <w:right w:w="108" w:type="dxa"/>
            </w:tcMar>
          </w:tcPr>
          <w:p w14:paraId="22DAF503"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0.2</w:t>
            </w:r>
          </w:p>
        </w:tc>
        <w:tc>
          <w:tcPr>
            <w:tcW w:w="850" w:type="dxa"/>
            <w:gridSpan w:val="2"/>
            <w:shd w:val="clear" w:color="auto" w:fill="auto"/>
            <w:tcMar>
              <w:top w:w="0" w:type="dxa"/>
              <w:left w:w="108" w:type="dxa"/>
              <w:bottom w:w="0" w:type="dxa"/>
              <w:right w:w="108" w:type="dxa"/>
            </w:tcMar>
          </w:tcPr>
          <w:p w14:paraId="44F62ED6"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851" w:type="dxa"/>
            <w:shd w:val="clear" w:color="auto" w:fill="auto"/>
            <w:tcMar>
              <w:top w:w="0" w:type="dxa"/>
              <w:left w:w="108" w:type="dxa"/>
              <w:bottom w:w="0" w:type="dxa"/>
              <w:right w:w="108" w:type="dxa"/>
            </w:tcMar>
          </w:tcPr>
          <w:p w14:paraId="336FA1CF"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1.6</w:t>
            </w:r>
          </w:p>
        </w:tc>
        <w:tc>
          <w:tcPr>
            <w:tcW w:w="850" w:type="dxa"/>
            <w:gridSpan w:val="2"/>
            <w:shd w:val="clear" w:color="auto" w:fill="auto"/>
            <w:tcMar>
              <w:top w:w="0" w:type="dxa"/>
              <w:left w:w="108" w:type="dxa"/>
              <w:bottom w:w="0" w:type="dxa"/>
              <w:right w:w="108" w:type="dxa"/>
            </w:tcMar>
          </w:tcPr>
          <w:p w14:paraId="5C9F4269"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-1.2***</w:t>
            </w:r>
          </w:p>
        </w:tc>
        <w:tc>
          <w:tcPr>
            <w:tcW w:w="567" w:type="dxa"/>
            <w:shd w:val="clear" w:color="auto" w:fill="auto"/>
            <w:tcMar>
              <w:top w:w="0" w:type="dxa"/>
              <w:left w:w="10" w:type="dxa"/>
              <w:bottom w:w="0" w:type="dxa"/>
              <w:right w:w="10" w:type="dxa"/>
            </w:tcMar>
          </w:tcPr>
          <w:p w14:paraId="64C3A988"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0.3</w:t>
            </w:r>
          </w:p>
        </w:tc>
        <w:tc>
          <w:tcPr>
            <w:tcW w:w="709" w:type="dxa"/>
            <w:shd w:val="clear" w:color="auto" w:fill="auto"/>
            <w:tcMar>
              <w:top w:w="0" w:type="dxa"/>
              <w:left w:w="10" w:type="dxa"/>
              <w:bottom w:w="0" w:type="dxa"/>
              <w:right w:w="10" w:type="dxa"/>
            </w:tcMar>
          </w:tcPr>
          <w:p w14:paraId="414BBC1E"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-1.8</w:t>
            </w:r>
          </w:p>
        </w:tc>
        <w:tc>
          <w:tcPr>
            <w:tcW w:w="709" w:type="dxa"/>
            <w:shd w:val="clear" w:color="auto" w:fill="auto"/>
            <w:tcMar>
              <w:top w:w="0" w:type="dxa"/>
              <w:left w:w="10" w:type="dxa"/>
              <w:bottom w:w="0" w:type="dxa"/>
              <w:right w:w="10" w:type="dxa"/>
            </w:tcMar>
          </w:tcPr>
          <w:p w14:paraId="117CB274"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-0.7</w:t>
            </w:r>
          </w:p>
        </w:tc>
      </w:tr>
      <w:tr w:rsidR="003B4E1A" w:rsidRPr="00E3622C" w14:paraId="14D211C9" w14:textId="77777777" w:rsidTr="003B4E1A">
        <w:tc>
          <w:tcPr>
            <w:tcW w:w="1101" w:type="dxa"/>
            <w:shd w:val="clear" w:color="auto" w:fill="auto"/>
            <w:tcMar>
              <w:top w:w="0" w:type="dxa"/>
              <w:left w:w="108" w:type="dxa"/>
              <w:bottom w:w="0" w:type="dxa"/>
              <w:right w:w="108" w:type="dxa"/>
            </w:tcMar>
          </w:tcPr>
          <w:p w14:paraId="04AA2043" w14:textId="77777777" w:rsidR="003B4E1A" w:rsidRPr="00E3622C" w:rsidRDefault="003B4E1A" w:rsidP="00C720DB">
            <w:pPr>
              <w:pStyle w:val="TableText"/>
              <w:spacing w:before="20" w:after="20" w:line="480" w:lineRule="auto"/>
              <w:rPr>
                <w:rFonts w:cs="Calibri"/>
                <w:sz w:val="16"/>
                <w:szCs w:val="16"/>
                <w:lang w:val="en-US"/>
              </w:rPr>
            </w:pPr>
            <w:r w:rsidRPr="00E3622C">
              <w:rPr>
                <w:rFonts w:cs="Calibri"/>
                <w:sz w:val="16"/>
                <w:szCs w:val="16"/>
                <w:lang w:val="en-US"/>
              </w:rPr>
              <w:t>Age</w:t>
            </w:r>
          </w:p>
        </w:tc>
        <w:tc>
          <w:tcPr>
            <w:tcW w:w="2160" w:type="dxa"/>
            <w:gridSpan w:val="2"/>
            <w:shd w:val="clear" w:color="auto" w:fill="auto"/>
            <w:tcMar>
              <w:top w:w="0" w:type="dxa"/>
              <w:left w:w="108" w:type="dxa"/>
              <w:bottom w:w="0" w:type="dxa"/>
              <w:right w:w="108" w:type="dxa"/>
            </w:tcMar>
          </w:tcPr>
          <w:p w14:paraId="0DA47067" w14:textId="77777777" w:rsidR="003B4E1A" w:rsidRPr="00E3622C" w:rsidRDefault="003B4E1A" w:rsidP="00C720DB">
            <w:pPr>
              <w:pStyle w:val="TableText"/>
              <w:spacing w:before="20" w:after="20" w:line="480" w:lineRule="auto"/>
              <w:rPr>
                <w:rFonts w:cs="Calibri"/>
                <w:sz w:val="16"/>
                <w:szCs w:val="16"/>
                <w:lang w:val="en-US"/>
              </w:rPr>
            </w:pPr>
            <w:r w:rsidRPr="00E3622C">
              <w:rPr>
                <w:rFonts w:cs="Calibri"/>
                <w:sz w:val="16"/>
                <w:szCs w:val="16"/>
                <w:lang w:val="en-US"/>
              </w:rPr>
              <w:t>18</w:t>
            </w:r>
          </w:p>
        </w:tc>
        <w:tc>
          <w:tcPr>
            <w:tcW w:w="850" w:type="dxa"/>
            <w:gridSpan w:val="2"/>
            <w:shd w:val="clear" w:color="auto" w:fill="auto"/>
            <w:tcMar>
              <w:top w:w="0" w:type="dxa"/>
              <w:left w:w="108" w:type="dxa"/>
              <w:bottom w:w="0" w:type="dxa"/>
              <w:right w:w="108" w:type="dxa"/>
            </w:tcMar>
          </w:tcPr>
          <w:p w14:paraId="7878CC86"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709" w:type="dxa"/>
            <w:gridSpan w:val="2"/>
            <w:shd w:val="clear" w:color="auto" w:fill="auto"/>
            <w:tcMar>
              <w:top w:w="0" w:type="dxa"/>
              <w:left w:w="108" w:type="dxa"/>
              <w:bottom w:w="0" w:type="dxa"/>
              <w:right w:w="108" w:type="dxa"/>
            </w:tcMar>
          </w:tcPr>
          <w:p w14:paraId="4D4B17DB"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850" w:type="dxa"/>
            <w:gridSpan w:val="2"/>
            <w:shd w:val="clear" w:color="auto" w:fill="auto"/>
            <w:tcMar>
              <w:top w:w="0" w:type="dxa"/>
              <w:left w:w="108" w:type="dxa"/>
              <w:bottom w:w="0" w:type="dxa"/>
              <w:right w:w="108" w:type="dxa"/>
            </w:tcMar>
          </w:tcPr>
          <w:p w14:paraId="54DF0B0B"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851" w:type="dxa"/>
            <w:shd w:val="clear" w:color="auto" w:fill="auto"/>
            <w:tcMar>
              <w:top w:w="0" w:type="dxa"/>
              <w:left w:w="108" w:type="dxa"/>
              <w:bottom w:w="0" w:type="dxa"/>
              <w:right w:w="108" w:type="dxa"/>
            </w:tcMar>
          </w:tcPr>
          <w:p w14:paraId="0BB780B6"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850" w:type="dxa"/>
            <w:gridSpan w:val="2"/>
            <w:shd w:val="clear" w:color="auto" w:fill="auto"/>
            <w:tcMar>
              <w:top w:w="0" w:type="dxa"/>
              <w:left w:w="108" w:type="dxa"/>
              <w:bottom w:w="0" w:type="dxa"/>
              <w:right w:w="108" w:type="dxa"/>
            </w:tcMar>
          </w:tcPr>
          <w:p w14:paraId="19D1862F"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567" w:type="dxa"/>
            <w:shd w:val="clear" w:color="auto" w:fill="auto"/>
            <w:tcMar>
              <w:top w:w="0" w:type="dxa"/>
              <w:left w:w="10" w:type="dxa"/>
              <w:bottom w:w="0" w:type="dxa"/>
              <w:right w:w="10" w:type="dxa"/>
            </w:tcMar>
          </w:tcPr>
          <w:p w14:paraId="1615782B"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709" w:type="dxa"/>
            <w:shd w:val="clear" w:color="auto" w:fill="auto"/>
            <w:tcMar>
              <w:top w:w="0" w:type="dxa"/>
              <w:left w:w="10" w:type="dxa"/>
              <w:bottom w:w="0" w:type="dxa"/>
              <w:right w:w="10" w:type="dxa"/>
            </w:tcMar>
          </w:tcPr>
          <w:p w14:paraId="50AFBAD9"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709" w:type="dxa"/>
            <w:shd w:val="clear" w:color="auto" w:fill="auto"/>
            <w:tcMar>
              <w:top w:w="0" w:type="dxa"/>
              <w:left w:w="10" w:type="dxa"/>
              <w:bottom w:w="0" w:type="dxa"/>
              <w:right w:w="10" w:type="dxa"/>
            </w:tcMar>
          </w:tcPr>
          <w:p w14:paraId="009FFDA3"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r>
      <w:tr w:rsidR="003B4E1A" w:rsidRPr="00E3622C" w14:paraId="34F82913" w14:textId="77777777" w:rsidTr="003B4E1A">
        <w:tc>
          <w:tcPr>
            <w:tcW w:w="1101" w:type="dxa"/>
            <w:shd w:val="clear" w:color="auto" w:fill="auto"/>
            <w:tcMar>
              <w:top w:w="0" w:type="dxa"/>
              <w:left w:w="108" w:type="dxa"/>
              <w:bottom w:w="0" w:type="dxa"/>
              <w:right w:w="108" w:type="dxa"/>
            </w:tcMar>
          </w:tcPr>
          <w:p w14:paraId="5A010F01" w14:textId="77777777" w:rsidR="003B4E1A" w:rsidRPr="00E3622C" w:rsidRDefault="003B4E1A" w:rsidP="00C720DB">
            <w:pPr>
              <w:pStyle w:val="TableText"/>
              <w:spacing w:before="20" w:after="20" w:line="480" w:lineRule="auto"/>
              <w:rPr>
                <w:rFonts w:cs="Calibri"/>
                <w:sz w:val="16"/>
                <w:szCs w:val="16"/>
                <w:lang w:val="en-US"/>
              </w:rPr>
            </w:pPr>
          </w:p>
        </w:tc>
        <w:tc>
          <w:tcPr>
            <w:tcW w:w="2160" w:type="dxa"/>
            <w:gridSpan w:val="2"/>
            <w:shd w:val="clear" w:color="auto" w:fill="auto"/>
            <w:tcMar>
              <w:top w:w="0" w:type="dxa"/>
              <w:left w:w="108" w:type="dxa"/>
              <w:bottom w:w="0" w:type="dxa"/>
              <w:right w:w="108" w:type="dxa"/>
            </w:tcMar>
          </w:tcPr>
          <w:p w14:paraId="75A98D89" w14:textId="77777777" w:rsidR="003B4E1A" w:rsidRPr="00E3622C" w:rsidRDefault="003B4E1A" w:rsidP="00C720DB">
            <w:pPr>
              <w:pStyle w:val="TableText"/>
              <w:spacing w:before="20" w:after="20" w:line="480" w:lineRule="auto"/>
              <w:rPr>
                <w:rFonts w:cs="Calibri"/>
                <w:sz w:val="16"/>
                <w:szCs w:val="16"/>
                <w:lang w:val="en-US"/>
              </w:rPr>
            </w:pPr>
            <w:r w:rsidRPr="00E3622C">
              <w:rPr>
                <w:rFonts w:cs="Calibri"/>
                <w:sz w:val="16"/>
                <w:szCs w:val="16"/>
                <w:lang w:val="en-US"/>
              </w:rPr>
              <w:t>19</w:t>
            </w:r>
          </w:p>
        </w:tc>
        <w:tc>
          <w:tcPr>
            <w:tcW w:w="850" w:type="dxa"/>
            <w:gridSpan w:val="2"/>
            <w:shd w:val="clear" w:color="auto" w:fill="auto"/>
            <w:tcMar>
              <w:top w:w="0" w:type="dxa"/>
              <w:left w:w="108" w:type="dxa"/>
              <w:bottom w:w="0" w:type="dxa"/>
              <w:right w:w="108" w:type="dxa"/>
            </w:tcMar>
          </w:tcPr>
          <w:p w14:paraId="04A7C625"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0.9</w:t>
            </w:r>
          </w:p>
        </w:tc>
        <w:tc>
          <w:tcPr>
            <w:tcW w:w="709" w:type="dxa"/>
            <w:gridSpan w:val="2"/>
            <w:shd w:val="clear" w:color="auto" w:fill="auto"/>
            <w:tcMar>
              <w:top w:w="0" w:type="dxa"/>
              <w:left w:w="108" w:type="dxa"/>
              <w:bottom w:w="0" w:type="dxa"/>
              <w:right w:w="108" w:type="dxa"/>
            </w:tcMar>
          </w:tcPr>
          <w:p w14:paraId="33693935"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850" w:type="dxa"/>
            <w:gridSpan w:val="2"/>
            <w:shd w:val="clear" w:color="auto" w:fill="auto"/>
            <w:tcMar>
              <w:top w:w="0" w:type="dxa"/>
              <w:left w:w="108" w:type="dxa"/>
              <w:bottom w:w="0" w:type="dxa"/>
              <w:right w:w="108" w:type="dxa"/>
            </w:tcMar>
          </w:tcPr>
          <w:p w14:paraId="66C46FD5"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-0.2</w:t>
            </w:r>
          </w:p>
        </w:tc>
        <w:tc>
          <w:tcPr>
            <w:tcW w:w="851" w:type="dxa"/>
            <w:shd w:val="clear" w:color="auto" w:fill="auto"/>
            <w:tcMar>
              <w:top w:w="0" w:type="dxa"/>
              <w:left w:w="108" w:type="dxa"/>
              <w:bottom w:w="0" w:type="dxa"/>
              <w:right w:w="108" w:type="dxa"/>
            </w:tcMar>
          </w:tcPr>
          <w:p w14:paraId="19032675"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1.9</w:t>
            </w:r>
          </w:p>
        </w:tc>
        <w:tc>
          <w:tcPr>
            <w:tcW w:w="850" w:type="dxa"/>
            <w:gridSpan w:val="2"/>
            <w:shd w:val="clear" w:color="auto" w:fill="auto"/>
            <w:tcMar>
              <w:top w:w="0" w:type="dxa"/>
              <w:left w:w="108" w:type="dxa"/>
              <w:bottom w:w="0" w:type="dxa"/>
              <w:right w:w="108" w:type="dxa"/>
            </w:tcMar>
          </w:tcPr>
          <w:p w14:paraId="28E71572"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-1.104</w:t>
            </w:r>
          </w:p>
        </w:tc>
        <w:tc>
          <w:tcPr>
            <w:tcW w:w="567" w:type="dxa"/>
            <w:shd w:val="clear" w:color="auto" w:fill="auto"/>
            <w:tcMar>
              <w:top w:w="0" w:type="dxa"/>
              <w:left w:w="10" w:type="dxa"/>
              <w:bottom w:w="0" w:type="dxa"/>
              <w:right w:w="10" w:type="dxa"/>
            </w:tcMar>
          </w:tcPr>
          <w:p w14:paraId="442E8012"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709" w:type="dxa"/>
            <w:shd w:val="clear" w:color="auto" w:fill="auto"/>
            <w:tcMar>
              <w:top w:w="0" w:type="dxa"/>
              <w:left w:w="10" w:type="dxa"/>
              <w:bottom w:w="0" w:type="dxa"/>
              <w:right w:w="10" w:type="dxa"/>
            </w:tcMar>
          </w:tcPr>
          <w:p w14:paraId="46F3FB38"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-2.3</w:t>
            </w:r>
          </w:p>
        </w:tc>
        <w:tc>
          <w:tcPr>
            <w:tcW w:w="709" w:type="dxa"/>
            <w:shd w:val="clear" w:color="auto" w:fill="auto"/>
            <w:tcMar>
              <w:top w:w="0" w:type="dxa"/>
              <w:left w:w="10" w:type="dxa"/>
              <w:bottom w:w="0" w:type="dxa"/>
              <w:right w:w="10" w:type="dxa"/>
            </w:tcMar>
          </w:tcPr>
          <w:p w14:paraId="18F97487"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0.1</w:t>
            </w:r>
          </w:p>
        </w:tc>
      </w:tr>
      <w:tr w:rsidR="003B4E1A" w:rsidRPr="00E3622C" w14:paraId="1E8AEC13" w14:textId="77777777" w:rsidTr="003B4E1A">
        <w:tc>
          <w:tcPr>
            <w:tcW w:w="1101" w:type="dxa"/>
            <w:shd w:val="clear" w:color="auto" w:fill="auto"/>
            <w:tcMar>
              <w:top w:w="0" w:type="dxa"/>
              <w:left w:w="108" w:type="dxa"/>
              <w:bottom w:w="0" w:type="dxa"/>
              <w:right w:w="108" w:type="dxa"/>
            </w:tcMar>
          </w:tcPr>
          <w:p w14:paraId="2F4C8310" w14:textId="77777777" w:rsidR="003B4E1A" w:rsidRPr="00E3622C" w:rsidRDefault="003B4E1A" w:rsidP="00C720DB">
            <w:pPr>
              <w:pStyle w:val="TableText"/>
              <w:spacing w:before="20" w:after="20" w:line="480" w:lineRule="auto"/>
              <w:rPr>
                <w:rFonts w:cs="Calibri"/>
                <w:sz w:val="16"/>
                <w:szCs w:val="16"/>
                <w:lang w:val="en-US"/>
              </w:rPr>
            </w:pPr>
          </w:p>
        </w:tc>
        <w:tc>
          <w:tcPr>
            <w:tcW w:w="2160" w:type="dxa"/>
            <w:gridSpan w:val="2"/>
            <w:shd w:val="clear" w:color="auto" w:fill="auto"/>
            <w:tcMar>
              <w:top w:w="0" w:type="dxa"/>
              <w:left w:w="108" w:type="dxa"/>
              <w:bottom w:w="0" w:type="dxa"/>
              <w:right w:w="108" w:type="dxa"/>
            </w:tcMar>
          </w:tcPr>
          <w:p w14:paraId="254CC964" w14:textId="77777777" w:rsidR="003B4E1A" w:rsidRPr="00E3622C" w:rsidRDefault="003B4E1A" w:rsidP="00C720DB">
            <w:pPr>
              <w:pStyle w:val="TableText"/>
              <w:spacing w:before="20" w:after="20" w:line="480" w:lineRule="auto"/>
              <w:rPr>
                <w:rFonts w:cs="Calibri"/>
                <w:sz w:val="16"/>
                <w:szCs w:val="16"/>
                <w:lang w:val="en-US"/>
              </w:rPr>
            </w:pPr>
            <w:r w:rsidRPr="00E3622C">
              <w:rPr>
                <w:rFonts w:cs="Calibri"/>
                <w:sz w:val="16"/>
                <w:szCs w:val="16"/>
                <w:lang w:val="en-US"/>
              </w:rPr>
              <w:t>20</w:t>
            </w:r>
          </w:p>
        </w:tc>
        <w:tc>
          <w:tcPr>
            <w:tcW w:w="850" w:type="dxa"/>
            <w:gridSpan w:val="2"/>
            <w:shd w:val="clear" w:color="auto" w:fill="auto"/>
            <w:tcMar>
              <w:top w:w="0" w:type="dxa"/>
              <w:left w:w="108" w:type="dxa"/>
              <w:bottom w:w="0" w:type="dxa"/>
              <w:right w:w="108" w:type="dxa"/>
            </w:tcMar>
          </w:tcPr>
          <w:p w14:paraId="0DD6CD3C"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1.3*</w:t>
            </w:r>
          </w:p>
        </w:tc>
        <w:tc>
          <w:tcPr>
            <w:tcW w:w="709" w:type="dxa"/>
            <w:gridSpan w:val="2"/>
            <w:shd w:val="clear" w:color="auto" w:fill="auto"/>
            <w:tcMar>
              <w:top w:w="0" w:type="dxa"/>
              <w:left w:w="108" w:type="dxa"/>
              <w:bottom w:w="0" w:type="dxa"/>
              <w:right w:w="108" w:type="dxa"/>
            </w:tcMar>
          </w:tcPr>
          <w:p w14:paraId="048C2A5A"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0.5</w:t>
            </w:r>
          </w:p>
        </w:tc>
        <w:tc>
          <w:tcPr>
            <w:tcW w:w="850" w:type="dxa"/>
            <w:gridSpan w:val="2"/>
            <w:shd w:val="clear" w:color="auto" w:fill="auto"/>
            <w:tcMar>
              <w:top w:w="0" w:type="dxa"/>
              <w:left w:w="108" w:type="dxa"/>
              <w:bottom w:w="0" w:type="dxa"/>
              <w:right w:w="108" w:type="dxa"/>
            </w:tcMar>
          </w:tcPr>
          <w:p w14:paraId="104170FA"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0.2</w:t>
            </w:r>
          </w:p>
        </w:tc>
        <w:tc>
          <w:tcPr>
            <w:tcW w:w="851" w:type="dxa"/>
            <w:shd w:val="clear" w:color="auto" w:fill="auto"/>
            <w:tcMar>
              <w:top w:w="0" w:type="dxa"/>
              <w:left w:w="108" w:type="dxa"/>
              <w:bottom w:w="0" w:type="dxa"/>
              <w:right w:w="108" w:type="dxa"/>
            </w:tcMar>
          </w:tcPr>
          <w:p w14:paraId="3997D5BA"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2.3</w:t>
            </w:r>
          </w:p>
        </w:tc>
        <w:tc>
          <w:tcPr>
            <w:tcW w:w="850" w:type="dxa"/>
            <w:gridSpan w:val="2"/>
            <w:shd w:val="clear" w:color="auto" w:fill="auto"/>
            <w:tcMar>
              <w:top w:w="0" w:type="dxa"/>
              <w:left w:w="108" w:type="dxa"/>
              <w:bottom w:w="0" w:type="dxa"/>
              <w:right w:w="108" w:type="dxa"/>
            </w:tcMar>
          </w:tcPr>
          <w:p w14:paraId="10EF0F2C"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-0.975</w:t>
            </w:r>
          </w:p>
        </w:tc>
        <w:tc>
          <w:tcPr>
            <w:tcW w:w="567" w:type="dxa"/>
            <w:shd w:val="clear" w:color="auto" w:fill="auto"/>
            <w:tcMar>
              <w:top w:w="0" w:type="dxa"/>
              <w:left w:w="10" w:type="dxa"/>
              <w:bottom w:w="0" w:type="dxa"/>
              <w:right w:w="10" w:type="dxa"/>
            </w:tcMar>
          </w:tcPr>
          <w:p w14:paraId="3E25D337"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709" w:type="dxa"/>
            <w:shd w:val="clear" w:color="auto" w:fill="auto"/>
            <w:tcMar>
              <w:top w:w="0" w:type="dxa"/>
              <w:left w:w="10" w:type="dxa"/>
              <w:bottom w:w="0" w:type="dxa"/>
              <w:right w:w="10" w:type="dxa"/>
            </w:tcMar>
          </w:tcPr>
          <w:p w14:paraId="4C24C2B7"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-2.2</w:t>
            </w:r>
          </w:p>
        </w:tc>
        <w:tc>
          <w:tcPr>
            <w:tcW w:w="709" w:type="dxa"/>
            <w:shd w:val="clear" w:color="auto" w:fill="auto"/>
            <w:tcMar>
              <w:top w:w="0" w:type="dxa"/>
              <w:left w:w="10" w:type="dxa"/>
              <w:bottom w:w="0" w:type="dxa"/>
              <w:right w:w="10" w:type="dxa"/>
            </w:tcMar>
          </w:tcPr>
          <w:p w14:paraId="394EC93D"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0.2</w:t>
            </w:r>
          </w:p>
        </w:tc>
      </w:tr>
      <w:tr w:rsidR="003B4E1A" w:rsidRPr="00E3622C" w14:paraId="1FC38F45" w14:textId="77777777" w:rsidTr="003B4E1A">
        <w:tc>
          <w:tcPr>
            <w:tcW w:w="1101" w:type="dxa"/>
            <w:shd w:val="clear" w:color="auto" w:fill="auto"/>
            <w:tcMar>
              <w:top w:w="0" w:type="dxa"/>
              <w:left w:w="108" w:type="dxa"/>
              <w:bottom w:w="0" w:type="dxa"/>
              <w:right w:w="108" w:type="dxa"/>
            </w:tcMar>
          </w:tcPr>
          <w:p w14:paraId="528F503F" w14:textId="77777777" w:rsidR="003B4E1A" w:rsidRPr="00E3622C" w:rsidRDefault="003B4E1A" w:rsidP="00C720DB">
            <w:pPr>
              <w:pStyle w:val="TableText"/>
              <w:spacing w:before="20" w:after="20" w:line="480" w:lineRule="auto"/>
              <w:rPr>
                <w:rFonts w:cs="Calibri"/>
                <w:sz w:val="16"/>
                <w:szCs w:val="16"/>
                <w:lang w:val="en-US"/>
              </w:rPr>
            </w:pPr>
          </w:p>
        </w:tc>
        <w:tc>
          <w:tcPr>
            <w:tcW w:w="2160" w:type="dxa"/>
            <w:gridSpan w:val="2"/>
            <w:shd w:val="clear" w:color="auto" w:fill="auto"/>
            <w:tcMar>
              <w:top w:w="0" w:type="dxa"/>
              <w:left w:w="108" w:type="dxa"/>
              <w:bottom w:w="0" w:type="dxa"/>
              <w:right w:w="108" w:type="dxa"/>
            </w:tcMar>
          </w:tcPr>
          <w:p w14:paraId="5F065554" w14:textId="77777777" w:rsidR="003B4E1A" w:rsidRPr="00E3622C" w:rsidRDefault="003B4E1A" w:rsidP="00C720DB">
            <w:pPr>
              <w:pStyle w:val="TableText"/>
              <w:spacing w:before="20" w:after="20" w:line="480" w:lineRule="auto"/>
              <w:rPr>
                <w:rFonts w:cs="Calibri"/>
                <w:sz w:val="16"/>
                <w:szCs w:val="16"/>
                <w:lang w:val="en-US"/>
              </w:rPr>
            </w:pPr>
            <w:r w:rsidRPr="00E3622C">
              <w:rPr>
                <w:rFonts w:cs="Calibri"/>
                <w:sz w:val="16"/>
                <w:szCs w:val="16"/>
                <w:lang w:val="en-US"/>
              </w:rPr>
              <w:t>21</w:t>
            </w:r>
          </w:p>
        </w:tc>
        <w:tc>
          <w:tcPr>
            <w:tcW w:w="850" w:type="dxa"/>
            <w:gridSpan w:val="2"/>
            <w:shd w:val="clear" w:color="auto" w:fill="auto"/>
            <w:tcMar>
              <w:top w:w="0" w:type="dxa"/>
              <w:left w:w="108" w:type="dxa"/>
              <w:bottom w:w="0" w:type="dxa"/>
              <w:right w:w="108" w:type="dxa"/>
            </w:tcMar>
          </w:tcPr>
          <w:p w14:paraId="11046C8F"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1.7***</w:t>
            </w:r>
          </w:p>
        </w:tc>
        <w:tc>
          <w:tcPr>
            <w:tcW w:w="709" w:type="dxa"/>
            <w:gridSpan w:val="2"/>
            <w:shd w:val="clear" w:color="auto" w:fill="auto"/>
            <w:tcMar>
              <w:top w:w="0" w:type="dxa"/>
              <w:left w:w="108" w:type="dxa"/>
              <w:bottom w:w="0" w:type="dxa"/>
              <w:right w:w="108" w:type="dxa"/>
            </w:tcMar>
          </w:tcPr>
          <w:p w14:paraId="71C552C8"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0.5</w:t>
            </w:r>
          </w:p>
        </w:tc>
        <w:tc>
          <w:tcPr>
            <w:tcW w:w="850" w:type="dxa"/>
            <w:gridSpan w:val="2"/>
            <w:shd w:val="clear" w:color="auto" w:fill="auto"/>
            <w:tcMar>
              <w:top w:w="0" w:type="dxa"/>
              <w:left w:w="108" w:type="dxa"/>
              <w:bottom w:w="0" w:type="dxa"/>
              <w:right w:w="108" w:type="dxa"/>
            </w:tcMar>
          </w:tcPr>
          <w:p w14:paraId="3A05C2A2"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851" w:type="dxa"/>
            <w:shd w:val="clear" w:color="auto" w:fill="auto"/>
            <w:tcMar>
              <w:top w:w="0" w:type="dxa"/>
              <w:left w:w="108" w:type="dxa"/>
              <w:bottom w:w="0" w:type="dxa"/>
              <w:right w:w="108" w:type="dxa"/>
            </w:tcMar>
          </w:tcPr>
          <w:p w14:paraId="0A08A3FC"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2.7</w:t>
            </w:r>
          </w:p>
        </w:tc>
        <w:tc>
          <w:tcPr>
            <w:tcW w:w="850" w:type="dxa"/>
            <w:gridSpan w:val="2"/>
            <w:shd w:val="clear" w:color="auto" w:fill="auto"/>
            <w:tcMar>
              <w:top w:w="0" w:type="dxa"/>
              <w:left w:w="108" w:type="dxa"/>
              <w:bottom w:w="0" w:type="dxa"/>
              <w:right w:w="108" w:type="dxa"/>
            </w:tcMar>
          </w:tcPr>
          <w:p w14:paraId="0887B9F1"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0.225</w:t>
            </w:r>
          </w:p>
        </w:tc>
        <w:tc>
          <w:tcPr>
            <w:tcW w:w="567" w:type="dxa"/>
            <w:shd w:val="clear" w:color="auto" w:fill="auto"/>
            <w:tcMar>
              <w:top w:w="0" w:type="dxa"/>
              <w:left w:w="10" w:type="dxa"/>
              <w:bottom w:w="0" w:type="dxa"/>
              <w:right w:w="10" w:type="dxa"/>
            </w:tcMar>
          </w:tcPr>
          <w:p w14:paraId="59F4F94A"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709" w:type="dxa"/>
            <w:shd w:val="clear" w:color="auto" w:fill="auto"/>
            <w:tcMar>
              <w:top w:w="0" w:type="dxa"/>
              <w:left w:w="10" w:type="dxa"/>
              <w:bottom w:w="0" w:type="dxa"/>
              <w:right w:w="10" w:type="dxa"/>
            </w:tcMar>
          </w:tcPr>
          <w:p w14:paraId="260C6234"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-0.9</w:t>
            </w:r>
          </w:p>
        </w:tc>
        <w:tc>
          <w:tcPr>
            <w:tcW w:w="709" w:type="dxa"/>
            <w:shd w:val="clear" w:color="auto" w:fill="auto"/>
            <w:tcMar>
              <w:top w:w="0" w:type="dxa"/>
              <w:left w:w="10" w:type="dxa"/>
              <w:bottom w:w="0" w:type="dxa"/>
              <w:right w:w="10" w:type="dxa"/>
            </w:tcMar>
          </w:tcPr>
          <w:p w14:paraId="442021F5"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1.4</w:t>
            </w:r>
          </w:p>
        </w:tc>
      </w:tr>
      <w:tr w:rsidR="003B4E1A" w:rsidRPr="00E3622C" w14:paraId="6A8DD2D8" w14:textId="77777777" w:rsidTr="003B4E1A">
        <w:tc>
          <w:tcPr>
            <w:tcW w:w="1101" w:type="dxa"/>
            <w:shd w:val="clear" w:color="auto" w:fill="auto"/>
            <w:tcMar>
              <w:top w:w="0" w:type="dxa"/>
              <w:left w:w="108" w:type="dxa"/>
              <w:bottom w:w="0" w:type="dxa"/>
              <w:right w:w="108" w:type="dxa"/>
            </w:tcMar>
          </w:tcPr>
          <w:p w14:paraId="2C5C06AF" w14:textId="77777777" w:rsidR="003B4E1A" w:rsidRPr="00E3622C" w:rsidRDefault="003B4E1A" w:rsidP="00C720DB">
            <w:pPr>
              <w:pStyle w:val="TableText"/>
              <w:spacing w:before="20" w:after="20" w:line="480" w:lineRule="auto"/>
              <w:rPr>
                <w:rFonts w:cs="Calibri"/>
                <w:sz w:val="16"/>
                <w:szCs w:val="16"/>
                <w:lang w:val="en-US"/>
              </w:rPr>
            </w:pPr>
          </w:p>
        </w:tc>
        <w:tc>
          <w:tcPr>
            <w:tcW w:w="2160" w:type="dxa"/>
            <w:gridSpan w:val="2"/>
            <w:shd w:val="clear" w:color="auto" w:fill="auto"/>
            <w:tcMar>
              <w:top w:w="0" w:type="dxa"/>
              <w:left w:w="108" w:type="dxa"/>
              <w:bottom w:w="0" w:type="dxa"/>
              <w:right w:w="108" w:type="dxa"/>
            </w:tcMar>
          </w:tcPr>
          <w:p w14:paraId="61793F63" w14:textId="77777777" w:rsidR="003B4E1A" w:rsidRPr="00E3622C" w:rsidRDefault="003B4E1A" w:rsidP="00C720DB">
            <w:pPr>
              <w:pStyle w:val="TableText"/>
              <w:spacing w:before="20" w:after="20" w:line="480" w:lineRule="auto"/>
              <w:rPr>
                <w:rFonts w:cs="Calibri"/>
                <w:sz w:val="16"/>
                <w:szCs w:val="16"/>
                <w:lang w:val="en-US"/>
              </w:rPr>
            </w:pPr>
            <w:r w:rsidRPr="00E3622C">
              <w:rPr>
                <w:rFonts w:cs="Calibri"/>
                <w:sz w:val="16"/>
                <w:szCs w:val="16"/>
                <w:lang w:val="en-US"/>
              </w:rPr>
              <w:t>22</w:t>
            </w:r>
          </w:p>
        </w:tc>
        <w:tc>
          <w:tcPr>
            <w:tcW w:w="850" w:type="dxa"/>
            <w:gridSpan w:val="2"/>
            <w:shd w:val="clear" w:color="auto" w:fill="auto"/>
            <w:tcMar>
              <w:top w:w="0" w:type="dxa"/>
              <w:left w:w="108" w:type="dxa"/>
              <w:bottom w:w="0" w:type="dxa"/>
              <w:right w:w="108" w:type="dxa"/>
            </w:tcMar>
          </w:tcPr>
          <w:p w14:paraId="0381B4AD"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1.2*</w:t>
            </w:r>
          </w:p>
        </w:tc>
        <w:tc>
          <w:tcPr>
            <w:tcW w:w="709" w:type="dxa"/>
            <w:gridSpan w:val="2"/>
            <w:shd w:val="clear" w:color="auto" w:fill="auto"/>
            <w:tcMar>
              <w:top w:w="0" w:type="dxa"/>
              <w:left w:w="108" w:type="dxa"/>
              <w:bottom w:w="0" w:type="dxa"/>
              <w:right w:w="108" w:type="dxa"/>
            </w:tcMar>
          </w:tcPr>
          <w:p w14:paraId="21FD000E"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0.5</w:t>
            </w:r>
          </w:p>
        </w:tc>
        <w:tc>
          <w:tcPr>
            <w:tcW w:w="850" w:type="dxa"/>
            <w:gridSpan w:val="2"/>
            <w:shd w:val="clear" w:color="auto" w:fill="auto"/>
            <w:tcMar>
              <w:top w:w="0" w:type="dxa"/>
              <w:left w:w="108" w:type="dxa"/>
              <w:bottom w:w="0" w:type="dxa"/>
              <w:right w:w="108" w:type="dxa"/>
            </w:tcMar>
          </w:tcPr>
          <w:p w14:paraId="01F7DD33"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0.2</w:t>
            </w:r>
          </w:p>
        </w:tc>
        <w:tc>
          <w:tcPr>
            <w:tcW w:w="851" w:type="dxa"/>
            <w:shd w:val="clear" w:color="auto" w:fill="auto"/>
            <w:tcMar>
              <w:top w:w="0" w:type="dxa"/>
              <w:left w:w="108" w:type="dxa"/>
              <w:bottom w:w="0" w:type="dxa"/>
              <w:right w:w="108" w:type="dxa"/>
            </w:tcMar>
          </w:tcPr>
          <w:p w14:paraId="1CEDA547"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2.2</w:t>
            </w:r>
          </w:p>
        </w:tc>
        <w:tc>
          <w:tcPr>
            <w:tcW w:w="850" w:type="dxa"/>
            <w:gridSpan w:val="2"/>
            <w:shd w:val="clear" w:color="auto" w:fill="auto"/>
            <w:tcMar>
              <w:top w:w="0" w:type="dxa"/>
              <w:left w:w="108" w:type="dxa"/>
              <w:bottom w:w="0" w:type="dxa"/>
              <w:right w:w="108" w:type="dxa"/>
            </w:tcMar>
          </w:tcPr>
          <w:p w14:paraId="63EA4DAA"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0.260</w:t>
            </w:r>
          </w:p>
        </w:tc>
        <w:tc>
          <w:tcPr>
            <w:tcW w:w="567" w:type="dxa"/>
            <w:shd w:val="clear" w:color="auto" w:fill="auto"/>
            <w:tcMar>
              <w:top w:w="0" w:type="dxa"/>
              <w:left w:w="10" w:type="dxa"/>
              <w:bottom w:w="0" w:type="dxa"/>
              <w:right w:w="10" w:type="dxa"/>
            </w:tcMar>
          </w:tcPr>
          <w:p w14:paraId="2EB25E6E"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709" w:type="dxa"/>
            <w:shd w:val="clear" w:color="auto" w:fill="auto"/>
            <w:tcMar>
              <w:top w:w="0" w:type="dxa"/>
              <w:left w:w="10" w:type="dxa"/>
              <w:bottom w:w="0" w:type="dxa"/>
              <w:right w:w="10" w:type="dxa"/>
            </w:tcMar>
          </w:tcPr>
          <w:p w14:paraId="0BDD7C7A"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-0.9</w:t>
            </w:r>
          </w:p>
        </w:tc>
        <w:tc>
          <w:tcPr>
            <w:tcW w:w="709" w:type="dxa"/>
            <w:shd w:val="clear" w:color="auto" w:fill="auto"/>
            <w:tcMar>
              <w:top w:w="0" w:type="dxa"/>
              <w:left w:w="10" w:type="dxa"/>
              <w:bottom w:w="0" w:type="dxa"/>
              <w:right w:w="10" w:type="dxa"/>
            </w:tcMar>
          </w:tcPr>
          <w:p w14:paraId="4AFD17FB"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1.4</w:t>
            </w:r>
          </w:p>
        </w:tc>
      </w:tr>
      <w:tr w:rsidR="003B4E1A" w:rsidRPr="00E3622C" w14:paraId="7C6DCEE8" w14:textId="77777777" w:rsidTr="003B4E1A">
        <w:tc>
          <w:tcPr>
            <w:tcW w:w="1101" w:type="dxa"/>
            <w:shd w:val="clear" w:color="auto" w:fill="auto"/>
            <w:tcMar>
              <w:top w:w="0" w:type="dxa"/>
              <w:left w:w="108" w:type="dxa"/>
              <w:bottom w:w="0" w:type="dxa"/>
              <w:right w:w="108" w:type="dxa"/>
            </w:tcMar>
          </w:tcPr>
          <w:p w14:paraId="5DDEA06D" w14:textId="77777777" w:rsidR="003B4E1A" w:rsidRPr="00E3622C" w:rsidRDefault="003B4E1A" w:rsidP="00C720DB">
            <w:pPr>
              <w:pStyle w:val="TableText"/>
              <w:spacing w:before="20" w:after="20" w:line="480" w:lineRule="auto"/>
              <w:rPr>
                <w:rFonts w:cs="Calibri"/>
                <w:sz w:val="16"/>
                <w:szCs w:val="16"/>
                <w:lang w:val="en-US"/>
              </w:rPr>
            </w:pPr>
          </w:p>
        </w:tc>
        <w:tc>
          <w:tcPr>
            <w:tcW w:w="2160" w:type="dxa"/>
            <w:gridSpan w:val="2"/>
            <w:shd w:val="clear" w:color="auto" w:fill="auto"/>
            <w:tcMar>
              <w:top w:w="0" w:type="dxa"/>
              <w:left w:w="108" w:type="dxa"/>
              <w:bottom w:w="0" w:type="dxa"/>
              <w:right w:w="108" w:type="dxa"/>
            </w:tcMar>
          </w:tcPr>
          <w:p w14:paraId="40BD6E62" w14:textId="77777777" w:rsidR="003B4E1A" w:rsidRPr="00E3622C" w:rsidRDefault="003B4E1A" w:rsidP="00C720DB">
            <w:pPr>
              <w:pStyle w:val="TableText"/>
              <w:spacing w:before="20" w:after="20" w:line="480" w:lineRule="auto"/>
              <w:rPr>
                <w:rFonts w:cs="Calibri"/>
                <w:sz w:val="16"/>
                <w:szCs w:val="16"/>
                <w:lang w:val="en-US"/>
              </w:rPr>
            </w:pPr>
            <w:r w:rsidRPr="00E3622C">
              <w:rPr>
                <w:rFonts w:cs="Calibri"/>
                <w:sz w:val="16"/>
                <w:szCs w:val="16"/>
                <w:lang w:val="en-US"/>
              </w:rPr>
              <w:t>23</w:t>
            </w:r>
          </w:p>
        </w:tc>
        <w:tc>
          <w:tcPr>
            <w:tcW w:w="850" w:type="dxa"/>
            <w:gridSpan w:val="2"/>
            <w:shd w:val="clear" w:color="auto" w:fill="auto"/>
            <w:tcMar>
              <w:top w:w="0" w:type="dxa"/>
              <w:left w:w="108" w:type="dxa"/>
              <w:bottom w:w="0" w:type="dxa"/>
              <w:right w:w="108" w:type="dxa"/>
            </w:tcMar>
          </w:tcPr>
          <w:p w14:paraId="3E4077F3"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2.2***</w:t>
            </w:r>
          </w:p>
        </w:tc>
        <w:tc>
          <w:tcPr>
            <w:tcW w:w="709" w:type="dxa"/>
            <w:gridSpan w:val="2"/>
            <w:shd w:val="clear" w:color="auto" w:fill="auto"/>
            <w:tcMar>
              <w:top w:w="0" w:type="dxa"/>
              <w:left w:w="108" w:type="dxa"/>
              <w:bottom w:w="0" w:type="dxa"/>
              <w:right w:w="108" w:type="dxa"/>
            </w:tcMar>
          </w:tcPr>
          <w:p w14:paraId="4A4670A8"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0.5</w:t>
            </w:r>
          </w:p>
        </w:tc>
        <w:tc>
          <w:tcPr>
            <w:tcW w:w="850" w:type="dxa"/>
            <w:gridSpan w:val="2"/>
            <w:shd w:val="clear" w:color="auto" w:fill="auto"/>
            <w:tcMar>
              <w:top w:w="0" w:type="dxa"/>
              <w:left w:w="108" w:type="dxa"/>
              <w:bottom w:w="0" w:type="dxa"/>
              <w:right w:w="108" w:type="dxa"/>
            </w:tcMar>
          </w:tcPr>
          <w:p w14:paraId="0B5CAC89"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1.2</w:t>
            </w:r>
          </w:p>
        </w:tc>
        <w:tc>
          <w:tcPr>
            <w:tcW w:w="851" w:type="dxa"/>
            <w:shd w:val="clear" w:color="auto" w:fill="auto"/>
            <w:tcMar>
              <w:top w:w="0" w:type="dxa"/>
              <w:left w:w="108" w:type="dxa"/>
              <w:bottom w:w="0" w:type="dxa"/>
              <w:right w:w="108" w:type="dxa"/>
            </w:tcMar>
          </w:tcPr>
          <w:p w14:paraId="7D53AC87"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3.2</w:t>
            </w:r>
          </w:p>
        </w:tc>
        <w:tc>
          <w:tcPr>
            <w:tcW w:w="850" w:type="dxa"/>
            <w:gridSpan w:val="2"/>
            <w:shd w:val="clear" w:color="auto" w:fill="auto"/>
            <w:tcMar>
              <w:top w:w="0" w:type="dxa"/>
              <w:left w:w="108" w:type="dxa"/>
              <w:bottom w:w="0" w:type="dxa"/>
              <w:right w:w="108" w:type="dxa"/>
            </w:tcMar>
          </w:tcPr>
          <w:p w14:paraId="0E0EB00E"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1.834**</w:t>
            </w:r>
          </w:p>
        </w:tc>
        <w:tc>
          <w:tcPr>
            <w:tcW w:w="567" w:type="dxa"/>
            <w:shd w:val="clear" w:color="auto" w:fill="auto"/>
            <w:tcMar>
              <w:top w:w="0" w:type="dxa"/>
              <w:left w:w="10" w:type="dxa"/>
              <w:bottom w:w="0" w:type="dxa"/>
              <w:right w:w="10" w:type="dxa"/>
            </w:tcMar>
          </w:tcPr>
          <w:p w14:paraId="6484CA0C"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709" w:type="dxa"/>
            <w:shd w:val="clear" w:color="auto" w:fill="auto"/>
            <w:tcMar>
              <w:top w:w="0" w:type="dxa"/>
              <w:left w:w="10" w:type="dxa"/>
              <w:bottom w:w="0" w:type="dxa"/>
              <w:right w:w="10" w:type="dxa"/>
            </w:tcMar>
          </w:tcPr>
          <w:p w14:paraId="55481AB4"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0.7</w:t>
            </w:r>
          </w:p>
        </w:tc>
        <w:tc>
          <w:tcPr>
            <w:tcW w:w="709" w:type="dxa"/>
            <w:shd w:val="clear" w:color="auto" w:fill="auto"/>
            <w:tcMar>
              <w:top w:w="0" w:type="dxa"/>
              <w:left w:w="10" w:type="dxa"/>
              <w:bottom w:w="0" w:type="dxa"/>
              <w:right w:w="10" w:type="dxa"/>
            </w:tcMar>
          </w:tcPr>
          <w:p w14:paraId="4A355E41"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3.0</w:t>
            </w:r>
          </w:p>
        </w:tc>
      </w:tr>
      <w:tr w:rsidR="003B4E1A" w:rsidRPr="00E3622C" w14:paraId="60BCA083" w14:textId="77777777" w:rsidTr="003B4E1A">
        <w:tc>
          <w:tcPr>
            <w:tcW w:w="1101" w:type="dxa"/>
            <w:shd w:val="clear" w:color="auto" w:fill="auto"/>
            <w:tcMar>
              <w:top w:w="0" w:type="dxa"/>
              <w:left w:w="108" w:type="dxa"/>
              <w:bottom w:w="0" w:type="dxa"/>
              <w:right w:w="108" w:type="dxa"/>
            </w:tcMar>
          </w:tcPr>
          <w:p w14:paraId="1BA79EAF" w14:textId="77777777" w:rsidR="003B4E1A" w:rsidRPr="00E3622C" w:rsidRDefault="003B4E1A" w:rsidP="00C720DB">
            <w:pPr>
              <w:pStyle w:val="TableText"/>
              <w:spacing w:before="20" w:after="20" w:line="480" w:lineRule="auto"/>
              <w:rPr>
                <w:rFonts w:cs="Calibri"/>
                <w:sz w:val="16"/>
                <w:szCs w:val="16"/>
                <w:lang w:val="en-US"/>
              </w:rPr>
            </w:pPr>
          </w:p>
        </w:tc>
        <w:tc>
          <w:tcPr>
            <w:tcW w:w="2160" w:type="dxa"/>
            <w:gridSpan w:val="2"/>
            <w:shd w:val="clear" w:color="auto" w:fill="auto"/>
            <w:tcMar>
              <w:top w:w="0" w:type="dxa"/>
              <w:left w:w="108" w:type="dxa"/>
              <w:bottom w:w="0" w:type="dxa"/>
              <w:right w:w="108" w:type="dxa"/>
            </w:tcMar>
          </w:tcPr>
          <w:p w14:paraId="087F518E" w14:textId="77777777" w:rsidR="003B4E1A" w:rsidRPr="00E3622C" w:rsidRDefault="003B4E1A" w:rsidP="00C720DB">
            <w:pPr>
              <w:pStyle w:val="TableText"/>
              <w:spacing w:before="20" w:after="20" w:line="480" w:lineRule="auto"/>
              <w:rPr>
                <w:rFonts w:cs="Calibri"/>
                <w:sz w:val="16"/>
                <w:szCs w:val="16"/>
                <w:lang w:val="en-US"/>
              </w:rPr>
            </w:pPr>
            <w:r w:rsidRPr="00E3622C">
              <w:rPr>
                <w:rFonts w:cs="Calibri"/>
                <w:sz w:val="16"/>
                <w:szCs w:val="16"/>
                <w:lang w:val="en-US"/>
              </w:rPr>
              <w:t>24</w:t>
            </w:r>
          </w:p>
        </w:tc>
        <w:tc>
          <w:tcPr>
            <w:tcW w:w="850" w:type="dxa"/>
            <w:gridSpan w:val="2"/>
            <w:shd w:val="clear" w:color="auto" w:fill="auto"/>
            <w:tcMar>
              <w:top w:w="0" w:type="dxa"/>
              <w:left w:w="108" w:type="dxa"/>
              <w:bottom w:w="0" w:type="dxa"/>
              <w:right w:w="108" w:type="dxa"/>
            </w:tcMar>
          </w:tcPr>
          <w:p w14:paraId="17686DFC"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2.7***</w:t>
            </w:r>
          </w:p>
        </w:tc>
        <w:tc>
          <w:tcPr>
            <w:tcW w:w="709" w:type="dxa"/>
            <w:gridSpan w:val="2"/>
            <w:shd w:val="clear" w:color="auto" w:fill="auto"/>
            <w:tcMar>
              <w:top w:w="0" w:type="dxa"/>
              <w:left w:w="108" w:type="dxa"/>
              <w:bottom w:w="0" w:type="dxa"/>
              <w:right w:w="108" w:type="dxa"/>
            </w:tcMar>
          </w:tcPr>
          <w:p w14:paraId="1C501545"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0.5</w:t>
            </w:r>
          </w:p>
        </w:tc>
        <w:tc>
          <w:tcPr>
            <w:tcW w:w="850" w:type="dxa"/>
            <w:gridSpan w:val="2"/>
            <w:shd w:val="clear" w:color="auto" w:fill="auto"/>
            <w:tcMar>
              <w:top w:w="0" w:type="dxa"/>
              <w:left w:w="108" w:type="dxa"/>
              <w:bottom w:w="0" w:type="dxa"/>
              <w:right w:w="108" w:type="dxa"/>
            </w:tcMar>
          </w:tcPr>
          <w:p w14:paraId="474CBECC"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1.7</w:t>
            </w:r>
          </w:p>
        </w:tc>
        <w:tc>
          <w:tcPr>
            <w:tcW w:w="851" w:type="dxa"/>
            <w:shd w:val="clear" w:color="auto" w:fill="auto"/>
            <w:tcMar>
              <w:top w:w="0" w:type="dxa"/>
              <w:left w:w="108" w:type="dxa"/>
              <w:bottom w:w="0" w:type="dxa"/>
              <w:right w:w="108" w:type="dxa"/>
            </w:tcMar>
          </w:tcPr>
          <w:p w14:paraId="664083EE"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3.7</w:t>
            </w:r>
          </w:p>
        </w:tc>
        <w:tc>
          <w:tcPr>
            <w:tcW w:w="850" w:type="dxa"/>
            <w:gridSpan w:val="2"/>
            <w:shd w:val="clear" w:color="auto" w:fill="auto"/>
            <w:tcMar>
              <w:top w:w="0" w:type="dxa"/>
              <w:left w:w="108" w:type="dxa"/>
              <w:bottom w:w="0" w:type="dxa"/>
              <w:right w:w="108" w:type="dxa"/>
            </w:tcMar>
          </w:tcPr>
          <w:p w14:paraId="541229E9"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2.354***</w:t>
            </w:r>
          </w:p>
        </w:tc>
        <w:tc>
          <w:tcPr>
            <w:tcW w:w="567" w:type="dxa"/>
            <w:shd w:val="clear" w:color="auto" w:fill="auto"/>
            <w:tcMar>
              <w:top w:w="0" w:type="dxa"/>
              <w:left w:w="10" w:type="dxa"/>
              <w:bottom w:w="0" w:type="dxa"/>
              <w:right w:w="10" w:type="dxa"/>
            </w:tcMar>
          </w:tcPr>
          <w:p w14:paraId="57DEB16D"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709" w:type="dxa"/>
            <w:shd w:val="clear" w:color="auto" w:fill="auto"/>
            <w:tcMar>
              <w:top w:w="0" w:type="dxa"/>
              <w:left w:w="10" w:type="dxa"/>
              <w:bottom w:w="0" w:type="dxa"/>
              <w:right w:w="10" w:type="dxa"/>
            </w:tcMar>
          </w:tcPr>
          <w:p w14:paraId="15497E03"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1.2</w:t>
            </w:r>
          </w:p>
        </w:tc>
        <w:tc>
          <w:tcPr>
            <w:tcW w:w="709" w:type="dxa"/>
            <w:shd w:val="clear" w:color="auto" w:fill="auto"/>
            <w:tcMar>
              <w:top w:w="0" w:type="dxa"/>
              <w:left w:w="10" w:type="dxa"/>
              <w:bottom w:w="0" w:type="dxa"/>
              <w:right w:w="10" w:type="dxa"/>
            </w:tcMar>
          </w:tcPr>
          <w:p w14:paraId="3F7403A5"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3.5</w:t>
            </w:r>
          </w:p>
        </w:tc>
      </w:tr>
      <w:tr w:rsidR="003B4E1A" w:rsidRPr="00E3622C" w14:paraId="2BCCD902" w14:textId="77777777" w:rsidTr="003B4E1A">
        <w:tc>
          <w:tcPr>
            <w:tcW w:w="1101" w:type="dxa"/>
            <w:shd w:val="clear" w:color="auto" w:fill="auto"/>
            <w:tcMar>
              <w:top w:w="0" w:type="dxa"/>
              <w:left w:w="108" w:type="dxa"/>
              <w:bottom w:w="0" w:type="dxa"/>
              <w:right w:w="108" w:type="dxa"/>
            </w:tcMar>
          </w:tcPr>
          <w:p w14:paraId="3F66BE0C" w14:textId="77777777" w:rsidR="003B4E1A" w:rsidRPr="00E3622C" w:rsidRDefault="003B4E1A" w:rsidP="00C720DB">
            <w:pPr>
              <w:pStyle w:val="TableText"/>
              <w:spacing w:before="20" w:after="20" w:line="480" w:lineRule="auto"/>
              <w:rPr>
                <w:rFonts w:cs="Calibri"/>
                <w:color w:val="444444"/>
                <w:sz w:val="16"/>
                <w:szCs w:val="16"/>
                <w:shd w:val="clear" w:color="auto" w:fill="FFFFFF"/>
              </w:rPr>
            </w:pPr>
            <w:r w:rsidRPr="00E3622C">
              <w:rPr>
                <w:rFonts w:cs="Calibri"/>
                <w:color w:val="444444"/>
                <w:sz w:val="16"/>
                <w:szCs w:val="16"/>
                <w:shd w:val="clear" w:color="auto" w:fill="FFFFFF"/>
              </w:rPr>
              <w:t>Educational</w:t>
            </w:r>
          </w:p>
        </w:tc>
        <w:tc>
          <w:tcPr>
            <w:tcW w:w="2160" w:type="dxa"/>
            <w:gridSpan w:val="2"/>
            <w:shd w:val="clear" w:color="auto" w:fill="auto"/>
            <w:tcMar>
              <w:top w:w="0" w:type="dxa"/>
              <w:left w:w="108" w:type="dxa"/>
              <w:bottom w:w="0" w:type="dxa"/>
              <w:right w:w="108" w:type="dxa"/>
            </w:tcMar>
          </w:tcPr>
          <w:p w14:paraId="6395A0E2" w14:textId="77777777" w:rsidR="003B4E1A" w:rsidRPr="00E3622C" w:rsidRDefault="003B4E1A" w:rsidP="00C720DB">
            <w:pPr>
              <w:pStyle w:val="TableText"/>
              <w:spacing w:before="20" w:after="20" w:line="480" w:lineRule="auto"/>
              <w:rPr>
                <w:sz w:val="16"/>
                <w:szCs w:val="16"/>
              </w:rPr>
            </w:pPr>
            <w:r w:rsidRPr="00E3622C">
              <w:rPr>
                <w:rFonts w:cs="Calibri"/>
                <w:color w:val="444444"/>
                <w:sz w:val="16"/>
                <w:szCs w:val="16"/>
                <w:shd w:val="clear" w:color="auto" w:fill="FFFFFF"/>
              </w:rPr>
              <w:t>degree</w:t>
            </w:r>
          </w:p>
        </w:tc>
        <w:tc>
          <w:tcPr>
            <w:tcW w:w="850" w:type="dxa"/>
            <w:gridSpan w:val="2"/>
            <w:shd w:val="clear" w:color="auto" w:fill="auto"/>
            <w:tcMar>
              <w:top w:w="0" w:type="dxa"/>
              <w:left w:w="108" w:type="dxa"/>
              <w:bottom w:w="0" w:type="dxa"/>
              <w:right w:w="108" w:type="dxa"/>
            </w:tcMar>
          </w:tcPr>
          <w:p w14:paraId="7E49E5B9"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709" w:type="dxa"/>
            <w:gridSpan w:val="2"/>
            <w:shd w:val="clear" w:color="auto" w:fill="auto"/>
            <w:tcMar>
              <w:top w:w="0" w:type="dxa"/>
              <w:left w:w="108" w:type="dxa"/>
              <w:bottom w:w="0" w:type="dxa"/>
              <w:right w:w="108" w:type="dxa"/>
            </w:tcMar>
          </w:tcPr>
          <w:p w14:paraId="73FEF26D"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850" w:type="dxa"/>
            <w:gridSpan w:val="2"/>
            <w:shd w:val="clear" w:color="auto" w:fill="auto"/>
            <w:tcMar>
              <w:top w:w="0" w:type="dxa"/>
              <w:left w:w="108" w:type="dxa"/>
              <w:bottom w:w="0" w:type="dxa"/>
              <w:right w:w="108" w:type="dxa"/>
            </w:tcMar>
          </w:tcPr>
          <w:p w14:paraId="16A72222"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851" w:type="dxa"/>
            <w:shd w:val="clear" w:color="auto" w:fill="auto"/>
            <w:tcMar>
              <w:top w:w="0" w:type="dxa"/>
              <w:left w:w="108" w:type="dxa"/>
              <w:bottom w:w="0" w:type="dxa"/>
              <w:right w:w="108" w:type="dxa"/>
            </w:tcMar>
          </w:tcPr>
          <w:p w14:paraId="24D5206F"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850" w:type="dxa"/>
            <w:gridSpan w:val="2"/>
            <w:shd w:val="clear" w:color="auto" w:fill="auto"/>
            <w:tcMar>
              <w:top w:w="0" w:type="dxa"/>
              <w:left w:w="108" w:type="dxa"/>
              <w:bottom w:w="0" w:type="dxa"/>
              <w:right w:w="108" w:type="dxa"/>
            </w:tcMar>
          </w:tcPr>
          <w:p w14:paraId="1F4A1100"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567" w:type="dxa"/>
            <w:shd w:val="clear" w:color="auto" w:fill="auto"/>
            <w:tcMar>
              <w:top w:w="0" w:type="dxa"/>
              <w:left w:w="10" w:type="dxa"/>
              <w:bottom w:w="0" w:type="dxa"/>
              <w:right w:w="10" w:type="dxa"/>
            </w:tcMar>
          </w:tcPr>
          <w:p w14:paraId="777AFC32"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709" w:type="dxa"/>
            <w:shd w:val="clear" w:color="auto" w:fill="auto"/>
            <w:tcMar>
              <w:top w:w="0" w:type="dxa"/>
              <w:left w:w="10" w:type="dxa"/>
              <w:bottom w:w="0" w:type="dxa"/>
              <w:right w:w="10" w:type="dxa"/>
            </w:tcMar>
          </w:tcPr>
          <w:p w14:paraId="442A0A24"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c>
          <w:tcPr>
            <w:tcW w:w="709" w:type="dxa"/>
            <w:shd w:val="clear" w:color="auto" w:fill="auto"/>
            <w:tcMar>
              <w:top w:w="0" w:type="dxa"/>
              <w:left w:w="10" w:type="dxa"/>
              <w:bottom w:w="0" w:type="dxa"/>
              <w:right w:w="10" w:type="dxa"/>
            </w:tcMar>
          </w:tcPr>
          <w:p w14:paraId="1BD3EA36"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w:t>
            </w:r>
          </w:p>
        </w:tc>
      </w:tr>
      <w:tr w:rsidR="003B4E1A" w:rsidRPr="00E3622C" w14:paraId="16155179" w14:textId="77777777" w:rsidTr="003B4E1A">
        <w:tc>
          <w:tcPr>
            <w:tcW w:w="1101" w:type="dxa"/>
            <w:shd w:val="clear" w:color="auto" w:fill="auto"/>
            <w:tcMar>
              <w:top w:w="0" w:type="dxa"/>
              <w:left w:w="108" w:type="dxa"/>
              <w:bottom w:w="0" w:type="dxa"/>
              <w:right w:w="108" w:type="dxa"/>
            </w:tcMar>
          </w:tcPr>
          <w:p w14:paraId="6CADEED3" w14:textId="77777777" w:rsidR="003B4E1A" w:rsidRPr="00E3622C" w:rsidRDefault="003B4E1A" w:rsidP="00C720DB">
            <w:pPr>
              <w:pStyle w:val="TableText"/>
              <w:spacing w:before="20" w:after="20" w:line="480" w:lineRule="auto"/>
              <w:rPr>
                <w:rFonts w:cs="Calibri"/>
                <w:color w:val="444444"/>
                <w:sz w:val="16"/>
                <w:szCs w:val="16"/>
                <w:shd w:val="clear" w:color="auto" w:fill="FFFFFF"/>
              </w:rPr>
            </w:pPr>
            <w:r w:rsidRPr="00E3622C">
              <w:rPr>
                <w:rFonts w:cs="Calibri"/>
                <w:color w:val="444444"/>
                <w:sz w:val="16"/>
                <w:szCs w:val="16"/>
                <w:shd w:val="clear" w:color="auto" w:fill="FFFFFF"/>
              </w:rPr>
              <w:t>Attainment</w:t>
            </w:r>
          </w:p>
        </w:tc>
        <w:tc>
          <w:tcPr>
            <w:tcW w:w="2160" w:type="dxa"/>
            <w:gridSpan w:val="2"/>
            <w:shd w:val="clear" w:color="auto" w:fill="auto"/>
            <w:tcMar>
              <w:top w:w="0" w:type="dxa"/>
              <w:left w:w="108" w:type="dxa"/>
              <w:bottom w:w="0" w:type="dxa"/>
              <w:right w:w="108" w:type="dxa"/>
            </w:tcMar>
          </w:tcPr>
          <w:p w14:paraId="67B01155" w14:textId="77777777" w:rsidR="003B4E1A" w:rsidRPr="00E3622C" w:rsidRDefault="003B4E1A" w:rsidP="00C720DB">
            <w:pPr>
              <w:pStyle w:val="TableText"/>
              <w:spacing w:before="20" w:after="20" w:line="480" w:lineRule="auto"/>
              <w:rPr>
                <w:sz w:val="16"/>
                <w:szCs w:val="16"/>
              </w:rPr>
            </w:pPr>
            <w:r w:rsidRPr="00E3622C">
              <w:rPr>
                <w:rFonts w:cs="Calibri"/>
                <w:color w:val="444444"/>
                <w:sz w:val="16"/>
                <w:szCs w:val="16"/>
                <w:shd w:val="clear" w:color="auto" w:fill="FFFFFF"/>
              </w:rPr>
              <w:t>higher education level</w:t>
            </w:r>
          </w:p>
        </w:tc>
        <w:tc>
          <w:tcPr>
            <w:tcW w:w="850" w:type="dxa"/>
            <w:gridSpan w:val="2"/>
            <w:shd w:val="clear" w:color="auto" w:fill="auto"/>
            <w:tcMar>
              <w:top w:w="0" w:type="dxa"/>
              <w:left w:w="108" w:type="dxa"/>
              <w:bottom w:w="0" w:type="dxa"/>
              <w:right w:w="108" w:type="dxa"/>
            </w:tcMar>
          </w:tcPr>
          <w:p w14:paraId="6895CD4E"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-10.1***</w:t>
            </w:r>
          </w:p>
        </w:tc>
        <w:tc>
          <w:tcPr>
            <w:tcW w:w="709" w:type="dxa"/>
            <w:gridSpan w:val="2"/>
            <w:shd w:val="clear" w:color="auto" w:fill="auto"/>
            <w:tcMar>
              <w:top w:w="0" w:type="dxa"/>
              <w:left w:w="108" w:type="dxa"/>
              <w:bottom w:w="0" w:type="dxa"/>
              <w:right w:w="108" w:type="dxa"/>
            </w:tcMar>
          </w:tcPr>
          <w:p w14:paraId="55F22AF6"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850" w:type="dxa"/>
            <w:gridSpan w:val="2"/>
            <w:shd w:val="clear" w:color="auto" w:fill="auto"/>
            <w:tcMar>
              <w:top w:w="0" w:type="dxa"/>
              <w:left w:w="108" w:type="dxa"/>
              <w:bottom w:w="0" w:type="dxa"/>
              <w:right w:w="108" w:type="dxa"/>
            </w:tcMar>
          </w:tcPr>
          <w:p w14:paraId="46670259"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-11.3</w:t>
            </w:r>
          </w:p>
        </w:tc>
        <w:tc>
          <w:tcPr>
            <w:tcW w:w="851" w:type="dxa"/>
            <w:shd w:val="clear" w:color="auto" w:fill="auto"/>
            <w:tcMar>
              <w:top w:w="0" w:type="dxa"/>
              <w:left w:w="108" w:type="dxa"/>
              <w:bottom w:w="0" w:type="dxa"/>
              <w:right w:w="108" w:type="dxa"/>
            </w:tcMar>
          </w:tcPr>
          <w:p w14:paraId="78D1E825"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-8.9</w:t>
            </w:r>
          </w:p>
        </w:tc>
        <w:tc>
          <w:tcPr>
            <w:tcW w:w="850" w:type="dxa"/>
            <w:gridSpan w:val="2"/>
            <w:shd w:val="clear" w:color="auto" w:fill="auto"/>
            <w:tcMar>
              <w:top w:w="0" w:type="dxa"/>
              <w:left w:w="108" w:type="dxa"/>
              <w:bottom w:w="0" w:type="dxa"/>
              <w:right w:w="108" w:type="dxa"/>
            </w:tcMar>
          </w:tcPr>
          <w:p w14:paraId="27C3CF26"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-8.0***</w:t>
            </w:r>
          </w:p>
        </w:tc>
        <w:tc>
          <w:tcPr>
            <w:tcW w:w="567" w:type="dxa"/>
            <w:shd w:val="clear" w:color="auto" w:fill="auto"/>
            <w:tcMar>
              <w:top w:w="0" w:type="dxa"/>
              <w:left w:w="10" w:type="dxa"/>
              <w:bottom w:w="0" w:type="dxa"/>
              <w:right w:w="10" w:type="dxa"/>
            </w:tcMar>
          </w:tcPr>
          <w:p w14:paraId="1DEEBA73"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709" w:type="dxa"/>
            <w:shd w:val="clear" w:color="auto" w:fill="auto"/>
            <w:tcMar>
              <w:top w:w="0" w:type="dxa"/>
              <w:left w:w="10" w:type="dxa"/>
              <w:bottom w:w="0" w:type="dxa"/>
              <w:right w:w="10" w:type="dxa"/>
            </w:tcMar>
          </w:tcPr>
          <w:p w14:paraId="6A7398DA"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-9.1</w:t>
            </w:r>
          </w:p>
        </w:tc>
        <w:tc>
          <w:tcPr>
            <w:tcW w:w="709" w:type="dxa"/>
            <w:shd w:val="clear" w:color="auto" w:fill="auto"/>
            <w:tcMar>
              <w:top w:w="0" w:type="dxa"/>
              <w:left w:w="10" w:type="dxa"/>
              <w:bottom w:w="0" w:type="dxa"/>
              <w:right w:w="10" w:type="dxa"/>
            </w:tcMar>
          </w:tcPr>
          <w:p w14:paraId="6FBBE38B"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-6.8</w:t>
            </w:r>
          </w:p>
        </w:tc>
      </w:tr>
      <w:tr w:rsidR="003B4E1A" w:rsidRPr="00E3622C" w14:paraId="538C92A7" w14:textId="77777777" w:rsidTr="003B4E1A">
        <w:tc>
          <w:tcPr>
            <w:tcW w:w="1101" w:type="dxa"/>
            <w:shd w:val="clear" w:color="auto" w:fill="auto"/>
            <w:tcMar>
              <w:top w:w="0" w:type="dxa"/>
              <w:left w:w="108" w:type="dxa"/>
              <w:bottom w:w="0" w:type="dxa"/>
              <w:right w:w="108" w:type="dxa"/>
            </w:tcMar>
          </w:tcPr>
          <w:p w14:paraId="4AE339BE" w14:textId="77777777" w:rsidR="003B4E1A" w:rsidRPr="00E3622C" w:rsidRDefault="003B4E1A" w:rsidP="00C720DB">
            <w:pPr>
              <w:pStyle w:val="TableText"/>
              <w:spacing w:before="20" w:after="20" w:line="480" w:lineRule="auto"/>
              <w:rPr>
                <w:rFonts w:cs="Calibri"/>
                <w:color w:val="444444"/>
                <w:sz w:val="16"/>
                <w:szCs w:val="16"/>
                <w:shd w:val="clear" w:color="auto" w:fill="FFFFFF"/>
              </w:rPr>
            </w:pPr>
          </w:p>
        </w:tc>
        <w:tc>
          <w:tcPr>
            <w:tcW w:w="2160" w:type="dxa"/>
            <w:gridSpan w:val="2"/>
            <w:shd w:val="clear" w:color="auto" w:fill="auto"/>
            <w:tcMar>
              <w:top w:w="0" w:type="dxa"/>
              <w:left w:w="108" w:type="dxa"/>
              <w:bottom w:w="0" w:type="dxa"/>
              <w:right w:w="108" w:type="dxa"/>
            </w:tcMar>
          </w:tcPr>
          <w:p w14:paraId="0A2AFD00" w14:textId="77777777" w:rsidR="003B4E1A" w:rsidRPr="00E3622C" w:rsidRDefault="003B4E1A" w:rsidP="00C720DB">
            <w:pPr>
              <w:pStyle w:val="TableText"/>
              <w:spacing w:before="20" w:after="20" w:line="480" w:lineRule="auto"/>
              <w:rPr>
                <w:sz w:val="16"/>
                <w:szCs w:val="16"/>
              </w:rPr>
            </w:pPr>
            <w:r w:rsidRPr="00E3622C">
              <w:rPr>
                <w:rFonts w:cs="Calibri"/>
                <w:color w:val="444444"/>
                <w:sz w:val="16"/>
                <w:szCs w:val="16"/>
                <w:shd w:val="clear" w:color="auto" w:fill="FFFFFF"/>
              </w:rPr>
              <w:t>GCE/A-level or equivalent</w:t>
            </w:r>
          </w:p>
        </w:tc>
        <w:tc>
          <w:tcPr>
            <w:tcW w:w="850" w:type="dxa"/>
            <w:gridSpan w:val="2"/>
            <w:shd w:val="clear" w:color="auto" w:fill="auto"/>
            <w:tcMar>
              <w:top w:w="0" w:type="dxa"/>
              <w:left w:w="108" w:type="dxa"/>
              <w:bottom w:w="0" w:type="dxa"/>
              <w:right w:w="108" w:type="dxa"/>
            </w:tcMar>
          </w:tcPr>
          <w:p w14:paraId="2E38ADB6"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-12.2***</w:t>
            </w:r>
          </w:p>
        </w:tc>
        <w:tc>
          <w:tcPr>
            <w:tcW w:w="709" w:type="dxa"/>
            <w:gridSpan w:val="2"/>
            <w:shd w:val="clear" w:color="auto" w:fill="auto"/>
            <w:tcMar>
              <w:top w:w="0" w:type="dxa"/>
              <w:left w:w="108" w:type="dxa"/>
              <w:bottom w:w="0" w:type="dxa"/>
              <w:right w:w="108" w:type="dxa"/>
            </w:tcMar>
          </w:tcPr>
          <w:p w14:paraId="4F6CE83F"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0.4</w:t>
            </w:r>
          </w:p>
        </w:tc>
        <w:tc>
          <w:tcPr>
            <w:tcW w:w="850" w:type="dxa"/>
            <w:gridSpan w:val="2"/>
            <w:shd w:val="clear" w:color="auto" w:fill="auto"/>
            <w:tcMar>
              <w:top w:w="0" w:type="dxa"/>
              <w:left w:w="108" w:type="dxa"/>
              <w:bottom w:w="0" w:type="dxa"/>
              <w:right w:w="108" w:type="dxa"/>
            </w:tcMar>
          </w:tcPr>
          <w:p w14:paraId="20169D85"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-13.0</w:t>
            </w:r>
          </w:p>
        </w:tc>
        <w:tc>
          <w:tcPr>
            <w:tcW w:w="851" w:type="dxa"/>
            <w:shd w:val="clear" w:color="auto" w:fill="auto"/>
            <w:tcMar>
              <w:top w:w="0" w:type="dxa"/>
              <w:left w:w="108" w:type="dxa"/>
              <w:bottom w:w="0" w:type="dxa"/>
              <w:right w:w="108" w:type="dxa"/>
            </w:tcMar>
          </w:tcPr>
          <w:p w14:paraId="1EA5A89F"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-11.5</w:t>
            </w:r>
          </w:p>
        </w:tc>
        <w:tc>
          <w:tcPr>
            <w:tcW w:w="850" w:type="dxa"/>
            <w:gridSpan w:val="2"/>
            <w:shd w:val="clear" w:color="auto" w:fill="auto"/>
            <w:tcMar>
              <w:top w:w="0" w:type="dxa"/>
              <w:left w:w="108" w:type="dxa"/>
              <w:bottom w:w="0" w:type="dxa"/>
              <w:right w:w="108" w:type="dxa"/>
            </w:tcMar>
          </w:tcPr>
          <w:p w14:paraId="5442A32B"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-8.8***</w:t>
            </w:r>
          </w:p>
        </w:tc>
        <w:tc>
          <w:tcPr>
            <w:tcW w:w="567" w:type="dxa"/>
            <w:shd w:val="clear" w:color="auto" w:fill="auto"/>
            <w:tcMar>
              <w:top w:w="0" w:type="dxa"/>
              <w:left w:w="10" w:type="dxa"/>
              <w:bottom w:w="0" w:type="dxa"/>
              <w:right w:w="10" w:type="dxa"/>
            </w:tcMar>
          </w:tcPr>
          <w:p w14:paraId="1B7A866F"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0.4</w:t>
            </w:r>
          </w:p>
        </w:tc>
        <w:tc>
          <w:tcPr>
            <w:tcW w:w="709" w:type="dxa"/>
            <w:shd w:val="clear" w:color="auto" w:fill="auto"/>
            <w:tcMar>
              <w:top w:w="0" w:type="dxa"/>
              <w:left w:w="10" w:type="dxa"/>
              <w:bottom w:w="0" w:type="dxa"/>
              <w:right w:w="10" w:type="dxa"/>
            </w:tcMar>
          </w:tcPr>
          <w:p w14:paraId="468413AF"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-9.6</w:t>
            </w:r>
          </w:p>
        </w:tc>
        <w:tc>
          <w:tcPr>
            <w:tcW w:w="709" w:type="dxa"/>
            <w:shd w:val="clear" w:color="auto" w:fill="auto"/>
            <w:tcMar>
              <w:top w:w="0" w:type="dxa"/>
              <w:left w:w="10" w:type="dxa"/>
              <w:bottom w:w="0" w:type="dxa"/>
              <w:right w:w="10" w:type="dxa"/>
            </w:tcMar>
          </w:tcPr>
          <w:p w14:paraId="53F405BA"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-8.1</w:t>
            </w:r>
          </w:p>
        </w:tc>
      </w:tr>
      <w:tr w:rsidR="003B4E1A" w:rsidRPr="00E3622C" w14:paraId="393920E8" w14:textId="77777777" w:rsidTr="003B4E1A">
        <w:tc>
          <w:tcPr>
            <w:tcW w:w="1101" w:type="dxa"/>
            <w:shd w:val="clear" w:color="auto" w:fill="auto"/>
            <w:tcMar>
              <w:top w:w="0" w:type="dxa"/>
              <w:left w:w="108" w:type="dxa"/>
              <w:bottom w:w="0" w:type="dxa"/>
              <w:right w:w="108" w:type="dxa"/>
            </w:tcMar>
          </w:tcPr>
          <w:p w14:paraId="52E2E197" w14:textId="77777777" w:rsidR="003B4E1A" w:rsidRPr="00E3622C" w:rsidRDefault="003B4E1A" w:rsidP="00C720DB">
            <w:pPr>
              <w:pStyle w:val="TableText"/>
              <w:spacing w:before="20" w:after="20" w:line="480" w:lineRule="auto"/>
              <w:rPr>
                <w:rFonts w:cs="Calibri"/>
                <w:color w:val="444444"/>
                <w:sz w:val="16"/>
                <w:szCs w:val="16"/>
                <w:shd w:val="clear" w:color="auto" w:fill="FFFFFF"/>
              </w:rPr>
            </w:pPr>
          </w:p>
        </w:tc>
        <w:tc>
          <w:tcPr>
            <w:tcW w:w="2160" w:type="dxa"/>
            <w:gridSpan w:val="2"/>
            <w:shd w:val="clear" w:color="auto" w:fill="auto"/>
            <w:tcMar>
              <w:top w:w="0" w:type="dxa"/>
              <w:left w:w="108" w:type="dxa"/>
              <w:bottom w:w="0" w:type="dxa"/>
              <w:right w:w="108" w:type="dxa"/>
            </w:tcMar>
          </w:tcPr>
          <w:p w14:paraId="64F53E49" w14:textId="77777777" w:rsidR="003B4E1A" w:rsidRPr="00E3622C" w:rsidRDefault="003B4E1A" w:rsidP="00C720DB">
            <w:pPr>
              <w:pStyle w:val="TableText"/>
              <w:spacing w:before="20" w:after="20" w:line="480" w:lineRule="auto"/>
              <w:rPr>
                <w:sz w:val="16"/>
                <w:szCs w:val="16"/>
              </w:rPr>
            </w:pPr>
            <w:r w:rsidRPr="00E3622C">
              <w:rPr>
                <w:rFonts w:cs="Calibri"/>
                <w:color w:val="444444"/>
                <w:sz w:val="16"/>
                <w:szCs w:val="16"/>
                <w:shd w:val="clear" w:color="auto" w:fill="FFFFFF"/>
              </w:rPr>
              <w:t>GCSE A*-C level or equivalent</w:t>
            </w:r>
          </w:p>
        </w:tc>
        <w:tc>
          <w:tcPr>
            <w:tcW w:w="850" w:type="dxa"/>
            <w:gridSpan w:val="2"/>
            <w:shd w:val="clear" w:color="auto" w:fill="auto"/>
            <w:tcMar>
              <w:top w:w="0" w:type="dxa"/>
              <w:left w:w="108" w:type="dxa"/>
              <w:bottom w:w="0" w:type="dxa"/>
              <w:right w:w="108" w:type="dxa"/>
            </w:tcMar>
          </w:tcPr>
          <w:p w14:paraId="2F636DF5"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-16.0***</w:t>
            </w:r>
          </w:p>
        </w:tc>
        <w:tc>
          <w:tcPr>
            <w:tcW w:w="709" w:type="dxa"/>
            <w:gridSpan w:val="2"/>
            <w:shd w:val="clear" w:color="auto" w:fill="auto"/>
            <w:tcMar>
              <w:top w:w="0" w:type="dxa"/>
              <w:left w:w="108" w:type="dxa"/>
              <w:bottom w:w="0" w:type="dxa"/>
              <w:right w:w="108" w:type="dxa"/>
            </w:tcMar>
          </w:tcPr>
          <w:p w14:paraId="147E1803"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0.4</w:t>
            </w:r>
          </w:p>
        </w:tc>
        <w:tc>
          <w:tcPr>
            <w:tcW w:w="850" w:type="dxa"/>
            <w:gridSpan w:val="2"/>
            <w:shd w:val="clear" w:color="auto" w:fill="auto"/>
            <w:tcMar>
              <w:top w:w="0" w:type="dxa"/>
              <w:left w:w="108" w:type="dxa"/>
              <w:bottom w:w="0" w:type="dxa"/>
              <w:right w:w="108" w:type="dxa"/>
            </w:tcMar>
          </w:tcPr>
          <w:p w14:paraId="446BF3EC"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-16.8</w:t>
            </w:r>
          </w:p>
        </w:tc>
        <w:tc>
          <w:tcPr>
            <w:tcW w:w="851" w:type="dxa"/>
            <w:shd w:val="clear" w:color="auto" w:fill="auto"/>
            <w:tcMar>
              <w:top w:w="0" w:type="dxa"/>
              <w:left w:w="108" w:type="dxa"/>
              <w:bottom w:w="0" w:type="dxa"/>
              <w:right w:w="108" w:type="dxa"/>
            </w:tcMar>
          </w:tcPr>
          <w:p w14:paraId="7C796D7D"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-15.2</w:t>
            </w:r>
          </w:p>
        </w:tc>
        <w:tc>
          <w:tcPr>
            <w:tcW w:w="850" w:type="dxa"/>
            <w:gridSpan w:val="2"/>
            <w:shd w:val="clear" w:color="auto" w:fill="auto"/>
            <w:tcMar>
              <w:top w:w="0" w:type="dxa"/>
              <w:left w:w="108" w:type="dxa"/>
              <w:bottom w:w="0" w:type="dxa"/>
              <w:right w:w="108" w:type="dxa"/>
            </w:tcMar>
          </w:tcPr>
          <w:p w14:paraId="596A3C8F"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-11.6***</w:t>
            </w:r>
          </w:p>
        </w:tc>
        <w:tc>
          <w:tcPr>
            <w:tcW w:w="567" w:type="dxa"/>
            <w:shd w:val="clear" w:color="auto" w:fill="auto"/>
            <w:tcMar>
              <w:top w:w="0" w:type="dxa"/>
              <w:left w:w="10" w:type="dxa"/>
              <w:bottom w:w="0" w:type="dxa"/>
              <w:right w:w="10" w:type="dxa"/>
            </w:tcMar>
          </w:tcPr>
          <w:p w14:paraId="5BA2265E"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0.4</w:t>
            </w:r>
          </w:p>
        </w:tc>
        <w:tc>
          <w:tcPr>
            <w:tcW w:w="709" w:type="dxa"/>
            <w:shd w:val="clear" w:color="auto" w:fill="auto"/>
            <w:tcMar>
              <w:top w:w="0" w:type="dxa"/>
              <w:left w:w="10" w:type="dxa"/>
              <w:bottom w:w="0" w:type="dxa"/>
              <w:right w:w="10" w:type="dxa"/>
            </w:tcMar>
          </w:tcPr>
          <w:p w14:paraId="76A6DDFB"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-12.3</w:t>
            </w:r>
          </w:p>
        </w:tc>
        <w:tc>
          <w:tcPr>
            <w:tcW w:w="709" w:type="dxa"/>
            <w:shd w:val="clear" w:color="auto" w:fill="auto"/>
            <w:tcMar>
              <w:top w:w="0" w:type="dxa"/>
              <w:left w:w="10" w:type="dxa"/>
              <w:bottom w:w="0" w:type="dxa"/>
              <w:right w:w="10" w:type="dxa"/>
            </w:tcMar>
          </w:tcPr>
          <w:p w14:paraId="7A9ECD5B"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-10.8</w:t>
            </w:r>
          </w:p>
        </w:tc>
      </w:tr>
      <w:tr w:rsidR="003B4E1A" w:rsidRPr="00E3622C" w14:paraId="6D833CB5" w14:textId="77777777" w:rsidTr="003B4E1A">
        <w:tc>
          <w:tcPr>
            <w:tcW w:w="1101" w:type="dxa"/>
            <w:shd w:val="clear" w:color="auto" w:fill="auto"/>
            <w:tcMar>
              <w:top w:w="0" w:type="dxa"/>
              <w:left w:w="108" w:type="dxa"/>
              <w:bottom w:w="0" w:type="dxa"/>
              <w:right w:w="108" w:type="dxa"/>
            </w:tcMar>
          </w:tcPr>
          <w:p w14:paraId="5FB04011" w14:textId="77777777" w:rsidR="003B4E1A" w:rsidRPr="00E3622C" w:rsidRDefault="003B4E1A" w:rsidP="00C720DB">
            <w:pPr>
              <w:pStyle w:val="TableText"/>
              <w:spacing w:before="20" w:after="20" w:line="480" w:lineRule="auto"/>
              <w:rPr>
                <w:rFonts w:cs="Calibri"/>
                <w:color w:val="444444"/>
                <w:sz w:val="16"/>
                <w:szCs w:val="16"/>
                <w:shd w:val="clear" w:color="auto" w:fill="FFFFFF"/>
              </w:rPr>
            </w:pPr>
          </w:p>
        </w:tc>
        <w:tc>
          <w:tcPr>
            <w:tcW w:w="2160" w:type="dxa"/>
            <w:gridSpan w:val="2"/>
            <w:shd w:val="clear" w:color="auto" w:fill="auto"/>
            <w:tcMar>
              <w:top w:w="0" w:type="dxa"/>
              <w:left w:w="108" w:type="dxa"/>
              <w:bottom w:w="0" w:type="dxa"/>
              <w:right w:w="108" w:type="dxa"/>
            </w:tcMar>
          </w:tcPr>
          <w:p w14:paraId="0796B993" w14:textId="77777777" w:rsidR="003B4E1A" w:rsidRPr="00E3622C" w:rsidRDefault="003B4E1A" w:rsidP="00C720DB">
            <w:pPr>
              <w:pStyle w:val="TableText"/>
              <w:spacing w:before="20" w:after="20" w:line="480" w:lineRule="auto"/>
              <w:rPr>
                <w:sz w:val="16"/>
                <w:szCs w:val="16"/>
              </w:rPr>
            </w:pPr>
            <w:r w:rsidRPr="00E3622C">
              <w:rPr>
                <w:rFonts w:cs="Calibri"/>
                <w:color w:val="444444"/>
                <w:sz w:val="16"/>
                <w:szCs w:val="16"/>
                <w:shd w:val="clear" w:color="auto" w:fill="FFFFFF"/>
              </w:rPr>
              <w:t>other qualifications</w:t>
            </w:r>
          </w:p>
        </w:tc>
        <w:tc>
          <w:tcPr>
            <w:tcW w:w="850" w:type="dxa"/>
            <w:gridSpan w:val="2"/>
            <w:shd w:val="clear" w:color="auto" w:fill="auto"/>
            <w:tcMar>
              <w:top w:w="0" w:type="dxa"/>
              <w:left w:w="108" w:type="dxa"/>
              <w:bottom w:w="0" w:type="dxa"/>
              <w:right w:w="108" w:type="dxa"/>
            </w:tcMar>
          </w:tcPr>
          <w:p w14:paraId="3C59F75F"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-20.0***</w:t>
            </w:r>
          </w:p>
        </w:tc>
        <w:tc>
          <w:tcPr>
            <w:tcW w:w="709" w:type="dxa"/>
            <w:gridSpan w:val="2"/>
            <w:shd w:val="clear" w:color="auto" w:fill="auto"/>
            <w:tcMar>
              <w:top w:w="0" w:type="dxa"/>
              <w:left w:w="108" w:type="dxa"/>
              <w:bottom w:w="0" w:type="dxa"/>
              <w:right w:w="108" w:type="dxa"/>
            </w:tcMar>
          </w:tcPr>
          <w:p w14:paraId="6273CF7A"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0.5</w:t>
            </w:r>
          </w:p>
        </w:tc>
        <w:tc>
          <w:tcPr>
            <w:tcW w:w="850" w:type="dxa"/>
            <w:gridSpan w:val="2"/>
            <w:shd w:val="clear" w:color="auto" w:fill="auto"/>
            <w:tcMar>
              <w:top w:w="0" w:type="dxa"/>
              <w:left w:w="108" w:type="dxa"/>
              <w:bottom w:w="0" w:type="dxa"/>
              <w:right w:w="108" w:type="dxa"/>
            </w:tcMar>
          </w:tcPr>
          <w:p w14:paraId="0FEB5E9B"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-21.0</w:t>
            </w:r>
          </w:p>
        </w:tc>
        <w:tc>
          <w:tcPr>
            <w:tcW w:w="851" w:type="dxa"/>
            <w:shd w:val="clear" w:color="auto" w:fill="auto"/>
            <w:tcMar>
              <w:top w:w="0" w:type="dxa"/>
              <w:left w:w="108" w:type="dxa"/>
              <w:bottom w:w="0" w:type="dxa"/>
              <w:right w:w="108" w:type="dxa"/>
            </w:tcMar>
          </w:tcPr>
          <w:p w14:paraId="53990745"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-19.0</w:t>
            </w:r>
          </w:p>
        </w:tc>
        <w:tc>
          <w:tcPr>
            <w:tcW w:w="850" w:type="dxa"/>
            <w:gridSpan w:val="2"/>
            <w:shd w:val="clear" w:color="auto" w:fill="auto"/>
            <w:tcMar>
              <w:top w:w="0" w:type="dxa"/>
              <w:left w:w="108" w:type="dxa"/>
              <w:bottom w:w="0" w:type="dxa"/>
              <w:right w:w="108" w:type="dxa"/>
            </w:tcMar>
          </w:tcPr>
          <w:p w14:paraId="30B8CD4A"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-17.5***</w:t>
            </w:r>
          </w:p>
        </w:tc>
        <w:tc>
          <w:tcPr>
            <w:tcW w:w="567" w:type="dxa"/>
            <w:shd w:val="clear" w:color="auto" w:fill="auto"/>
            <w:tcMar>
              <w:top w:w="0" w:type="dxa"/>
              <w:left w:w="10" w:type="dxa"/>
              <w:bottom w:w="0" w:type="dxa"/>
              <w:right w:w="10" w:type="dxa"/>
            </w:tcMar>
          </w:tcPr>
          <w:p w14:paraId="3CA866F3"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709" w:type="dxa"/>
            <w:shd w:val="clear" w:color="auto" w:fill="auto"/>
            <w:tcMar>
              <w:top w:w="0" w:type="dxa"/>
              <w:left w:w="10" w:type="dxa"/>
              <w:bottom w:w="0" w:type="dxa"/>
              <w:right w:w="10" w:type="dxa"/>
            </w:tcMar>
          </w:tcPr>
          <w:p w14:paraId="238254AA"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-18.6</w:t>
            </w:r>
          </w:p>
        </w:tc>
        <w:tc>
          <w:tcPr>
            <w:tcW w:w="709" w:type="dxa"/>
            <w:shd w:val="clear" w:color="auto" w:fill="auto"/>
            <w:tcMar>
              <w:top w:w="0" w:type="dxa"/>
              <w:left w:w="10" w:type="dxa"/>
              <w:bottom w:w="0" w:type="dxa"/>
              <w:right w:w="10" w:type="dxa"/>
            </w:tcMar>
          </w:tcPr>
          <w:p w14:paraId="59F6D62C"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-16.3</w:t>
            </w:r>
          </w:p>
        </w:tc>
      </w:tr>
      <w:tr w:rsidR="003B4E1A" w:rsidRPr="00E3622C" w14:paraId="33ED1C4F" w14:textId="77777777" w:rsidTr="003B4E1A">
        <w:tc>
          <w:tcPr>
            <w:tcW w:w="1101" w:type="dxa"/>
            <w:shd w:val="clear" w:color="auto" w:fill="auto"/>
            <w:tcMar>
              <w:top w:w="0" w:type="dxa"/>
              <w:left w:w="108" w:type="dxa"/>
              <w:bottom w:w="0" w:type="dxa"/>
              <w:right w:w="108" w:type="dxa"/>
            </w:tcMar>
          </w:tcPr>
          <w:p w14:paraId="5EBCED14" w14:textId="77777777" w:rsidR="003B4E1A" w:rsidRPr="00E3622C" w:rsidRDefault="003B4E1A" w:rsidP="00C720DB">
            <w:pPr>
              <w:pStyle w:val="TableText"/>
              <w:spacing w:before="20" w:after="20" w:line="480" w:lineRule="auto"/>
              <w:rPr>
                <w:rFonts w:cs="Calibri"/>
                <w:color w:val="444444"/>
                <w:sz w:val="16"/>
                <w:szCs w:val="16"/>
                <w:shd w:val="clear" w:color="auto" w:fill="FFFFFF"/>
              </w:rPr>
            </w:pPr>
          </w:p>
        </w:tc>
        <w:tc>
          <w:tcPr>
            <w:tcW w:w="2160" w:type="dxa"/>
            <w:gridSpan w:val="2"/>
            <w:shd w:val="clear" w:color="auto" w:fill="auto"/>
            <w:tcMar>
              <w:top w:w="0" w:type="dxa"/>
              <w:left w:w="108" w:type="dxa"/>
              <w:bottom w:w="0" w:type="dxa"/>
              <w:right w:w="108" w:type="dxa"/>
            </w:tcMar>
          </w:tcPr>
          <w:p w14:paraId="10E005E4" w14:textId="77777777" w:rsidR="003B4E1A" w:rsidRPr="00E3622C" w:rsidRDefault="003B4E1A" w:rsidP="00C720DB">
            <w:pPr>
              <w:pStyle w:val="TableText"/>
              <w:spacing w:before="20" w:after="20" w:line="480" w:lineRule="auto"/>
              <w:rPr>
                <w:sz w:val="16"/>
                <w:szCs w:val="16"/>
              </w:rPr>
            </w:pPr>
            <w:r w:rsidRPr="00E3622C">
              <w:rPr>
                <w:rFonts w:cs="Calibri"/>
                <w:color w:val="444444"/>
                <w:sz w:val="16"/>
                <w:szCs w:val="16"/>
                <w:shd w:val="clear" w:color="auto" w:fill="FFFFFF"/>
              </w:rPr>
              <w:t>no qualifications</w:t>
            </w:r>
          </w:p>
        </w:tc>
        <w:tc>
          <w:tcPr>
            <w:tcW w:w="850" w:type="dxa"/>
            <w:gridSpan w:val="2"/>
            <w:shd w:val="clear" w:color="auto" w:fill="auto"/>
            <w:tcMar>
              <w:top w:w="0" w:type="dxa"/>
              <w:left w:w="108" w:type="dxa"/>
              <w:bottom w:w="0" w:type="dxa"/>
              <w:right w:w="108" w:type="dxa"/>
            </w:tcMar>
          </w:tcPr>
          <w:p w14:paraId="7D4EA556"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-21.8***</w:t>
            </w:r>
          </w:p>
        </w:tc>
        <w:tc>
          <w:tcPr>
            <w:tcW w:w="709" w:type="dxa"/>
            <w:gridSpan w:val="2"/>
            <w:shd w:val="clear" w:color="auto" w:fill="auto"/>
            <w:tcMar>
              <w:top w:w="0" w:type="dxa"/>
              <w:left w:w="108" w:type="dxa"/>
              <w:bottom w:w="0" w:type="dxa"/>
              <w:right w:w="108" w:type="dxa"/>
            </w:tcMar>
          </w:tcPr>
          <w:p w14:paraId="4D29C635"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850" w:type="dxa"/>
            <w:gridSpan w:val="2"/>
            <w:shd w:val="clear" w:color="auto" w:fill="auto"/>
            <w:tcMar>
              <w:top w:w="0" w:type="dxa"/>
              <w:left w:w="108" w:type="dxa"/>
              <w:bottom w:w="0" w:type="dxa"/>
              <w:right w:w="108" w:type="dxa"/>
            </w:tcMar>
          </w:tcPr>
          <w:p w14:paraId="56A5C3BB"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-22.9</w:t>
            </w:r>
          </w:p>
        </w:tc>
        <w:tc>
          <w:tcPr>
            <w:tcW w:w="851" w:type="dxa"/>
            <w:shd w:val="clear" w:color="auto" w:fill="auto"/>
            <w:tcMar>
              <w:top w:w="0" w:type="dxa"/>
              <w:left w:w="108" w:type="dxa"/>
              <w:bottom w:w="0" w:type="dxa"/>
              <w:right w:w="108" w:type="dxa"/>
            </w:tcMar>
          </w:tcPr>
          <w:p w14:paraId="3052CD07"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-20.7</w:t>
            </w:r>
          </w:p>
        </w:tc>
        <w:tc>
          <w:tcPr>
            <w:tcW w:w="850" w:type="dxa"/>
            <w:gridSpan w:val="2"/>
            <w:shd w:val="clear" w:color="auto" w:fill="auto"/>
            <w:tcMar>
              <w:top w:w="0" w:type="dxa"/>
              <w:left w:w="108" w:type="dxa"/>
              <w:bottom w:w="0" w:type="dxa"/>
              <w:right w:w="108" w:type="dxa"/>
            </w:tcMar>
          </w:tcPr>
          <w:p w14:paraId="73905530"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-19.1***</w:t>
            </w:r>
          </w:p>
        </w:tc>
        <w:tc>
          <w:tcPr>
            <w:tcW w:w="567" w:type="dxa"/>
            <w:shd w:val="clear" w:color="auto" w:fill="auto"/>
            <w:tcMar>
              <w:top w:w="0" w:type="dxa"/>
              <w:left w:w="10" w:type="dxa"/>
              <w:bottom w:w="0" w:type="dxa"/>
              <w:right w:w="10" w:type="dxa"/>
            </w:tcMar>
          </w:tcPr>
          <w:p w14:paraId="032115DE"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0.7</w:t>
            </w:r>
          </w:p>
        </w:tc>
        <w:tc>
          <w:tcPr>
            <w:tcW w:w="709" w:type="dxa"/>
            <w:shd w:val="clear" w:color="auto" w:fill="auto"/>
            <w:tcMar>
              <w:top w:w="0" w:type="dxa"/>
              <w:left w:w="10" w:type="dxa"/>
              <w:bottom w:w="0" w:type="dxa"/>
              <w:right w:w="10" w:type="dxa"/>
            </w:tcMar>
          </w:tcPr>
          <w:p w14:paraId="275089D7"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-20.5</w:t>
            </w:r>
          </w:p>
        </w:tc>
        <w:tc>
          <w:tcPr>
            <w:tcW w:w="709" w:type="dxa"/>
            <w:shd w:val="clear" w:color="auto" w:fill="auto"/>
            <w:tcMar>
              <w:top w:w="0" w:type="dxa"/>
              <w:left w:w="10" w:type="dxa"/>
              <w:bottom w:w="0" w:type="dxa"/>
              <w:right w:w="10" w:type="dxa"/>
            </w:tcMar>
          </w:tcPr>
          <w:p w14:paraId="57C4CCAE"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-17.6</w:t>
            </w:r>
          </w:p>
        </w:tc>
      </w:tr>
      <w:tr w:rsidR="003B4E1A" w:rsidRPr="00E3622C" w14:paraId="4A500F14" w14:textId="77777777" w:rsidTr="003B4E1A">
        <w:tc>
          <w:tcPr>
            <w:tcW w:w="1101" w:type="dxa"/>
            <w:shd w:val="clear" w:color="auto" w:fill="auto"/>
            <w:tcMar>
              <w:top w:w="0" w:type="dxa"/>
              <w:left w:w="108" w:type="dxa"/>
              <w:bottom w:w="0" w:type="dxa"/>
              <w:right w:w="108" w:type="dxa"/>
            </w:tcMar>
          </w:tcPr>
          <w:p w14:paraId="2A63C829" w14:textId="77777777" w:rsidR="003B4E1A" w:rsidRPr="00E3622C" w:rsidRDefault="003B4E1A" w:rsidP="00C720DB">
            <w:pPr>
              <w:pStyle w:val="TableText"/>
              <w:spacing w:before="20" w:after="20" w:line="480" w:lineRule="auto"/>
              <w:rPr>
                <w:rFonts w:cs="Calibri"/>
                <w:color w:val="444444"/>
                <w:sz w:val="16"/>
                <w:szCs w:val="16"/>
                <w:shd w:val="clear" w:color="auto" w:fill="FFFFFF"/>
              </w:rPr>
            </w:pPr>
          </w:p>
        </w:tc>
        <w:tc>
          <w:tcPr>
            <w:tcW w:w="2160" w:type="dxa"/>
            <w:gridSpan w:val="2"/>
            <w:shd w:val="clear" w:color="auto" w:fill="auto"/>
            <w:tcMar>
              <w:top w:w="0" w:type="dxa"/>
              <w:left w:w="108" w:type="dxa"/>
              <w:bottom w:w="0" w:type="dxa"/>
              <w:right w:w="108" w:type="dxa"/>
            </w:tcMar>
          </w:tcPr>
          <w:p w14:paraId="51028EFB" w14:textId="77777777" w:rsidR="003B4E1A" w:rsidRPr="00E3622C" w:rsidRDefault="003B4E1A" w:rsidP="00C720DB">
            <w:pPr>
              <w:pStyle w:val="TableText"/>
              <w:spacing w:before="20" w:after="20" w:line="480" w:lineRule="auto"/>
              <w:rPr>
                <w:sz w:val="16"/>
                <w:szCs w:val="16"/>
              </w:rPr>
            </w:pPr>
            <w:r w:rsidRPr="00E3622C">
              <w:rPr>
                <w:rFonts w:cs="Calibri"/>
                <w:color w:val="444444"/>
                <w:sz w:val="16"/>
                <w:szCs w:val="16"/>
                <w:shd w:val="clear" w:color="auto" w:fill="FFFFFF"/>
              </w:rPr>
              <w:t>don’t know</w:t>
            </w:r>
          </w:p>
        </w:tc>
        <w:tc>
          <w:tcPr>
            <w:tcW w:w="850" w:type="dxa"/>
            <w:gridSpan w:val="2"/>
            <w:shd w:val="clear" w:color="auto" w:fill="auto"/>
            <w:tcMar>
              <w:top w:w="0" w:type="dxa"/>
              <w:left w:w="108" w:type="dxa"/>
              <w:bottom w:w="0" w:type="dxa"/>
              <w:right w:w="108" w:type="dxa"/>
            </w:tcMar>
          </w:tcPr>
          <w:p w14:paraId="6A3414F6"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-17.1***</w:t>
            </w:r>
          </w:p>
        </w:tc>
        <w:tc>
          <w:tcPr>
            <w:tcW w:w="709" w:type="dxa"/>
            <w:gridSpan w:val="2"/>
            <w:shd w:val="clear" w:color="auto" w:fill="auto"/>
            <w:tcMar>
              <w:top w:w="0" w:type="dxa"/>
              <w:left w:w="108" w:type="dxa"/>
              <w:bottom w:w="0" w:type="dxa"/>
              <w:right w:w="108" w:type="dxa"/>
            </w:tcMar>
          </w:tcPr>
          <w:p w14:paraId="6B152324"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0.8</w:t>
            </w:r>
          </w:p>
        </w:tc>
        <w:tc>
          <w:tcPr>
            <w:tcW w:w="850" w:type="dxa"/>
            <w:gridSpan w:val="2"/>
            <w:shd w:val="clear" w:color="auto" w:fill="auto"/>
            <w:tcMar>
              <w:top w:w="0" w:type="dxa"/>
              <w:left w:w="108" w:type="dxa"/>
              <w:bottom w:w="0" w:type="dxa"/>
              <w:right w:w="108" w:type="dxa"/>
            </w:tcMar>
          </w:tcPr>
          <w:p w14:paraId="24F20CFF"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-18.7</w:t>
            </w:r>
          </w:p>
        </w:tc>
        <w:tc>
          <w:tcPr>
            <w:tcW w:w="851" w:type="dxa"/>
            <w:shd w:val="clear" w:color="auto" w:fill="auto"/>
            <w:tcMar>
              <w:top w:w="0" w:type="dxa"/>
              <w:left w:w="108" w:type="dxa"/>
              <w:bottom w:w="0" w:type="dxa"/>
              <w:right w:w="108" w:type="dxa"/>
            </w:tcMar>
          </w:tcPr>
          <w:p w14:paraId="74E96248"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-15.4</w:t>
            </w:r>
          </w:p>
        </w:tc>
        <w:tc>
          <w:tcPr>
            <w:tcW w:w="850" w:type="dxa"/>
            <w:gridSpan w:val="2"/>
            <w:shd w:val="clear" w:color="auto" w:fill="auto"/>
            <w:tcMar>
              <w:top w:w="0" w:type="dxa"/>
              <w:left w:w="108" w:type="dxa"/>
              <w:bottom w:w="0" w:type="dxa"/>
              <w:right w:w="108" w:type="dxa"/>
            </w:tcMar>
          </w:tcPr>
          <w:p w14:paraId="386C6795"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-12.6***</w:t>
            </w:r>
          </w:p>
        </w:tc>
        <w:tc>
          <w:tcPr>
            <w:tcW w:w="567" w:type="dxa"/>
            <w:shd w:val="clear" w:color="auto" w:fill="auto"/>
            <w:tcMar>
              <w:top w:w="0" w:type="dxa"/>
              <w:left w:w="10" w:type="dxa"/>
              <w:bottom w:w="0" w:type="dxa"/>
              <w:right w:w="10" w:type="dxa"/>
            </w:tcMar>
          </w:tcPr>
          <w:p w14:paraId="31CE89AF"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1.0</w:t>
            </w:r>
          </w:p>
        </w:tc>
        <w:tc>
          <w:tcPr>
            <w:tcW w:w="709" w:type="dxa"/>
            <w:shd w:val="clear" w:color="auto" w:fill="auto"/>
            <w:tcMar>
              <w:top w:w="0" w:type="dxa"/>
              <w:left w:w="10" w:type="dxa"/>
              <w:bottom w:w="0" w:type="dxa"/>
              <w:right w:w="10" w:type="dxa"/>
            </w:tcMar>
          </w:tcPr>
          <w:p w14:paraId="5B84CE26"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-14.5</w:t>
            </w:r>
          </w:p>
        </w:tc>
        <w:tc>
          <w:tcPr>
            <w:tcW w:w="709" w:type="dxa"/>
            <w:shd w:val="clear" w:color="auto" w:fill="auto"/>
            <w:tcMar>
              <w:top w:w="0" w:type="dxa"/>
              <w:left w:w="10" w:type="dxa"/>
              <w:bottom w:w="0" w:type="dxa"/>
              <w:right w:w="10" w:type="dxa"/>
            </w:tcMar>
          </w:tcPr>
          <w:p w14:paraId="10E55DE7"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-10.7</w:t>
            </w:r>
          </w:p>
        </w:tc>
      </w:tr>
      <w:tr w:rsidR="003B4E1A" w:rsidRPr="00E3622C" w14:paraId="7AB0948E" w14:textId="77777777" w:rsidTr="003B4E1A">
        <w:tc>
          <w:tcPr>
            <w:tcW w:w="1101" w:type="dxa"/>
            <w:shd w:val="clear" w:color="auto" w:fill="auto"/>
            <w:tcMar>
              <w:top w:w="0" w:type="dxa"/>
              <w:left w:w="108" w:type="dxa"/>
              <w:bottom w:w="0" w:type="dxa"/>
              <w:right w:w="108" w:type="dxa"/>
            </w:tcMar>
          </w:tcPr>
          <w:p w14:paraId="7C5F59E3" w14:textId="77777777" w:rsidR="003B4E1A" w:rsidRPr="00E3622C" w:rsidRDefault="003B4E1A" w:rsidP="00C720DB">
            <w:pPr>
              <w:pStyle w:val="TableText"/>
              <w:spacing w:before="20" w:after="20" w:line="480" w:lineRule="auto"/>
              <w:rPr>
                <w:rFonts w:cs="Calibri"/>
                <w:sz w:val="16"/>
                <w:szCs w:val="16"/>
              </w:rPr>
            </w:pPr>
          </w:p>
        </w:tc>
        <w:tc>
          <w:tcPr>
            <w:tcW w:w="2160" w:type="dxa"/>
            <w:gridSpan w:val="2"/>
            <w:shd w:val="clear" w:color="auto" w:fill="auto"/>
            <w:tcMar>
              <w:top w:w="0" w:type="dxa"/>
              <w:left w:w="108" w:type="dxa"/>
              <w:bottom w:w="0" w:type="dxa"/>
              <w:right w:w="108" w:type="dxa"/>
            </w:tcMar>
          </w:tcPr>
          <w:p w14:paraId="710861AF" w14:textId="77777777" w:rsidR="003B4E1A" w:rsidRPr="00E3622C" w:rsidRDefault="003B4E1A" w:rsidP="00C720DB">
            <w:pPr>
              <w:pStyle w:val="TableText"/>
              <w:spacing w:before="20" w:after="20" w:line="480" w:lineRule="auto"/>
              <w:rPr>
                <w:rFonts w:cs="Calibri"/>
                <w:sz w:val="16"/>
                <w:szCs w:val="16"/>
              </w:rPr>
            </w:pPr>
            <w:r w:rsidRPr="00E3622C">
              <w:rPr>
                <w:rFonts w:cs="Calibri"/>
                <w:sz w:val="16"/>
                <w:szCs w:val="16"/>
              </w:rPr>
              <w:t>Constant</w:t>
            </w:r>
          </w:p>
        </w:tc>
        <w:tc>
          <w:tcPr>
            <w:tcW w:w="850" w:type="dxa"/>
            <w:gridSpan w:val="2"/>
            <w:shd w:val="clear" w:color="auto" w:fill="auto"/>
            <w:tcMar>
              <w:top w:w="0" w:type="dxa"/>
              <w:left w:w="108" w:type="dxa"/>
              <w:bottom w:w="0" w:type="dxa"/>
              <w:right w:w="108" w:type="dxa"/>
            </w:tcMar>
          </w:tcPr>
          <w:p w14:paraId="6998591A"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 xml:space="preserve"> 58.0***</w:t>
            </w:r>
          </w:p>
        </w:tc>
        <w:tc>
          <w:tcPr>
            <w:tcW w:w="709" w:type="dxa"/>
            <w:gridSpan w:val="2"/>
            <w:shd w:val="clear" w:color="auto" w:fill="auto"/>
            <w:tcMar>
              <w:top w:w="0" w:type="dxa"/>
              <w:left w:w="108" w:type="dxa"/>
              <w:bottom w:w="0" w:type="dxa"/>
              <w:right w:w="108" w:type="dxa"/>
            </w:tcMar>
          </w:tcPr>
          <w:p w14:paraId="149F3541"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850" w:type="dxa"/>
            <w:gridSpan w:val="2"/>
            <w:shd w:val="clear" w:color="auto" w:fill="auto"/>
            <w:tcMar>
              <w:top w:w="0" w:type="dxa"/>
              <w:left w:w="108" w:type="dxa"/>
              <w:bottom w:w="0" w:type="dxa"/>
              <w:right w:w="108" w:type="dxa"/>
            </w:tcMar>
          </w:tcPr>
          <w:p w14:paraId="3ACACD4A"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56.9</w:t>
            </w:r>
          </w:p>
        </w:tc>
        <w:tc>
          <w:tcPr>
            <w:tcW w:w="851" w:type="dxa"/>
            <w:shd w:val="clear" w:color="auto" w:fill="auto"/>
            <w:tcMar>
              <w:top w:w="0" w:type="dxa"/>
              <w:left w:w="108" w:type="dxa"/>
              <w:bottom w:w="0" w:type="dxa"/>
              <w:right w:w="108" w:type="dxa"/>
            </w:tcMar>
          </w:tcPr>
          <w:p w14:paraId="11325F16"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59.1</w:t>
            </w:r>
          </w:p>
        </w:tc>
        <w:tc>
          <w:tcPr>
            <w:tcW w:w="850" w:type="dxa"/>
            <w:gridSpan w:val="2"/>
            <w:shd w:val="clear" w:color="auto" w:fill="auto"/>
            <w:tcMar>
              <w:top w:w="0" w:type="dxa"/>
              <w:left w:w="108" w:type="dxa"/>
              <w:bottom w:w="0" w:type="dxa"/>
              <w:right w:w="108" w:type="dxa"/>
            </w:tcMar>
          </w:tcPr>
          <w:p w14:paraId="5476823E"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 xml:space="preserve"> 61.3***</w:t>
            </w:r>
          </w:p>
        </w:tc>
        <w:tc>
          <w:tcPr>
            <w:tcW w:w="567" w:type="dxa"/>
            <w:shd w:val="clear" w:color="auto" w:fill="auto"/>
            <w:tcMar>
              <w:top w:w="0" w:type="dxa"/>
              <w:left w:w="10" w:type="dxa"/>
              <w:bottom w:w="0" w:type="dxa"/>
              <w:right w:w="10" w:type="dxa"/>
            </w:tcMar>
          </w:tcPr>
          <w:p w14:paraId="616F67A7"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0.6</w:t>
            </w:r>
          </w:p>
        </w:tc>
        <w:tc>
          <w:tcPr>
            <w:tcW w:w="709" w:type="dxa"/>
            <w:shd w:val="clear" w:color="auto" w:fill="auto"/>
            <w:tcMar>
              <w:top w:w="0" w:type="dxa"/>
              <w:left w:w="10" w:type="dxa"/>
              <w:bottom w:w="0" w:type="dxa"/>
              <w:right w:w="10" w:type="dxa"/>
            </w:tcMar>
          </w:tcPr>
          <w:p w14:paraId="09E8576D"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60.2</w:t>
            </w:r>
          </w:p>
        </w:tc>
        <w:tc>
          <w:tcPr>
            <w:tcW w:w="709" w:type="dxa"/>
            <w:shd w:val="clear" w:color="auto" w:fill="auto"/>
            <w:tcMar>
              <w:top w:w="0" w:type="dxa"/>
              <w:left w:w="10" w:type="dxa"/>
              <w:bottom w:w="0" w:type="dxa"/>
              <w:right w:w="10" w:type="dxa"/>
            </w:tcMar>
          </w:tcPr>
          <w:p w14:paraId="316E9756"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62.5</w:t>
            </w:r>
          </w:p>
        </w:tc>
      </w:tr>
      <w:tr w:rsidR="003B4E1A" w:rsidRPr="00E3622C" w14:paraId="4D3B6BDD" w14:textId="77777777" w:rsidTr="003B4E1A">
        <w:tc>
          <w:tcPr>
            <w:tcW w:w="1101" w:type="dxa"/>
            <w:shd w:val="clear" w:color="auto" w:fill="auto"/>
            <w:tcMar>
              <w:top w:w="0" w:type="dxa"/>
              <w:left w:w="108" w:type="dxa"/>
              <w:bottom w:w="0" w:type="dxa"/>
              <w:right w:w="108" w:type="dxa"/>
            </w:tcMar>
          </w:tcPr>
          <w:p w14:paraId="63401561" w14:textId="77777777" w:rsidR="003B4E1A" w:rsidRPr="00E3622C" w:rsidRDefault="003B4E1A" w:rsidP="00C720DB">
            <w:pPr>
              <w:pStyle w:val="TableText"/>
              <w:spacing w:before="20" w:after="20" w:line="480" w:lineRule="auto"/>
              <w:rPr>
                <w:rFonts w:cs="Calibri"/>
                <w:sz w:val="16"/>
                <w:szCs w:val="16"/>
              </w:rPr>
            </w:pPr>
          </w:p>
        </w:tc>
        <w:tc>
          <w:tcPr>
            <w:tcW w:w="1593" w:type="dxa"/>
            <w:shd w:val="clear" w:color="auto" w:fill="auto"/>
            <w:tcMar>
              <w:top w:w="0" w:type="dxa"/>
              <w:left w:w="108" w:type="dxa"/>
              <w:bottom w:w="0" w:type="dxa"/>
              <w:right w:w="108" w:type="dxa"/>
            </w:tcMar>
          </w:tcPr>
          <w:p w14:paraId="2C810594" w14:textId="77777777" w:rsidR="003B4E1A" w:rsidRPr="00E3622C" w:rsidRDefault="003B4E1A" w:rsidP="00C720DB">
            <w:pPr>
              <w:pStyle w:val="TableText"/>
              <w:spacing w:before="20" w:after="20" w:line="480" w:lineRule="auto"/>
              <w:rPr>
                <w:rFonts w:cs="Calibri"/>
                <w:sz w:val="16"/>
                <w:szCs w:val="16"/>
              </w:rPr>
            </w:pPr>
            <w:r w:rsidRPr="00E3622C">
              <w:rPr>
                <w:rFonts w:cs="Calibri"/>
                <w:sz w:val="16"/>
                <w:szCs w:val="16"/>
              </w:rPr>
              <w:t>Mean dependent var</w:t>
            </w:r>
          </w:p>
        </w:tc>
        <w:tc>
          <w:tcPr>
            <w:tcW w:w="637" w:type="dxa"/>
            <w:gridSpan w:val="2"/>
            <w:shd w:val="clear" w:color="auto" w:fill="auto"/>
            <w:tcMar>
              <w:top w:w="0" w:type="dxa"/>
              <w:left w:w="10" w:type="dxa"/>
              <w:bottom w:w="0" w:type="dxa"/>
              <w:right w:w="10" w:type="dxa"/>
            </w:tcMar>
          </w:tcPr>
          <w:p w14:paraId="6CBFC259"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47</w:t>
            </w:r>
          </w:p>
        </w:tc>
        <w:tc>
          <w:tcPr>
            <w:tcW w:w="1347" w:type="dxa"/>
            <w:gridSpan w:val="2"/>
            <w:shd w:val="clear" w:color="auto" w:fill="auto"/>
            <w:tcMar>
              <w:top w:w="0" w:type="dxa"/>
              <w:left w:w="10" w:type="dxa"/>
              <w:bottom w:w="0" w:type="dxa"/>
              <w:right w:w="10" w:type="dxa"/>
            </w:tcMar>
          </w:tcPr>
          <w:p w14:paraId="138FCA65"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 xml:space="preserve">SD dependent var </w:t>
            </w:r>
          </w:p>
        </w:tc>
        <w:tc>
          <w:tcPr>
            <w:tcW w:w="709" w:type="dxa"/>
            <w:gridSpan w:val="2"/>
            <w:shd w:val="clear" w:color="auto" w:fill="auto"/>
            <w:tcMar>
              <w:top w:w="0" w:type="dxa"/>
              <w:left w:w="108" w:type="dxa"/>
              <w:bottom w:w="0" w:type="dxa"/>
              <w:right w:w="108" w:type="dxa"/>
            </w:tcMar>
          </w:tcPr>
          <w:p w14:paraId="0E543420"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13</w:t>
            </w:r>
          </w:p>
        </w:tc>
        <w:tc>
          <w:tcPr>
            <w:tcW w:w="1417" w:type="dxa"/>
            <w:gridSpan w:val="3"/>
            <w:shd w:val="clear" w:color="auto" w:fill="auto"/>
            <w:tcMar>
              <w:top w:w="0" w:type="dxa"/>
              <w:left w:w="10" w:type="dxa"/>
              <w:bottom w:w="0" w:type="dxa"/>
              <w:right w:w="10" w:type="dxa"/>
            </w:tcMar>
          </w:tcPr>
          <w:p w14:paraId="4F606247"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Mean dependent var</w:t>
            </w:r>
          </w:p>
        </w:tc>
        <w:tc>
          <w:tcPr>
            <w:tcW w:w="567" w:type="dxa"/>
            <w:shd w:val="clear" w:color="auto" w:fill="auto"/>
            <w:tcMar>
              <w:top w:w="0" w:type="dxa"/>
              <w:left w:w="10" w:type="dxa"/>
              <w:bottom w:w="0" w:type="dxa"/>
              <w:right w:w="10" w:type="dxa"/>
            </w:tcMar>
          </w:tcPr>
          <w:p w14:paraId="3FA70F8A"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53</w:t>
            </w:r>
          </w:p>
        </w:tc>
        <w:tc>
          <w:tcPr>
            <w:tcW w:w="1276" w:type="dxa"/>
            <w:gridSpan w:val="2"/>
            <w:shd w:val="clear" w:color="auto" w:fill="auto"/>
            <w:tcMar>
              <w:top w:w="0" w:type="dxa"/>
              <w:left w:w="10" w:type="dxa"/>
              <w:bottom w:w="0" w:type="dxa"/>
              <w:right w:w="10" w:type="dxa"/>
            </w:tcMar>
          </w:tcPr>
          <w:p w14:paraId="070C017F"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 xml:space="preserve">SD dependent var </w:t>
            </w:r>
          </w:p>
        </w:tc>
        <w:tc>
          <w:tcPr>
            <w:tcW w:w="709" w:type="dxa"/>
            <w:shd w:val="clear" w:color="auto" w:fill="auto"/>
            <w:tcMar>
              <w:top w:w="0" w:type="dxa"/>
              <w:left w:w="10" w:type="dxa"/>
              <w:bottom w:w="0" w:type="dxa"/>
              <w:right w:w="10" w:type="dxa"/>
            </w:tcMar>
          </w:tcPr>
          <w:p w14:paraId="72A208E0"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13</w:t>
            </w:r>
          </w:p>
        </w:tc>
      </w:tr>
      <w:tr w:rsidR="003B4E1A" w:rsidRPr="00E3622C" w14:paraId="0AC01E02" w14:textId="77777777" w:rsidTr="003B4E1A">
        <w:tc>
          <w:tcPr>
            <w:tcW w:w="1101" w:type="dxa"/>
            <w:shd w:val="clear" w:color="auto" w:fill="auto"/>
            <w:tcMar>
              <w:top w:w="0" w:type="dxa"/>
              <w:left w:w="108" w:type="dxa"/>
              <w:bottom w:w="0" w:type="dxa"/>
              <w:right w:w="108" w:type="dxa"/>
            </w:tcMar>
          </w:tcPr>
          <w:p w14:paraId="7BA5EC1A" w14:textId="77777777" w:rsidR="003B4E1A" w:rsidRPr="00E3622C" w:rsidRDefault="003B4E1A" w:rsidP="00C720DB">
            <w:pPr>
              <w:pStyle w:val="TableText"/>
              <w:spacing w:before="20" w:after="20" w:line="480" w:lineRule="auto"/>
              <w:rPr>
                <w:rFonts w:cs="Calibri"/>
                <w:sz w:val="16"/>
                <w:szCs w:val="16"/>
              </w:rPr>
            </w:pPr>
          </w:p>
        </w:tc>
        <w:tc>
          <w:tcPr>
            <w:tcW w:w="1593" w:type="dxa"/>
            <w:shd w:val="clear" w:color="auto" w:fill="auto"/>
            <w:tcMar>
              <w:top w:w="0" w:type="dxa"/>
              <w:left w:w="108" w:type="dxa"/>
              <w:bottom w:w="0" w:type="dxa"/>
              <w:right w:w="108" w:type="dxa"/>
            </w:tcMar>
          </w:tcPr>
          <w:p w14:paraId="275F9416" w14:textId="77777777" w:rsidR="003B4E1A" w:rsidRPr="00E3622C" w:rsidRDefault="003B4E1A" w:rsidP="00C720DB">
            <w:pPr>
              <w:pStyle w:val="TableText"/>
              <w:spacing w:before="20" w:after="20" w:line="480" w:lineRule="auto"/>
              <w:rPr>
                <w:rFonts w:cs="Calibri"/>
                <w:sz w:val="16"/>
                <w:szCs w:val="16"/>
              </w:rPr>
            </w:pPr>
            <w:r w:rsidRPr="00E3622C">
              <w:rPr>
                <w:rFonts w:cs="Calibri"/>
                <w:sz w:val="16"/>
                <w:szCs w:val="16"/>
              </w:rPr>
              <w:t xml:space="preserve">R-squared </w:t>
            </w:r>
          </w:p>
        </w:tc>
        <w:tc>
          <w:tcPr>
            <w:tcW w:w="637" w:type="dxa"/>
            <w:gridSpan w:val="2"/>
            <w:shd w:val="clear" w:color="auto" w:fill="auto"/>
            <w:tcMar>
              <w:top w:w="0" w:type="dxa"/>
              <w:left w:w="10" w:type="dxa"/>
              <w:bottom w:w="0" w:type="dxa"/>
              <w:right w:w="10" w:type="dxa"/>
            </w:tcMar>
          </w:tcPr>
          <w:p w14:paraId="18C0E689"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0.24</w:t>
            </w:r>
          </w:p>
        </w:tc>
        <w:tc>
          <w:tcPr>
            <w:tcW w:w="1347" w:type="dxa"/>
            <w:gridSpan w:val="2"/>
            <w:shd w:val="clear" w:color="auto" w:fill="auto"/>
            <w:tcMar>
              <w:top w:w="0" w:type="dxa"/>
              <w:left w:w="10" w:type="dxa"/>
              <w:bottom w:w="0" w:type="dxa"/>
              <w:right w:w="10" w:type="dxa"/>
            </w:tcMar>
          </w:tcPr>
          <w:p w14:paraId="3B58E7BE"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 xml:space="preserve">Number of </w:t>
            </w:r>
            <w:proofErr w:type="spellStart"/>
            <w:r w:rsidRPr="00E3622C">
              <w:rPr>
                <w:rFonts w:cs="Calibri"/>
                <w:sz w:val="16"/>
                <w:szCs w:val="16"/>
              </w:rPr>
              <w:t>obs</w:t>
            </w:r>
            <w:proofErr w:type="spellEnd"/>
            <w:r w:rsidRPr="00E3622C">
              <w:rPr>
                <w:rFonts w:cs="Calibri"/>
                <w:sz w:val="16"/>
                <w:szCs w:val="16"/>
              </w:rPr>
              <w:t xml:space="preserve">  </w:t>
            </w:r>
          </w:p>
        </w:tc>
        <w:tc>
          <w:tcPr>
            <w:tcW w:w="709" w:type="dxa"/>
            <w:gridSpan w:val="2"/>
            <w:shd w:val="clear" w:color="auto" w:fill="auto"/>
            <w:tcMar>
              <w:top w:w="0" w:type="dxa"/>
              <w:left w:w="108" w:type="dxa"/>
              <w:bottom w:w="0" w:type="dxa"/>
              <w:right w:w="108" w:type="dxa"/>
            </w:tcMar>
          </w:tcPr>
          <w:p w14:paraId="5CBF32EC"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9447</w:t>
            </w:r>
          </w:p>
        </w:tc>
        <w:tc>
          <w:tcPr>
            <w:tcW w:w="1417" w:type="dxa"/>
            <w:gridSpan w:val="3"/>
            <w:shd w:val="clear" w:color="auto" w:fill="auto"/>
            <w:tcMar>
              <w:top w:w="0" w:type="dxa"/>
              <w:left w:w="10" w:type="dxa"/>
              <w:bottom w:w="0" w:type="dxa"/>
              <w:right w:w="10" w:type="dxa"/>
            </w:tcMar>
          </w:tcPr>
          <w:p w14:paraId="2E116BD7"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 xml:space="preserve">R-squared </w:t>
            </w:r>
          </w:p>
        </w:tc>
        <w:tc>
          <w:tcPr>
            <w:tcW w:w="567" w:type="dxa"/>
            <w:shd w:val="clear" w:color="auto" w:fill="auto"/>
            <w:tcMar>
              <w:top w:w="0" w:type="dxa"/>
              <w:left w:w="10" w:type="dxa"/>
              <w:bottom w:w="0" w:type="dxa"/>
              <w:right w:w="10" w:type="dxa"/>
            </w:tcMar>
          </w:tcPr>
          <w:p w14:paraId="6D62E45B"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0.22</w:t>
            </w:r>
          </w:p>
        </w:tc>
        <w:tc>
          <w:tcPr>
            <w:tcW w:w="1276" w:type="dxa"/>
            <w:gridSpan w:val="2"/>
            <w:shd w:val="clear" w:color="auto" w:fill="auto"/>
            <w:tcMar>
              <w:top w:w="0" w:type="dxa"/>
              <w:left w:w="10" w:type="dxa"/>
              <w:bottom w:w="0" w:type="dxa"/>
              <w:right w:w="10" w:type="dxa"/>
            </w:tcMar>
          </w:tcPr>
          <w:p w14:paraId="05DF5B51"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 xml:space="preserve">Number of </w:t>
            </w:r>
            <w:proofErr w:type="spellStart"/>
            <w:r w:rsidRPr="00E3622C">
              <w:rPr>
                <w:rFonts w:cs="Calibri"/>
                <w:sz w:val="16"/>
                <w:szCs w:val="16"/>
              </w:rPr>
              <w:t>obs</w:t>
            </w:r>
            <w:proofErr w:type="spellEnd"/>
            <w:r w:rsidRPr="00E3622C">
              <w:rPr>
                <w:rFonts w:cs="Calibri"/>
                <w:sz w:val="16"/>
                <w:szCs w:val="16"/>
              </w:rPr>
              <w:t xml:space="preserve">  </w:t>
            </w:r>
          </w:p>
        </w:tc>
        <w:tc>
          <w:tcPr>
            <w:tcW w:w="709" w:type="dxa"/>
            <w:shd w:val="clear" w:color="auto" w:fill="auto"/>
            <w:tcMar>
              <w:top w:w="0" w:type="dxa"/>
              <w:left w:w="10" w:type="dxa"/>
              <w:bottom w:w="0" w:type="dxa"/>
              <w:right w:w="10" w:type="dxa"/>
            </w:tcMar>
          </w:tcPr>
          <w:p w14:paraId="64BEE766"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7609</w:t>
            </w:r>
          </w:p>
        </w:tc>
      </w:tr>
      <w:tr w:rsidR="003B4E1A" w:rsidRPr="00E3622C" w14:paraId="71B11D14" w14:textId="77777777" w:rsidTr="003B4E1A">
        <w:tc>
          <w:tcPr>
            <w:tcW w:w="1101" w:type="dxa"/>
            <w:shd w:val="clear" w:color="auto" w:fill="auto"/>
            <w:tcMar>
              <w:top w:w="0" w:type="dxa"/>
              <w:left w:w="108" w:type="dxa"/>
              <w:bottom w:w="0" w:type="dxa"/>
              <w:right w:w="108" w:type="dxa"/>
            </w:tcMar>
          </w:tcPr>
          <w:p w14:paraId="074BE010" w14:textId="77777777" w:rsidR="003B4E1A" w:rsidRPr="00E3622C" w:rsidRDefault="003B4E1A" w:rsidP="00C720DB">
            <w:pPr>
              <w:pStyle w:val="TableText"/>
              <w:spacing w:before="20" w:after="20" w:line="480" w:lineRule="auto"/>
              <w:rPr>
                <w:rFonts w:cs="Calibri"/>
                <w:sz w:val="16"/>
                <w:szCs w:val="16"/>
              </w:rPr>
            </w:pPr>
          </w:p>
        </w:tc>
        <w:tc>
          <w:tcPr>
            <w:tcW w:w="1593" w:type="dxa"/>
            <w:shd w:val="clear" w:color="auto" w:fill="auto"/>
            <w:tcMar>
              <w:top w:w="0" w:type="dxa"/>
              <w:left w:w="108" w:type="dxa"/>
              <w:bottom w:w="0" w:type="dxa"/>
              <w:right w:w="108" w:type="dxa"/>
            </w:tcMar>
          </w:tcPr>
          <w:p w14:paraId="04DF752C" w14:textId="77777777" w:rsidR="003B4E1A" w:rsidRPr="00E3622C" w:rsidRDefault="003B4E1A" w:rsidP="00C720DB">
            <w:pPr>
              <w:pStyle w:val="TableText"/>
              <w:spacing w:before="20" w:after="20" w:line="480" w:lineRule="auto"/>
              <w:rPr>
                <w:rFonts w:cs="Calibri"/>
                <w:sz w:val="16"/>
                <w:szCs w:val="16"/>
              </w:rPr>
            </w:pPr>
            <w:r w:rsidRPr="00E3622C">
              <w:rPr>
                <w:rFonts w:cs="Calibri"/>
                <w:sz w:val="16"/>
                <w:szCs w:val="16"/>
              </w:rPr>
              <w:t xml:space="preserve">F-test  </w:t>
            </w:r>
          </w:p>
        </w:tc>
        <w:tc>
          <w:tcPr>
            <w:tcW w:w="637" w:type="dxa"/>
            <w:gridSpan w:val="2"/>
            <w:shd w:val="clear" w:color="auto" w:fill="auto"/>
            <w:tcMar>
              <w:top w:w="0" w:type="dxa"/>
              <w:left w:w="10" w:type="dxa"/>
              <w:bottom w:w="0" w:type="dxa"/>
              <w:right w:w="10" w:type="dxa"/>
            </w:tcMar>
          </w:tcPr>
          <w:p w14:paraId="0B9EC4AC"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234</w:t>
            </w:r>
          </w:p>
        </w:tc>
        <w:tc>
          <w:tcPr>
            <w:tcW w:w="1347" w:type="dxa"/>
            <w:gridSpan w:val="2"/>
            <w:shd w:val="clear" w:color="auto" w:fill="auto"/>
            <w:tcMar>
              <w:top w:w="0" w:type="dxa"/>
              <w:left w:w="10" w:type="dxa"/>
              <w:bottom w:w="0" w:type="dxa"/>
              <w:right w:w="10" w:type="dxa"/>
            </w:tcMar>
          </w:tcPr>
          <w:p w14:paraId="64EBA9FD"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 xml:space="preserve">Prob &gt; F </w:t>
            </w:r>
          </w:p>
        </w:tc>
        <w:tc>
          <w:tcPr>
            <w:tcW w:w="709" w:type="dxa"/>
            <w:gridSpan w:val="2"/>
            <w:shd w:val="clear" w:color="auto" w:fill="auto"/>
            <w:tcMar>
              <w:top w:w="0" w:type="dxa"/>
              <w:left w:w="108" w:type="dxa"/>
              <w:bottom w:w="0" w:type="dxa"/>
              <w:right w:w="108" w:type="dxa"/>
            </w:tcMar>
          </w:tcPr>
          <w:p w14:paraId="3FE52EE5"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0.000</w:t>
            </w:r>
          </w:p>
        </w:tc>
        <w:tc>
          <w:tcPr>
            <w:tcW w:w="1417" w:type="dxa"/>
            <w:gridSpan w:val="3"/>
            <w:shd w:val="clear" w:color="auto" w:fill="auto"/>
            <w:tcMar>
              <w:top w:w="0" w:type="dxa"/>
              <w:left w:w="10" w:type="dxa"/>
              <w:bottom w:w="0" w:type="dxa"/>
              <w:right w:w="10" w:type="dxa"/>
            </w:tcMar>
          </w:tcPr>
          <w:p w14:paraId="5644D4D1"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 xml:space="preserve">F-test  </w:t>
            </w:r>
          </w:p>
        </w:tc>
        <w:tc>
          <w:tcPr>
            <w:tcW w:w="567" w:type="dxa"/>
            <w:shd w:val="clear" w:color="auto" w:fill="auto"/>
            <w:tcMar>
              <w:top w:w="0" w:type="dxa"/>
              <w:left w:w="10" w:type="dxa"/>
              <w:bottom w:w="0" w:type="dxa"/>
              <w:right w:w="10" w:type="dxa"/>
            </w:tcMar>
          </w:tcPr>
          <w:p w14:paraId="29A536A9"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166</w:t>
            </w:r>
          </w:p>
        </w:tc>
        <w:tc>
          <w:tcPr>
            <w:tcW w:w="1276" w:type="dxa"/>
            <w:gridSpan w:val="2"/>
            <w:shd w:val="clear" w:color="auto" w:fill="auto"/>
            <w:tcMar>
              <w:top w:w="0" w:type="dxa"/>
              <w:left w:w="10" w:type="dxa"/>
              <w:bottom w:w="0" w:type="dxa"/>
              <w:right w:w="10" w:type="dxa"/>
            </w:tcMar>
          </w:tcPr>
          <w:p w14:paraId="422EB7FA"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 xml:space="preserve">Prob &gt; F </w:t>
            </w:r>
          </w:p>
        </w:tc>
        <w:tc>
          <w:tcPr>
            <w:tcW w:w="709" w:type="dxa"/>
            <w:shd w:val="clear" w:color="auto" w:fill="auto"/>
            <w:tcMar>
              <w:top w:w="0" w:type="dxa"/>
              <w:left w:w="10" w:type="dxa"/>
              <w:bottom w:w="0" w:type="dxa"/>
              <w:right w:w="10" w:type="dxa"/>
            </w:tcMar>
          </w:tcPr>
          <w:p w14:paraId="1554CFB5"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0.000</w:t>
            </w:r>
          </w:p>
        </w:tc>
      </w:tr>
      <w:tr w:rsidR="003B4E1A" w:rsidRPr="00E3622C" w14:paraId="3725F9C1" w14:textId="77777777" w:rsidTr="003B4E1A">
        <w:tc>
          <w:tcPr>
            <w:tcW w:w="1101" w:type="dxa"/>
            <w:tcBorders>
              <w:bottom w:val="single" w:sz="4" w:space="0" w:color="000000"/>
            </w:tcBorders>
            <w:shd w:val="clear" w:color="auto" w:fill="auto"/>
            <w:tcMar>
              <w:top w:w="0" w:type="dxa"/>
              <w:left w:w="108" w:type="dxa"/>
              <w:bottom w:w="0" w:type="dxa"/>
              <w:right w:w="108" w:type="dxa"/>
            </w:tcMar>
          </w:tcPr>
          <w:p w14:paraId="32B58FAA" w14:textId="77777777" w:rsidR="003B4E1A" w:rsidRPr="00E3622C" w:rsidRDefault="003B4E1A" w:rsidP="00C720DB">
            <w:pPr>
              <w:pStyle w:val="TableText"/>
              <w:spacing w:before="20" w:after="20" w:line="480" w:lineRule="auto"/>
              <w:rPr>
                <w:rFonts w:cs="Calibri"/>
                <w:sz w:val="16"/>
                <w:szCs w:val="16"/>
              </w:rPr>
            </w:pPr>
          </w:p>
        </w:tc>
        <w:tc>
          <w:tcPr>
            <w:tcW w:w="1593" w:type="dxa"/>
            <w:tcBorders>
              <w:bottom w:val="single" w:sz="4" w:space="0" w:color="000000"/>
            </w:tcBorders>
            <w:shd w:val="clear" w:color="auto" w:fill="auto"/>
            <w:tcMar>
              <w:top w:w="0" w:type="dxa"/>
              <w:left w:w="108" w:type="dxa"/>
              <w:bottom w:w="0" w:type="dxa"/>
              <w:right w:w="108" w:type="dxa"/>
            </w:tcMar>
          </w:tcPr>
          <w:p w14:paraId="7A5528EC" w14:textId="77777777" w:rsidR="003B4E1A" w:rsidRPr="00E3622C" w:rsidRDefault="003B4E1A" w:rsidP="00C720DB">
            <w:pPr>
              <w:pStyle w:val="TableText"/>
              <w:spacing w:before="20" w:after="20" w:line="480" w:lineRule="auto"/>
              <w:rPr>
                <w:rFonts w:cs="Calibri"/>
                <w:sz w:val="16"/>
                <w:szCs w:val="16"/>
              </w:rPr>
            </w:pPr>
            <w:r w:rsidRPr="00E3622C">
              <w:rPr>
                <w:rFonts w:cs="Calibri"/>
                <w:sz w:val="16"/>
                <w:szCs w:val="16"/>
              </w:rPr>
              <w:t>Akaike crit. (AIC)</w:t>
            </w:r>
          </w:p>
        </w:tc>
        <w:tc>
          <w:tcPr>
            <w:tcW w:w="637" w:type="dxa"/>
            <w:gridSpan w:val="2"/>
            <w:tcBorders>
              <w:bottom w:val="single" w:sz="4" w:space="0" w:color="000000"/>
            </w:tcBorders>
            <w:shd w:val="clear" w:color="auto" w:fill="auto"/>
            <w:tcMar>
              <w:top w:w="0" w:type="dxa"/>
              <w:left w:w="10" w:type="dxa"/>
              <w:bottom w:w="0" w:type="dxa"/>
              <w:right w:w="10" w:type="dxa"/>
            </w:tcMar>
          </w:tcPr>
          <w:p w14:paraId="300FE078"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72915</w:t>
            </w:r>
          </w:p>
        </w:tc>
        <w:tc>
          <w:tcPr>
            <w:tcW w:w="1347" w:type="dxa"/>
            <w:gridSpan w:val="2"/>
            <w:tcBorders>
              <w:bottom w:val="single" w:sz="4" w:space="0" w:color="000000"/>
            </w:tcBorders>
            <w:shd w:val="clear" w:color="auto" w:fill="auto"/>
            <w:tcMar>
              <w:top w:w="0" w:type="dxa"/>
              <w:left w:w="10" w:type="dxa"/>
              <w:bottom w:w="0" w:type="dxa"/>
              <w:right w:w="10" w:type="dxa"/>
            </w:tcMar>
          </w:tcPr>
          <w:p w14:paraId="6C232373"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Bayesian crit. (BIC)</w:t>
            </w:r>
          </w:p>
        </w:tc>
        <w:tc>
          <w:tcPr>
            <w:tcW w:w="709" w:type="dxa"/>
            <w:gridSpan w:val="2"/>
            <w:tcBorders>
              <w:bottom w:val="single" w:sz="4" w:space="0" w:color="000000"/>
            </w:tcBorders>
            <w:shd w:val="clear" w:color="auto" w:fill="auto"/>
            <w:tcMar>
              <w:top w:w="0" w:type="dxa"/>
              <w:left w:w="108" w:type="dxa"/>
              <w:bottom w:w="0" w:type="dxa"/>
              <w:right w:w="108" w:type="dxa"/>
            </w:tcMar>
          </w:tcPr>
          <w:p w14:paraId="1B13D409"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73015</w:t>
            </w:r>
          </w:p>
        </w:tc>
        <w:tc>
          <w:tcPr>
            <w:tcW w:w="1417" w:type="dxa"/>
            <w:gridSpan w:val="3"/>
            <w:tcBorders>
              <w:bottom w:val="single" w:sz="4" w:space="0" w:color="000000"/>
            </w:tcBorders>
            <w:shd w:val="clear" w:color="auto" w:fill="auto"/>
            <w:tcMar>
              <w:top w:w="0" w:type="dxa"/>
              <w:left w:w="10" w:type="dxa"/>
              <w:bottom w:w="0" w:type="dxa"/>
              <w:right w:w="10" w:type="dxa"/>
            </w:tcMar>
          </w:tcPr>
          <w:p w14:paraId="62BA2E6A"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Akaike crit. (AIC)</w:t>
            </w:r>
          </w:p>
        </w:tc>
        <w:tc>
          <w:tcPr>
            <w:tcW w:w="567" w:type="dxa"/>
            <w:tcBorders>
              <w:bottom w:val="single" w:sz="4" w:space="0" w:color="000000"/>
            </w:tcBorders>
            <w:shd w:val="clear" w:color="auto" w:fill="auto"/>
            <w:tcMar>
              <w:top w:w="0" w:type="dxa"/>
              <w:left w:w="10" w:type="dxa"/>
              <w:bottom w:w="0" w:type="dxa"/>
              <w:right w:w="10" w:type="dxa"/>
            </w:tcMar>
          </w:tcPr>
          <w:p w14:paraId="1B938DD9"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58188</w:t>
            </w:r>
          </w:p>
        </w:tc>
        <w:tc>
          <w:tcPr>
            <w:tcW w:w="1276" w:type="dxa"/>
            <w:gridSpan w:val="2"/>
            <w:tcBorders>
              <w:bottom w:val="single" w:sz="4" w:space="0" w:color="000000"/>
            </w:tcBorders>
            <w:shd w:val="clear" w:color="auto" w:fill="auto"/>
            <w:tcMar>
              <w:top w:w="0" w:type="dxa"/>
              <w:left w:w="10" w:type="dxa"/>
              <w:bottom w:w="0" w:type="dxa"/>
              <w:right w:w="10" w:type="dxa"/>
            </w:tcMar>
          </w:tcPr>
          <w:p w14:paraId="06B5828C" w14:textId="77777777" w:rsidR="003B4E1A" w:rsidRPr="00E3622C" w:rsidRDefault="003B4E1A" w:rsidP="00C720DB">
            <w:pPr>
              <w:pStyle w:val="TableText"/>
              <w:spacing w:before="20" w:after="20" w:line="480" w:lineRule="auto"/>
              <w:jc w:val="right"/>
              <w:rPr>
                <w:rFonts w:cs="Calibri"/>
                <w:sz w:val="16"/>
                <w:szCs w:val="16"/>
              </w:rPr>
            </w:pPr>
            <w:r w:rsidRPr="00E3622C">
              <w:rPr>
                <w:rFonts w:cs="Calibri"/>
                <w:sz w:val="16"/>
                <w:szCs w:val="16"/>
              </w:rPr>
              <w:t>Bayesian crit. (BIC)</w:t>
            </w:r>
          </w:p>
        </w:tc>
        <w:tc>
          <w:tcPr>
            <w:tcW w:w="709" w:type="dxa"/>
            <w:tcBorders>
              <w:bottom w:val="single" w:sz="4" w:space="0" w:color="000000"/>
            </w:tcBorders>
            <w:shd w:val="clear" w:color="auto" w:fill="auto"/>
            <w:tcMar>
              <w:top w:w="0" w:type="dxa"/>
              <w:left w:w="10" w:type="dxa"/>
              <w:bottom w:w="0" w:type="dxa"/>
              <w:right w:w="10" w:type="dxa"/>
            </w:tcMar>
          </w:tcPr>
          <w:p w14:paraId="7C5DD79F" w14:textId="77777777" w:rsidR="003B4E1A" w:rsidRPr="00E3622C" w:rsidRDefault="003B4E1A" w:rsidP="00C720DB">
            <w:pPr>
              <w:pStyle w:val="TableText"/>
              <w:spacing w:before="20" w:after="20" w:line="480" w:lineRule="auto"/>
              <w:jc w:val="right"/>
              <w:rPr>
                <w:rFonts w:cs="Calibri"/>
                <w:sz w:val="16"/>
                <w:szCs w:val="16"/>
                <w:lang w:val="en-US"/>
              </w:rPr>
            </w:pPr>
            <w:r w:rsidRPr="00E3622C">
              <w:rPr>
                <w:rFonts w:cs="Calibri"/>
                <w:sz w:val="16"/>
                <w:szCs w:val="16"/>
                <w:lang w:val="en-US"/>
              </w:rPr>
              <w:t>58285</w:t>
            </w:r>
          </w:p>
        </w:tc>
      </w:tr>
    </w:tbl>
    <w:p w14:paraId="5F26A13C" w14:textId="52E0A69C" w:rsidR="00E00C95" w:rsidRDefault="00E00C95" w:rsidP="00C720DB">
      <w:pPr>
        <w:pStyle w:val="TableGraphSource"/>
        <w:spacing w:line="480" w:lineRule="auto"/>
      </w:pPr>
      <w:r>
        <w:rPr>
          <w:szCs w:val="16"/>
        </w:rPr>
        <w:t xml:space="preserve">Note: *** p&lt;.001, ** p&lt;.01, * p&lt;.05, </w:t>
      </w:r>
      <w:r>
        <w:rPr>
          <w:lang w:val="en-US"/>
        </w:rPr>
        <w:t xml:space="preserve">Source: </w:t>
      </w:r>
      <w:proofErr w:type="spellStart"/>
      <w:r>
        <w:rPr>
          <w:lang w:val="en-US"/>
        </w:rPr>
        <w:t>Labour</w:t>
      </w:r>
      <w:proofErr w:type="spellEnd"/>
      <w:r>
        <w:rPr>
          <w:lang w:val="en-US"/>
        </w:rPr>
        <w:t xml:space="preserve"> Force Survey, pooled quarterly datasets 05-07, 15-17</w:t>
      </w:r>
      <w:r>
        <w:rPr>
          <w:rFonts w:cs="Calibri"/>
          <w:szCs w:val="20"/>
        </w:rPr>
        <w:t xml:space="preserve">. </w:t>
      </w:r>
      <w:r w:rsidRPr="00E3622C">
        <w:rPr>
          <w:lang w:val="en-US"/>
        </w:rPr>
        <w:t xml:space="preserve">Linear regressions </w:t>
      </w:r>
      <w:r>
        <w:rPr>
          <w:b/>
          <w:bCs/>
          <w:lang w:val="en-US"/>
        </w:rPr>
        <w:t xml:space="preserve">– </w:t>
      </w:r>
      <w:r>
        <w:t>CAMSIS score of men and women, the models compare time periods 2005-2007 and 2015-17, controlling for age and educational attainment</w:t>
      </w:r>
    </w:p>
    <w:p w14:paraId="0C1281A7" w14:textId="662A283D" w:rsidR="00E00C95" w:rsidRDefault="00E00C95" w:rsidP="00C720DB">
      <w:pPr>
        <w:spacing w:before="0" w:after="200" w:line="480" w:lineRule="auto"/>
        <w:jc w:val="left"/>
        <w:rPr>
          <w:b/>
        </w:rPr>
      </w:pPr>
    </w:p>
    <w:p w14:paraId="50DDAAD3" w14:textId="50627B86" w:rsidR="00E3622C" w:rsidRDefault="006D5BDC" w:rsidP="00C720DB">
      <w:pPr>
        <w:pStyle w:val="TableGraphheading"/>
        <w:spacing w:line="480" w:lineRule="auto"/>
      </w:pPr>
      <w:r>
        <w:t>Table 5</w:t>
      </w:r>
      <w:r w:rsidR="00AC5498">
        <w:t>:</w:t>
      </w:r>
      <w:r w:rsidR="00425723">
        <w:t xml:space="preserve"> </w:t>
      </w:r>
      <w:r w:rsidR="00425723" w:rsidRPr="00E00C95">
        <w:t>Linear regressions</w:t>
      </w:r>
      <w:r w:rsidR="00AC5498">
        <w:t>,</w:t>
      </w:r>
      <w:r w:rsidR="00425723" w:rsidRPr="00E00C95">
        <w:t xml:space="preserve"> CAMSIS score of men and women by region</w:t>
      </w:r>
    </w:p>
    <w:tbl>
      <w:tblPr>
        <w:tblW w:w="9498" w:type="dxa"/>
        <w:tblLayout w:type="fixed"/>
        <w:tblCellMar>
          <w:left w:w="10" w:type="dxa"/>
          <w:right w:w="10" w:type="dxa"/>
        </w:tblCellMar>
        <w:tblLook w:val="04A0" w:firstRow="1" w:lastRow="0" w:firstColumn="1" w:lastColumn="0" w:noHBand="0" w:noVBand="1"/>
      </w:tblPr>
      <w:tblGrid>
        <w:gridCol w:w="1101"/>
        <w:gridCol w:w="1593"/>
        <w:gridCol w:w="637"/>
        <w:gridCol w:w="355"/>
        <w:gridCol w:w="850"/>
        <w:gridCol w:w="142"/>
        <w:gridCol w:w="567"/>
        <w:gridCol w:w="142"/>
        <w:gridCol w:w="709"/>
        <w:gridCol w:w="708"/>
        <w:gridCol w:w="142"/>
        <w:gridCol w:w="354"/>
        <w:gridCol w:w="497"/>
        <w:gridCol w:w="567"/>
        <w:gridCol w:w="567"/>
        <w:gridCol w:w="28"/>
        <w:gridCol w:w="539"/>
      </w:tblGrid>
      <w:tr w:rsidR="00E3622C" w:rsidRPr="00E3622C" w14:paraId="3C267587" w14:textId="77777777" w:rsidTr="00E00C95">
        <w:tc>
          <w:tcPr>
            <w:tcW w:w="1101" w:type="dxa"/>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62EF50D1" w14:textId="77777777" w:rsidR="00E3622C" w:rsidRPr="00E3622C" w:rsidRDefault="00E3622C" w:rsidP="00C720DB">
            <w:pPr>
              <w:autoSpaceDE w:val="0"/>
              <w:spacing w:after="0" w:line="480" w:lineRule="auto"/>
              <w:rPr>
                <w:rFonts w:cs="Calibri"/>
                <w:sz w:val="16"/>
                <w:szCs w:val="16"/>
              </w:rPr>
            </w:pPr>
          </w:p>
        </w:tc>
        <w:tc>
          <w:tcPr>
            <w:tcW w:w="2585" w:type="dxa"/>
            <w:gridSpan w:val="3"/>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11FC5EE9" w14:textId="77777777" w:rsidR="00E3622C" w:rsidRPr="00E3622C" w:rsidRDefault="00E3622C" w:rsidP="00C720DB">
            <w:pPr>
              <w:autoSpaceDE w:val="0"/>
              <w:spacing w:after="0" w:line="480" w:lineRule="auto"/>
              <w:rPr>
                <w:rFonts w:cs="Calibri"/>
                <w:sz w:val="16"/>
                <w:szCs w:val="16"/>
              </w:rPr>
            </w:pPr>
          </w:p>
        </w:tc>
        <w:tc>
          <w:tcPr>
            <w:tcW w:w="3260" w:type="dxa"/>
            <w:gridSpan w:val="7"/>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19D1C339" w14:textId="77777777" w:rsidR="00E3622C" w:rsidRPr="00E3622C" w:rsidRDefault="00E3622C" w:rsidP="00C720DB">
            <w:pPr>
              <w:autoSpaceDE w:val="0"/>
              <w:spacing w:after="0" w:line="480" w:lineRule="auto"/>
              <w:jc w:val="center"/>
              <w:rPr>
                <w:rFonts w:cs="Calibri"/>
                <w:b/>
                <w:sz w:val="16"/>
                <w:szCs w:val="16"/>
              </w:rPr>
            </w:pPr>
            <w:r w:rsidRPr="00E3622C">
              <w:rPr>
                <w:rFonts w:cs="Calibri"/>
                <w:b/>
                <w:sz w:val="16"/>
                <w:szCs w:val="16"/>
              </w:rPr>
              <w:t>Men</w:t>
            </w:r>
          </w:p>
        </w:tc>
        <w:tc>
          <w:tcPr>
            <w:tcW w:w="2552" w:type="dxa"/>
            <w:gridSpan w:val="6"/>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1F3B2C7D" w14:textId="77777777" w:rsidR="00E3622C" w:rsidRPr="00E3622C" w:rsidRDefault="00E3622C" w:rsidP="00C720DB">
            <w:pPr>
              <w:autoSpaceDE w:val="0"/>
              <w:spacing w:after="0" w:line="480" w:lineRule="auto"/>
              <w:jc w:val="center"/>
              <w:rPr>
                <w:rFonts w:cs="Calibri"/>
                <w:b/>
                <w:sz w:val="16"/>
                <w:szCs w:val="16"/>
              </w:rPr>
            </w:pPr>
            <w:r w:rsidRPr="00E3622C">
              <w:rPr>
                <w:rFonts w:cs="Calibri"/>
                <w:b/>
                <w:sz w:val="16"/>
                <w:szCs w:val="16"/>
              </w:rPr>
              <w:t>Women</w:t>
            </w:r>
          </w:p>
        </w:tc>
      </w:tr>
      <w:tr w:rsidR="00E3622C" w:rsidRPr="00E3622C" w14:paraId="719E2A9D" w14:textId="77777777" w:rsidTr="003B4E1A">
        <w:trPr>
          <w:cantSplit/>
          <w:trHeight w:val="965"/>
        </w:trPr>
        <w:tc>
          <w:tcPr>
            <w:tcW w:w="1101" w:type="dxa"/>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cPr>
          <w:p w14:paraId="2A7785C6" w14:textId="77777777" w:rsidR="00E3622C" w:rsidRPr="00E3622C" w:rsidRDefault="00E3622C" w:rsidP="00C720DB">
            <w:pPr>
              <w:pStyle w:val="TableText"/>
              <w:spacing w:before="20" w:after="20" w:line="480" w:lineRule="auto"/>
              <w:rPr>
                <w:b/>
                <w:bCs/>
                <w:sz w:val="16"/>
                <w:szCs w:val="16"/>
              </w:rPr>
            </w:pPr>
            <w:r w:rsidRPr="00E3622C">
              <w:rPr>
                <w:b/>
                <w:bCs/>
                <w:sz w:val="16"/>
                <w:szCs w:val="16"/>
              </w:rPr>
              <w:t>Variable</w:t>
            </w:r>
          </w:p>
        </w:tc>
        <w:tc>
          <w:tcPr>
            <w:tcW w:w="2585" w:type="dxa"/>
            <w:gridSpan w:val="3"/>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cPr>
          <w:p w14:paraId="4653CC94" w14:textId="5796F0DA" w:rsidR="00E3622C" w:rsidRPr="00E3622C" w:rsidRDefault="00E3622C" w:rsidP="00C720DB">
            <w:pPr>
              <w:pStyle w:val="TableText"/>
              <w:spacing w:before="20" w:after="20" w:line="480" w:lineRule="auto"/>
              <w:rPr>
                <w:b/>
                <w:bCs/>
                <w:sz w:val="16"/>
                <w:szCs w:val="16"/>
              </w:rPr>
            </w:pPr>
            <w:r w:rsidRPr="00E3622C">
              <w:rPr>
                <w:b/>
                <w:bCs/>
                <w:sz w:val="16"/>
                <w:szCs w:val="16"/>
              </w:rPr>
              <w:t>Categories</w:t>
            </w:r>
          </w:p>
        </w:tc>
        <w:tc>
          <w:tcPr>
            <w:tcW w:w="850" w:type="dxa"/>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extDirection w:val="btLr"/>
            <w:vAlign w:val="bottom"/>
          </w:tcPr>
          <w:p w14:paraId="17DC26D4" w14:textId="77777777" w:rsidR="00E3622C" w:rsidRPr="00E3622C" w:rsidRDefault="00E3622C" w:rsidP="00C720DB">
            <w:pPr>
              <w:pStyle w:val="TableText"/>
              <w:spacing w:before="20" w:after="20" w:line="480" w:lineRule="auto"/>
              <w:ind w:left="113" w:right="113"/>
              <w:rPr>
                <w:b/>
                <w:bCs/>
                <w:sz w:val="16"/>
                <w:szCs w:val="16"/>
              </w:rPr>
            </w:pPr>
            <w:r w:rsidRPr="00E3622C">
              <w:rPr>
                <w:b/>
                <w:bCs/>
                <w:sz w:val="16"/>
                <w:szCs w:val="16"/>
              </w:rPr>
              <w:t>Coefficient</w:t>
            </w:r>
          </w:p>
        </w:tc>
        <w:tc>
          <w:tcPr>
            <w:tcW w:w="709" w:type="dxa"/>
            <w:gridSpan w:val="2"/>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extDirection w:val="btLr"/>
            <w:vAlign w:val="bottom"/>
          </w:tcPr>
          <w:p w14:paraId="73CA5D6B" w14:textId="77777777" w:rsidR="00E3622C" w:rsidRPr="00E3622C" w:rsidRDefault="00E3622C" w:rsidP="00C720DB">
            <w:pPr>
              <w:pStyle w:val="TableText"/>
              <w:spacing w:before="20" w:after="20" w:line="480" w:lineRule="auto"/>
              <w:ind w:left="113" w:right="113"/>
              <w:rPr>
                <w:b/>
                <w:bCs/>
                <w:sz w:val="16"/>
                <w:szCs w:val="16"/>
              </w:rPr>
            </w:pPr>
            <w:r w:rsidRPr="00E3622C">
              <w:rPr>
                <w:b/>
                <w:bCs/>
                <w:sz w:val="16"/>
                <w:szCs w:val="16"/>
              </w:rPr>
              <w:t>Standard error</w:t>
            </w:r>
          </w:p>
        </w:tc>
        <w:tc>
          <w:tcPr>
            <w:tcW w:w="851" w:type="dxa"/>
            <w:gridSpan w:val="2"/>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extDirection w:val="btLr"/>
            <w:vAlign w:val="bottom"/>
          </w:tcPr>
          <w:p w14:paraId="356EB9DF" w14:textId="77777777" w:rsidR="00E3622C" w:rsidRPr="00E3622C" w:rsidRDefault="00E3622C" w:rsidP="00C720DB">
            <w:pPr>
              <w:pStyle w:val="TableText"/>
              <w:spacing w:before="20" w:after="20" w:line="480" w:lineRule="auto"/>
              <w:ind w:left="113" w:right="113"/>
              <w:rPr>
                <w:b/>
                <w:bCs/>
                <w:sz w:val="16"/>
                <w:szCs w:val="16"/>
              </w:rPr>
            </w:pPr>
            <w:r w:rsidRPr="00E3622C">
              <w:rPr>
                <w:b/>
                <w:bCs/>
                <w:sz w:val="16"/>
                <w:szCs w:val="16"/>
              </w:rPr>
              <w:t>Lower confidence interval</w:t>
            </w:r>
          </w:p>
        </w:tc>
        <w:tc>
          <w:tcPr>
            <w:tcW w:w="850" w:type="dxa"/>
            <w:gridSpan w:val="2"/>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extDirection w:val="btLr"/>
            <w:vAlign w:val="bottom"/>
          </w:tcPr>
          <w:p w14:paraId="73DD7E58" w14:textId="77777777" w:rsidR="00E3622C" w:rsidRPr="00E3622C" w:rsidRDefault="00E3622C" w:rsidP="00C720DB">
            <w:pPr>
              <w:pStyle w:val="TableText"/>
              <w:spacing w:before="20" w:after="20" w:line="480" w:lineRule="auto"/>
              <w:ind w:left="113" w:right="113"/>
              <w:rPr>
                <w:b/>
                <w:bCs/>
                <w:sz w:val="16"/>
                <w:szCs w:val="16"/>
              </w:rPr>
            </w:pPr>
            <w:r w:rsidRPr="00E3622C">
              <w:rPr>
                <w:b/>
                <w:bCs/>
                <w:sz w:val="16"/>
                <w:szCs w:val="16"/>
              </w:rPr>
              <w:t>Upper confidence interval</w:t>
            </w:r>
          </w:p>
        </w:tc>
        <w:tc>
          <w:tcPr>
            <w:tcW w:w="851" w:type="dxa"/>
            <w:gridSpan w:val="2"/>
            <w:tcBorders>
              <w:top w:val="single" w:sz="4" w:space="0" w:color="auto"/>
              <w:bottom w:val="single" w:sz="4" w:space="0" w:color="000000"/>
            </w:tcBorders>
            <w:shd w:val="clear" w:color="auto" w:fill="D9D9D9" w:themeFill="background1" w:themeFillShade="D9"/>
            <w:tcMar>
              <w:top w:w="0" w:type="dxa"/>
              <w:left w:w="108" w:type="dxa"/>
              <w:bottom w:w="0" w:type="dxa"/>
              <w:right w:w="108" w:type="dxa"/>
            </w:tcMar>
            <w:textDirection w:val="btLr"/>
            <w:vAlign w:val="bottom"/>
          </w:tcPr>
          <w:p w14:paraId="1344EA1C" w14:textId="77777777" w:rsidR="00E3622C" w:rsidRPr="00E3622C" w:rsidRDefault="00E3622C" w:rsidP="00C720DB">
            <w:pPr>
              <w:pStyle w:val="TableText"/>
              <w:spacing w:before="20" w:after="20" w:line="480" w:lineRule="auto"/>
              <w:ind w:left="113" w:right="113"/>
              <w:rPr>
                <w:b/>
                <w:bCs/>
                <w:sz w:val="16"/>
                <w:szCs w:val="16"/>
              </w:rPr>
            </w:pPr>
            <w:r w:rsidRPr="00E3622C">
              <w:rPr>
                <w:b/>
                <w:bCs/>
                <w:sz w:val="16"/>
                <w:szCs w:val="16"/>
              </w:rPr>
              <w:t>Coefficient</w:t>
            </w:r>
          </w:p>
        </w:tc>
        <w:tc>
          <w:tcPr>
            <w:tcW w:w="567" w:type="dxa"/>
            <w:tcBorders>
              <w:top w:val="single" w:sz="4" w:space="0" w:color="auto"/>
              <w:bottom w:val="single" w:sz="4" w:space="0" w:color="000000"/>
            </w:tcBorders>
            <w:shd w:val="clear" w:color="auto" w:fill="D9D9D9" w:themeFill="background1" w:themeFillShade="D9"/>
            <w:tcMar>
              <w:top w:w="0" w:type="dxa"/>
              <w:left w:w="10" w:type="dxa"/>
              <w:bottom w:w="0" w:type="dxa"/>
              <w:right w:w="10" w:type="dxa"/>
            </w:tcMar>
            <w:textDirection w:val="btLr"/>
            <w:vAlign w:val="bottom"/>
          </w:tcPr>
          <w:p w14:paraId="55D5FCA0" w14:textId="77777777" w:rsidR="00E3622C" w:rsidRPr="00E3622C" w:rsidRDefault="00E3622C" w:rsidP="00C720DB">
            <w:pPr>
              <w:pStyle w:val="TableText"/>
              <w:spacing w:before="20" w:after="20" w:line="480" w:lineRule="auto"/>
              <w:ind w:left="113" w:right="113"/>
              <w:rPr>
                <w:b/>
                <w:bCs/>
                <w:sz w:val="16"/>
                <w:szCs w:val="16"/>
              </w:rPr>
            </w:pPr>
            <w:r w:rsidRPr="00E3622C">
              <w:rPr>
                <w:b/>
                <w:bCs/>
                <w:sz w:val="16"/>
                <w:szCs w:val="16"/>
              </w:rPr>
              <w:t>Standard error</w:t>
            </w:r>
          </w:p>
        </w:tc>
        <w:tc>
          <w:tcPr>
            <w:tcW w:w="595" w:type="dxa"/>
            <w:gridSpan w:val="2"/>
            <w:tcBorders>
              <w:top w:val="single" w:sz="4" w:space="0" w:color="auto"/>
              <w:bottom w:val="single" w:sz="4" w:space="0" w:color="000000"/>
            </w:tcBorders>
            <w:shd w:val="clear" w:color="auto" w:fill="D9D9D9" w:themeFill="background1" w:themeFillShade="D9"/>
            <w:tcMar>
              <w:top w:w="0" w:type="dxa"/>
              <w:left w:w="10" w:type="dxa"/>
              <w:bottom w:w="0" w:type="dxa"/>
              <w:right w:w="10" w:type="dxa"/>
            </w:tcMar>
            <w:textDirection w:val="btLr"/>
            <w:vAlign w:val="bottom"/>
          </w:tcPr>
          <w:p w14:paraId="0D4978C5" w14:textId="77777777" w:rsidR="00E3622C" w:rsidRPr="00E3622C" w:rsidRDefault="00E3622C" w:rsidP="00C720DB">
            <w:pPr>
              <w:pStyle w:val="TableText"/>
              <w:spacing w:before="20" w:after="20" w:line="480" w:lineRule="auto"/>
              <w:ind w:left="113" w:right="113"/>
              <w:rPr>
                <w:b/>
                <w:bCs/>
                <w:sz w:val="16"/>
                <w:szCs w:val="16"/>
              </w:rPr>
            </w:pPr>
            <w:r w:rsidRPr="00E3622C">
              <w:rPr>
                <w:b/>
                <w:bCs/>
                <w:sz w:val="16"/>
                <w:szCs w:val="16"/>
              </w:rPr>
              <w:t>Lower confidence interval</w:t>
            </w:r>
          </w:p>
        </w:tc>
        <w:tc>
          <w:tcPr>
            <w:tcW w:w="539" w:type="dxa"/>
            <w:tcBorders>
              <w:top w:val="single" w:sz="4" w:space="0" w:color="auto"/>
              <w:bottom w:val="single" w:sz="4" w:space="0" w:color="000000"/>
            </w:tcBorders>
            <w:shd w:val="clear" w:color="auto" w:fill="D9D9D9" w:themeFill="background1" w:themeFillShade="D9"/>
            <w:tcMar>
              <w:top w:w="0" w:type="dxa"/>
              <w:left w:w="10" w:type="dxa"/>
              <w:bottom w:w="0" w:type="dxa"/>
              <w:right w:w="10" w:type="dxa"/>
            </w:tcMar>
            <w:textDirection w:val="btLr"/>
            <w:vAlign w:val="bottom"/>
          </w:tcPr>
          <w:p w14:paraId="56AACD98" w14:textId="77777777" w:rsidR="00E3622C" w:rsidRPr="00E3622C" w:rsidRDefault="00E3622C" w:rsidP="00C720DB">
            <w:pPr>
              <w:pStyle w:val="TableText"/>
              <w:spacing w:before="20" w:after="20" w:line="480" w:lineRule="auto"/>
              <w:ind w:left="113" w:right="113"/>
              <w:rPr>
                <w:b/>
                <w:bCs/>
                <w:sz w:val="16"/>
                <w:szCs w:val="16"/>
              </w:rPr>
            </w:pPr>
            <w:r w:rsidRPr="00E3622C">
              <w:rPr>
                <w:b/>
                <w:bCs/>
                <w:sz w:val="16"/>
                <w:szCs w:val="16"/>
              </w:rPr>
              <w:t>Upper confidence interval</w:t>
            </w:r>
          </w:p>
        </w:tc>
      </w:tr>
      <w:tr w:rsidR="00E3622C" w:rsidRPr="00E3622C" w14:paraId="22120E69" w14:textId="77777777" w:rsidTr="003B4E1A">
        <w:tc>
          <w:tcPr>
            <w:tcW w:w="1101" w:type="dxa"/>
            <w:tcBorders>
              <w:top w:val="single" w:sz="4" w:space="0" w:color="000000"/>
            </w:tcBorders>
            <w:shd w:val="clear" w:color="auto" w:fill="auto"/>
            <w:tcMar>
              <w:top w:w="0" w:type="dxa"/>
              <w:left w:w="108" w:type="dxa"/>
              <w:bottom w:w="0" w:type="dxa"/>
              <w:right w:w="108" w:type="dxa"/>
            </w:tcMar>
          </w:tcPr>
          <w:p w14:paraId="5BD5C68A"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Region</w:t>
            </w:r>
          </w:p>
        </w:tc>
        <w:tc>
          <w:tcPr>
            <w:tcW w:w="2585" w:type="dxa"/>
            <w:gridSpan w:val="3"/>
            <w:tcBorders>
              <w:top w:val="single" w:sz="4" w:space="0" w:color="000000"/>
            </w:tcBorders>
            <w:shd w:val="clear" w:color="auto" w:fill="auto"/>
            <w:tcMar>
              <w:top w:w="0" w:type="dxa"/>
              <w:left w:w="108" w:type="dxa"/>
              <w:bottom w:w="0" w:type="dxa"/>
              <w:right w:w="108" w:type="dxa"/>
            </w:tcMar>
          </w:tcPr>
          <w:p w14:paraId="332E7F90"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Rest of Scotland 05-07</w:t>
            </w:r>
          </w:p>
        </w:tc>
        <w:tc>
          <w:tcPr>
            <w:tcW w:w="850" w:type="dxa"/>
            <w:tcBorders>
              <w:top w:val="single" w:sz="4" w:space="0" w:color="000000"/>
            </w:tcBorders>
            <w:shd w:val="clear" w:color="auto" w:fill="auto"/>
            <w:tcMar>
              <w:top w:w="0" w:type="dxa"/>
              <w:left w:w="108" w:type="dxa"/>
              <w:bottom w:w="0" w:type="dxa"/>
              <w:right w:w="108" w:type="dxa"/>
            </w:tcMar>
          </w:tcPr>
          <w:p w14:paraId="19E0929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-6.3***</w:t>
            </w:r>
          </w:p>
        </w:tc>
        <w:tc>
          <w:tcPr>
            <w:tcW w:w="709" w:type="dxa"/>
            <w:gridSpan w:val="2"/>
            <w:tcBorders>
              <w:top w:val="single" w:sz="4" w:space="0" w:color="000000"/>
            </w:tcBorders>
            <w:shd w:val="clear" w:color="auto" w:fill="auto"/>
            <w:tcMar>
              <w:top w:w="0" w:type="dxa"/>
              <w:left w:w="108" w:type="dxa"/>
              <w:bottom w:w="0" w:type="dxa"/>
              <w:right w:w="108" w:type="dxa"/>
            </w:tcMar>
          </w:tcPr>
          <w:p w14:paraId="5763F46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851" w:type="dxa"/>
            <w:gridSpan w:val="2"/>
            <w:tcBorders>
              <w:top w:val="single" w:sz="4" w:space="0" w:color="000000"/>
            </w:tcBorders>
            <w:shd w:val="clear" w:color="auto" w:fill="auto"/>
            <w:tcMar>
              <w:top w:w="0" w:type="dxa"/>
              <w:left w:w="108" w:type="dxa"/>
              <w:bottom w:w="0" w:type="dxa"/>
              <w:right w:w="108" w:type="dxa"/>
            </w:tcMar>
          </w:tcPr>
          <w:p w14:paraId="30A32B6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-8.9</w:t>
            </w:r>
          </w:p>
        </w:tc>
        <w:tc>
          <w:tcPr>
            <w:tcW w:w="850" w:type="dxa"/>
            <w:gridSpan w:val="2"/>
            <w:tcBorders>
              <w:top w:val="single" w:sz="4" w:space="0" w:color="000000"/>
            </w:tcBorders>
            <w:shd w:val="clear" w:color="auto" w:fill="auto"/>
            <w:tcMar>
              <w:top w:w="0" w:type="dxa"/>
              <w:left w:w="108" w:type="dxa"/>
              <w:bottom w:w="0" w:type="dxa"/>
              <w:right w:w="108" w:type="dxa"/>
            </w:tcMar>
          </w:tcPr>
          <w:p w14:paraId="7EC57D3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-3.7</w:t>
            </w:r>
          </w:p>
        </w:tc>
        <w:tc>
          <w:tcPr>
            <w:tcW w:w="851" w:type="dxa"/>
            <w:gridSpan w:val="2"/>
            <w:tcBorders>
              <w:top w:val="single" w:sz="4" w:space="0" w:color="000000"/>
            </w:tcBorders>
            <w:shd w:val="clear" w:color="auto" w:fill="auto"/>
            <w:tcMar>
              <w:top w:w="0" w:type="dxa"/>
              <w:left w:w="108" w:type="dxa"/>
              <w:bottom w:w="0" w:type="dxa"/>
              <w:right w:w="108" w:type="dxa"/>
            </w:tcMar>
          </w:tcPr>
          <w:p w14:paraId="79617C8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-1.6</w:t>
            </w:r>
          </w:p>
        </w:tc>
        <w:tc>
          <w:tcPr>
            <w:tcW w:w="567" w:type="dxa"/>
            <w:tcBorders>
              <w:top w:val="single" w:sz="4" w:space="0" w:color="000000"/>
            </w:tcBorders>
            <w:shd w:val="clear" w:color="auto" w:fill="auto"/>
            <w:tcMar>
              <w:top w:w="0" w:type="dxa"/>
              <w:left w:w="10" w:type="dxa"/>
              <w:bottom w:w="0" w:type="dxa"/>
              <w:right w:w="10" w:type="dxa"/>
            </w:tcMar>
          </w:tcPr>
          <w:p w14:paraId="2BF3F17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tcBorders>
              <w:top w:val="single" w:sz="4" w:space="0" w:color="000000"/>
            </w:tcBorders>
            <w:shd w:val="clear" w:color="auto" w:fill="auto"/>
            <w:tcMar>
              <w:top w:w="0" w:type="dxa"/>
              <w:left w:w="10" w:type="dxa"/>
              <w:bottom w:w="0" w:type="dxa"/>
              <w:right w:w="10" w:type="dxa"/>
            </w:tcMar>
          </w:tcPr>
          <w:p w14:paraId="4883E7C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-4.3</w:t>
            </w:r>
          </w:p>
        </w:tc>
        <w:tc>
          <w:tcPr>
            <w:tcW w:w="567" w:type="dxa"/>
            <w:gridSpan w:val="2"/>
            <w:tcBorders>
              <w:top w:val="single" w:sz="4" w:space="0" w:color="000000"/>
            </w:tcBorders>
            <w:shd w:val="clear" w:color="auto" w:fill="auto"/>
            <w:tcMar>
              <w:top w:w="0" w:type="dxa"/>
              <w:left w:w="10" w:type="dxa"/>
              <w:bottom w:w="0" w:type="dxa"/>
              <w:right w:w="10" w:type="dxa"/>
            </w:tcMar>
          </w:tcPr>
          <w:p w14:paraId="0760A7C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1.0</w:t>
            </w:r>
          </w:p>
        </w:tc>
      </w:tr>
      <w:tr w:rsidR="00E3622C" w:rsidRPr="00E3622C" w14:paraId="0D0957BD" w14:textId="77777777" w:rsidTr="003B4E1A">
        <w:tc>
          <w:tcPr>
            <w:tcW w:w="1101" w:type="dxa"/>
            <w:shd w:val="clear" w:color="auto" w:fill="auto"/>
            <w:tcMar>
              <w:top w:w="0" w:type="dxa"/>
              <w:left w:w="108" w:type="dxa"/>
              <w:bottom w:w="0" w:type="dxa"/>
              <w:right w:w="108" w:type="dxa"/>
            </w:tcMar>
          </w:tcPr>
          <w:p w14:paraId="29BF88B2"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33EBD122"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Rest of Scotland 15-17</w:t>
            </w:r>
          </w:p>
        </w:tc>
        <w:tc>
          <w:tcPr>
            <w:tcW w:w="850" w:type="dxa"/>
            <w:shd w:val="clear" w:color="auto" w:fill="auto"/>
            <w:tcMar>
              <w:top w:w="0" w:type="dxa"/>
              <w:left w:w="108" w:type="dxa"/>
              <w:bottom w:w="0" w:type="dxa"/>
              <w:right w:w="108" w:type="dxa"/>
            </w:tcMar>
          </w:tcPr>
          <w:p w14:paraId="78C2CF3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-6.5***</w:t>
            </w:r>
          </w:p>
        </w:tc>
        <w:tc>
          <w:tcPr>
            <w:tcW w:w="709" w:type="dxa"/>
            <w:gridSpan w:val="2"/>
            <w:shd w:val="clear" w:color="auto" w:fill="auto"/>
            <w:tcMar>
              <w:top w:w="0" w:type="dxa"/>
              <w:left w:w="108" w:type="dxa"/>
              <w:bottom w:w="0" w:type="dxa"/>
              <w:right w:w="108" w:type="dxa"/>
            </w:tcMar>
          </w:tcPr>
          <w:p w14:paraId="6494E80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851" w:type="dxa"/>
            <w:gridSpan w:val="2"/>
            <w:shd w:val="clear" w:color="auto" w:fill="auto"/>
            <w:tcMar>
              <w:top w:w="0" w:type="dxa"/>
              <w:left w:w="108" w:type="dxa"/>
              <w:bottom w:w="0" w:type="dxa"/>
              <w:right w:w="108" w:type="dxa"/>
            </w:tcMar>
          </w:tcPr>
          <w:p w14:paraId="3F95DCB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-9.3</w:t>
            </w:r>
          </w:p>
        </w:tc>
        <w:tc>
          <w:tcPr>
            <w:tcW w:w="850" w:type="dxa"/>
            <w:gridSpan w:val="2"/>
            <w:shd w:val="clear" w:color="auto" w:fill="auto"/>
            <w:tcMar>
              <w:top w:w="0" w:type="dxa"/>
              <w:left w:w="108" w:type="dxa"/>
              <w:bottom w:w="0" w:type="dxa"/>
              <w:right w:w="108" w:type="dxa"/>
            </w:tcMar>
          </w:tcPr>
          <w:p w14:paraId="7341043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-3.6</w:t>
            </w:r>
          </w:p>
        </w:tc>
        <w:tc>
          <w:tcPr>
            <w:tcW w:w="851" w:type="dxa"/>
            <w:gridSpan w:val="2"/>
            <w:shd w:val="clear" w:color="auto" w:fill="auto"/>
            <w:tcMar>
              <w:top w:w="0" w:type="dxa"/>
              <w:left w:w="108" w:type="dxa"/>
              <w:bottom w:w="0" w:type="dxa"/>
              <w:right w:w="108" w:type="dxa"/>
            </w:tcMar>
          </w:tcPr>
          <w:p w14:paraId="204C750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-3.1*</w:t>
            </w:r>
          </w:p>
        </w:tc>
        <w:tc>
          <w:tcPr>
            <w:tcW w:w="567" w:type="dxa"/>
            <w:shd w:val="clear" w:color="auto" w:fill="auto"/>
            <w:tcMar>
              <w:top w:w="0" w:type="dxa"/>
              <w:left w:w="10" w:type="dxa"/>
              <w:bottom w:w="0" w:type="dxa"/>
              <w:right w:w="10" w:type="dxa"/>
            </w:tcMar>
          </w:tcPr>
          <w:p w14:paraId="3031369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567" w:type="dxa"/>
            <w:shd w:val="clear" w:color="auto" w:fill="auto"/>
            <w:tcMar>
              <w:top w:w="0" w:type="dxa"/>
              <w:left w:w="10" w:type="dxa"/>
              <w:bottom w:w="0" w:type="dxa"/>
              <w:right w:w="10" w:type="dxa"/>
            </w:tcMar>
          </w:tcPr>
          <w:p w14:paraId="6B077A5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-5.9</w:t>
            </w:r>
          </w:p>
        </w:tc>
        <w:tc>
          <w:tcPr>
            <w:tcW w:w="567" w:type="dxa"/>
            <w:gridSpan w:val="2"/>
            <w:shd w:val="clear" w:color="auto" w:fill="auto"/>
            <w:tcMar>
              <w:top w:w="0" w:type="dxa"/>
              <w:left w:w="10" w:type="dxa"/>
              <w:bottom w:w="0" w:type="dxa"/>
              <w:right w:w="10" w:type="dxa"/>
            </w:tcMar>
          </w:tcPr>
          <w:p w14:paraId="18EE679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-0.2</w:t>
            </w:r>
          </w:p>
        </w:tc>
      </w:tr>
      <w:tr w:rsidR="00E3622C" w:rsidRPr="00E3622C" w14:paraId="31A3C86B" w14:textId="77777777" w:rsidTr="003B4E1A">
        <w:tc>
          <w:tcPr>
            <w:tcW w:w="1101" w:type="dxa"/>
            <w:shd w:val="clear" w:color="auto" w:fill="auto"/>
            <w:tcMar>
              <w:top w:w="0" w:type="dxa"/>
              <w:left w:w="108" w:type="dxa"/>
              <w:bottom w:w="0" w:type="dxa"/>
              <w:right w:w="108" w:type="dxa"/>
            </w:tcMar>
          </w:tcPr>
          <w:p w14:paraId="3A77AA81"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1BD4DD39"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 xml:space="preserve">Rest of </w:t>
            </w:r>
            <w:proofErr w:type="spellStart"/>
            <w:r w:rsidRPr="00E3622C">
              <w:rPr>
                <w:sz w:val="16"/>
                <w:szCs w:val="16"/>
                <w:lang w:val="en-US"/>
              </w:rPr>
              <w:t>Yorks</w:t>
            </w:r>
            <w:proofErr w:type="spellEnd"/>
            <w:r w:rsidRPr="00E3622C">
              <w:rPr>
                <w:sz w:val="16"/>
                <w:szCs w:val="16"/>
                <w:lang w:val="en-US"/>
              </w:rPr>
              <w:t xml:space="preserve"> and Humberside 05-07</w:t>
            </w:r>
          </w:p>
        </w:tc>
        <w:tc>
          <w:tcPr>
            <w:tcW w:w="850" w:type="dxa"/>
            <w:shd w:val="clear" w:color="auto" w:fill="auto"/>
            <w:tcMar>
              <w:top w:w="0" w:type="dxa"/>
              <w:left w:w="108" w:type="dxa"/>
              <w:bottom w:w="0" w:type="dxa"/>
              <w:right w:w="108" w:type="dxa"/>
            </w:tcMar>
          </w:tcPr>
          <w:p w14:paraId="50379CB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-5.8***</w:t>
            </w:r>
          </w:p>
        </w:tc>
        <w:tc>
          <w:tcPr>
            <w:tcW w:w="709" w:type="dxa"/>
            <w:gridSpan w:val="2"/>
            <w:shd w:val="clear" w:color="auto" w:fill="auto"/>
            <w:tcMar>
              <w:top w:w="0" w:type="dxa"/>
              <w:left w:w="108" w:type="dxa"/>
              <w:bottom w:w="0" w:type="dxa"/>
              <w:right w:w="108" w:type="dxa"/>
            </w:tcMar>
          </w:tcPr>
          <w:p w14:paraId="0082E2A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851" w:type="dxa"/>
            <w:gridSpan w:val="2"/>
            <w:shd w:val="clear" w:color="auto" w:fill="auto"/>
            <w:tcMar>
              <w:top w:w="0" w:type="dxa"/>
              <w:left w:w="108" w:type="dxa"/>
              <w:bottom w:w="0" w:type="dxa"/>
              <w:right w:w="108" w:type="dxa"/>
            </w:tcMar>
          </w:tcPr>
          <w:p w14:paraId="383D1A6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-8.7</w:t>
            </w:r>
          </w:p>
        </w:tc>
        <w:tc>
          <w:tcPr>
            <w:tcW w:w="850" w:type="dxa"/>
            <w:gridSpan w:val="2"/>
            <w:shd w:val="clear" w:color="auto" w:fill="auto"/>
            <w:tcMar>
              <w:top w:w="0" w:type="dxa"/>
              <w:left w:w="108" w:type="dxa"/>
              <w:bottom w:w="0" w:type="dxa"/>
              <w:right w:w="108" w:type="dxa"/>
            </w:tcMar>
          </w:tcPr>
          <w:p w14:paraId="1B2A81B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-2.9</w:t>
            </w:r>
          </w:p>
        </w:tc>
        <w:tc>
          <w:tcPr>
            <w:tcW w:w="851" w:type="dxa"/>
            <w:gridSpan w:val="2"/>
            <w:shd w:val="clear" w:color="auto" w:fill="auto"/>
            <w:tcMar>
              <w:top w:w="0" w:type="dxa"/>
              <w:left w:w="108" w:type="dxa"/>
              <w:bottom w:w="0" w:type="dxa"/>
              <w:right w:w="108" w:type="dxa"/>
            </w:tcMar>
          </w:tcPr>
          <w:p w14:paraId="48BF136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-3.5*</w:t>
            </w:r>
          </w:p>
        </w:tc>
        <w:tc>
          <w:tcPr>
            <w:tcW w:w="567" w:type="dxa"/>
            <w:shd w:val="clear" w:color="auto" w:fill="auto"/>
            <w:tcMar>
              <w:top w:w="0" w:type="dxa"/>
              <w:left w:w="10" w:type="dxa"/>
              <w:bottom w:w="0" w:type="dxa"/>
              <w:right w:w="10" w:type="dxa"/>
            </w:tcMar>
          </w:tcPr>
          <w:p w14:paraId="65596DE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567" w:type="dxa"/>
            <w:shd w:val="clear" w:color="auto" w:fill="auto"/>
            <w:tcMar>
              <w:top w:w="0" w:type="dxa"/>
              <w:left w:w="10" w:type="dxa"/>
              <w:bottom w:w="0" w:type="dxa"/>
              <w:right w:w="10" w:type="dxa"/>
            </w:tcMar>
          </w:tcPr>
          <w:p w14:paraId="32D9217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-6.4</w:t>
            </w:r>
          </w:p>
        </w:tc>
        <w:tc>
          <w:tcPr>
            <w:tcW w:w="567" w:type="dxa"/>
            <w:gridSpan w:val="2"/>
            <w:shd w:val="clear" w:color="auto" w:fill="auto"/>
            <w:tcMar>
              <w:top w:w="0" w:type="dxa"/>
              <w:left w:w="10" w:type="dxa"/>
              <w:bottom w:w="0" w:type="dxa"/>
              <w:right w:w="10" w:type="dxa"/>
            </w:tcMar>
          </w:tcPr>
          <w:p w14:paraId="4EE4913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-0.5</w:t>
            </w:r>
          </w:p>
        </w:tc>
      </w:tr>
      <w:tr w:rsidR="00E3622C" w:rsidRPr="00E3622C" w14:paraId="67C723A2" w14:textId="77777777" w:rsidTr="003B4E1A">
        <w:tc>
          <w:tcPr>
            <w:tcW w:w="1101" w:type="dxa"/>
            <w:shd w:val="clear" w:color="auto" w:fill="auto"/>
            <w:tcMar>
              <w:top w:w="0" w:type="dxa"/>
              <w:left w:w="108" w:type="dxa"/>
              <w:bottom w:w="0" w:type="dxa"/>
              <w:right w:w="108" w:type="dxa"/>
            </w:tcMar>
          </w:tcPr>
          <w:p w14:paraId="734C77C0"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579AFA82"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 xml:space="preserve">Rest of </w:t>
            </w:r>
            <w:proofErr w:type="spellStart"/>
            <w:r w:rsidRPr="00E3622C">
              <w:rPr>
                <w:sz w:val="16"/>
                <w:szCs w:val="16"/>
                <w:lang w:val="en-US"/>
              </w:rPr>
              <w:t>Yorks</w:t>
            </w:r>
            <w:proofErr w:type="spellEnd"/>
            <w:r w:rsidRPr="00E3622C">
              <w:rPr>
                <w:sz w:val="16"/>
                <w:szCs w:val="16"/>
                <w:lang w:val="en-US"/>
              </w:rPr>
              <w:t xml:space="preserve"> and Humberside 15-17</w:t>
            </w:r>
          </w:p>
        </w:tc>
        <w:tc>
          <w:tcPr>
            <w:tcW w:w="850" w:type="dxa"/>
            <w:shd w:val="clear" w:color="auto" w:fill="auto"/>
            <w:tcMar>
              <w:top w:w="0" w:type="dxa"/>
              <w:left w:w="108" w:type="dxa"/>
              <w:bottom w:w="0" w:type="dxa"/>
              <w:right w:w="108" w:type="dxa"/>
            </w:tcMar>
          </w:tcPr>
          <w:p w14:paraId="6F892D8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-2.6</w:t>
            </w:r>
          </w:p>
        </w:tc>
        <w:tc>
          <w:tcPr>
            <w:tcW w:w="709" w:type="dxa"/>
            <w:gridSpan w:val="2"/>
            <w:shd w:val="clear" w:color="auto" w:fill="auto"/>
            <w:tcMar>
              <w:top w:w="0" w:type="dxa"/>
              <w:left w:w="108" w:type="dxa"/>
              <w:bottom w:w="0" w:type="dxa"/>
              <w:right w:w="108" w:type="dxa"/>
            </w:tcMar>
          </w:tcPr>
          <w:p w14:paraId="7CA3BDB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851" w:type="dxa"/>
            <w:gridSpan w:val="2"/>
            <w:shd w:val="clear" w:color="auto" w:fill="auto"/>
            <w:tcMar>
              <w:top w:w="0" w:type="dxa"/>
              <w:left w:w="108" w:type="dxa"/>
              <w:bottom w:w="0" w:type="dxa"/>
              <w:right w:w="108" w:type="dxa"/>
            </w:tcMar>
          </w:tcPr>
          <w:p w14:paraId="30B258D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-5.6</w:t>
            </w:r>
          </w:p>
        </w:tc>
        <w:tc>
          <w:tcPr>
            <w:tcW w:w="850" w:type="dxa"/>
            <w:gridSpan w:val="2"/>
            <w:shd w:val="clear" w:color="auto" w:fill="auto"/>
            <w:tcMar>
              <w:top w:w="0" w:type="dxa"/>
              <w:left w:w="108" w:type="dxa"/>
              <w:bottom w:w="0" w:type="dxa"/>
              <w:right w:w="108" w:type="dxa"/>
            </w:tcMar>
          </w:tcPr>
          <w:p w14:paraId="4506387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0.4</w:t>
            </w:r>
          </w:p>
        </w:tc>
        <w:tc>
          <w:tcPr>
            <w:tcW w:w="851" w:type="dxa"/>
            <w:gridSpan w:val="2"/>
            <w:shd w:val="clear" w:color="auto" w:fill="auto"/>
            <w:tcMar>
              <w:top w:w="0" w:type="dxa"/>
              <w:left w:w="108" w:type="dxa"/>
              <w:bottom w:w="0" w:type="dxa"/>
              <w:right w:w="108" w:type="dxa"/>
            </w:tcMar>
          </w:tcPr>
          <w:p w14:paraId="1AB0442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-2.9</w:t>
            </w:r>
          </w:p>
        </w:tc>
        <w:tc>
          <w:tcPr>
            <w:tcW w:w="567" w:type="dxa"/>
            <w:shd w:val="clear" w:color="auto" w:fill="auto"/>
            <w:tcMar>
              <w:top w:w="0" w:type="dxa"/>
              <w:left w:w="10" w:type="dxa"/>
              <w:bottom w:w="0" w:type="dxa"/>
              <w:right w:w="10" w:type="dxa"/>
            </w:tcMar>
          </w:tcPr>
          <w:p w14:paraId="77347F9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567" w:type="dxa"/>
            <w:shd w:val="clear" w:color="auto" w:fill="auto"/>
            <w:tcMar>
              <w:top w:w="0" w:type="dxa"/>
              <w:left w:w="10" w:type="dxa"/>
              <w:bottom w:w="0" w:type="dxa"/>
              <w:right w:w="10" w:type="dxa"/>
            </w:tcMar>
          </w:tcPr>
          <w:p w14:paraId="340F866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-5.9</w:t>
            </w:r>
          </w:p>
        </w:tc>
        <w:tc>
          <w:tcPr>
            <w:tcW w:w="567" w:type="dxa"/>
            <w:gridSpan w:val="2"/>
            <w:shd w:val="clear" w:color="auto" w:fill="auto"/>
            <w:tcMar>
              <w:top w:w="0" w:type="dxa"/>
              <w:left w:w="10" w:type="dxa"/>
              <w:bottom w:w="0" w:type="dxa"/>
              <w:right w:w="10" w:type="dxa"/>
            </w:tcMar>
          </w:tcPr>
          <w:p w14:paraId="52A38F8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0.1</w:t>
            </w:r>
          </w:p>
        </w:tc>
      </w:tr>
      <w:tr w:rsidR="00E3622C" w:rsidRPr="00E3622C" w14:paraId="1023C9D3" w14:textId="77777777" w:rsidTr="003B4E1A">
        <w:tc>
          <w:tcPr>
            <w:tcW w:w="1101" w:type="dxa"/>
            <w:shd w:val="clear" w:color="auto" w:fill="auto"/>
            <w:tcMar>
              <w:top w:w="0" w:type="dxa"/>
              <w:left w:w="108" w:type="dxa"/>
              <w:bottom w:w="0" w:type="dxa"/>
              <w:right w:w="108" w:type="dxa"/>
            </w:tcMar>
          </w:tcPr>
          <w:p w14:paraId="5DAEF104"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1B610743"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Northern Ireland 05-07</w:t>
            </w:r>
          </w:p>
        </w:tc>
        <w:tc>
          <w:tcPr>
            <w:tcW w:w="850" w:type="dxa"/>
            <w:shd w:val="clear" w:color="auto" w:fill="auto"/>
            <w:tcMar>
              <w:top w:w="0" w:type="dxa"/>
              <w:left w:w="108" w:type="dxa"/>
              <w:bottom w:w="0" w:type="dxa"/>
              <w:right w:w="108" w:type="dxa"/>
            </w:tcMar>
          </w:tcPr>
          <w:p w14:paraId="746062E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-5.5***</w:t>
            </w:r>
          </w:p>
        </w:tc>
        <w:tc>
          <w:tcPr>
            <w:tcW w:w="709" w:type="dxa"/>
            <w:gridSpan w:val="2"/>
            <w:shd w:val="clear" w:color="auto" w:fill="auto"/>
            <w:tcMar>
              <w:top w:w="0" w:type="dxa"/>
              <w:left w:w="108" w:type="dxa"/>
              <w:bottom w:w="0" w:type="dxa"/>
              <w:right w:w="108" w:type="dxa"/>
            </w:tcMar>
          </w:tcPr>
          <w:p w14:paraId="30BE9E9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851" w:type="dxa"/>
            <w:gridSpan w:val="2"/>
            <w:shd w:val="clear" w:color="auto" w:fill="auto"/>
            <w:tcMar>
              <w:top w:w="0" w:type="dxa"/>
              <w:left w:w="108" w:type="dxa"/>
              <w:bottom w:w="0" w:type="dxa"/>
              <w:right w:w="108" w:type="dxa"/>
            </w:tcMar>
          </w:tcPr>
          <w:p w14:paraId="1BD6F81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-8.1</w:t>
            </w:r>
          </w:p>
        </w:tc>
        <w:tc>
          <w:tcPr>
            <w:tcW w:w="850" w:type="dxa"/>
            <w:gridSpan w:val="2"/>
            <w:shd w:val="clear" w:color="auto" w:fill="auto"/>
            <w:tcMar>
              <w:top w:w="0" w:type="dxa"/>
              <w:left w:w="108" w:type="dxa"/>
              <w:bottom w:w="0" w:type="dxa"/>
              <w:right w:w="108" w:type="dxa"/>
            </w:tcMar>
          </w:tcPr>
          <w:p w14:paraId="20F7B5F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-2.9</w:t>
            </w:r>
          </w:p>
        </w:tc>
        <w:tc>
          <w:tcPr>
            <w:tcW w:w="851" w:type="dxa"/>
            <w:gridSpan w:val="2"/>
            <w:shd w:val="clear" w:color="auto" w:fill="auto"/>
            <w:tcMar>
              <w:top w:w="0" w:type="dxa"/>
              <w:left w:w="108" w:type="dxa"/>
              <w:bottom w:w="0" w:type="dxa"/>
              <w:right w:w="108" w:type="dxa"/>
            </w:tcMar>
          </w:tcPr>
          <w:p w14:paraId="5A0D708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-1.9</w:t>
            </w:r>
          </w:p>
        </w:tc>
        <w:tc>
          <w:tcPr>
            <w:tcW w:w="567" w:type="dxa"/>
            <w:shd w:val="clear" w:color="auto" w:fill="auto"/>
            <w:tcMar>
              <w:top w:w="0" w:type="dxa"/>
              <w:left w:w="10" w:type="dxa"/>
              <w:bottom w:w="0" w:type="dxa"/>
              <w:right w:w="10" w:type="dxa"/>
            </w:tcMar>
          </w:tcPr>
          <w:p w14:paraId="50A26E5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shd w:val="clear" w:color="auto" w:fill="auto"/>
            <w:tcMar>
              <w:top w:w="0" w:type="dxa"/>
              <w:left w:w="10" w:type="dxa"/>
              <w:bottom w:w="0" w:type="dxa"/>
              <w:right w:w="10" w:type="dxa"/>
            </w:tcMar>
          </w:tcPr>
          <w:p w14:paraId="026FD92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-4.6</w:t>
            </w:r>
          </w:p>
        </w:tc>
        <w:tc>
          <w:tcPr>
            <w:tcW w:w="567" w:type="dxa"/>
            <w:gridSpan w:val="2"/>
            <w:shd w:val="clear" w:color="auto" w:fill="auto"/>
            <w:tcMar>
              <w:top w:w="0" w:type="dxa"/>
              <w:left w:w="10" w:type="dxa"/>
              <w:bottom w:w="0" w:type="dxa"/>
              <w:right w:w="10" w:type="dxa"/>
            </w:tcMar>
          </w:tcPr>
          <w:p w14:paraId="17EA3C9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0.9</w:t>
            </w:r>
          </w:p>
        </w:tc>
      </w:tr>
      <w:tr w:rsidR="00E3622C" w:rsidRPr="00E3622C" w14:paraId="275F3F2F" w14:textId="77777777" w:rsidTr="003B4E1A">
        <w:tc>
          <w:tcPr>
            <w:tcW w:w="1101" w:type="dxa"/>
            <w:shd w:val="clear" w:color="auto" w:fill="auto"/>
            <w:tcMar>
              <w:top w:w="0" w:type="dxa"/>
              <w:left w:w="108" w:type="dxa"/>
              <w:bottom w:w="0" w:type="dxa"/>
              <w:right w:w="108" w:type="dxa"/>
            </w:tcMar>
          </w:tcPr>
          <w:p w14:paraId="48026105"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1E50CD97"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Northern Ireland 15-17</w:t>
            </w:r>
          </w:p>
        </w:tc>
        <w:tc>
          <w:tcPr>
            <w:tcW w:w="850" w:type="dxa"/>
            <w:shd w:val="clear" w:color="auto" w:fill="auto"/>
            <w:tcMar>
              <w:top w:w="0" w:type="dxa"/>
              <w:left w:w="108" w:type="dxa"/>
              <w:bottom w:w="0" w:type="dxa"/>
              <w:right w:w="108" w:type="dxa"/>
            </w:tcMar>
          </w:tcPr>
          <w:p w14:paraId="1CEBEC5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-5.0***</w:t>
            </w:r>
          </w:p>
        </w:tc>
        <w:tc>
          <w:tcPr>
            <w:tcW w:w="709" w:type="dxa"/>
            <w:gridSpan w:val="2"/>
            <w:shd w:val="clear" w:color="auto" w:fill="auto"/>
            <w:tcMar>
              <w:top w:w="0" w:type="dxa"/>
              <w:left w:w="108" w:type="dxa"/>
              <w:bottom w:w="0" w:type="dxa"/>
              <w:right w:w="108" w:type="dxa"/>
            </w:tcMar>
          </w:tcPr>
          <w:p w14:paraId="21D7120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851" w:type="dxa"/>
            <w:gridSpan w:val="2"/>
            <w:shd w:val="clear" w:color="auto" w:fill="auto"/>
            <w:tcMar>
              <w:top w:w="0" w:type="dxa"/>
              <w:left w:w="108" w:type="dxa"/>
              <w:bottom w:w="0" w:type="dxa"/>
              <w:right w:w="108" w:type="dxa"/>
            </w:tcMar>
          </w:tcPr>
          <w:p w14:paraId="52DAC45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-7.9</w:t>
            </w:r>
          </w:p>
        </w:tc>
        <w:tc>
          <w:tcPr>
            <w:tcW w:w="850" w:type="dxa"/>
            <w:gridSpan w:val="2"/>
            <w:shd w:val="clear" w:color="auto" w:fill="auto"/>
            <w:tcMar>
              <w:top w:w="0" w:type="dxa"/>
              <w:left w:w="108" w:type="dxa"/>
              <w:bottom w:w="0" w:type="dxa"/>
              <w:right w:w="108" w:type="dxa"/>
            </w:tcMar>
          </w:tcPr>
          <w:p w14:paraId="2DAB5A3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-2.1</w:t>
            </w:r>
          </w:p>
        </w:tc>
        <w:tc>
          <w:tcPr>
            <w:tcW w:w="851" w:type="dxa"/>
            <w:gridSpan w:val="2"/>
            <w:shd w:val="clear" w:color="auto" w:fill="auto"/>
            <w:tcMar>
              <w:top w:w="0" w:type="dxa"/>
              <w:left w:w="108" w:type="dxa"/>
              <w:bottom w:w="0" w:type="dxa"/>
              <w:right w:w="108" w:type="dxa"/>
            </w:tcMar>
          </w:tcPr>
          <w:p w14:paraId="21B06ED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-6.0***</w:t>
            </w:r>
          </w:p>
        </w:tc>
        <w:tc>
          <w:tcPr>
            <w:tcW w:w="567" w:type="dxa"/>
            <w:shd w:val="clear" w:color="auto" w:fill="auto"/>
            <w:tcMar>
              <w:top w:w="0" w:type="dxa"/>
              <w:left w:w="10" w:type="dxa"/>
              <w:bottom w:w="0" w:type="dxa"/>
              <w:right w:w="10" w:type="dxa"/>
            </w:tcMar>
          </w:tcPr>
          <w:p w14:paraId="0899ABF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1.6</w:t>
            </w:r>
          </w:p>
        </w:tc>
        <w:tc>
          <w:tcPr>
            <w:tcW w:w="567" w:type="dxa"/>
            <w:shd w:val="clear" w:color="auto" w:fill="auto"/>
            <w:tcMar>
              <w:top w:w="0" w:type="dxa"/>
              <w:left w:w="10" w:type="dxa"/>
              <w:bottom w:w="0" w:type="dxa"/>
              <w:right w:w="10" w:type="dxa"/>
            </w:tcMar>
          </w:tcPr>
          <w:p w14:paraId="0A66E57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-9.1</w:t>
            </w:r>
          </w:p>
        </w:tc>
        <w:tc>
          <w:tcPr>
            <w:tcW w:w="567" w:type="dxa"/>
            <w:gridSpan w:val="2"/>
            <w:shd w:val="clear" w:color="auto" w:fill="auto"/>
            <w:tcMar>
              <w:top w:w="0" w:type="dxa"/>
              <w:left w:w="10" w:type="dxa"/>
              <w:bottom w:w="0" w:type="dxa"/>
              <w:right w:w="10" w:type="dxa"/>
            </w:tcMar>
          </w:tcPr>
          <w:p w14:paraId="287EE68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-2.9</w:t>
            </w:r>
          </w:p>
        </w:tc>
      </w:tr>
      <w:tr w:rsidR="00E3622C" w:rsidRPr="00E3622C" w14:paraId="4EA31FD6" w14:textId="77777777" w:rsidTr="003B4E1A">
        <w:tc>
          <w:tcPr>
            <w:tcW w:w="1101" w:type="dxa"/>
            <w:shd w:val="clear" w:color="auto" w:fill="auto"/>
            <w:tcMar>
              <w:top w:w="0" w:type="dxa"/>
              <w:left w:w="108" w:type="dxa"/>
              <w:bottom w:w="0" w:type="dxa"/>
              <w:right w:w="108" w:type="dxa"/>
            </w:tcMar>
          </w:tcPr>
          <w:p w14:paraId="0C07BC01"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1FC4223F"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Tyne and Wear 05-07</w:t>
            </w:r>
          </w:p>
        </w:tc>
        <w:tc>
          <w:tcPr>
            <w:tcW w:w="850" w:type="dxa"/>
            <w:shd w:val="clear" w:color="auto" w:fill="auto"/>
            <w:tcMar>
              <w:top w:w="0" w:type="dxa"/>
              <w:left w:w="108" w:type="dxa"/>
              <w:bottom w:w="0" w:type="dxa"/>
              <w:right w:w="108" w:type="dxa"/>
            </w:tcMar>
          </w:tcPr>
          <w:p w14:paraId="426280F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-5.3***</w:t>
            </w:r>
          </w:p>
        </w:tc>
        <w:tc>
          <w:tcPr>
            <w:tcW w:w="709" w:type="dxa"/>
            <w:gridSpan w:val="2"/>
            <w:shd w:val="clear" w:color="auto" w:fill="auto"/>
            <w:tcMar>
              <w:top w:w="0" w:type="dxa"/>
              <w:left w:w="108" w:type="dxa"/>
              <w:bottom w:w="0" w:type="dxa"/>
              <w:right w:w="108" w:type="dxa"/>
            </w:tcMar>
          </w:tcPr>
          <w:p w14:paraId="57FB22E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851" w:type="dxa"/>
            <w:gridSpan w:val="2"/>
            <w:shd w:val="clear" w:color="auto" w:fill="auto"/>
            <w:tcMar>
              <w:top w:w="0" w:type="dxa"/>
              <w:left w:w="108" w:type="dxa"/>
              <w:bottom w:w="0" w:type="dxa"/>
              <w:right w:w="108" w:type="dxa"/>
            </w:tcMar>
          </w:tcPr>
          <w:p w14:paraId="5877E71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-8.3</w:t>
            </w:r>
          </w:p>
        </w:tc>
        <w:tc>
          <w:tcPr>
            <w:tcW w:w="850" w:type="dxa"/>
            <w:gridSpan w:val="2"/>
            <w:shd w:val="clear" w:color="auto" w:fill="auto"/>
            <w:tcMar>
              <w:top w:w="0" w:type="dxa"/>
              <w:left w:w="108" w:type="dxa"/>
              <w:bottom w:w="0" w:type="dxa"/>
              <w:right w:w="108" w:type="dxa"/>
            </w:tcMar>
          </w:tcPr>
          <w:p w14:paraId="0AE8528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-2.3</w:t>
            </w:r>
          </w:p>
        </w:tc>
        <w:tc>
          <w:tcPr>
            <w:tcW w:w="851" w:type="dxa"/>
            <w:gridSpan w:val="2"/>
            <w:shd w:val="clear" w:color="auto" w:fill="auto"/>
            <w:tcMar>
              <w:top w:w="0" w:type="dxa"/>
              <w:left w:w="108" w:type="dxa"/>
              <w:bottom w:w="0" w:type="dxa"/>
              <w:right w:w="108" w:type="dxa"/>
            </w:tcMar>
          </w:tcPr>
          <w:p w14:paraId="0DB2558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-0.1</w:t>
            </w:r>
          </w:p>
        </w:tc>
        <w:tc>
          <w:tcPr>
            <w:tcW w:w="567" w:type="dxa"/>
            <w:shd w:val="clear" w:color="auto" w:fill="auto"/>
            <w:tcMar>
              <w:top w:w="0" w:type="dxa"/>
              <w:left w:w="10" w:type="dxa"/>
              <w:bottom w:w="0" w:type="dxa"/>
              <w:right w:w="10" w:type="dxa"/>
            </w:tcMar>
          </w:tcPr>
          <w:p w14:paraId="0D8862D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1.6</w:t>
            </w:r>
          </w:p>
        </w:tc>
        <w:tc>
          <w:tcPr>
            <w:tcW w:w="567" w:type="dxa"/>
            <w:shd w:val="clear" w:color="auto" w:fill="auto"/>
            <w:tcMar>
              <w:top w:w="0" w:type="dxa"/>
              <w:left w:w="10" w:type="dxa"/>
              <w:bottom w:w="0" w:type="dxa"/>
              <w:right w:w="10" w:type="dxa"/>
            </w:tcMar>
          </w:tcPr>
          <w:p w14:paraId="444434B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-3.3</w:t>
            </w:r>
          </w:p>
        </w:tc>
        <w:tc>
          <w:tcPr>
            <w:tcW w:w="567" w:type="dxa"/>
            <w:gridSpan w:val="2"/>
            <w:shd w:val="clear" w:color="auto" w:fill="auto"/>
            <w:tcMar>
              <w:top w:w="0" w:type="dxa"/>
              <w:left w:w="10" w:type="dxa"/>
              <w:bottom w:w="0" w:type="dxa"/>
              <w:right w:w="10" w:type="dxa"/>
            </w:tcMar>
          </w:tcPr>
          <w:p w14:paraId="07A7E25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3.0</w:t>
            </w:r>
          </w:p>
        </w:tc>
      </w:tr>
      <w:tr w:rsidR="00E3622C" w:rsidRPr="00E3622C" w14:paraId="37990461" w14:textId="77777777" w:rsidTr="003B4E1A">
        <w:tc>
          <w:tcPr>
            <w:tcW w:w="1101" w:type="dxa"/>
            <w:shd w:val="clear" w:color="auto" w:fill="auto"/>
            <w:tcMar>
              <w:top w:w="0" w:type="dxa"/>
              <w:left w:w="108" w:type="dxa"/>
              <w:bottom w:w="0" w:type="dxa"/>
              <w:right w:w="108" w:type="dxa"/>
            </w:tcMar>
          </w:tcPr>
          <w:p w14:paraId="630934B9"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73389131"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Tyne and Wear 15-17</w:t>
            </w:r>
          </w:p>
        </w:tc>
        <w:tc>
          <w:tcPr>
            <w:tcW w:w="850" w:type="dxa"/>
            <w:shd w:val="clear" w:color="auto" w:fill="auto"/>
            <w:tcMar>
              <w:top w:w="0" w:type="dxa"/>
              <w:left w:w="108" w:type="dxa"/>
              <w:bottom w:w="0" w:type="dxa"/>
              <w:right w:w="108" w:type="dxa"/>
            </w:tcMar>
          </w:tcPr>
          <w:p w14:paraId="5C270BE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-2.1</w:t>
            </w:r>
          </w:p>
        </w:tc>
        <w:tc>
          <w:tcPr>
            <w:tcW w:w="709" w:type="dxa"/>
            <w:gridSpan w:val="2"/>
            <w:shd w:val="clear" w:color="auto" w:fill="auto"/>
            <w:tcMar>
              <w:top w:w="0" w:type="dxa"/>
              <w:left w:w="108" w:type="dxa"/>
              <w:bottom w:w="0" w:type="dxa"/>
              <w:right w:w="108" w:type="dxa"/>
            </w:tcMar>
          </w:tcPr>
          <w:p w14:paraId="61003D3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1.7</w:t>
            </w:r>
          </w:p>
        </w:tc>
        <w:tc>
          <w:tcPr>
            <w:tcW w:w="851" w:type="dxa"/>
            <w:gridSpan w:val="2"/>
            <w:shd w:val="clear" w:color="auto" w:fill="auto"/>
            <w:tcMar>
              <w:top w:w="0" w:type="dxa"/>
              <w:left w:w="108" w:type="dxa"/>
              <w:bottom w:w="0" w:type="dxa"/>
              <w:right w:w="108" w:type="dxa"/>
            </w:tcMar>
          </w:tcPr>
          <w:p w14:paraId="6139257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-5.4</w:t>
            </w:r>
          </w:p>
        </w:tc>
        <w:tc>
          <w:tcPr>
            <w:tcW w:w="850" w:type="dxa"/>
            <w:gridSpan w:val="2"/>
            <w:shd w:val="clear" w:color="auto" w:fill="auto"/>
            <w:tcMar>
              <w:top w:w="0" w:type="dxa"/>
              <w:left w:w="108" w:type="dxa"/>
              <w:bottom w:w="0" w:type="dxa"/>
              <w:right w:w="108" w:type="dxa"/>
            </w:tcMar>
          </w:tcPr>
          <w:p w14:paraId="685F592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851" w:type="dxa"/>
            <w:gridSpan w:val="2"/>
            <w:shd w:val="clear" w:color="auto" w:fill="auto"/>
            <w:tcMar>
              <w:top w:w="0" w:type="dxa"/>
              <w:left w:w="108" w:type="dxa"/>
              <w:bottom w:w="0" w:type="dxa"/>
              <w:right w:w="108" w:type="dxa"/>
            </w:tcMar>
          </w:tcPr>
          <w:p w14:paraId="2CEC81A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-2.6</w:t>
            </w:r>
          </w:p>
        </w:tc>
        <w:tc>
          <w:tcPr>
            <w:tcW w:w="567" w:type="dxa"/>
            <w:shd w:val="clear" w:color="auto" w:fill="auto"/>
            <w:tcMar>
              <w:top w:w="0" w:type="dxa"/>
              <w:left w:w="10" w:type="dxa"/>
              <w:bottom w:w="0" w:type="dxa"/>
              <w:right w:w="10" w:type="dxa"/>
            </w:tcMar>
          </w:tcPr>
          <w:p w14:paraId="083735B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1.7</w:t>
            </w:r>
          </w:p>
        </w:tc>
        <w:tc>
          <w:tcPr>
            <w:tcW w:w="567" w:type="dxa"/>
            <w:shd w:val="clear" w:color="auto" w:fill="auto"/>
            <w:tcMar>
              <w:top w:w="0" w:type="dxa"/>
              <w:left w:w="10" w:type="dxa"/>
              <w:bottom w:w="0" w:type="dxa"/>
              <w:right w:w="10" w:type="dxa"/>
            </w:tcMar>
          </w:tcPr>
          <w:p w14:paraId="4913A67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-6.0</w:t>
            </w:r>
          </w:p>
        </w:tc>
        <w:tc>
          <w:tcPr>
            <w:tcW w:w="567" w:type="dxa"/>
            <w:gridSpan w:val="2"/>
            <w:shd w:val="clear" w:color="auto" w:fill="auto"/>
            <w:tcMar>
              <w:top w:w="0" w:type="dxa"/>
              <w:left w:w="10" w:type="dxa"/>
              <w:bottom w:w="0" w:type="dxa"/>
              <w:right w:w="10" w:type="dxa"/>
            </w:tcMar>
          </w:tcPr>
          <w:p w14:paraId="11E5CA9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0.8</w:t>
            </w:r>
          </w:p>
        </w:tc>
      </w:tr>
      <w:tr w:rsidR="00E3622C" w:rsidRPr="00E3622C" w14:paraId="6F600445" w14:textId="77777777" w:rsidTr="003B4E1A">
        <w:trPr>
          <w:trHeight w:val="157"/>
        </w:trPr>
        <w:tc>
          <w:tcPr>
            <w:tcW w:w="1101" w:type="dxa"/>
            <w:shd w:val="clear" w:color="auto" w:fill="auto"/>
            <w:tcMar>
              <w:top w:w="0" w:type="dxa"/>
              <w:left w:w="108" w:type="dxa"/>
              <w:bottom w:w="0" w:type="dxa"/>
              <w:right w:w="108" w:type="dxa"/>
            </w:tcMar>
          </w:tcPr>
          <w:p w14:paraId="0449BFB4" w14:textId="77777777" w:rsidR="00E3622C" w:rsidRPr="00E3622C" w:rsidRDefault="00E3622C" w:rsidP="00C720DB">
            <w:pPr>
              <w:pStyle w:val="TableText"/>
              <w:spacing w:before="20" w:after="20" w:line="480" w:lineRule="auto"/>
              <w:rPr>
                <w:sz w:val="16"/>
                <w:szCs w:val="16"/>
              </w:rPr>
            </w:pPr>
          </w:p>
        </w:tc>
        <w:tc>
          <w:tcPr>
            <w:tcW w:w="2585" w:type="dxa"/>
            <w:gridSpan w:val="3"/>
            <w:shd w:val="clear" w:color="auto" w:fill="auto"/>
            <w:tcMar>
              <w:top w:w="0" w:type="dxa"/>
              <w:left w:w="108" w:type="dxa"/>
              <w:bottom w:w="0" w:type="dxa"/>
              <w:right w:w="108" w:type="dxa"/>
            </w:tcMar>
          </w:tcPr>
          <w:p w14:paraId="1C4C144A"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South Yorkshire 05-07</w:t>
            </w:r>
          </w:p>
        </w:tc>
        <w:tc>
          <w:tcPr>
            <w:tcW w:w="850" w:type="dxa"/>
            <w:shd w:val="clear" w:color="auto" w:fill="auto"/>
            <w:tcMar>
              <w:top w:w="0" w:type="dxa"/>
              <w:left w:w="108" w:type="dxa"/>
              <w:bottom w:w="0" w:type="dxa"/>
              <w:right w:w="108" w:type="dxa"/>
            </w:tcMar>
          </w:tcPr>
          <w:p w14:paraId="2DB321B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-5.1***</w:t>
            </w:r>
          </w:p>
        </w:tc>
        <w:tc>
          <w:tcPr>
            <w:tcW w:w="709" w:type="dxa"/>
            <w:gridSpan w:val="2"/>
            <w:shd w:val="clear" w:color="auto" w:fill="auto"/>
            <w:tcMar>
              <w:top w:w="0" w:type="dxa"/>
              <w:left w:w="108" w:type="dxa"/>
              <w:bottom w:w="0" w:type="dxa"/>
              <w:right w:w="108" w:type="dxa"/>
            </w:tcMar>
          </w:tcPr>
          <w:p w14:paraId="4C204FB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851" w:type="dxa"/>
            <w:gridSpan w:val="2"/>
            <w:shd w:val="clear" w:color="auto" w:fill="auto"/>
            <w:tcMar>
              <w:top w:w="0" w:type="dxa"/>
              <w:left w:w="108" w:type="dxa"/>
              <w:bottom w:w="0" w:type="dxa"/>
              <w:right w:w="108" w:type="dxa"/>
            </w:tcMar>
          </w:tcPr>
          <w:p w14:paraId="0E9F76E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-8.0</w:t>
            </w:r>
          </w:p>
        </w:tc>
        <w:tc>
          <w:tcPr>
            <w:tcW w:w="850" w:type="dxa"/>
            <w:gridSpan w:val="2"/>
            <w:shd w:val="clear" w:color="auto" w:fill="auto"/>
            <w:tcMar>
              <w:top w:w="0" w:type="dxa"/>
              <w:left w:w="108" w:type="dxa"/>
              <w:bottom w:w="0" w:type="dxa"/>
              <w:right w:w="108" w:type="dxa"/>
            </w:tcMar>
          </w:tcPr>
          <w:p w14:paraId="16A137B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-2.2</w:t>
            </w:r>
          </w:p>
        </w:tc>
        <w:tc>
          <w:tcPr>
            <w:tcW w:w="851" w:type="dxa"/>
            <w:gridSpan w:val="2"/>
            <w:shd w:val="clear" w:color="auto" w:fill="auto"/>
            <w:tcMar>
              <w:top w:w="0" w:type="dxa"/>
              <w:left w:w="108" w:type="dxa"/>
              <w:bottom w:w="0" w:type="dxa"/>
              <w:right w:w="108" w:type="dxa"/>
            </w:tcMar>
          </w:tcPr>
          <w:p w14:paraId="41E3190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-1.7</w:t>
            </w:r>
          </w:p>
        </w:tc>
        <w:tc>
          <w:tcPr>
            <w:tcW w:w="567" w:type="dxa"/>
            <w:shd w:val="clear" w:color="auto" w:fill="auto"/>
            <w:tcMar>
              <w:top w:w="0" w:type="dxa"/>
              <w:left w:w="10" w:type="dxa"/>
              <w:bottom w:w="0" w:type="dxa"/>
              <w:right w:w="10" w:type="dxa"/>
            </w:tcMar>
          </w:tcPr>
          <w:p w14:paraId="40433E0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1.6</w:t>
            </w:r>
          </w:p>
        </w:tc>
        <w:tc>
          <w:tcPr>
            <w:tcW w:w="567" w:type="dxa"/>
            <w:shd w:val="clear" w:color="auto" w:fill="auto"/>
            <w:tcMar>
              <w:top w:w="0" w:type="dxa"/>
              <w:left w:w="10" w:type="dxa"/>
              <w:bottom w:w="0" w:type="dxa"/>
              <w:right w:w="10" w:type="dxa"/>
            </w:tcMar>
          </w:tcPr>
          <w:p w14:paraId="6EAFD71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-4.9</w:t>
            </w:r>
          </w:p>
        </w:tc>
        <w:tc>
          <w:tcPr>
            <w:tcW w:w="567" w:type="dxa"/>
            <w:gridSpan w:val="2"/>
            <w:shd w:val="clear" w:color="auto" w:fill="auto"/>
            <w:tcMar>
              <w:top w:w="0" w:type="dxa"/>
              <w:left w:w="10" w:type="dxa"/>
              <w:bottom w:w="0" w:type="dxa"/>
              <w:right w:w="10" w:type="dxa"/>
            </w:tcMar>
          </w:tcPr>
          <w:p w14:paraId="6ADB051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r>
      <w:tr w:rsidR="00E3622C" w:rsidRPr="00E3622C" w14:paraId="64DDCF67" w14:textId="77777777" w:rsidTr="003B4E1A">
        <w:tc>
          <w:tcPr>
            <w:tcW w:w="1101" w:type="dxa"/>
            <w:shd w:val="clear" w:color="auto" w:fill="auto"/>
            <w:tcMar>
              <w:top w:w="0" w:type="dxa"/>
              <w:left w:w="108" w:type="dxa"/>
              <w:bottom w:w="0" w:type="dxa"/>
              <w:right w:w="108" w:type="dxa"/>
            </w:tcMar>
          </w:tcPr>
          <w:p w14:paraId="5190CA12"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3AA4E9E2"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South Yorkshire 15-17</w:t>
            </w:r>
          </w:p>
        </w:tc>
        <w:tc>
          <w:tcPr>
            <w:tcW w:w="850" w:type="dxa"/>
            <w:shd w:val="clear" w:color="auto" w:fill="auto"/>
            <w:tcMar>
              <w:top w:w="0" w:type="dxa"/>
              <w:left w:w="108" w:type="dxa"/>
              <w:bottom w:w="0" w:type="dxa"/>
              <w:right w:w="108" w:type="dxa"/>
            </w:tcMar>
          </w:tcPr>
          <w:p w14:paraId="63AD58A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-1.8</w:t>
            </w:r>
          </w:p>
        </w:tc>
        <w:tc>
          <w:tcPr>
            <w:tcW w:w="709" w:type="dxa"/>
            <w:gridSpan w:val="2"/>
            <w:shd w:val="clear" w:color="auto" w:fill="auto"/>
            <w:tcMar>
              <w:top w:w="0" w:type="dxa"/>
              <w:left w:w="108" w:type="dxa"/>
              <w:bottom w:w="0" w:type="dxa"/>
              <w:right w:w="108" w:type="dxa"/>
            </w:tcMar>
          </w:tcPr>
          <w:p w14:paraId="0C2F829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1.6</w:t>
            </w:r>
          </w:p>
        </w:tc>
        <w:tc>
          <w:tcPr>
            <w:tcW w:w="851" w:type="dxa"/>
            <w:gridSpan w:val="2"/>
            <w:shd w:val="clear" w:color="auto" w:fill="auto"/>
            <w:tcMar>
              <w:top w:w="0" w:type="dxa"/>
              <w:left w:w="108" w:type="dxa"/>
              <w:bottom w:w="0" w:type="dxa"/>
              <w:right w:w="108" w:type="dxa"/>
            </w:tcMar>
          </w:tcPr>
          <w:p w14:paraId="15B1DF5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-5.0</w:t>
            </w:r>
          </w:p>
        </w:tc>
        <w:tc>
          <w:tcPr>
            <w:tcW w:w="850" w:type="dxa"/>
            <w:gridSpan w:val="2"/>
            <w:shd w:val="clear" w:color="auto" w:fill="auto"/>
            <w:tcMar>
              <w:top w:w="0" w:type="dxa"/>
              <w:left w:w="108" w:type="dxa"/>
              <w:bottom w:w="0" w:type="dxa"/>
              <w:right w:w="108" w:type="dxa"/>
            </w:tcMar>
          </w:tcPr>
          <w:p w14:paraId="63D178B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851" w:type="dxa"/>
            <w:gridSpan w:val="2"/>
            <w:shd w:val="clear" w:color="auto" w:fill="auto"/>
            <w:tcMar>
              <w:top w:w="0" w:type="dxa"/>
              <w:left w:w="108" w:type="dxa"/>
              <w:bottom w:w="0" w:type="dxa"/>
              <w:right w:w="108" w:type="dxa"/>
            </w:tcMar>
          </w:tcPr>
          <w:p w14:paraId="7612326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567" w:type="dxa"/>
            <w:shd w:val="clear" w:color="auto" w:fill="auto"/>
            <w:tcMar>
              <w:top w:w="0" w:type="dxa"/>
              <w:left w:w="10" w:type="dxa"/>
              <w:bottom w:w="0" w:type="dxa"/>
              <w:right w:w="10" w:type="dxa"/>
            </w:tcMar>
          </w:tcPr>
          <w:p w14:paraId="3325167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1.6</w:t>
            </w:r>
          </w:p>
        </w:tc>
        <w:tc>
          <w:tcPr>
            <w:tcW w:w="567" w:type="dxa"/>
            <w:shd w:val="clear" w:color="auto" w:fill="auto"/>
            <w:tcMar>
              <w:top w:w="0" w:type="dxa"/>
              <w:left w:w="10" w:type="dxa"/>
              <w:bottom w:w="0" w:type="dxa"/>
              <w:right w:w="10" w:type="dxa"/>
            </w:tcMar>
          </w:tcPr>
          <w:p w14:paraId="30DB230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-4.4</w:t>
            </w:r>
          </w:p>
        </w:tc>
        <w:tc>
          <w:tcPr>
            <w:tcW w:w="567" w:type="dxa"/>
            <w:gridSpan w:val="2"/>
            <w:shd w:val="clear" w:color="auto" w:fill="auto"/>
            <w:tcMar>
              <w:top w:w="0" w:type="dxa"/>
              <w:left w:w="10" w:type="dxa"/>
              <w:bottom w:w="0" w:type="dxa"/>
              <w:right w:w="10" w:type="dxa"/>
            </w:tcMar>
          </w:tcPr>
          <w:p w14:paraId="61DC8B6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1.9</w:t>
            </w:r>
          </w:p>
        </w:tc>
      </w:tr>
      <w:tr w:rsidR="00E3622C" w:rsidRPr="00E3622C" w14:paraId="39E5D460" w14:textId="77777777" w:rsidTr="003B4E1A">
        <w:tc>
          <w:tcPr>
            <w:tcW w:w="1101" w:type="dxa"/>
            <w:shd w:val="clear" w:color="auto" w:fill="auto"/>
            <w:tcMar>
              <w:top w:w="0" w:type="dxa"/>
              <w:left w:w="108" w:type="dxa"/>
              <w:bottom w:w="0" w:type="dxa"/>
              <w:right w:w="108" w:type="dxa"/>
            </w:tcMar>
          </w:tcPr>
          <w:p w14:paraId="2C6A9775"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104132B5"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Wales 05-07</w:t>
            </w:r>
          </w:p>
        </w:tc>
        <w:tc>
          <w:tcPr>
            <w:tcW w:w="850" w:type="dxa"/>
            <w:shd w:val="clear" w:color="auto" w:fill="auto"/>
            <w:tcMar>
              <w:top w:w="0" w:type="dxa"/>
              <w:left w:w="108" w:type="dxa"/>
              <w:bottom w:w="0" w:type="dxa"/>
              <w:right w:w="108" w:type="dxa"/>
            </w:tcMar>
          </w:tcPr>
          <w:p w14:paraId="3042FD0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-4.9***</w:t>
            </w:r>
          </w:p>
        </w:tc>
        <w:tc>
          <w:tcPr>
            <w:tcW w:w="709" w:type="dxa"/>
            <w:gridSpan w:val="2"/>
            <w:shd w:val="clear" w:color="auto" w:fill="auto"/>
            <w:tcMar>
              <w:top w:w="0" w:type="dxa"/>
              <w:left w:w="108" w:type="dxa"/>
              <w:bottom w:w="0" w:type="dxa"/>
              <w:right w:w="108" w:type="dxa"/>
            </w:tcMar>
          </w:tcPr>
          <w:p w14:paraId="14F0F27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851" w:type="dxa"/>
            <w:gridSpan w:val="2"/>
            <w:shd w:val="clear" w:color="auto" w:fill="auto"/>
            <w:tcMar>
              <w:top w:w="0" w:type="dxa"/>
              <w:left w:w="108" w:type="dxa"/>
              <w:bottom w:w="0" w:type="dxa"/>
              <w:right w:w="108" w:type="dxa"/>
            </w:tcMar>
          </w:tcPr>
          <w:p w14:paraId="7A93B18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-7.5</w:t>
            </w:r>
          </w:p>
        </w:tc>
        <w:tc>
          <w:tcPr>
            <w:tcW w:w="850" w:type="dxa"/>
            <w:gridSpan w:val="2"/>
            <w:shd w:val="clear" w:color="auto" w:fill="auto"/>
            <w:tcMar>
              <w:top w:w="0" w:type="dxa"/>
              <w:left w:w="108" w:type="dxa"/>
              <w:bottom w:w="0" w:type="dxa"/>
              <w:right w:w="108" w:type="dxa"/>
            </w:tcMar>
          </w:tcPr>
          <w:p w14:paraId="0F0E552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-2.3</w:t>
            </w:r>
          </w:p>
        </w:tc>
        <w:tc>
          <w:tcPr>
            <w:tcW w:w="851" w:type="dxa"/>
            <w:gridSpan w:val="2"/>
            <w:shd w:val="clear" w:color="auto" w:fill="auto"/>
            <w:tcMar>
              <w:top w:w="0" w:type="dxa"/>
              <w:left w:w="108" w:type="dxa"/>
              <w:bottom w:w="0" w:type="dxa"/>
              <w:right w:w="108" w:type="dxa"/>
            </w:tcMar>
          </w:tcPr>
          <w:p w14:paraId="33E542D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-2.2</w:t>
            </w:r>
          </w:p>
        </w:tc>
        <w:tc>
          <w:tcPr>
            <w:tcW w:w="567" w:type="dxa"/>
            <w:shd w:val="clear" w:color="auto" w:fill="auto"/>
            <w:tcMar>
              <w:top w:w="0" w:type="dxa"/>
              <w:left w:w="10" w:type="dxa"/>
              <w:bottom w:w="0" w:type="dxa"/>
              <w:right w:w="10" w:type="dxa"/>
            </w:tcMar>
          </w:tcPr>
          <w:p w14:paraId="7D41CFC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567" w:type="dxa"/>
            <w:shd w:val="clear" w:color="auto" w:fill="auto"/>
            <w:tcMar>
              <w:top w:w="0" w:type="dxa"/>
              <w:left w:w="10" w:type="dxa"/>
              <w:bottom w:w="0" w:type="dxa"/>
              <w:right w:w="10" w:type="dxa"/>
            </w:tcMar>
          </w:tcPr>
          <w:p w14:paraId="60CCDC6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-4.8</w:t>
            </w:r>
          </w:p>
        </w:tc>
        <w:tc>
          <w:tcPr>
            <w:tcW w:w="567" w:type="dxa"/>
            <w:gridSpan w:val="2"/>
            <w:shd w:val="clear" w:color="auto" w:fill="auto"/>
            <w:tcMar>
              <w:top w:w="0" w:type="dxa"/>
              <w:left w:w="10" w:type="dxa"/>
              <w:bottom w:w="0" w:type="dxa"/>
              <w:right w:w="10" w:type="dxa"/>
            </w:tcMar>
          </w:tcPr>
          <w:p w14:paraId="2E3171C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0.4</w:t>
            </w:r>
          </w:p>
        </w:tc>
      </w:tr>
      <w:tr w:rsidR="00E3622C" w:rsidRPr="00E3622C" w14:paraId="5947D584" w14:textId="77777777" w:rsidTr="003B4E1A">
        <w:tc>
          <w:tcPr>
            <w:tcW w:w="1101" w:type="dxa"/>
            <w:shd w:val="clear" w:color="auto" w:fill="auto"/>
            <w:tcMar>
              <w:top w:w="0" w:type="dxa"/>
              <w:left w:w="108" w:type="dxa"/>
              <w:bottom w:w="0" w:type="dxa"/>
              <w:right w:w="108" w:type="dxa"/>
            </w:tcMar>
          </w:tcPr>
          <w:p w14:paraId="411149DB"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4F4B2E60"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Wales 15-17</w:t>
            </w:r>
          </w:p>
        </w:tc>
        <w:tc>
          <w:tcPr>
            <w:tcW w:w="850" w:type="dxa"/>
            <w:shd w:val="clear" w:color="auto" w:fill="auto"/>
            <w:tcMar>
              <w:top w:w="0" w:type="dxa"/>
              <w:left w:w="108" w:type="dxa"/>
              <w:bottom w:w="0" w:type="dxa"/>
              <w:right w:w="108" w:type="dxa"/>
            </w:tcMar>
          </w:tcPr>
          <w:p w14:paraId="123EEE3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-3.4*</w:t>
            </w:r>
          </w:p>
        </w:tc>
        <w:tc>
          <w:tcPr>
            <w:tcW w:w="709" w:type="dxa"/>
            <w:gridSpan w:val="2"/>
            <w:shd w:val="clear" w:color="auto" w:fill="auto"/>
            <w:tcMar>
              <w:top w:w="0" w:type="dxa"/>
              <w:left w:w="108" w:type="dxa"/>
              <w:bottom w:w="0" w:type="dxa"/>
              <w:right w:w="108" w:type="dxa"/>
            </w:tcMar>
          </w:tcPr>
          <w:p w14:paraId="1345AFE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851" w:type="dxa"/>
            <w:gridSpan w:val="2"/>
            <w:shd w:val="clear" w:color="auto" w:fill="auto"/>
            <w:tcMar>
              <w:top w:w="0" w:type="dxa"/>
              <w:left w:w="108" w:type="dxa"/>
              <w:bottom w:w="0" w:type="dxa"/>
              <w:right w:w="108" w:type="dxa"/>
            </w:tcMar>
          </w:tcPr>
          <w:p w14:paraId="737A681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-6.2</w:t>
            </w:r>
          </w:p>
        </w:tc>
        <w:tc>
          <w:tcPr>
            <w:tcW w:w="850" w:type="dxa"/>
            <w:gridSpan w:val="2"/>
            <w:shd w:val="clear" w:color="auto" w:fill="auto"/>
            <w:tcMar>
              <w:top w:w="0" w:type="dxa"/>
              <w:left w:w="108" w:type="dxa"/>
              <w:bottom w:w="0" w:type="dxa"/>
              <w:right w:w="108" w:type="dxa"/>
            </w:tcMar>
          </w:tcPr>
          <w:p w14:paraId="39F9250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c>
          <w:tcPr>
            <w:tcW w:w="851" w:type="dxa"/>
            <w:gridSpan w:val="2"/>
            <w:shd w:val="clear" w:color="auto" w:fill="auto"/>
            <w:tcMar>
              <w:top w:w="0" w:type="dxa"/>
              <w:left w:w="108" w:type="dxa"/>
              <w:bottom w:w="0" w:type="dxa"/>
              <w:right w:w="108" w:type="dxa"/>
            </w:tcMar>
          </w:tcPr>
          <w:p w14:paraId="260D9CF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-2.8</w:t>
            </w:r>
          </w:p>
        </w:tc>
        <w:tc>
          <w:tcPr>
            <w:tcW w:w="567" w:type="dxa"/>
            <w:shd w:val="clear" w:color="auto" w:fill="auto"/>
            <w:tcMar>
              <w:top w:w="0" w:type="dxa"/>
              <w:left w:w="10" w:type="dxa"/>
              <w:bottom w:w="0" w:type="dxa"/>
              <w:right w:w="10" w:type="dxa"/>
            </w:tcMar>
          </w:tcPr>
          <w:p w14:paraId="734B5E0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shd w:val="clear" w:color="auto" w:fill="auto"/>
            <w:tcMar>
              <w:top w:w="0" w:type="dxa"/>
              <w:left w:w="10" w:type="dxa"/>
              <w:bottom w:w="0" w:type="dxa"/>
              <w:right w:w="10" w:type="dxa"/>
            </w:tcMar>
          </w:tcPr>
          <w:p w14:paraId="2D6362D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-5.6</w:t>
            </w:r>
          </w:p>
        </w:tc>
        <w:tc>
          <w:tcPr>
            <w:tcW w:w="567" w:type="dxa"/>
            <w:gridSpan w:val="2"/>
            <w:shd w:val="clear" w:color="auto" w:fill="auto"/>
            <w:tcMar>
              <w:top w:w="0" w:type="dxa"/>
              <w:left w:w="10" w:type="dxa"/>
              <w:bottom w:w="0" w:type="dxa"/>
              <w:right w:w="10" w:type="dxa"/>
            </w:tcMar>
          </w:tcPr>
          <w:p w14:paraId="58D4081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0.0</w:t>
            </w:r>
          </w:p>
        </w:tc>
      </w:tr>
      <w:tr w:rsidR="00E3622C" w:rsidRPr="00E3622C" w14:paraId="769118A7" w14:textId="77777777" w:rsidTr="003B4E1A">
        <w:tc>
          <w:tcPr>
            <w:tcW w:w="1101" w:type="dxa"/>
            <w:shd w:val="clear" w:color="auto" w:fill="auto"/>
            <w:tcMar>
              <w:top w:w="0" w:type="dxa"/>
              <w:left w:w="108" w:type="dxa"/>
              <w:bottom w:w="0" w:type="dxa"/>
              <w:right w:w="108" w:type="dxa"/>
            </w:tcMar>
          </w:tcPr>
          <w:p w14:paraId="33D6FD66"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59C400BA"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Merseyside 05-07</w:t>
            </w:r>
          </w:p>
        </w:tc>
        <w:tc>
          <w:tcPr>
            <w:tcW w:w="850" w:type="dxa"/>
            <w:shd w:val="clear" w:color="auto" w:fill="auto"/>
            <w:tcMar>
              <w:top w:w="0" w:type="dxa"/>
              <w:left w:w="108" w:type="dxa"/>
              <w:bottom w:w="0" w:type="dxa"/>
              <w:right w:w="108" w:type="dxa"/>
            </w:tcMar>
          </w:tcPr>
          <w:p w14:paraId="4F5CD52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-4.4*</w:t>
            </w:r>
          </w:p>
        </w:tc>
        <w:tc>
          <w:tcPr>
            <w:tcW w:w="709" w:type="dxa"/>
            <w:gridSpan w:val="2"/>
            <w:shd w:val="clear" w:color="auto" w:fill="auto"/>
            <w:tcMar>
              <w:top w:w="0" w:type="dxa"/>
              <w:left w:w="108" w:type="dxa"/>
              <w:bottom w:w="0" w:type="dxa"/>
              <w:right w:w="108" w:type="dxa"/>
            </w:tcMar>
          </w:tcPr>
          <w:p w14:paraId="376952F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851" w:type="dxa"/>
            <w:gridSpan w:val="2"/>
            <w:shd w:val="clear" w:color="auto" w:fill="auto"/>
            <w:tcMar>
              <w:top w:w="0" w:type="dxa"/>
              <w:left w:w="108" w:type="dxa"/>
              <w:bottom w:w="0" w:type="dxa"/>
              <w:right w:w="108" w:type="dxa"/>
            </w:tcMar>
          </w:tcPr>
          <w:p w14:paraId="5EA0B0D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-7.3</w:t>
            </w:r>
          </w:p>
        </w:tc>
        <w:tc>
          <w:tcPr>
            <w:tcW w:w="850" w:type="dxa"/>
            <w:gridSpan w:val="2"/>
            <w:shd w:val="clear" w:color="auto" w:fill="auto"/>
            <w:tcMar>
              <w:top w:w="0" w:type="dxa"/>
              <w:left w:w="108" w:type="dxa"/>
              <w:bottom w:w="0" w:type="dxa"/>
              <w:right w:w="108" w:type="dxa"/>
            </w:tcMar>
          </w:tcPr>
          <w:p w14:paraId="55ADCDA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851" w:type="dxa"/>
            <w:gridSpan w:val="2"/>
            <w:shd w:val="clear" w:color="auto" w:fill="auto"/>
            <w:tcMar>
              <w:top w:w="0" w:type="dxa"/>
              <w:left w:w="108" w:type="dxa"/>
              <w:bottom w:w="0" w:type="dxa"/>
              <w:right w:w="108" w:type="dxa"/>
            </w:tcMar>
          </w:tcPr>
          <w:p w14:paraId="07B832F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-1.0</w:t>
            </w:r>
          </w:p>
        </w:tc>
        <w:tc>
          <w:tcPr>
            <w:tcW w:w="567" w:type="dxa"/>
            <w:shd w:val="clear" w:color="auto" w:fill="auto"/>
            <w:tcMar>
              <w:top w:w="0" w:type="dxa"/>
              <w:left w:w="10" w:type="dxa"/>
              <w:bottom w:w="0" w:type="dxa"/>
              <w:right w:w="10" w:type="dxa"/>
            </w:tcMar>
          </w:tcPr>
          <w:p w14:paraId="40876A9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1.6</w:t>
            </w:r>
          </w:p>
        </w:tc>
        <w:tc>
          <w:tcPr>
            <w:tcW w:w="567" w:type="dxa"/>
            <w:shd w:val="clear" w:color="auto" w:fill="auto"/>
            <w:tcMar>
              <w:top w:w="0" w:type="dxa"/>
              <w:left w:w="10" w:type="dxa"/>
              <w:bottom w:w="0" w:type="dxa"/>
              <w:right w:w="10" w:type="dxa"/>
            </w:tcMar>
          </w:tcPr>
          <w:p w14:paraId="26112CA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-4.1</w:t>
            </w:r>
          </w:p>
        </w:tc>
        <w:tc>
          <w:tcPr>
            <w:tcW w:w="567" w:type="dxa"/>
            <w:gridSpan w:val="2"/>
            <w:shd w:val="clear" w:color="auto" w:fill="auto"/>
            <w:tcMar>
              <w:top w:w="0" w:type="dxa"/>
              <w:left w:w="10" w:type="dxa"/>
              <w:bottom w:w="0" w:type="dxa"/>
              <w:right w:w="10" w:type="dxa"/>
            </w:tcMar>
          </w:tcPr>
          <w:p w14:paraId="7BEAB79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2.1</w:t>
            </w:r>
          </w:p>
        </w:tc>
      </w:tr>
      <w:tr w:rsidR="00E3622C" w:rsidRPr="00E3622C" w14:paraId="078A06AF" w14:textId="77777777" w:rsidTr="003B4E1A">
        <w:tc>
          <w:tcPr>
            <w:tcW w:w="1101" w:type="dxa"/>
            <w:shd w:val="clear" w:color="auto" w:fill="auto"/>
            <w:tcMar>
              <w:top w:w="0" w:type="dxa"/>
              <w:left w:w="108" w:type="dxa"/>
              <w:bottom w:w="0" w:type="dxa"/>
              <w:right w:w="108" w:type="dxa"/>
            </w:tcMar>
          </w:tcPr>
          <w:p w14:paraId="376BBCEC"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3B3B861F"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Merseyside 15-17</w:t>
            </w:r>
          </w:p>
        </w:tc>
        <w:tc>
          <w:tcPr>
            <w:tcW w:w="850" w:type="dxa"/>
            <w:shd w:val="clear" w:color="auto" w:fill="auto"/>
            <w:tcMar>
              <w:top w:w="0" w:type="dxa"/>
              <w:left w:w="108" w:type="dxa"/>
              <w:bottom w:w="0" w:type="dxa"/>
              <w:right w:w="108" w:type="dxa"/>
            </w:tcMar>
          </w:tcPr>
          <w:p w14:paraId="75952BA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709" w:type="dxa"/>
            <w:gridSpan w:val="2"/>
            <w:shd w:val="clear" w:color="auto" w:fill="auto"/>
            <w:tcMar>
              <w:top w:w="0" w:type="dxa"/>
              <w:left w:w="108" w:type="dxa"/>
              <w:bottom w:w="0" w:type="dxa"/>
              <w:right w:w="108" w:type="dxa"/>
            </w:tcMar>
          </w:tcPr>
          <w:p w14:paraId="76B9729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1.8</w:t>
            </w:r>
          </w:p>
        </w:tc>
        <w:tc>
          <w:tcPr>
            <w:tcW w:w="851" w:type="dxa"/>
            <w:gridSpan w:val="2"/>
            <w:shd w:val="clear" w:color="auto" w:fill="auto"/>
            <w:tcMar>
              <w:top w:w="0" w:type="dxa"/>
              <w:left w:w="108" w:type="dxa"/>
              <w:bottom w:w="0" w:type="dxa"/>
              <w:right w:w="108" w:type="dxa"/>
            </w:tcMar>
          </w:tcPr>
          <w:p w14:paraId="436D4C7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-4.8</w:t>
            </w:r>
          </w:p>
        </w:tc>
        <w:tc>
          <w:tcPr>
            <w:tcW w:w="850" w:type="dxa"/>
            <w:gridSpan w:val="2"/>
            <w:shd w:val="clear" w:color="auto" w:fill="auto"/>
            <w:tcMar>
              <w:top w:w="0" w:type="dxa"/>
              <w:left w:w="108" w:type="dxa"/>
              <w:bottom w:w="0" w:type="dxa"/>
              <w:right w:w="108" w:type="dxa"/>
            </w:tcMar>
          </w:tcPr>
          <w:p w14:paraId="531A593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2.3</w:t>
            </w:r>
          </w:p>
        </w:tc>
        <w:tc>
          <w:tcPr>
            <w:tcW w:w="851" w:type="dxa"/>
            <w:gridSpan w:val="2"/>
            <w:shd w:val="clear" w:color="auto" w:fill="auto"/>
            <w:tcMar>
              <w:top w:w="0" w:type="dxa"/>
              <w:left w:w="108" w:type="dxa"/>
              <w:bottom w:w="0" w:type="dxa"/>
              <w:right w:w="108" w:type="dxa"/>
            </w:tcMar>
          </w:tcPr>
          <w:p w14:paraId="34DCE4A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-2.2</w:t>
            </w:r>
          </w:p>
        </w:tc>
        <w:tc>
          <w:tcPr>
            <w:tcW w:w="567" w:type="dxa"/>
            <w:shd w:val="clear" w:color="auto" w:fill="auto"/>
            <w:tcMar>
              <w:top w:w="0" w:type="dxa"/>
              <w:left w:w="10" w:type="dxa"/>
              <w:bottom w:w="0" w:type="dxa"/>
              <w:right w:w="10" w:type="dxa"/>
            </w:tcMar>
          </w:tcPr>
          <w:p w14:paraId="193D90F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1.7</w:t>
            </w:r>
          </w:p>
        </w:tc>
        <w:tc>
          <w:tcPr>
            <w:tcW w:w="567" w:type="dxa"/>
            <w:shd w:val="clear" w:color="auto" w:fill="auto"/>
            <w:tcMar>
              <w:top w:w="0" w:type="dxa"/>
              <w:left w:w="10" w:type="dxa"/>
              <w:bottom w:w="0" w:type="dxa"/>
              <w:right w:w="10" w:type="dxa"/>
            </w:tcMar>
          </w:tcPr>
          <w:p w14:paraId="69EE746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-5.5</w:t>
            </w:r>
          </w:p>
        </w:tc>
        <w:tc>
          <w:tcPr>
            <w:tcW w:w="567" w:type="dxa"/>
            <w:gridSpan w:val="2"/>
            <w:shd w:val="clear" w:color="auto" w:fill="auto"/>
            <w:tcMar>
              <w:top w:w="0" w:type="dxa"/>
              <w:left w:w="10" w:type="dxa"/>
              <w:bottom w:w="0" w:type="dxa"/>
              <w:right w:w="10" w:type="dxa"/>
            </w:tcMar>
          </w:tcPr>
          <w:p w14:paraId="7BF52B4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1.1</w:t>
            </w:r>
          </w:p>
        </w:tc>
      </w:tr>
      <w:tr w:rsidR="00E3622C" w:rsidRPr="00E3622C" w14:paraId="2E3D1CB1" w14:textId="77777777" w:rsidTr="003B4E1A">
        <w:tc>
          <w:tcPr>
            <w:tcW w:w="1101" w:type="dxa"/>
            <w:shd w:val="clear" w:color="auto" w:fill="auto"/>
            <w:tcMar>
              <w:top w:w="0" w:type="dxa"/>
              <w:left w:w="108" w:type="dxa"/>
              <w:bottom w:w="0" w:type="dxa"/>
              <w:right w:w="108" w:type="dxa"/>
            </w:tcMar>
          </w:tcPr>
          <w:p w14:paraId="552F0A91"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08B52FDA"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Rest of West Midlands 05-07</w:t>
            </w:r>
          </w:p>
        </w:tc>
        <w:tc>
          <w:tcPr>
            <w:tcW w:w="850" w:type="dxa"/>
            <w:shd w:val="clear" w:color="auto" w:fill="auto"/>
            <w:tcMar>
              <w:top w:w="0" w:type="dxa"/>
              <w:left w:w="108" w:type="dxa"/>
              <w:bottom w:w="0" w:type="dxa"/>
              <w:right w:w="108" w:type="dxa"/>
            </w:tcMar>
          </w:tcPr>
          <w:p w14:paraId="29F9632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-4.3***</w:t>
            </w:r>
          </w:p>
        </w:tc>
        <w:tc>
          <w:tcPr>
            <w:tcW w:w="709" w:type="dxa"/>
            <w:gridSpan w:val="2"/>
            <w:shd w:val="clear" w:color="auto" w:fill="auto"/>
            <w:tcMar>
              <w:top w:w="0" w:type="dxa"/>
              <w:left w:w="108" w:type="dxa"/>
              <w:bottom w:w="0" w:type="dxa"/>
              <w:right w:w="108" w:type="dxa"/>
            </w:tcMar>
          </w:tcPr>
          <w:p w14:paraId="5F5CFE3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851" w:type="dxa"/>
            <w:gridSpan w:val="2"/>
            <w:shd w:val="clear" w:color="auto" w:fill="auto"/>
            <w:tcMar>
              <w:top w:w="0" w:type="dxa"/>
              <w:left w:w="108" w:type="dxa"/>
              <w:bottom w:w="0" w:type="dxa"/>
              <w:right w:w="108" w:type="dxa"/>
            </w:tcMar>
          </w:tcPr>
          <w:p w14:paraId="0D928A2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-6.9</w:t>
            </w:r>
          </w:p>
        </w:tc>
        <w:tc>
          <w:tcPr>
            <w:tcW w:w="850" w:type="dxa"/>
            <w:gridSpan w:val="2"/>
            <w:shd w:val="clear" w:color="auto" w:fill="auto"/>
            <w:tcMar>
              <w:top w:w="0" w:type="dxa"/>
              <w:left w:w="108" w:type="dxa"/>
              <w:bottom w:w="0" w:type="dxa"/>
              <w:right w:w="108" w:type="dxa"/>
            </w:tcMar>
          </w:tcPr>
          <w:p w14:paraId="49CA0C9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-1.7</w:t>
            </w:r>
          </w:p>
        </w:tc>
        <w:tc>
          <w:tcPr>
            <w:tcW w:w="851" w:type="dxa"/>
            <w:gridSpan w:val="2"/>
            <w:shd w:val="clear" w:color="auto" w:fill="auto"/>
            <w:tcMar>
              <w:top w:w="0" w:type="dxa"/>
              <w:left w:w="108" w:type="dxa"/>
              <w:bottom w:w="0" w:type="dxa"/>
              <w:right w:w="108" w:type="dxa"/>
            </w:tcMar>
          </w:tcPr>
          <w:p w14:paraId="67531A8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567" w:type="dxa"/>
            <w:shd w:val="clear" w:color="auto" w:fill="auto"/>
            <w:tcMar>
              <w:top w:w="0" w:type="dxa"/>
              <w:left w:w="10" w:type="dxa"/>
              <w:bottom w:w="0" w:type="dxa"/>
              <w:right w:w="10" w:type="dxa"/>
            </w:tcMar>
          </w:tcPr>
          <w:p w14:paraId="7A2DCD6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shd w:val="clear" w:color="auto" w:fill="auto"/>
            <w:tcMar>
              <w:top w:w="0" w:type="dxa"/>
              <w:left w:w="10" w:type="dxa"/>
              <w:bottom w:w="0" w:type="dxa"/>
              <w:right w:w="10" w:type="dxa"/>
            </w:tcMar>
          </w:tcPr>
          <w:p w14:paraId="4A2D441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-4.0</w:t>
            </w:r>
          </w:p>
        </w:tc>
        <w:tc>
          <w:tcPr>
            <w:tcW w:w="567" w:type="dxa"/>
            <w:gridSpan w:val="2"/>
            <w:shd w:val="clear" w:color="auto" w:fill="auto"/>
            <w:tcMar>
              <w:top w:w="0" w:type="dxa"/>
              <w:left w:w="10" w:type="dxa"/>
              <w:bottom w:w="0" w:type="dxa"/>
              <w:right w:w="10" w:type="dxa"/>
            </w:tcMar>
          </w:tcPr>
          <w:p w14:paraId="4599898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r>
      <w:tr w:rsidR="00E3622C" w:rsidRPr="00E3622C" w14:paraId="7DBAA8E9" w14:textId="77777777" w:rsidTr="003B4E1A">
        <w:tc>
          <w:tcPr>
            <w:tcW w:w="1101" w:type="dxa"/>
            <w:shd w:val="clear" w:color="auto" w:fill="auto"/>
            <w:tcMar>
              <w:top w:w="0" w:type="dxa"/>
              <w:left w:w="108" w:type="dxa"/>
              <w:bottom w:w="0" w:type="dxa"/>
              <w:right w:w="108" w:type="dxa"/>
            </w:tcMar>
          </w:tcPr>
          <w:p w14:paraId="79826B51"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1B5C0B66"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Rest of West Midlands 15-17</w:t>
            </w:r>
          </w:p>
        </w:tc>
        <w:tc>
          <w:tcPr>
            <w:tcW w:w="850" w:type="dxa"/>
            <w:shd w:val="clear" w:color="auto" w:fill="auto"/>
            <w:tcMar>
              <w:top w:w="0" w:type="dxa"/>
              <w:left w:w="108" w:type="dxa"/>
              <w:bottom w:w="0" w:type="dxa"/>
              <w:right w:w="108" w:type="dxa"/>
            </w:tcMar>
          </w:tcPr>
          <w:p w14:paraId="352DFD0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-3.4*</w:t>
            </w:r>
          </w:p>
        </w:tc>
        <w:tc>
          <w:tcPr>
            <w:tcW w:w="709" w:type="dxa"/>
            <w:gridSpan w:val="2"/>
            <w:shd w:val="clear" w:color="auto" w:fill="auto"/>
            <w:tcMar>
              <w:top w:w="0" w:type="dxa"/>
              <w:left w:w="108" w:type="dxa"/>
              <w:bottom w:w="0" w:type="dxa"/>
              <w:right w:w="108" w:type="dxa"/>
            </w:tcMar>
          </w:tcPr>
          <w:p w14:paraId="4050DF7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851" w:type="dxa"/>
            <w:gridSpan w:val="2"/>
            <w:shd w:val="clear" w:color="auto" w:fill="auto"/>
            <w:tcMar>
              <w:top w:w="0" w:type="dxa"/>
              <w:left w:w="108" w:type="dxa"/>
              <w:bottom w:w="0" w:type="dxa"/>
              <w:right w:w="108" w:type="dxa"/>
            </w:tcMar>
          </w:tcPr>
          <w:p w14:paraId="799AB87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-6.1</w:t>
            </w:r>
          </w:p>
        </w:tc>
        <w:tc>
          <w:tcPr>
            <w:tcW w:w="850" w:type="dxa"/>
            <w:gridSpan w:val="2"/>
            <w:shd w:val="clear" w:color="auto" w:fill="auto"/>
            <w:tcMar>
              <w:top w:w="0" w:type="dxa"/>
              <w:left w:w="108" w:type="dxa"/>
              <w:bottom w:w="0" w:type="dxa"/>
              <w:right w:w="108" w:type="dxa"/>
            </w:tcMar>
          </w:tcPr>
          <w:p w14:paraId="3FA3A95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c>
          <w:tcPr>
            <w:tcW w:w="851" w:type="dxa"/>
            <w:gridSpan w:val="2"/>
            <w:shd w:val="clear" w:color="auto" w:fill="auto"/>
            <w:tcMar>
              <w:top w:w="0" w:type="dxa"/>
              <w:left w:w="108" w:type="dxa"/>
              <w:bottom w:w="0" w:type="dxa"/>
              <w:right w:w="108" w:type="dxa"/>
            </w:tcMar>
          </w:tcPr>
          <w:p w14:paraId="04A3341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-0.4</w:t>
            </w:r>
          </w:p>
        </w:tc>
        <w:tc>
          <w:tcPr>
            <w:tcW w:w="567" w:type="dxa"/>
            <w:shd w:val="clear" w:color="auto" w:fill="auto"/>
            <w:tcMar>
              <w:top w:w="0" w:type="dxa"/>
              <w:left w:w="10" w:type="dxa"/>
              <w:bottom w:w="0" w:type="dxa"/>
              <w:right w:w="10" w:type="dxa"/>
            </w:tcMar>
          </w:tcPr>
          <w:p w14:paraId="0412EC0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shd w:val="clear" w:color="auto" w:fill="auto"/>
            <w:tcMar>
              <w:top w:w="0" w:type="dxa"/>
              <w:left w:w="10" w:type="dxa"/>
              <w:bottom w:w="0" w:type="dxa"/>
              <w:right w:w="10" w:type="dxa"/>
            </w:tcMar>
          </w:tcPr>
          <w:p w14:paraId="64F61B9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-3.2</w:t>
            </w:r>
          </w:p>
        </w:tc>
        <w:tc>
          <w:tcPr>
            <w:tcW w:w="567" w:type="dxa"/>
            <w:gridSpan w:val="2"/>
            <w:shd w:val="clear" w:color="auto" w:fill="auto"/>
            <w:tcMar>
              <w:top w:w="0" w:type="dxa"/>
              <w:left w:w="10" w:type="dxa"/>
              <w:bottom w:w="0" w:type="dxa"/>
              <w:right w:w="10" w:type="dxa"/>
            </w:tcMar>
          </w:tcPr>
          <w:p w14:paraId="508E4A0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2.4</w:t>
            </w:r>
          </w:p>
        </w:tc>
      </w:tr>
      <w:tr w:rsidR="00E3622C" w:rsidRPr="00E3622C" w14:paraId="0B9E71AE" w14:textId="77777777" w:rsidTr="003B4E1A">
        <w:tc>
          <w:tcPr>
            <w:tcW w:w="1101" w:type="dxa"/>
            <w:shd w:val="clear" w:color="auto" w:fill="auto"/>
            <w:tcMar>
              <w:top w:w="0" w:type="dxa"/>
              <w:left w:w="108" w:type="dxa"/>
              <w:bottom w:w="0" w:type="dxa"/>
              <w:right w:w="108" w:type="dxa"/>
            </w:tcMar>
          </w:tcPr>
          <w:p w14:paraId="7CEEDF96"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730481E3"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South West 05-07</w:t>
            </w:r>
          </w:p>
        </w:tc>
        <w:tc>
          <w:tcPr>
            <w:tcW w:w="850" w:type="dxa"/>
            <w:shd w:val="clear" w:color="auto" w:fill="auto"/>
            <w:tcMar>
              <w:top w:w="0" w:type="dxa"/>
              <w:left w:w="108" w:type="dxa"/>
              <w:bottom w:w="0" w:type="dxa"/>
              <w:right w:w="108" w:type="dxa"/>
            </w:tcMar>
          </w:tcPr>
          <w:p w14:paraId="0EF7E02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-4.4***</w:t>
            </w:r>
          </w:p>
        </w:tc>
        <w:tc>
          <w:tcPr>
            <w:tcW w:w="709" w:type="dxa"/>
            <w:gridSpan w:val="2"/>
            <w:shd w:val="clear" w:color="auto" w:fill="auto"/>
            <w:tcMar>
              <w:top w:w="0" w:type="dxa"/>
              <w:left w:w="108" w:type="dxa"/>
              <w:bottom w:w="0" w:type="dxa"/>
              <w:right w:w="108" w:type="dxa"/>
            </w:tcMar>
          </w:tcPr>
          <w:p w14:paraId="565FB17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1.2</w:t>
            </w:r>
          </w:p>
        </w:tc>
        <w:tc>
          <w:tcPr>
            <w:tcW w:w="851" w:type="dxa"/>
            <w:gridSpan w:val="2"/>
            <w:shd w:val="clear" w:color="auto" w:fill="auto"/>
            <w:tcMar>
              <w:top w:w="0" w:type="dxa"/>
              <w:left w:w="108" w:type="dxa"/>
              <w:bottom w:w="0" w:type="dxa"/>
              <w:right w:w="108" w:type="dxa"/>
            </w:tcMar>
          </w:tcPr>
          <w:p w14:paraId="3027953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-6.8</w:t>
            </w:r>
          </w:p>
        </w:tc>
        <w:tc>
          <w:tcPr>
            <w:tcW w:w="850" w:type="dxa"/>
            <w:gridSpan w:val="2"/>
            <w:shd w:val="clear" w:color="auto" w:fill="auto"/>
            <w:tcMar>
              <w:top w:w="0" w:type="dxa"/>
              <w:left w:w="108" w:type="dxa"/>
              <w:bottom w:w="0" w:type="dxa"/>
              <w:right w:w="108" w:type="dxa"/>
            </w:tcMar>
          </w:tcPr>
          <w:p w14:paraId="799361C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-1.9</w:t>
            </w:r>
          </w:p>
        </w:tc>
        <w:tc>
          <w:tcPr>
            <w:tcW w:w="851" w:type="dxa"/>
            <w:gridSpan w:val="2"/>
            <w:shd w:val="clear" w:color="auto" w:fill="auto"/>
            <w:tcMar>
              <w:top w:w="0" w:type="dxa"/>
              <w:left w:w="108" w:type="dxa"/>
              <w:bottom w:w="0" w:type="dxa"/>
              <w:right w:w="108" w:type="dxa"/>
            </w:tcMar>
          </w:tcPr>
          <w:p w14:paraId="261AD52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-1.1</w:t>
            </w:r>
          </w:p>
        </w:tc>
        <w:tc>
          <w:tcPr>
            <w:tcW w:w="567" w:type="dxa"/>
            <w:shd w:val="clear" w:color="auto" w:fill="auto"/>
            <w:tcMar>
              <w:top w:w="0" w:type="dxa"/>
              <w:left w:w="10" w:type="dxa"/>
              <w:bottom w:w="0" w:type="dxa"/>
              <w:right w:w="10" w:type="dxa"/>
            </w:tcMar>
          </w:tcPr>
          <w:p w14:paraId="6E6F118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1.2</w:t>
            </w:r>
          </w:p>
        </w:tc>
        <w:tc>
          <w:tcPr>
            <w:tcW w:w="567" w:type="dxa"/>
            <w:shd w:val="clear" w:color="auto" w:fill="auto"/>
            <w:tcMar>
              <w:top w:w="0" w:type="dxa"/>
              <w:left w:w="10" w:type="dxa"/>
              <w:bottom w:w="0" w:type="dxa"/>
              <w:right w:w="10" w:type="dxa"/>
            </w:tcMar>
          </w:tcPr>
          <w:p w14:paraId="360141C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-3.6</w:t>
            </w:r>
          </w:p>
        </w:tc>
        <w:tc>
          <w:tcPr>
            <w:tcW w:w="567" w:type="dxa"/>
            <w:gridSpan w:val="2"/>
            <w:shd w:val="clear" w:color="auto" w:fill="auto"/>
            <w:tcMar>
              <w:top w:w="0" w:type="dxa"/>
              <w:left w:w="10" w:type="dxa"/>
              <w:bottom w:w="0" w:type="dxa"/>
              <w:right w:w="10" w:type="dxa"/>
            </w:tcMar>
          </w:tcPr>
          <w:p w14:paraId="6944B34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r>
      <w:tr w:rsidR="00E3622C" w:rsidRPr="00E3622C" w14:paraId="4F038A67" w14:textId="77777777" w:rsidTr="003B4E1A">
        <w:tc>
          <w:tcPr>
            <w:tcW w:w="1101" w:type="dxa"/>
            <w:shd w:val="clear" w:color="auto" w:fill="auto"/>
            <w:tcMar>
              <w:top w:w="0" w:type="dxa"/>
              <w:left w:w="108" w:type="dxa"/>
              <w:bottom w:w="0" w:type="dxa"/>
              <w:right w:w="108" w:type="dxa"/>
            </w:tcMar>
          </w:tcPr>
          <w:p w14:paraId="587BCD3E"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207DA3BC"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South West 15-17</w:t>
            </w:r>
          </w:p>
        </w:tc>
        <w:tc>
          <w:tcPr>
            <w:tcW w:w="850" w:type="dxa"/>
            <w:shd w:val="clear" w:color="auto" w:fill="auto"/>
            <w:tcMar>
              <w:top w:w="0" w:type="dxa"/>
              <w:left w:w="108" w:type="dxa"/>
              <w:bottom w:w="0" w:type="dxa"/>
              <w:right w:w="108" w:type="dxa"/>
            </w:tcMar>
          </w:tcPr>
          <w:p w14:paraId="0EFF1F7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-3.8**</w:t>
            </w:r>
          </w:p>
        </w:tc>
        <w:tc>
          <w:tcPr>
            <w:tcW w:w="709" w:type="dxa"/>
            <w:gridSpan w:val="2"/>
            <w:shd w:val="clear" w:color="auto" w:fill="auto"/>
            <w:tcMar>
              <w:top w:w="0" w:type="dxa"/>
              <w:left w:w="108" w:type="dxa"/>
              <w:bottom w:w="0" w:type="dxa"/>
              <w:right w:w="108" w:type="dxa"/>
            </w:tcMar>
          </w:tcPr>
          <w:p w14:paraId="6C66EC9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851" w:type="dxa"/>
            <w:gridSpan w:val="2"/>
            <w:shd w:val="clear" w:color="auto" w:fill="auto"/>
            <w:tcMar>
              <w:top w:w="0" w:type="dxa"/>
              <w:left w:w="108" w:type="dxa"/>
              <w:bottom w:w="0" w:type="dxa"/>
              <w:right w:w="108" w:type="dxa"/>
            </w:tcMar>
          </w:tcPr>
          <w:p w14:paraId="438F97A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-6.3</w:t>
            </w:r>
          </w:p>
        </w:tc>
        <w:tc>
          <w:tcPr>
            <w:tcW w:w="850" w:type="dxa"/>
            <w:gridSpan w:val="2"/>
            <w:shd w:val="clear" w:color="auto" w:fill="auto"/>
            <w:tcMar>
              <w:top w:w="0" w:type="dxa"/>
              <w:left w:w="108" w:type="dxa"/>
              <w:bottom w:w="0" w:type="dxa"/>
              <w:right w:w="108" w:type="dxa"/>
            </w:tcMar>
          </w:tcPr>
          <w:p w14:paraId="76B9B50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851" w:type="dxa"/>
            <w:gridSpan w:val="2"/>
            <w:shd w:val="clear" w:color="auto" w:fill="auto"/>
            <w:tcMar>
              <w:top w:w="0" w:type="dxa"/>
              <w:left w:w="108" w:type="dxa"/>
              <w:bottom w:w="0" w:type="dxa"/>
              <w:right w:w="108" w:type="dxa"/>
            </w:tcMar>
          </w:tcPr>
          <w:p w14:paraId="4D64070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-3.4**</w:t>
            </w:r>
          </w:p>
        </w:tc>
        <w:tc>
          <w:tcPr>
            <w:tcW w:w="567" w:type="dxa"/>
            <w:shd w:val="clear" w:color="auto" w:fill="auto"/>
            <w:tcMar>
              <w:top w:w="0" w:type="dxa"/>
              <w:left w:w="10" w:type="dxa"/>
              <w:bottom w:w="0" w:type="dxa"/>
              <w:right w:w="10" w:type="dxa"/>
            </w:tcMar>
          </w:tcPr>
          <w:p w14:paraId="116E2D5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567" w:type="dxa"/>
            <w:shd w:val="clear" w:color="auto" w:fill="auto"/>
            <w:tcMar>
              <w:top w:w="0" w:type="dxa"/>
              <w:left w:w="10" w:type="dxa"/>
              <w:bottom w:w="0" w:type="dxa"/>
              <w:right w:w="10" w:type="dxa"/>
            </w:tcMar>
          </w:tcPr>
          <w:p w14:paraId="4ACE83B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-6.0</w:t>
            </w:r>
          </w:p>
        </w:tc>
        <w:tc>
          <w:tcPr>
            <w:tcW w:w="567" w:type="dxa"/>
            <w:gridSpan w:val="2"/>
            <w:shd w:val="clear" w:color="auto" w:fill="auto"/>
            <w:tcMar>
              <w:top w:w="0" w:type="dxa"/>
              <w:left w:w="10" w:type="dxa"/>
              <w:bottom w:w="0" w:type="dxa"/>
              <w:right w:w="10" w:type="dxa"/>
            </w:tcMar>
          </w:tcPr>
          <w:p w14:paraId="6F9F581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-0.9</w:t>
            </w:r>
          </w:p>
        </w:tc>
      </w:tr>
      <w:tr w:rsidR="00E3622C" w:rsidRPr="00E3622C" w14:paraId="3FBED599" w14:textId="77777777" w:rsidTr="003B4E1A">
        <w:tc>
          <w:tcPr>
            <w:tcW w:w="1101" w:type="dxa"/>
            <w:shd w:val="clear" w:color="auto" w:fill="auto"/>
            <w:tcMar>
              <w:top w:w="0" w:type="dxa"/>
              <w:left w:w="108" w:type="dxa"/>
              <w:bottom w:w="0" w:type="dxa"/>
              <w:right w:w="108" w:type="dxa"/>
            </w:tcMar>
          </w:tcPr>
          <w:p w14:paraId="55E16AA8"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43C595AF"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East Midlands 05-07</w:t>
            </w:r>
          </w:p>
        </w:tc>
        <w:tc>
          <w:tcPr>
            <w:tcW w:w="850" w:type="dxa"/>
            <w:shd w:val="clear" w:color="auto" w:fill="auto"/>
            <w:tcMar>
              <w:top w:w="0" w:type="dxa"/>
              <w:left w:w="108" w:type="dxa"/>
              <w:bottom w:w="0" w:type="dxa"/>
              <w:right w:w="108" w:type="dxa"/>
            </w:tcMar>
          </w:tcPr>
          <w:p w14:paraId="0E0C2E9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-4.0***</w:t>
            </w:r>
          </w:p>
        </w:tc>
        <w:tc>
          <w:tcPr>
            <w:tcW w:w="709" w:type="dxa"/>
            <w:gridSpan w:val="2"/>
            <w:shd w:val="clear" w:color="auto" w:fill="auto"/>
            <w:tcMar>
              <w:top w:w="0" w:type="dxa"/>
              <w:left w:w="108" w:type="dxa"/>
              <w:bottom w:w="0" w:type="dxa"/>
              <w:right w:w="108" w:type="dxa"/>
            </w:tcMar>
          </w:tcPr>
          <w:p w14:paraId="0463624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1.2</w:t>
            </w:r>
          </w:p>
        </w:tc>
        <w:tc>
          <w:tcPr>
            <w:tcW w:w="851" w:type="dxa"/>
            <w:gridSpan w:val="2"/>
            <w:shd w:val="clear" w:color="auto" w:fill="auto"/>
            <w:tcMar>
              <w:top w:w="0" w:type="dxa"/>
              <w:left w:w="108" w:type="dxa"/>
              <w:bottom w:w="0" w:type="dxa"/>
              <w:right w:w="108" w:type="dxa"/>
            </w:tcMar>
          </w:tcPr>
          <w:p w14:paraId="73BDB2A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-6.5</w:t>
            </w:r>
          </w:p>
        </w:tc>
        <w:tc>
          <w:tcPr>
            <w:tcW w:w="850" w:type="dxa"/>
            <w:gridSpan w:val="2"/>
            <w:shd w:val="clear" w:color="auto" w:fill="auto"/>
            <w:tcMar>
              <w:top w:w="0" w:type="dxa"/>
              <w:left w:w="108" w:type="dxa"/>
              <w:bottom w:w="0" w:type="dxa"/>
              <w:right w:w="108" w:type="dxa"/>
            </w:tcMar>
          </w:tcPr>
          <w:p w14:paraId="4F7AA1D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-1.6</w:t>
            </w:r>
          </w:p>
        </w:tc>
        <w:tc>
          <w:tcPr>
            <w:tcW w:w="851" w:type="dxa"/>
            <w:gridSpan w:val="2"/>
            <w:shd w:val="clear" w:color="auto" w:fill="auto"/>
            <w:tcMar>
              <w:top w:w="0" w:type="dxa"/>
              <w:left w:w="108" w:type="dxa"/>
              <w:bottom w:w="0" w:type="dxa"/>
              <w:right w:w="108" w:type="dxa"/>
            </w:tcMar>
          </w:tcPr>
          <w:p w14:paraId="2EA0209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shd w:val="clear" w:color="auto" w:fill="auto"/>
            <w:tcMar>
              <w:top w:w="0" w:type="dxa"/>
              <w:left w:w="10" w:type="dxa"/>
              <w:bottom w:w="0" w:type="dxa"/>
              <w:right w:w="10" w:type="dxa"/>
            </w:tcMar>
          </w:tcPr>
          <w:p w14:paraId="500FB02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567" w:type="dxa"/>
            <w:shd w:val="clear" w:color="auto" w:fill="auto"/>
            <w:tcMar>
              <w:top w:w="0" w:type="dxa"/>
              <w:left w:w="10" w:type="dxa"/>
              <w:bottom w:w="0" w:type="dxa"/>
              <w:right w:w="10" w:type="dxa"/>
            </w:tcMar>
          </w:tcPr>
          <w:p w14:paraId="04E68E5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-3.8</w:t>
            </w:r>
          </w:p>
        </w:tc>
        <w:tc>
          <w:tcPr>
            <w:tcW w:w="567" w:type="dxa"/>
            <w:gridSpan w:val="2"/>
            <w:shd w:val="clear" w:color="auto" w:fill="auto"/>
            <w:tcMar>
              <w:top w:w="0" w:type="dxa"/>
              <w:left w:w="10" w:type="dxa"/>
              <w:bottom w:w="0" w:type="dxa"/>
              <w:right w:w="10" w:type="dxa"/>
            </w:tcMar>
          </w:tcPr>
          <w:p w14:paraId="1BEF208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1.1</w:t>
            </w:r>
          </w:p>
        </w:tc>
      </w:tr>
      <w:tr w:rsidR="00E3622C" w:rsidRPr="00E3622C" w14:paraId="4348C85F" w14:textId="77777777" w:rsidTr="003B4E1A">
        <w:tc>
          <w:tcPr>
            <w:tcW w:w="1101" w:type="dxa"/>
            <w:shd w:val="clear" w:color="auto" w:fill="auto"/>
            <w:tcMar>
              <w:top w:w="0" w:type="dxa"/>
              <w:left w:w="108" w:type="dxa"/>
              <w:bottom w:w="0" w:type="dxa"/>
              <w:right w:w="108" w:type="dxa"/>
            </w:tcMar>
          </w:tcPr>
          <w:p w14:paraId="1715152B"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1ED9CA25"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East Midlands 15-17</w:t>
            </w:r>
          </w:p>
        </w:tc>
        <w:tc>
          <w:tcPr>
            <w:tcW w:w="850" w:type="dxa"/>
            <w:shd w:val="clear" w:color="auto" w:fill="auto"/>
            <w:tcMar>
              <w:top w:w="0" w:type="dxa"/>
              <w:left w:w="108" w:type="dxa"/>
              <w:bottom w:w="0" w:type="dxa"/>
              <w:right w:w="108" w:type="dxa"/>
            </w:tcMar>
          </w:tcPr>
          <w:p w14:paraId="242CB7C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-3.1*</w:t>
            </w:r>
          </w:p>
        </w:tc>
        <w:tc>
          <w:tcPr>
            <w:tcW w:w="709" w:type="dxa"/>
            <w:gridSpan w:val="2"/>
            <w:shd w:val="clear" w:color="auto" w:fill="auto"/>
            <w:tcMar>
              <w:top w:w="0" w:type="dxa"/>
              <w:left w:w="108" w:type="dxa"/>
              <w:bottom w:w="0" w:type="dxa"/>
              <w:right w:w="108" w:type="dxa"/>
            </w:tcMar>
          </w:tcPr>
          <w:p w14:paraId="6292E19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851" w:type="dxa"/>
            <w:gridSpan w:val="2"/>
            <w:shd w:val="clear" w:color="auto" w:fill="auto"/>
            <w:tcMar>
              <w:top w:w="0" w:type="dxa"/>
              <w:left w:w="108" w:type="dxa"/>
              <w:bottom w:w="0" w:type="dxa"/>
              <w:right w:w="108" w:type="dxa"/>
            </w:tcMar>
          </w:tcPr>
          <w:p w14:paraId="37E58D0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-5.3</w:t>
            </w:r>
          </w:p>
        </w:tc>
        <w:tc>
          <w:tcPr>
            <w:tcW w:w="850" w:type="dxa"/>
            <w:gridSpan w:val="2"/>
            <w:shd w:val="clear" w:color="auto" w:fill="auto"/>
            <w:tcMar>
              <w:top w:w="0" w:type="dxa"/>
              <w:left w:w="108" w:type="dxa"/>
              <w:bottom w:w="0" w:type="dxa"/>
              <w:right w:w="108" w:type="dxa"/>
            </w:tcMar>
          </w:tcPr>
          <w:p w14:paraId="7C60860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-0.5</w:t>
            </w:r>
          </w:p>
        </w:tc>
        <w:tc>
          <w:tcPr>
            <w:tcW w:w="851" w:type="dxa"/>
            <w:gridSpan w:val="2"/>
            <w:shd w:val="clear" w:color="auto" w:fill="auto"/>
            <w:tcMar>
              <w:top w:w="0" w:type="dxa"/>
              <w:left w:w="108" w:type="dxa"/>
              <w:bottom w:w="0" w:type="dxa"/>
              <w:right w:w="108" w:type="dxa"/>
            </w:tcMar>
          </w:tcPr>
          <w:p w14:paraId="1E02D31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-2.6*</w:t>
            </w:r>
          </w:p>
        </w:tc>
        <w:tc>
          <w:tcPr>
            <w:tcW w:w="567" w:type="dxa"/>
            <w:shd w:val="clear" w:color="auto" w:fill="auto"/>
            <w:tcMar>
              <w:top w:w="0" w:type="dxa"/>
              <w:left w:w="10" w:type="dxa"/>
              <w:bottom w:w="0" w:type="dxa"/>
              <w:right w:w="10" w:type="dxa"/>
            </w:tcMar>
          </w:tcPr>
          <w:p w14:paraId="6D69390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567" w:type="dxa"/>
            <w:shd w:val="clear" w:color="auto" w:fill="auto"/>
            <w:tcMar>
              <w:top w:w="0" w:type="dxa"/>
              <w:left w:w="10" w:type="dxa"/>
              <w:bottom w:w="0" w:type="dxa"/>
              <w:right w:w="10" w:type="dxa"/>
            </w:tcMar>
          </w:tcPr>
          <w:p w14:paraId="78BD9E4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-5.2</w:t>
            </w:r>
          </w:p>
        </w:tc>
        <w:tc>
          <w:tcPr>
            <w:tcW w:w="567" w:type="dxa"/>
            <w:gridSpan w:val="2"/>
            <w:shd w:val="clear" w:color="auto" w:fill="auto"/>
            <w:tcMar>
              <w:top w:w="0" w:type="dxa"/>
              <w:left w:w="10" w:type="dxa"/>
              <w:bottom w:w="0" w:type="dxa"/>
              <w:right w:w="10" w:type="dxa"/>
            </w:tcMar>
          </w:tcPr>
          <w:p w14:paraId="1D6EEB6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-0.1</w:t>
            </w:r>
          </w:p>
        </w:tc>
      </w:tr>
      <w:tr w:rsidR="00E3622C" w:rsidRPr="00E3622C" w14:paraId="2F66877B" w14:textId="77777777" w:rsidTr="003B4E1A">
        <w:tc>
          <w:tcPr>
            <w:tcW w:w="1101" w:type="dxa"/>
            <w:shd w:val="clear" w:color="auto" w:fill="auto"/>
            <w:tcMar>
              <w:top w:w="0" w:type="dxa"/>
              <w:left w:w="108" w:type="dxa"/>
              <w:bottom w:w="0" w:type="dxa"/>
              <w:right w:w="108" w:type="dxa"/>
            </w:tcMar>
          </w:tcPr>
          <w:p w14:paraId="5A3BC013"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41447165"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Greater Manchester 05-07</w:t>
            </w:r>
          </w:p>
        </w:tc>
        <w:tc>
          <w:tcPr>
            <w:tcW w:w="850" w:type="dxa"/>
            <w:shd w:val="clear" w:color="auto" w:fill="auto"/>
            <w:tcMar>
              <w:top w:w="0" w:type="dxa"/>
              <w:left w:w="108" w:type="dxa"/>
              <w:bottom w:w="0" w:type="dxa"/>
              <w:right w:w="108" w:type="dxa"/>
            </w:tcMar>
          </w:tcPr>
          <w:p w14:paraId="79BEF70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-4.0**</w:t>
            </w:r>
          </w:p>
        </w:tc>
        <w:tc>
          <w:tcPr>
            <w:tcW w:w="709" w:type="dxa"/>
            <w:gridSpan w:val="2"/>
            <w:shd w:val="clear" w:color="auto" w:fill="auto"/>
            <w:tcMar>
              <w:top w:w="0" w:type="dxa"/>
              <w:left w:w="108" w:type="dxa"/>
              <w:bottom w:w="0" w:type="dxa"/>
              <w:right w:w="108" w:type="dxa"/>
            </w:tcMar>
          </w:tcPr>
          <w:p w14:paraId="2E17780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851" w:type="dxa"/>
            <w:gridSpan w:val="2"/>
            <w:shd w:val="clear" w:color="auto" w:fill="auto"/>
            <w:tcMar>
              <w:top w:w="0" w:type="dxa"/>
              <w:left w:w="108" w:type="dxa"/>
              <w:bottom w:w="0" w:type="dxa"/>
              <w:right w:w="108" w:type="dxa"/>
            </w:tcMar>
          </w:tcPr>
          <w:p w14:paraId="556445B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-6.6</w:t>
            </w:r>
          </w:p>
        </w:tc>
        <w:tc>
          <w:tcPr>
            <w:tcW w:w="850" w:type="dxa"/>
            <w:gridSpan w:val="2"/>
            <w:shd w:val="clear" w:color="auto" w:fill="auto"/>
            <w:tcMar>
              <w:top w:w="0" w:type="dxa"/>
              <w:left w:w="108" w:type="dxa"/>
              <w:bottom w:w="0" w:type="dxa"/>
              <w:right w:w="108" w:type="dxa"/>
            </w:tcMar>
          </w:tcPr>
          <w:p w14:paraId="02D4290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851" w:type="dxa"/>
            <w:gridSpan w:val="2"/>
            <w:shd w:val="clear" w:color="auto" w:fill="auto"/>
            <w:tcMar>
              <w:top w:w="0" w:type="dxa"/>
              <w:left w:w="108" w:type="dxa"/>
              <w:bottom w:w="0" w:type="dxa"/>
              <w:right w:w="108" w:type="dxa"/>
            </w:tcMar>
          </w:tcPr>
          <w:p w14:paraId="20376C7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-0.3</w:t>
            </w:r>
          </w:p>
        </w:tc>
        <w:tc>
          <w:tcPr>
            <w:tcW w:w="567" w:type="dxa"/>
            <w:shd w:val="clear" w:color="auto" w:fill="auto"/>
            <w:tcMar>
              <w:top w:w="0" w:type="dxa"/>
              <w:left w:w="10" w:type="dxa"/>
              <w:bottom w:w="0" w:type="dxa"/>
              <w:right w:w="10" w:type="dxa"/>
            </w:tcMar>
          </w:tcPr>
          <w:p w14:paraId="09496A3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567" w:type="dxa"/>
            <w:shd w:val="clear" w:color="auto" w:fill="auto"/>
            <w:tcMar>
              <w:top w:w="0" w:type="dxa"/>
              <w:left w:w="10" w:type="dxa"/>
              <w:bottom w:w="0" w:type="dxa"/>
              <w:right w:w="10" w:type="dxa"/>
            </w:tcMar>
          </w:tcPr>
          <w:p w14:paraId="607CFEB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-2.9</w:t>
            </w:r>
          </w:p>
        </w:tc>
        <w:tc>
          <w:tcPr>
            <w:tcW w:w="567" w:type="dxa"/>
            <w:gridSpan w:val="2"/>
            <w:shd w:val="clear" w:color="auto" w:fill="auto"/>
            <w:tcMar>
              <w:top w:w="0" w:type="dxa"/>
              <w:left w:w="10" w:type="dxa"/>
              <w:bottom w:w="0" w:type="dxa"/>
              <w:right w:w="10" w:type="dxa"/>
            </w:tcMar>
          </w:tcPr>
          <w:p w14:paraId="3645D0C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2.2</w:t>
            </w:r>
          </w:p>
        </w:tc>
      </w:tr>
      <w:tr w:rsidR="00E3622C" w:rsidRPr="00E3622C" w14:paraId="22A98E9C" w14:textId="77777777" w:rsidTr="003B4E1A">
        <w:tc>
          <w:tcPr>
            <w:tcW w:w="1101" w:type="dxa"/>
            <w:shd w:val="clear" w:color="auto" w:fill="auto"/>
            <w:tcMar>
              <w:top w:w="0" w:type="dxa"/>
              <w:left w:w="108" w:type="dxa"/>
              <w:bottom w:w="0" w:type="dxa"/>
              <w:right w:w="108" w:type="dxa"/>
            </w:tcMar>
          </w:tcPr>
          <w:p w14:paraId="0B684DD5"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3B7E972E"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Greater Manchester 15-17</w:t>
            </w:r>
          </w:p>
        </w:tc>
        <w:tc>
          <w:tcPr>
            <w:tcW w:w="850" w:type="dxa"/>
            <w:shd w:val="clear" w:color="auto" w:fill="auto"/>
            <w:tcMar>
              <w:top w:w="0" w:type="dxa"/>
              <w:left w:w="108" w:type="dxa"/>
              <w:bottom w:w="0" w:type="dxa"/>
              <w:right w:w="108" w:type="dxa"/>
            </w:tcMar>
          </w:tcPr>
          <w:p w14:paraId="027A9F6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 xml:space="preserve"> 0.1</w:t>
            </w:r>
          </w:p>
        </w:tc>
        <w:tc>
          <w:tcPr>
            <w:tcW w:w="709" w:type="dxa"/>
            <w:gridSpan w:val="2"/>
            <w:shd w:val="clear" w:color="auto" w:fill="auto"/>
            <w:tcMar>
              <w:top w:w="0" w:type="dxa"/>
              <w:left w:w="108" w:type="dxa"/>
              <w:bottom w:w="0" w:type="dxa"/>
              <w:right w:w="108" w:type="dxa"/>
            </w:tcMar>
          </w:tcPr>
          <w:p w14:paraId="3541BDC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851" w:type="dxa"/>
            <w:gridSpan w:val="2"/>
            <w:shd w:val="clear" w:color="auto" w:fill="auto"/>
            <w:tcMar>
              <w:top w:w="0" w:type="dxa"/>
              <w:left w:w="108" w:type="dxa"/>
              <w:bottom w:w="0" w:type="dxa"/>
              <w:right w:w="108" w:type="dxa"/>
            </w:tcMar>
          </w:tcPr>
          <w:p w14:paraId="361B790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-2.7</w:t>
            </w:r>
          </w:p>
        </w:tc>
        <w:tc>
          <w:tcPr>
            <w:tcW w:w="850" w:type="dxa"/>
            <w:gridSpan w:val="2"/>
            <w:shd w:val="clear" w:color="auto" w:fill="auto"/>
            <w:tcMar>
              <w:top w:w="0" w:type="dxa"/>
              <w:left w:w="108" w:type="dxa"/>
              <w:bottom w:w="0" w:type="dxa"/>
              <w:right w:w="108" w:type="dxa"/>
            </w:tcMar>
          </w:tcPr>
          <w:p w14:paraId="56FFEA2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2.9</w:t>
            </w:r>
          </w:p>
        </w:tc>
        <w:tc>
          <w:tcPr>
            <w:tcW w:w="851" w:type="dxa"/>
            <w:gridSpan w:val="2"/>
            <w:shd w:val="clear" w:color="auto" w:fill="auto"/>
            <w:tcMar>
              <w:top w:w="0" w:type="dxa"/>
              <w:left w:w="108" w:type="dxa"/>
              <w:bottom w:w="0" w:type="dxa"/>
              <w:right w:w="108" w:type="dxa"/>
            </w:tcMar>
          </w:tcPr>
          <w:p w14:paraId="32C77CE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-2.2</w:t>
            </w:r>
          </w:p>
        </w:tc>
        <w:tc>
          <w:tcPr>
            <w:tcW w:w="567" w:type="dxa"/>
            <w:shd w:val="clear" w:color="auto" w:fill="auto"/>
            <w:tcMar>
              <w:top w:w="0" w:type="dxa"/>
              <w:left w:w="10" w:type="dxa"/>
              <w:bottom w:w="0" w:type="dxa"/>
              <w:right w:w="10" w:type="dxa"/>
            </w:tcMar>
          </w:tcPr>
          <w:p w14:paraId="2A0F07A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shd w:val="clear" w:color="auto" w:fill="auto"/>
            <w:tcMar>
              <w:top w:w="0" w:type="dxa"/>
              <w:left w:w="10" w:type="dxa"/>
              <w:bottom w:w="0" w:type="dxa"/>
              <w:right w:w="10" w:type="dxa"/>
            </w:tcMar>
          </w:tcPr>
          <w:p w14:paraId="1DA6515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-5.0</w:t>
            </w:r>
          </w:p>
        </w:tc>
        <w:tc>
          <w:tcPr>
            <w:tcW w:w="567" w:type="dxa"/>
            <w:gridSpan w:val="2"/>
            <w:shd w:val="clear" w:color="auto" w:fill="auto"/>
            <w:tcMar>
              <w:top w:w="0" w:type="dxa"/>
              <w:left w:w="10" w:type="dxa"/>
              <w:bottom w:w="0" w:type="dxa"/>
              <w:right w:w="10" w:type="dxa"/>
            </w:tcMar>
          </w:tcPr>
          <w:p w14:paraId="108A3F4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r>
      <w:tr w:rsidR="00E3622C" w:rsidRPr="00E3622C" w14:paraId="3848D75E" w14:textId="77777777" w:rsidTr="003B4E1A">
        <w:tc>
          <w:tcPr>
            <w:tcW w:w="1101" w:type="dxa"/>
            <w:shd w:val="clear" w:color="auto" w:fill="auto"/>
            <w:tcMar>
              <w:top w:w="0" w:type="dxa"/>
              <w:left w:w="108" w:type="dxa"/>
              <w:bottom w:w="0" w:type="dxa"/>
              <w:right w:w="108" w:type="dxa"/>
            </w:tcMar>
          </w:tcPr>
          <w:p w14:paraId="5DD0C306"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2CD69A8B"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Rest of Northern Region 05-07</w:t>
            </w:r>
          </w:p>
        </w:tc>
        <w:tc>
          <w:tcPr>
            <w:tcW w:w="850" w:type="dxa"/>
            <w:shd w:val="clear" w:color="auto" w:fill="auto"/>
            <w:tcMar>
              <w:top w:w="0" w:type="dxa"/>
              <w:left w:w="108" w:type="dxa"/>
              <w:bottom w:w="0" w:type="dxa"/>
              <w:right w:w="108" w:type="dxa"/>
            </w:tcMar>
          </w:tcPr>
          <w:p w14:paraId="3FF3866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-4.0**</w:t>
            </w:r>
          </w:p>
        </w:tc>
        <w:tc>
          <w:tcPr>
            <w:tcW w:w="709" w:type="dxa"/>
            <w:gridSpan w:val="2"/>
            <w:shd w:val="clear" w:color="auto" w:fill="auto"/>
            <w:tcMar>
              <w:top w:w="0" w:type="dxa"/>
              <w:left w:w="108" w:type="dxa"/>
              <w:bottom w:w="0" w:type="dxa"/>
              <w:right w:w="108" w:type="dxa"/>
            </w:tcMar>
          </w:tcPr>
          <w:p w14:paraId="7C7841A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851" w:type="dxa"/>
            <w:gridSpan w:val="2"/>
            <w:shd w:val="clear" w:color="auto" w:fill="auto"/>
            <w:tcMar>
              <w:top w:w="0" w:type="dxa"/>
              <w:left w:w="108" w:type="dxa"/>
              <w:bottom w:w="0" w:type="dxa"/>
              <w:right w:w="108" w:type="dxa"/>
            </w:tcMar>
          </w:tcPr>
          <w:p w14:paraId="2C7BD03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-6.7</w:t>
            </w:r>
          </w:p>
        </w:tc>
        <w:tc>
          <w:tcPr>
            <w:tcW w:w="850" w:type="dxa"/>
            <w:gridSpan w:val="2"/>
            <w:shd w:val="clear" w:color="auto" w:fill="auto"/>
            <w:tcMar>
              <w:top w:w="0" w:type="dxa"/>
              <w:left w:w="108" w:type="dxa"/>
              <w:bottom w:w="0" w:type="dxa"/>
              <w:right w:w="108" w:type="dxa"/>
            </w:tcMar>
          </w:tcPr>
          <w:p w14:paraId="24F0273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-1.2</w:t>
            </w:r>
          </w:p>
        </w:tc>
        <w:tc>
          <w:tcPr>
            <w:tcW w:w="851" w:type="dxa"/>
            <w:gridSpan w:val="2"/>
            <w:shd w:val="clear" w:color="auto" w:fill="auto"/>
            <w:tcMar>
              <w:top w:w="0" w:type="dxa"/>
              <w:left w:w="108" w:type="dxa"/>
              <w:bottom w:w="0" w:type="dxa"/>
              <w:right w:w="108" w:type="dxa"/>
            </w:tcMar>
          </w:tcPr>
          <w:p w14:paraId="2C1C991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-2.4</w:t>
            </w:r>
          </w:p>
        </w:tc>
        <w:tc>
          <w:tcPr>
            <w:tcW w:w="567" w:type="dxa"/>
            <w:shd w:val="clear" w:color="auto" w:fill="auto"/>
            <w:tcMar>
              <w:top w:w="0" w:type="dxa"/>
              <w:left w:w="10" w:type="dxa"/>
              <w:bottom w:w="0" w:type="dxa"/>
              <w:right w:w="10" w:type="dxa"/>
            </w:tcMar>
          </w:tcPr>
          <w:p w14:paraId="602A88E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shd w:val="clear" w:color="auto" w:fill="auto"/>
            <w:tcMar>
              <w:top w:w="0" w:type="dxa"/>
              <w:left w:w="10" w:type="dxa"/>
              <w:bottom w:w="0" w:type="dxa"/>
              <w:right w:w="10" w:type="dxa"/>
            </w:tcMar>
          </w:tcPr>
          <w:p w14:paraId="5AD22B6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-5.2</w:t>
            </w:r>
          </w:p>
        </w:tc>
        <w:tc>
          <w:tcPr>
            <w:tcW w:w="567" w:type="dxa"/>
            <w:gridSpan w:val="2"/>
            <w:shd w:val="clear" w:color="auto" w:fill="auto"/>
            <w:tcMar>
              <w:top w:w="0" w:type="dxa"/>
              <w:left w:w="10" w:type="dxa"/>
              <w:bottom w:w="0" w:type="dxa"/>
              <w:right w:w="10" w:type="dxa"/>
            </w:tcMar>
          </w:tcPr>
          <w:p w14:paraId="4BD7FE6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0.4</w:t>
            </w:r>
          </w:p>
        </w:tc>
      </w:tr>
      <w:tr w:rsidR="00E3622C" w:rsidRPr="00E3622C" w14:paraId="20F8C96D" w14:textId="77777777" w:rsidTr="003B4E1A">
        <w:tc>
          <w:tcPr>
            <w:tcW w:w="1101" w:type="dxa"/>
            <w:shd w:val="clear" w:color="auto" w:fill="auto"/>
            <w:tcMar>
              <w:top w:w="0" w:type="dxa"/>
              <w:left w:w="108" w:type="dxa"/>
              <w:bottom w:w="0" w:type="dxa"/>
              <w:right w:w="108" w:type="dxa"/>
            </w:tcMar>
          </w:tcPr>
          <w:p w14:paraId="5D7B1254"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557B10E8"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Rest of Northern Region 15-17</w:t>
            </w:r>
          </w:p>
        </w:tc>
        <w:tc>
          <w:tcPr>
            <w:tcW w:w="850" w:type="dxa"/>
            <w:shd w:val="clear" w:color="auto" w:fill="auto"/>
            <w:tcMar>
              <w:top w:w="0" w:type="dxa"/>
              <w:left w:w="108" w:type="dxa"/>
              <w:bottom w:w="0" w:type="dxa"/>
              <w:right w:w="108" w:type="dxa"/>
            </w:tcMar>
          </w:tcPr>
          <w:p w14:paraId="6D447FC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-3.1*</w:t>
            </w:r>
          </w:p>
        </w:tc>
        <w:tc>
          <w:tcPr>
            <w:tcW w:w="709" w:type="dxa"/>
            <w:gridSpan w:val="2"/>
            <w:shd w:val="clear" w:color="auto" w:fill="auto"/>
            <w:tcMar>
              <w:top w:w="0" w:type="dxa"/>
              <w:left w:w="108" w:type="dxa"/>
              <w:bottom w:w="0" w:type="dxa"/>
              <w:right w:w="108" w:type="dxa"/>
            </w:tcMar>
          </w:tcPr>
          <w:p w14:paraId="77E7CE6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1.6</w:t>
            </w:r>
          </w:p>
        </w:tc>
        <w:tc>
          <w:tcPr>
            <w:tcW w:w="851" w:type="dxa"/>
            <w:gridSpan w:val="2"/>
            <w:shd w:val="clear" w:color="auto" w:fill="auto"/>
            <w:tcMar>
              <w:top w:w="0" w:type="dxa"/>
              <w:left w:w="108" w:type="dxa"/>
              <w:bottom w:w="0" w:type="dxa"/>
              <w:right w:w="108" w:type="dxa"/>
            </w:tcMar>
          </w:tcPr>
          <w:p w14:paraId="12E6849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-6.2</w:t>
            </w:r>
          </w:p>
        </w:tc>
        <w:tc>
          <w:tcPr>
            <w:tcW w:w="850" w:type="dxa"/>
            <w:gridSpan w:val="2"/>
            <w:shd w:val="clear" w:color="auto" w:fill="auto"/>
            <w:tcMar>
              <w:top w:w="0" w:type="dxa"/>
              <w:left w:w="108" w:type="dxa"/>
              <w:bottom w:w="0" w:type="dxa"/>
              <w:right w:w="108" w:type="dxa"/>
            </w:tcMar>
          </w:tcPr>
          <w:p w14:paraId="307849E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-0.1</w:t>
            </w:r>
          </w:p>
        </w:tc>
        <w:tc>
          <w:tcPr>
            <w:tcW w:w="851" w:type="dxa"/>
            <w:gridSpan w:val="2"/>
            <w:shd w:val="clear" w:color="auto" w:fill="auto"/>
            <w:tcMar>
              <w:top w:w="0" w:type="dxa"/>
              <w:left w:w="108" w:type="dxa"/>
              <w:bottom w:w="0" w:type="dxa"/>
              <w:right w:w="108" w:type="dxa"/>
            </w:tcMar>
          </w:tcPr>
          <w:p w14:paraId="11B6EDB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-4.6**</w:t>
            </w:r>
          </w:p>
        </w:tc>
        <w:tc>
          <w:tcPr>
            <w:tcW w:w="567" w:type="dxa"/>
            <w:shd w:val="clear" w:color="auto" w:fill="auto"/>
            <w:tcMar>
              <w:top w:w="0" w:type="dxa"/>
              <w:left w:w="10" w:type="dxa"/>
              <w:bottom w:w="0" w:type="dxa"/>
              <w:right w:w="10" w:type="dxa"/>
            </w:tcMar>
          </w:tcPr>
          <w:p w14:paraId="31CB63E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1.7</w:t>
            </w:r>
          </w:p>
        </w:tc>
        <w:tc>
          <w:tcPr>
            <w:tcW w:w="567" w:type="dxa"/>
            <w:shd w:val="clear" w:color="auto" w:fill="auto"/>
            <w:tcMar>
              <w:top w:w="0" w:type="dxa"/>
              <w:left w:w="10" w:type="dxa"/>
              <w:bottom w:w="0" w:type="dxa"/>
              <w:right w:w="10" w:type="dxa"/>
            </w:tcMar>
          </w:tcPr>
          <w:p w14:paraId="62C51CA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-7.9</w:t>
            </w:r>
          </w:p>
        </w:tc>
        <w:tc>
          <w:tcPr>
            <w:tcW w:w="567" w:type="dxa"/>
            <w:gridSpan w:val="2"/>
            <w:shd w:val="clear" w:color="auto" w:fill="auto"/>
            <w:tcMar>
              <w:top w:w="0" w:type="dxa"/>
              <w:left w:w="10" w:type="dxa"/>
              <w:bottom w:w="0" w:type="dxa"/>
              <w:right w:w="10" w:type="dxa"/>
            </w:tcMar>
          </w:tcPr>
          <w:p w14:paraId="3EE98DF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r>
      <w:tr w:rsidR="00E3622C" w:rsidRPr="00E3622C" w14:paraId="3657273A" w14:textId="77777777" w:rsidTr="003B4E1A">
        <w:tc>
          <w:tcPr>
            <w:tcW w:w="1101" w:type="dxa"/>
            <w:shd w:val="clear" w:color="auto" w:fill="auto"/>
            <w:tcMar>
              <w:top w:w="0" w:type="dxa"/>
              <w:left w:w="108" w:type="dxa"/>
              <w:bottom w:w="0" w:type="dxa"/>
              <w:right w:w="108" w:type="dxa"/>
            </w:tcMar>
          </w:tcPr>
          <w:p w14:paraId="03541C04"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4CC36885"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Rest of North West 05-07</w:t>
            </w:r>
          </w:p>
        </w:tc>
        <w:tc>
          <w:tcPr>
            <w:tcW w:w="850" w:type="dxa"/>
            <w:shd w:val="clear" w:color="auto" w:fill="auto"/>
            <w:tcMar>
              <w:top w:w="0" w:type="dxa"/>
              <w:left w:w="108" w:type="dxa"/>
              <w:bottom w:w="0" w:type="dxa"/>
              <w:right w:w="108" w:type="dxa"/>
            </w:tcMar>
          </w:tcPr>
          <w:p w14:paraId="7F8D907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-3.9**</w:t>
            </w:r>
          </w:p>
        </w:tc>
        <w:tc>
          <w:tcPr>
            <w:tcW w:w="709" w:type="dxa"/>
            <w:gridSpan w:val="2"/>
            <w:shd w:val="clear" w:color="auto" w:fill="auto"/>
            <w:tcMar>
              <w:top w:w="0" w:type="dxa"/>
              <w:left w:w="108" w:type="dxa"/>
              <w:bottom w:w="0" w:type="dxa"/>
              <w:right w:w="108" w:type="dxa"/>
            </w:tcMar>
          </w:tcPr>
          <w:p w14:paraId="74EBB6B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851" w:type="dxa"/>
            <w:gridSpan w:val="2"/>
            <w:shd w:val="clear" w:color="auto" w:fill="auto"/>
            <w:tcMar>
              <w:top w:w="0" w:type="dxa"/>
              <w:left w:w="108" w:type="dxa"/>
              <w:bottom w:w="0" w:type="dxa"/>
              <w:right w:w="108" w:type="dxa"/>
            </w:tcMar>
          </w:tcPr>
          <w:p w14:paraId="11CC643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-6.6</w:t>
            </w:r>
          </w:p>
        </w:tc>
        <w:tc>
          <w:tcPr>
            <w:tcW w:w="850" w:type="dxa"/>
            <w:gridSpan w:val="2"/>
            <w:shd w:val="clear" w:color="auto" w:fill="auto"/>
            <w:tcMar>
              <w:top w:w="0" w:type="dxa"/>
              <w:left w:w="108" w:type="dxa"/>
              <w:bottom w:w="0" w:type="dxa"/>
              <w:right w:w="108" w:type="dxa"/>
            </w:tcMar>
          </w:tcPr>
          <w:p w14:paraId="692D699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851" w:type="dxa"/>
            <w:gridSpan w:val="2"/>
            <w:shd w:val="clear" w:color="auto" w:fill="auto"/>
            <w:tcMar>
              <w:top w:w="0" w:type="dxa"/>
              <w:left w:w="108" w:type="dxa"/>
              <w:bottom w:w="0" w:type="dxa"/>
              <w:right w:w="108" w:type="dxa"/>
            </w:tcMar>
          </w:tcPr>
          <w:p w14:paraId="0E37ECD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-0.7</w:t>
            </w:r>
          </w:p>
        </w:tc>
        <w:tc>
          <w:tcPr>
            <w:tcW w:w="567" w:type="dxa"/>
            <w:shd w:val="clear" w:color="auto" w:fill="auto"/>
            <w:tcMar>
              <w:top w:w="0" w:type="dxa"/>
              <w:left w:w="10" w:type="dxa"/>
              <w:bottom w:w="0" w:type="dxa"/>
              <w:right w:w="10" w:type="dxa"/>
            </w:tcMar>
          </w:tcPr>
          <w:p w14:paraId="1285D60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shd w:val="clear" w:color="auto" w:fill="auto"/>
            <w:tcMar>
              <w:top w:w="0" w:type="dxa"/>
              <w:left w:w="10" w:type="dxa"/>
              <w:bottom w:w="0" w:type="dxa"/>
              <w:right w:w="10" w:type="dxa"/>
            </w:tcMar>
          </w:tcPr>
          <w:p w14:paraId="3371009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-3.3</w:t>
            </w:r>
          </w:p>
        </w:tc>
        <w:tc>
          <w:tcPr>
            <w:tcW w:w="567" w:type="dxa"/>
            <w:gridSpan w:val="2"/>
            <w:shd w:val="clear" w:color="auto" w:fill="auto"/>
            <w:tcMar>
              <w:top w:w="0" w:type="dxa"/>
              <w:left w:w="10" w:type="dxa"/>
              <w:bottom w:w="0" w:type="dxa"/>
              <w:right w:w="10" w:type="dxa"/>
            </w:tcMar>
          </w:tcPr>
          <w:p w14:paraId="1131961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2.0</w:t>
            </w:r>
          </w:p>
        </w:tc>
      </w:tr>
      <w:tr w:rsidR="00E3622C" w:rsidRPr="00E3622C" w14:paraId="692451B8" w14:textId="77777777" w:rsidTr="003B4E1A">
        <w:tc>
          <w:tcPr>
            <w:tcW w:w="1101" w:type="dxa"/>
            <w:shd w:val="clear" w:color="auto" w:fill="auto"/>
            <w:tcMar>
              <w:top w:w="0" w:type="dxa"/>
              <w:left w:w="108" w:type="dxa"/>
              <w:bottom w:w="0" w:type="dxa"/>
              <w:right w:w="108" w:type="dxa"/>
            </w:tcMar>
          </w:tcPr>
          <w:p w14:paraId="4888AB1F"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3E198FF1"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Rest of North West 15-17</w:t>
            </w:r>
          </w:p>
        </w:tc>
        <w:tc>
          <w:tcPr>
            <w:tcW w:w="850" w:type="dxa"/>
            <w:shd w:val="clear" w:color="auto" w:fill="auto"/>
            <w:tcMar>
              <w:top w:w="0" w:type="dxa"/>
              <w:left w:w="108" w:type="dxa"/>
              <w:bottom w:w="0" w:type="dxa"/>
              <w:right w:w="108" w:type="dxa"/>
            </w:tcMar>
          </w:tcPr>
          <w:p w14:paraId="75B3D58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-3.5*</w:t>
            </w:r>
          </w:p>
        </w:tc>
        <w:tc>
          <w:tcPr>
            <w:tcW w:w="709" w:type="dxa"/>
            <w:gridSpan w:val="2"/>
            <w:shd w:val="clear" w:color="auto" w:fill="auto"/>
            <w:tcMar>
              <w:top w:w="0" w:type="dxa"/>
              <w:left w:w="108" w:type="dxa"/>
              <w:bottom w:w="0" w:type="dxa"/>
              <w:right w:w="108" w:type="dxa"/>
            </w:tcMar>
          </w:tcPr>
          <w:p w14:paraId="0F14B3F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851" w:type="dxa"/>
            <w:gridSpan w:val="2"/>
            <w:shd w:val="clear" w:color="auto" w:fill="auto"/>
            <w:tcMar>
              <w:top w:w="0" w:type="dxa"/>
              <w:left w:w="108" w:type="dxa"/>
              <w:bottom w:w="0" w:type="dxa"/>
              <w:right w:w="108" w:type="dxa"/>
            </w:tcMar>
          </w:tcPr>
          <w:p w14:paraId="28486BC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-6.3</w:t>
            </w:r>
          </w:p>
        </w:tc>
        <w:tc>
          <w:tcPr>
            <w:tcW w:w="850" w:type="dxa"/>
            <w:gridSpan w:val="2"/>
            <w:shd w:val="clear" w:color="auto" w:fill="auto"/>
            <w:tcMar>
              <w:top w:w="0" w:type="dxa"/>
              <w:left w:w="108" w:type="dxa"/>
              <w:bottom w:w="0" w:type="dxa"/>
              <w:right w:w="108" w:type="dxa"/>
            </w:tcMar>
          </w:tcPr>
          <w:p w14:paraId="7D5BD72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-0.7</w:t>
            </w:r>
          </w:p>
        </w:tc>
        <w:tc>
          <w:tcPr>
            <w:tcW w:w="851" w:type="dxa"/>
            <w:gridSpan w:val="2"/>
            <w:shd w:val="clear" w:color="auto" w:fill="auto"/>
            <w:tcMar>
              <w:top w:w="0" w:type="dxa"/>
              <w:left w:w="108" w:type="dxa"/>
              <w:bottom w:w="0" w:type="dxa"/>
              <w:right w:w="108" w:type="dxa"/>
            </w:tcMar>
          </w:tcPr>
          <w:p w14:paraId="475B05C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-2.8</w:t>
            </w:r>
          </w:p>
        </w:tc>
        <w:tc>
          <w:tcPr>
            <w:tcW w:w="567" w:type="dxa"/>
            <w:shd w:val="clear" w:color="auto" w:fill="auto"/>
            <w:tcMar>
              <w:top w:w="0" w:type="dxa"/>
              <w:left w:w="10" w:type="dxa"/>
              <w:bottom w:w="0" w:type="dxa"/>
              <w:right w:w="10" w:type="dxa"/>
            </w:tcMar>
          </w:tcPr>
          <w:p w14:paraId="09F8BBA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567" w:type="dxa"/>
            <w:shd w:val="clear" w:color="auto" w:fill="auto"/>
            <w:tcMar>
              <w:top w:w="0" w:type="dxa"/>
              <w:left w:w="10" w:type="dxa"/>
              <w:bottom w:w="0" w:type="dxa"/>
              <w:right w:w="10" w:type="dxa"/>
            </w:tcMar>
          </w:tcPr>
          <w:p w14:paraId="264460F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-5.7</w:t>
            </w:r>
          </w:p>
        </w:tc>
        <w:tc>
          <w:tcPr>
            <w:tcW w:w="567" w:type="dxa"/>
            <w:gridSpan w:val="2"/>
            <w:shd w:val="clear" w:color="auto" w:fill="auto"/>
            <w:tcMar>
              <w:top w:w="0" w:type="dxa"/>
              <w:left w:w="10" w:type="dxa"/>
              <w:bottom w:w="0" w:type="dxa"/>
              <w:right w:w="10" w:type="dxa"/>
            </w:tcMar>
          </w:tcPr>
          <w:p w14:paraId="2847E4E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0.0</w:t>
            </w:r>
          </w:p>
        </w:tc>
      </w:tr>
      <w:tr w:rsidR="00E3622C" w:rsidRPr="00E3622C" w14:paraId="1885F922" w14:textId="77777777" w:rsidTr="003B4E1A">
        <w:tc>
          <w:tcPr>
            <w:tcW w:w="1101" w:type="dxa"/>
            <w:shd w:val="clear" w:color="auto" w:fill="auto"/>
            <w:tcMar>
              <w:top w:w="0" w:type="dxa"/>
              <w:left w:w="108" w:type="dxa"/>
              <w:bottom w:w="0" w:type="dxa"/>
              <w:right w:w="108" w:type="dxa"/>
            </w:tcMar>
          </w:tcPr>
          <w:p w14:paraId="315FF2B6"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48EEF50D"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East Anglia 05-07</w:t>
            </w:r>
          </w:p>
        </w:tc>
        <w:tc>
          <w:tcPr>
            <w:tcW w:w="850" w:type="dxa"/>
            <w:shd w:val="clear" w:color="auto" w:fill="auto"/>
            <w:tcMar>
              <w:top w:w="0" w:type="dxa"/>
              <w:left w:w="108" w:type="dxa"/>
              <w:bottom w:w="0" w:type="dxa"/>
              <w:right w:w="108" w:type="dxa"/>
            </w:tcMar>
          </w:tcPr>
          <w:p w14:paraId="123BD1C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-3.2*</w:t>
            </w:r>
          </w:p>
        </w:tc>
        <w:tc>
          <w:tcPr>
            <w:tcW w:w="709" w:type="dxa"/>
            <w:gridSpan w:val="2"/>
            <w:shd w:val="clear" w:color="auto" w:fill="auto"/>
            <w:tcMar>
              <w:top w:w="0" w:type="dxa"/>
              <w:left w:w="108" w:type="dxa"/>
              <w:bottom w:w="0" w:type="dxa"/>
              <w:right w:w="108" w:type="dxa"/>
            </w:tcMar>
          </w:tcPr>
          <w:p w14:paraId="1BEAD7B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851" w:type="dxa"/>
            <w:gridSpan w:val="2"/>
            <w:shd w:val="clear" w:color="auto" w:fill="auto"/>
            <w:tcMar>
              <w:top w:w="0" w:type="dxa"/>
              <w:left w:w="108" w:type="dxa"/>
              <w:bottom w:w="0" w:type="dxa"/>
              <w:right w:w="108" w:type="dxa"/>
            </w:tcMar>
          </w:tcPr>
          <w:p w14:paraId="1B636CD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-5.9</w:t>
            </w:r>
          </w:p>
        </w:tc>
        <w:tc>
          <w:tcPr>
            <w:tcW w:w="850" w:type="dxa"/>
            <w:gridSpan w:val="2"/>
            <w:shd w:val="clear" w:color="auto" w:fill="auto"/>
            <w:tcMar>
              <w:top w:w="0" w:type="dxa"/>
              <w:left w:w="108" w:type="dxa"/>
              <w:bottom w:w="0" w:type="dxa"/>
              <w:right w:w="108" w:type="dxa"/>
            </w:tcMar>
          </w:tcPr>
          <w:p w14:paraId="50524AC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-0.5</w:t>
            </w:r>
          </w:p>
        </w:tc>
        <w:tc>
          <w:tcPr>
            <w:tcW w:w="851" w:type="dxa"/>
            <w:gridSpan w:val="2"/>
            <w:shd w:val="clear" w:color="auto" w:fill="auto"/>
            <w:tcMar>
              <w:top w:w="0" w:type="dxa"/>
              <w:left w:w="108" w:type="dxa"/>
              <w:bottom w:w="0" w:type="dxa"/>
              <w:right w:w="108" w:type="dxa"/>
            </w:tcMar>
          </w:tcPr>
          <w:p w14:paraId="000B2DE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-1.6</w:t>
            </w:r>
          </w:p>
        </w:tc>
        <w:tc>
          <w:tcPr>
            <w:tcW w:w="567" w:type="dxa"/>
            <w:shd w:val="clear" w:color="auto" w:fill="auto"/>
            <w:tcMar>
              <w:top w:w="0" w:type="dxa"/>
              <w:left w:w="10" w:type="dxa"/>
              <w:bottom w:w="0" w:type="dxa"/>
              <w:right w:w="10" w:type="dxa"/>
            </w:tcMar>
          </w:tcPr>
          <w:p w14:paraId="47EDA61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shd w:val="clear" w:color="auto" w:fill="auto"/>
            <w:tcMar>
              <w:top w:w="0" w:type="dxa"/>
              <w:left w:w="10" w:type="dxa"/>
              <w:bottom w:w="0" w:type="dxa"/>
              <w:right w:w="10" w:type="dxa"/>
            </w:tcMar>
          </w:tcPr>
          <w:p w14:paraId="030923F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-4.3</w:t>
            </w:r>
          </w:p>
        </w:tc>
        <w:tc>
          <w:tcPr>
            <w:tcW w:w="567" w:type="dxa"/>
            <w:gridSpan w:val="2"/>
            <w:shd w:val="clear" w:color="auto" w:fill="auto"/>
            <w:tcMar>
              <w:top w:w="0" w:type="dxa"/>
              <w:left w:w="10" w:type="dxa"/>
              <w:bottom w:w="0" w:type="dxa"/>
              <w:right w:w="10" w:type="dxa"/>
            </w:tcMar>
          </w:tcPr>
          <w:p w14:paraId="10B55B8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1.1</w:t>
            </w:r>
          </w:p>
        </w:tc>
      </w:tr>
      <w:tr w:rsidR="00E3622C" w:rsidRPr="00E3622C" w14:paraId="5219051F" w14:textId="77777777" w:rsidTr="003B4E1A">
        <w:tc>
          <w:tcPr>
            <w:tcW w:w="1101" w:type="dxa"/>
            <w:shd w:val="clear" w:color="auto" w:fill="auto"/>
            <w:tcMar>
              <w:top w:w="0" w:type="dxa"/>
              <w:left w:w="108" w:type="dxa"/>
              <w:bottom w:w="0" w:type="dxa"/>
              <w:right w:w="108" w:type="dxa"/>
            </w:tcMar>
          </w:tcPr>
          <w:p w14:paraId="66B34DB7"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07B94072"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East Anglia 15-17</w:t>
            </w:r>
          </w:p>
        </w:tc>
        <w:tc>
          <w:tcPr>
            <w:tcW w:w="850" w:type="dxa"/>
            <w:shd w:val="clear" w:color="auto" w:fill="auto"/>
            <w:tcMar>
              <w:top w:w="0" w:type="dxa"/>
              <w:left w:w="108" w:type="dxa"/>
              <w:bottom w:w="0" w:type="dxa"/>
              <w:right w:w="108" w:type="dxa"/>
            </w:tcMar>
          </w:tcPr>
          <w:p w14:paraId="68EA1C8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-2.5</w:t>
            </w:r>
          </w:p>
        </w:tc>
        <w:tc>
          <w:tcPr>
            <w:tcW w:w="709" w:type="dxa"/>
            <w:gridSpan w:val="2"/>
            <w:shd w:val="clear" w:color="auto" w:fill="auto"/>
            <w:tcMar>
              <w:top w:w="0" w:type="dxa"/>
              <w:left w:w="108" w:type="dxa"/>
              <w:bottom w:w="0" w:type="dxa"/>
              <w:right w:w="108" w:type="dxa"/>
            </w:tcMar>
          </w:tcPr>
          <w:p w14:paraId="7855029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851" w:type="dxa"/>
            <w:gridSpan w:val="2"/>
            <w:shd w:val="clear" w:color="auto" w:fill="auto"/>
            <w:tcMar>
              <w:top w:w="0" w:type="dxa"/>
              <w:left w:w="108" w:type="dxa"/>
              <w:bottom w:w="0" w:type="dxa"/>
              <w:right w:w="108" w:type="dxa"/>
            </w:tcMar>
          </w:tcPr>
          <w:p w14:paraId="70523B3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-5.2</w:t>
            </w:r>
          </w:p>
        </w:tc>
        <w:tc>
          <w:tcPr>
            <w:tcW w:w="850" w:type="dxa"/>
            <w:gridSpan w:val="2"/>
            <w:shd w:val="clear" w:color="auto" w:fill="auto"/>
            <w:tcMar>
              <w:top w:w="0" w:type="dxa"/>
              <w:left w:w="108" w:type="dxa"/>
              <w:bottom w:w="0" w:type="dxa"/>
              <w:right w:w="108" w:type="dxa"/>
            </w:tcMar>
          </w:tcPr>
          <w:p w14:paraId="1DB79D4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0.3</w:t>
            </w:r>
          </w:p>
        </w:tc>
        <w:tc>
          <w:tcPr>
            <w:tcW w:w="851" w:type="dxa"/>
            <w:gridSpan w:val="2"/>
            <w:shd w:val="clear" w:color="auto" w:fill="auto"/>
            <w:tcMar>
              <w:top w:w="0" w:type="dxa"/>
              <w:left w:w="108" w:type="dxa"/>
              <w:bottom w:w="0" w:type="dxa"/>
              <w:right w:w="108" w:type="dxa"/>
            </w:tcMar>
          </w:tcPr>
          <w:p w14:paraId="2818977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-3.0*</w:t>
            </w:r>
          </w:p>
        </w:tc>
        <w:tc>
          <w:tcPr>
            <w:tcW w:w="567" w:type="dxa"/>
            <w:shd w:val="clear" w:color="auto" w:fill="auto"/>
            <w:tcMar>
              <w:top w:w="0" w:type="dxa"/>
              <w:left w:w="10" w:type="dxa"/>
              <w:bottom w:w="0" w:type="dxa"/>
              <w:right w:w="10" w:type="dxa"/>
            </w:tcMar>
          </w:tcPr>
          <w:p w14:paraId="5277635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shd w:val="clear" w:color="auto" w:fill="auto"/>
            <w:tcMar>
              <w:top w:w="0" w:type="dxa"/>
              <w:left w:w="10" w:type="dxa"/>
              <w:bottom w:w="0" w:type="dxa"/>
              <w:right w:w="10" w:type="dxa"/>
            </w:tcMar>
          </w:tcPr>
          <w:p w14:paraId="492A891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-5.8</w:t>
            </w:r>
          </w:p>
        </w:tc>
        <w:tc>
          <w:tcPr>
            <w:tcW w:w="567" w:type="dxa"/>
            <w:gridSpan w:val="2"/>
            <w:shd w:val="clear" w:color="auto" w:fill="auto"/>
            <w:tcMar>
              <w:top w:w="0" w:type="dxa"/>
              <w:left w:w="10" w:type="dxa"/>
              <w:bottom w:w="0" w:type="dxa"/>
              <w:right w:w="10" w:type="dxa"/>
            </w:tcMar>
          </w:tcPr>
          <w:p w14:paraId="7FD9658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-0.3</w:t>
            </w:r>
          </w:p>
        </w:tc>
      </w:tr>
      <w:tr w:rsidR="00E3622C" w:rsidRPr="00E3622C" w14:paraId="1C3383CC" w14:textId="77777777" w:rsidTr="003B4E1A">
        <w:tc>
          <w:tcPr>
            <w:tcW w:w="1101" w:type="dxa"/>
            <w:shd w:val="clear" w:color="auto" w:fill="auto"/>
            <w:tcMar>
              <w:top w:w="0" w:type="dxa"/>
              <w:left w:w="108" w:type="dxa"/>
              <w:bottom w:w="0" w:type="dxa"/>
              <w:right w:w="108" w:type="dxa"/>
            </w:tcMar>
          </w:tcPr>
          <w:p w14:paraId="24E653B3"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3325C0E9"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West Yorkshire 05-07</w:t>
            </w:r>
          </w:p>
        </w:tc>
        <w:tc>
          <w:tcPr>
            <w:tcW w:w="850" w:type="dxa"/>
            <w:shd w:val="clear" w:color="auto" w:fill="auto"/>
            <w:tcMar>
              <w:top w:w="0" w:type="dxa"/>
              <w:left w:w="108" w:type="dxa"/>
              <w:bottom w:w="0" w:type="dxa"/>
              <w:right w:w="108" w:type="dxa"/>
            </w:tcMar>
          </w:tcPr>
          <w:p w14:paraId="4A667E0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-3.2*</w:t>
            </w:r>
          </w:p>
        </w:tc>
        <w:tc>
          <w:tcPr>
            <w:tcW w:w="709" w:type="dxa"/>
            <w:gridSpan w:val="2"/>
            <w:shd w:val="clear" w:color="auto" w:fill="auto"/>
            <w:tcMar>
              <w:top w:w="0" w:type="dxa"/>
              <w:left w:w="108" w:type="dxa"/>
              <w:bottom w:w="0" w:type="dxa"/>
              <w:right w:w="108" w:type="dxa"/>
            </w:tcMar>
          </w:tcPr>
          <w:p w14:paraId="58FE25D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851" w:type="dxa"/>
            <w:gridSpan w:val="2"/>
            <w:shd w:val="clear" w:color="auto" w:fill="auto"/>
            <w:tcMar>
              <w:top w:w="0" w:type="dxa"/>
              <w:left w:w="108" w:type="dxa"/>
              <w:bottom w:w="0" w:type="dxa"/>
              <w:right w:w="108" w:type="dxa"/>
            </w:tcMar>
          </w:tcPr>
          <w:p w14:paraId="28FE8BA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-5.8</w:t>
            </w:r>
          </w:p>
        </w:tc>
        <w:tc>
          <w:tcPr>
            <w:tcW w:w="850" w:type="dxa"/>
            <w:gridSpan w:val="2"/>
            <w:shd w:val="clear" w:color="auto" w:fill="auto"/>
            <w:tcMar>
              <w:top w:w="0" w:type="dxa"/>
              <w:left w:w="108" w:type="dxa"/>
              <w:bottom w:w="0" w:type="dxa"/>
              <w:right w:w="108" w:type="dxa"/>
            </w:tcMar>
          </w:tcPr>
          <w:p w14:paraId="483FC09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c>
          <w:tcPr>
            <w:tcW w:w="851" w:type="dxa"/>
            <w:gridSpan w:val="2"/>
            <w:shd w:val="clear" w:color="auto" w:fill="auto"/>
            <w:tcMar>
              <w:top w:w="0" w:type="dxa"/>
              <w:left w:w="108" w:type="dxa"/>
              <w:bottom w:w="0" w:type="dxa"/>
              <w:right w:w="108" w:type="dxa"/>
            </w:tcMar>
          </w:tcPr>
          <w:p w14:paraId="50CC023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-0.4</w:t>
            </w:r>
          </w:p>
        </w:tc>
        <w:tc>
          <w:tcPr>
            <w:tcW w:w="567" w:type="dxa"/>
            <w:shd w:val="clear" w:color="auto" w:fill="auto"/>
            <w:tcMar>
              <w:top w:w="0" w:type="dxa"/>
              <w:left w:w="10" w:type="dxa"/>
              <w:bottom w:w="0" w:type="dxa"/>
              <w:right w:w="10" w:type="dxa"/>
            </w:tcMar>
          </w:tcPr>
          <w:p w14:paraId="3D7D31D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567" w:type="dxa"/>
            <w:shd w:val="clear" w:color="auto" w:fill="auto"/>
            <w:tcMar>
              <w:top w:w="0" w:type="dxa"/>
              <w:left w:w="10" w:type="dxa"/>
              <w:bottom w:w="0" w:type="dxa"/>
              <w:right w:w="10" w:type="dxa"/>
            </w:tcMar>
          </w:tcPr>
          <w:p w14:paraId="06EE2B1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-3.0</w:t>
            </w:r>
          </w:p>
        </w:tc>
        <w:tc>
          <w:tcPr>
            <w:tcW w:w="567" w:type="dxa"/>
            <w:gridSpan w:val="2"/>
            <w:shd w:val="clear" w:color="auto" w:fill="auto"/>
            <w:tcMar>
              <w:top w:w="0" w:type="dxa"/>
              <w:left w:w="10" w:type="dxa"/>
              <w:bottom w:w="0" w:type="dxa"/>
              <w:right w:w="10" w:type="dxa"/>
            </w:tcMar>
          </w:tcPr>
          <w:p w14:paraId="79F7383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2.1</w:t>
            </w:r>
          </w:p>
        </w:tc>
      </w:tr>
      <w:tr w:rsidR="00E3622C" w:rsidRPr="00E3622C" w14:paraId="1543B651" w14:textId="77777777" w:rsidTr="003B4E1A">
        <w:tc>
          <w:tcPr>
            <w:tcW w:w="1101" w:type="dxa"/>
            <w:shd w:val="clear" w:color="auto" w:fill="auto"/>
            <w:tcMar>
              <w:top w:w="0" w:type="dxa"/>
              <w:left w:w="108" w:type="dxa"/>
              <w:bottom w:w="0" w:type="dxa"/>
              <w:right w:w="108" w:type="dxa"/>
            </w:tcMar>
          </w:tcPr>
          <w:p w14:paraId="7F53F469"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52D44F0A"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West Yorkshire 15-17</w:t>
            </w:r>
          </w:p>
        </w:tc>
        <w:tc>
          <w:tcPr>
            <w:tcW w:w="850" w:type="dxa"/>
            <w:shd w:val="clear" w:color="auto" w:fill="auto"/>
            <w:tcMar>
              <w:top w:w="0" w:type="dxa"/>
              <w:left w:w="108" w:type="dxa"/>
              <w:bottom w:w="0" w:type="dxa"/>
              <w:right w:w="108" w:type="dxa"/>
            </w:tcMar>
          </w:tcPr>
          <w:p w14:paraId="35E905E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-2.0</w:t>
            </w:r>
          </w:p>
        </w:tc>
        <w:tc>
          <w:tcPr>
            <w:tcW w:w="709" w:type="dxa"/>
            <w:gridSpan w:val="2"/>
            <w:shd w:val="clear" w:color="auto" w:fill="auto"/>
            <w:tcMar>
              <w:top w:w="0" w:type="dxa"/>
              <w:left w:w="108" w:type="dxa"/>
              <w:bottom w:w="0" w:type="dxa"/>
              <w:right w:w="108" w:type="dxa"/>
            </w:tcMar>
          </w:tcPr>
          <w:p w14:paraId="47935B0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851" w:type="dxa"/>
            <w:gridSpan w:val="2"/>
            <w:shd w:val="clear" w:color="auto" w:fill="auto"/>
            <w:tcMar>
              <w:top w:w="0" w:type="dxa"/>
              <w:left w:w="108" w:type="dxa"/>
              <w:bottom w:w="0" w:type="dxa"/>
              <w:right w:w="108" w:type="dxa"/>
            </w:tcMar>
          </w:tcPr>
          <w:p w14:paraId="7B17467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-5.0</w:t>
            </w:r>
          </w:p>
        </w:tc>
        <w:tc>
          <w:tcPr>
            <w:tcW w:w="850" w:type="dxa"/>
            <w:gridSpan w:val="2"/>
            <w:shd w:val="clear" w:color="auto" w:fill="auto"/>
            <w:tcMar>
              <w:top w:w="0" w:type="dxa"/>
              <w:left w:w="108" w:type="dxa"/>
              <w:bottom w:w="0" w:type="dxa"/>
              <w:right w:w="108" w:type="dxa"/>
            </w:tcMar>
          </w:tcPr>
          <w:p w14:paraId="46F8701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1.0</w:t>
            </w:r>
          </w:p>
        </w:tc>
        <w:tc>
          <w:tcPr>
            <w:tcW w:w="851" w:type="dxa"/>
            <w:gridSpan w:val="2"/>
            <w:shd w:val="clear" w:color="auto" w:fill="auto"/>
            <w:tcMar>
              <w:top w:w="0" w:type="dxa"/>
              <w:left w:w="108" w:type="dxa"/>
              <w:bottom w:w="0" w:type="dxa"/>
              <w:right w:w="108" w:type="dxa"/>
            </w:tcMar>
          </w:tcPr>
          <w:p w14:paraId="43F2240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-1.7</w:t>
            </w:r>
          </w:p>
        </w:tc>
        <w:tc>
          <w:tcPr>
            <w:tcW w:w="567" w:type="dxa"/>
            <w:shd w:val="clear" w:color="auto" w:fill="auto"/>
            <w:tcMar>
              <w:top w:w="0" w:type="dxa"/>
              <w:left w:w="10" w:type="dxa"/>
              <w:bottom w:w="0" w:type="dxa"/>
              <w:right w:w="10" w:type="dxa"/>
            </w:tcMar>
          </w:tcPr>
          <w:p w14:paraId="3B5C5D4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567" w:type="dxa"/>
            <w:shd w:val="clear" w:color="auto" w:fill="auto"/>
            <w:tcMar>
              <w:top w:w="0" w:type="dxa"/>
              <w:left w:w="10" w:type="dxa"/>
              <w:bottom w:w="0" w:type="dxa"/>
              <w:right w:w="10" w:type="dxa"/>
            </w:tcMar>
          </w:tcPr>
          <w:p w14:paraId="6172827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-4.6</w:t>
            </w:r>
          </w:p>
        </w:tc>
        <w:tc>
          <w:tcPr>
            <w:tcW w:w="567" w:type="dxa"/>
            <w:gridSpan w:val="2"/>
            <w:shd w:val="clear" w:color="auto" w:fill="auto"/>
            <w:tcMar>
              <w:top w:w="0" w:type="dxa"/>
              <w:left w:w="10" w:type="dxa"/>
              <w:bottom w:w="0" w:type="dxa"/>
              <w:right w:w="10" w:type="dxa"/>
            </w:tcMar>
          </w:tcPr>
          <w:p w14:paraId="0104191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1.2</w:t>
            </w:r>
          </w:p>
        </w:tc>
      </w:tr>
      <w:tr w:rsidR="00E3622C" w:rsidRPr="00E3622C" w14:paraId="22C4F4F0" w14:textId="77777777" w:rsidTr="003B4E1A">
        <w:tc>
          <w:tcPr>
            <w:tcW w:w="1101" w:type="dxa"/>
            <w:shd w:val="clear" w:color="auto" w:fill="auto"/>
            <w:tcMar>
              <w:top w:w="0" w:type="dxa"/>
              <w:left w:w="108" w:type="dxa"/>
              <w:bottom w:w="0" w:type="dxa"/>
              <w:right w:w="108" w:type="dxa"/>
            </w:tcMar>
          </w:tcPr>
          <w:p w14:paraId="61B5F9EC"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1D41B66E"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Strathclyde 05-07</w:t>
            </w:r>
          </w:p>
        </w:tc>
        <w:tc>
          <w:tcPr>
            <w:tcW w:w="850" w:type="dxa"/>
            <w:shd w:val="clear" w:color="auto" w:fill="auto"/>
            <w:tcMar>
              <w:top w:w="0" w:type="dxa"/>
              <w:left w:w="108" w:type="dxa"/>
              <w:bottom w:w="0" w:type="dxa"/>
              <w:right w:w="108" w:type="dxa"/>
            </w:tcMar>
          </w:tcPr>
          <w:p w14:paraId="7D00541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-2.9*</w:t>
            </w:r>
          </w:p>
        </w:tc>
        <w:tc>
          <w:tcPr>
            <w:tcW w:w="709" w:type="dxa"/>
            <w:gridSpan w:val="2"/>
            <w:shd w:val="clear" w:color="auto" w:fill="auto"/>
            <w:tcMar>
              <w:top w:w="0" w:type="dxa"/>
              <w:left w:w="108" w:type="dxa"/>
              <w:bottom w:w="0" w:type="dxa"/>
              <w:right w:w="108" w:type="dxa"/>
            </w:tcMar>
          </w:tcPr>
          <w:p w14:paraId="10A767D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851" w:type="dxa"/>
            <w:gridSpan w:val="2"/>
            <w:shd w:val="clear" w:color="auto" w:fill="auto"/>
            <w:tcMar>
              <w:top w:w="0" w:type="dxa"/>
              <w:left w:w="108" w:type="dxa"/>
              <w:bottom w:w="0" w:type="dxa"/>
              <w:right w:w="108" w:type="dxa"/>
            </w:tcMar>
          </w:tcPr>
          <w:p w14:paraId="0147DA2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-5.6</w:t>
            </w:r>
          </w:p>
        </w:tc>
        <w:tc>
          <w:tcPr>
            <w:tcW w:w="850" w:type="dxa"/>
            <w:gridSpan w:val="2"/>
            <w:shd w:val="clear" w:color="auto" w:fill="auto"/>
            <w:tcMar>
              <w:top w:w="0" w:type="dxa"/>
              <w:left w:w="108" w:type="dxa"/>
              <w:bottom w:w="0" w:type="dxa"/>
              <w:right w:w="108" w:type="dxa"/>
            </w:tcMar>
          </w:tcPr>
          <w:p w14:paraId="3C8900B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-0.2</w:t>
            </w:r>
          </w:p>
        </w:tc>
        <w:tc>
          <w:tcPr>
            <w:tcW w:w="851" w:type="dxa"/>
            <w:gridSpan w:val="2"/>
            <w:shd w:val="clear" w:color="auto" w:fill="auto"/>
            <w:tcMar>
              <w:top w:w="0" w:type="dxa"/>
              <w:left w:w="108" w:type="dxa"/>
              <w:bottom w:w="0" w:type="dxa"/>
              <w:right w:w="108" w:type="dxa"/>
            </w:tcMar>
          </w:tcPr>
          <w:p w14:paraId="6EECE0D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shd w:val="clear" w:color="auto" w:fill="auto"/>
            <w:tcMar>
              <w:top w:w="0" w:type="dxa"/>
              <w:left w:w="10" w:type="dxa"/>
              <w:bottom w:w="0" w:type="dxa"/>
              <w:right w:w="10" w:type="dxa"/>
            </w:tcMar>
          </w:tcPr>
          <w:p w14:paraId="107B840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shd w:val="clear" w:color="auto" w:fill="auto"/>
            <w:tcMar>
              <w:top w:w="0" w:type="dxa"/>
              <w:left w:w="10" w:type="dxa"/>
              <w:bottom w:w="0" w:type="dxa"/>
              <w:right w:w="10" w:type="dxa"/>
            </w:tcMar>
          </w:tcPr>
          <w:p w14:paraId="6D85099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-4.1</w:t>
            </w:r>
          </w:p>
        </w:tc>
        <w:tc>
          <w:tcPr>
            <w:tcW w:w="567" w:type="dxa"/>
            <w:gridSpan w:val="2"/>
            <w:shd w:val="clear" w:color="auto" w:fill="auto"/>
            <w:tcMar>
              <w:top w:w="0" w:type="dxa"/>
              <w:left w:w="10" w:type="dxa"/>
              <w:bottom w:w="0" w:type="dxa"/>
              <w:right w:w="10" w:type="dxa"/>
            </w:tcMar>
          </w:tcPr>
          <w:p w14:paraId="23CDA1C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r>
      <w:tr w:rsidR="00E3622C" w:rsidRPr="00E3622C" w14:paraId="0D88BCF6" w14:textId="77777777" w:rsidTr="003B4E1A">
        <w:tc>
          <w:tcPr>
            <w:tcW w:w="1101" w:type="dxa"/>
            <w:shd w:val="clear" w:color="auto" w:fill="auto"/>
            <w:tcMar>
              <w:top w:w="0" w:type="dxa"/>
              <w:left w:w="108" w:type="dxa"/>
              <w:bottom w:w="0" w:type="dxa"/>
              <w:right w:w="108" w:type="dxa"/>
            </w:tcMar>
          </w:tcPr>
          <w:p w14:paraId="78F56F41"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7ABA092B"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Strathclyde 15-17</w:t>
            </w:r>
          </w:p>
        </w:tc>
        <w:tc>
          <w:tcPr>
            <w:tcW w:w="850" w:type="dxa"/>
            <w:shd w:val="clear" w:color="auto" w:fill="auto"/>
            <w:tcMar>
              <w:top w:w="0" w:type="dxa"/>
              <w:left w:w="108" w:type="dxa"/>
              <w:bottom w:w="0" w:type="dxa"/>
              <w:right w:w="108" w:type="dxa"/>
            </w:tcMar>
          </w:tcPr>
          <w:p w14:paraId="4DFEC0D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-2.3</w:t>
            </w:r>
          </w:p>
        </w:tc>
        <w:tc>
          <w:tcPr>
            <w:tcW w:w="709" w:type="dxa"/>
            <w:gridSpan w:val="2"/>
            <w:shd w:val="clear" w:color="auto" w:fill="auto"/>
            <w:tcMar>
              <w:top w:w="0" w:type="dxa"/>
              <w:left w:w="108" w:type="dxa"/>
              <w:bottom w:w="0" w:type="dxa"/>
              <w:right w:w="108" w:type="dxa"/>
            </w:tcMar>
          </w:tcPr>
          <w:p w14:paraId="4139BD1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851" w:type="dxa"/>
            <w:gridSpan w:val="2"/>
            <w:shd w:val="clear" w:color="auto" w:fill="auto"/>
            <w:tcMar>
              <w:top w:w="0" w:type="dxa"/>
              <w:left w:w="108" w:type="dxa"/>
              <w:bottom w:w="0" w:type="dxa"/>
              <w:right w:w="108" w:type="dxa"/>
            </w:tcMar>
          </w:tcPr>
          <w:p w14:paraId="5F172CC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-5.1</w:t>
            </w:r>
          </w:p>
        </w:tc>
        <w:tc>
          <w:tcPr>
            <w:tcW w:w="850" w:type="dxa"/>
            <w:gridSpan w:val="2"/>
            <w:shd w:val="clear" w:color="auto" w:fill="auto"/>
            <w:tcMar>
              <w:top w:w="0" w:type="dxa"/>
              <w:left w:w="108" w:type="dxa"/>
              <w:bottom w:w="0" w:type="dxa"/>
              <w:right w:w="108" w:type="dxa"/>
            </w:tcMar>
          </w:tcPr>
          <w:p w14:paraId="171D0AC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c>
          <w:tcPr>
            <w:tcW w:w="851" w:type="dxa"/>
            <w:gridSpan w:val="2"/>
            <w:shd w:val="clear" w:color="auto" w:fill="auto"/>
            <w:tcMar>
              <w:top w:w="0" w:type="dxa"/>
              <w:left w:w="108" w:type="dxa"/>
              <w:bottom w:w="0" w:type="dxa"/>
              <w:right w:w="108" w:type="dxa"/>
            </w:tcMar>
          </w:tcPr>
          <w:p w14:paraId="5033819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-2.2</w:t>
            </w:r>
          </w:p>
        </w:tc>
        <w:tc>
          <w:tcPr>
            <w:tcW w:w="567" w:type="dxa"/>
            <w:shd w:val="clear" w:color="auto" w:fill="auto"/>
            <w:tcMar>
              <w:top w:w="0" w:type="dxa"/>
              <w:left w:w="10" w:type="dxa"/>
              <w:bottom w:w="0" w:type="dxa"/>
              <w:right w:w="10" w:type="dxa"/>
            </w:tcMar>
          </w:tcPr>
          <w:p w14:paraId="6300072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567" w:type="dxa"/>
            <w:shd w:val="clear" w:color="auto" w:fill="auto"/>
            <w:tcMar>
              <w:top w:w="0" w:type="dxa"/>
              <w:left w:w="10" w:type="dxa"/>
              <w:bottom w:w="0" w:type="dxa"/>
              <w:right w:w="10" w:type="dxa"/>
            </w:tcMar>
          </w:tcPr>
          <w:p w14:paraId="13202A7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-5.2</w:t>
            </w:r>
          </w:p>
        </w:tc>
        <w:tc>
          <w:tcPr>
            <w:tcW w:w="567" w:type="dxa"/>
            <w:gridSpan w:val="2"/>
            <w:shd w:val="clear" w:color="auto" w:fill="auto"/>
            <w:tcMar>
              <w:top w:w="0" w:type="dxa"/>
              <w:left w:w="10" w:type="dxa"/>
              <w:bottom w:w="0" w:type="dxa"/>
              <w:right w:w="10" w:type="dxa"/>
            </w:tcMar>
          </w:tcPr>
          <w:p w14:paraId="54098D9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0.8</w:t>
            </w:r>
          </w:p>
        </w:tc>
      </w:tr>
      <w:tr w:rsidR="00E3622C" w:rsidRPr="00E3622C" w14:paraId="612AA050" w14:textId="77777777" w:rsidTr="003B4E1A">
        <w:tc>
          <w:tcPr>
            <w:tcW w:w="1101" w:type="dxa"/>
            <w:shd w:val="clear" w:color="auto" w:fill="auto"/>
            <w:tcMar>
              <w:top w:w="0" w:type="dxa"/>
              <w:left w:w="108" w:type="dxa"/>
              <w:bottom w:w="0" w:type="dxa"/>
              <w:right w:w="108" w:type="dxa"/>
            </w:tcMar>
          </w:tcPr>
          <w:p w14:paraId="51C5CF35"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2CAAF3AE"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Rest of South East 05-07</w:t>
            </w:r>
          </w:p>
        </w:tc>
        <w:tc>
          <w:tcPr>
            <w:tcW w:w="850" w:type="dxa"/>
            <w:shd w:val="clear" w:color="auto" w:fill="auto"/>
            <w:tcMar>
              <w:top w:w="0" w:type="dxa"/>
              <w:left w:w="108" w:type="dxa"/>
              <w:bottom w:w="0" w:type="dxa"/>
              <w:right w:w="108" w:type="dxa"/>
            </w:tcMar>
          </w:tcPr>
          <w:p w14:paraId="3553225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-1.9</w:t>
            </w:r>
          </w:p>
        </w:tc>
        <w:tc>
          <w:tcPr>
            <w:tcW w:w="709" w:type="dxa"/>
            <w:gridSpan w:val="2"/>
            <w:shd w:val="clear" w:color="auto" w:fill="auto"/>
            <w:tcMar>
              <w:top w:w="0" w:type="dxa"/>
              <w:left w:w="108" w:type="dxa"/>
              <w:bottom w:w="0" w:type="dxa"/>
              <w:right w:w="108" w:type="dxa"/>
            </w:tcMar>
          </w:tcPr>
          <w:p w14:paraId="515A46E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1.2</w:t>
            </w:r>
          </w:p>
        </w:tc>
        <w:tc>
          <w:tcPr>
            <w:tcW w:w="851" w:type="dxa"/>
            <w:gridSpan w:val="2"/>
            <w:shd w:val="clear" w:color="auto" w:fill="auto"/>
            <w:tcMar>
              <w:top w:w="0" w:type="dxa"/>
              <w:left w:w="108" w:type="dxa"/>
              <w:bottom w:w="0" w:type="dxa"/>
              <w:right w:w="108" w:type="dxa"/>
            </w:tcMar>
          </w:tcPr>
          <w:p w14:paraId="0F5F65E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-4.3</w:t>
            </w:r>
          </w:p>
        </w:tc>
        <w:tc>
          <w:tcPr>
            <w:tcW w:w="850" w:type="dxa"/>
            <w:gridSpan w:val="2"/>
            <w:shd w:val="clear" w:color="auto" w:fill="auto"/>
            <w:tcMar>
              <w:top w:w="0" w:type="dxa"/>
              <w:left w:w="108" w:type="dxa"/>
              <w:bottom w:w="0" w:type="dxa"/>
              <w:right w:w="108" w:type="dxa"/>
            </w:tcMar>
          </w:tcPr>
          <w:p w14:paraId="59D4780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0.4</w:t>
            </w:r>
          </w:p>
        </w:tc>
        <w:tc>
          <w:tcPr>
            <w:tcW w:w="851" w:type="dxa"/>
            <w:gridSpan w:val="2"/>
            <w:shd w:val="clear" w:color="auto" w:fill="auto"/>
            <w:tcMar>
              <w:top w:w="0" w:type="dxa"/>
              <w:left w:w="108" w:type="dxa"/>
              <w:bottom w:w="0" w:type="dxa"/>
              <w:right w:w="108" w:type="dxa"/>
            </w:tcMar>
          </w:tcPr>
          <w:p w14:paraId="470C7D3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0.1</w:t>
            </w:r>
          </w:p>
        </w:tc>
        <w:tc>
          <w:tcPr>
            <w:tcW w:w="567" w:type="dxa"/>
            <w:shd w:val="clear" w:color="auto" w:fill="auto"/>
            <w:tcMar>
              <w:top w:w="0" w:type="dxa"/>
              <w:left w:w="10" w:type="dxa"/>
              <w:bottom w:w="0" w:type="dxa"/>
              <w:right w:w="10" w:type="dxa"/>
            </w:tcMar>
          </w:tcPr>
          <w:p w14:paraId="452D031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1.2</w:t>
            </w:r>
          </w:p>
        </w:tc>
        <w:tc>
          <w:tcPr>
            <w:tcW w:w="567" w:type="dxa"/>
            <w:shd w:val="clear" w:color="auto" w:fill="auto"/>
            <w:tcMar>
              <w:top w:w="0" w:type="dxa"/>
              <w:left w:w="10" w:type="dxa"/>
              <w:bottom w:w="0" w:type="dxa"/>
              <w:right w:w="10" w:type="dxa"/>
            </w:tcMar>
          </w:tcPr>
          <w:p w14:paraId="6ADD891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-2.1</w:t>
            </w:r>
          </w:p>
        </w:tc>
        <w:tc>
          <w:tcPr>
            <w:tcW w:w="567" w:type="dxa"/>
            <w:gridSpan w:val="2"/>
            <w:shd w:val="clear" w:color="auto" w:fill="auto"/>
            <w:tcMar>
              <w:top w:w="0" w:type="dxa"/>
              <w:left w:w="10" w:type="dxa"/>
              <w:bottom w:w="0" w:type="dxa"/>
              <w:right w:w="10" w:type="dxa"/>
            </w:tcMar>
          </w:tcPr>
          <w:p w14:paraId="4FE00B9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2.4</w:t>
            </w:r>
          </w:p>
        </w:tc>
      </w:tr>
      <w:tr w:rsidR="00E3622C" w:rsidRPr="00E3622C" w14:paraId="66E33BBB" w14:textId="77777777" w:rsidTr="003B4E1A">
        <w:tc>
          <w:tcPr>
            <w:tcW w:w="1101" w:type="dxa"/>
            <w:shd w:val="clear" w:color="auto" w:fill="auto"/>
            <w:tcMar>
              <w:top w:w="0" w:type="dxa"/>
              <w:left w:w="108" w:type="dxa"/>
              <w:bottom w:w="0" w:type="dxa"/>
              <w:right w:w="108" w:type="dxa"/>
            </w:tcMar>
          </w:tcPr>
          <w:p w14:paraId="3B54F6D4"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458DEDB8"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Rest of South East 15-17</w:t>
            </w:r>
          </w:p>
        </w:tc>
        <w:tc>
          <w:tcPr>
            <w:tcW w:w="850" w:type="dxa"/>
            <w:shd w:val="clear" w:color="auto" w:fill="auto"/>
            <w:tcMar>
              <w:top w:w="0" w:type="dxa"/>
              <w:left w:w="108" w:type="dxa"/>
              <w:bottom w:w="0" w:type="dxa"/>
              <w:right w:w="108" w:type="dxa"/>
            </w:tcMar>
          </w:tcPr>
          <w:p w14:paraId="70E5895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-0.8</w:t>
            </w:r>
          </w:p>
        </w:tc>
        <w:tc>
          <w:tcPr>
            <w:tcW w:w="709" w:type="dxa"/>
            <w:gridSpan w:val="2"/>
            <w:shd w:val="clear" w:color="auto" w:fill="auto"/>
            <w:tcMar>
              <w:top w:w="0" w:type="dxa"/>
              <w:left w:w="108" w:type="dxa"/>
              <w:bottom w:w="0" w:type="dxa"/>
              <w:right w:w="108" w:type="dxa"/>
            </w:tcMar>
          </w:tcPr>
          <w:p w14:paraId="30D335E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1.2</w:t>
            </w:r>
          </w:p>
        </w:tc>
        <w:tc>
          <w:tcPr>
            <w:tcW w:w="851" w:type="dxa"/>
            <w:gridSpan w:val="2"/>
            <w:shd w:val="clear" w:color="auto" w:fill="auto"/>
            <w:tcMar>
              <w:top w:w="0" w:type="dxa"/>
              <w:left w:w="108" w:type="dxa"/>
              <w:bottom w:w="0" w:type="dxa"/>
              <w:right w:w="108" w:type="dxa"/>
            </w:tcMar>
          </w:tcPr>
          <w:p w14:paraId="31C7FAF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-3.2</w:t>
            </w:r>
          </w:p>
        </w:tc>
        <w:tc>
          <w:tcPr>
            <w:tcW w:w="850" w:type="dxa"/>
            <w:gridSpan w:val="2"/>
            <w:shd w:val="clear" w:color="auto" w:fill="auto"/>
            <w:tcMar>
              <w:top w:w="0" w:type="dxa"/>
              <w:left w:w="108" w:type="dxa"/>
              <w:bottom w:w="0" w:type="dxa"/>
              <w:right w:w="108" w:type="dxa"/>
            </w:tcMar>
          </w:tcPr>
          <w:p w14:paraId="5FF4C9D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1.6</w:t>
            </w:r>
          </w:p>
        </w:tc>
        <w:tc>
          <w:tcPr>
            <w:tcW w:w="851" w:type="dxa"/>
            <w:gridSpan w:val="2"/>
            <w:shd w:val="clear" w:color="auto" w:fill="auto"/>
            <w:tcMar>
              <w:top w:w="0" w:type="dxa"/>
              <w:left w:w="108" w:type="dxa"/>
              <w:bottom w:w="0" w:type="dxa"/>
              <w:right w:w="108" w:type="dxa"/>
            </w:tcMar>
          </w:tcPr>
          <w:p w14:paraId="4CEF7E8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-0.4</w:t>
            </w:r>
          </w:p>
        </w:tc>
        <w:tc>
          <w:tcPr>
            <w:tcW w:w="567" w:type="dxa"/>
            <w:shd w:val="clear" w:color="auto" w:fill="auto"/>
            <w:tcMar>
              <w:top w:w="0" w:type="dxa"/>
              <w:left w:w="10" w:type="dxa"/>
              <w:bottom w:w="0" w:type="dxa"/>
              <w:right w:w="10" w:type="dxa"/>
            </w:tcMar>
          </w:tcPr>
          <w:p w14:paraId="1AD65AA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1.2</w:t>
            </w:r>
          </w:p>
        </w:tc>
        <w:tc>
          <w:tcPr>
            <w:tcW w:w="567" w:type="dxa"/>
            <w:shd w:val="clear" w:color="auto" w:fill="auto"/>
            <w:tcMar>
              <w:top w:w="0" w:type="dxa"/>
              <w:left w:w="10" w:type="dxa"/>
              <w:bottom w:w="0" w:type="dxa"/>
              <w:right w:w="10" w:type="dxa"/>
            </w:tcMar>
          </w:tcPr>
          <w:p w14:paraId="2C5FE54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-2.7</w:t>
            </w:r>
          </w:p>
        </w:tc>
        <w:tc>
          <w:tcPr>
            <w:tcW w:w="567" w:type="dxa"/>
            <w:gridSpan w:val="2"/>
            <w:shd w:val="clear" w:color="auto" w:fill="auto"/>
            <w:tcMar>
              <w:top w:w="0" w:type="dxa"/>
              <w:left w:w="10" w:type="dxa"/>
              <w:bottom w:w="0" w:type="dxa"/>
              <w:right w:w="10" w:type="dxa"/>
            </w:tcMar>
          </w:tcPr>
          <w:p w14:paraId="75EB81E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1.9</w:t>
            </w:r>
          </w:p>
        </w:tc>
      </w:tr>
      <w:tr w:rsidR="00E3622C" w:rsidRPr="00E3622C" w14:paraId="1DE4EE36" w14:textId="77777777" w:rsidTr="003B4E1A">
        <w:tc>
          <w:tcPr>
            <w:tcW w:w="1101" w:type="dxa"/>
            <w:shd w:val="clear" w:color="auto" w:fill="auto"/>
            <w:tcMar>
              <w:top w:w="0" w:type="dxa"/>
              <w:left w:w="108" w:type="dxa"/>
              <w:bottom w:w="0" w:type="dxa"/>
              <w:right w:w="108" w:type="dxa"/>
            </w:tcMar>
          </w:tcPr>
          <w:p w14:paraId="3677536B"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1AC80B96"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West Midlands 05-07</w:t>
            </w:r>
          </w:p>
        </w:tc>
        <w:tc>
          <w:tcPr>
            <w:tcW w:w="850" w:type="dxa"/>
            <w:shd w:val="clear" w:color="auto" w:fill="auto"/>
            <w:tcMar>
              <w:top w:w="0" w:type="dxa"/>
              <w:left w:w="108" w:type="dxa"/>
              <w:bottom w:w="0" w:type="dxa"/>
              <w:right w:w="108" w:type="dxa"/>
            </w:tcMar>
          </w:tcPr>
          <w:p w14:paraId="0771398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-1.9</w:t>
            </w:r>
          </w:p>
        </w:tc>
        <w:tc>
          <w:tcPr>
            <w:tcW w:w="709" w:type="dxa"/>
            <w:gridSpan w:val="2"/>
            <w:shd w:val="clear" w:color="auto" w:fill="auto"/>
            <w:tcMar>
              <w:top w:w="0" w:type="dxa"/>
              <w:left w:w="108" w:type="dxa"/>
              <w:bottom w:w="0" w:type="dxa"/>
              <w:right w:w="108" w:type="dxa"/>
            </w:tcMar>
          </w:tcPr>
          <w:p w14:paraId="1DB9E20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851" w:type="dxa"/>
            <w:gridSpan w:val="2"/>
            <w:shd w:val="clear" w:color="auto" w:fill="auto"/>
            <w:tcMar>
              <w:top w:w="0" w:type="dxa"/>
              <w:left w:w="108" w:type="dxa"/>
              <w:bottom w:w="0" w:type="dxa"/>
              <w:right w:w="108" w:type="dxa"/>
            </w:tcMar>
          </w:tcPr>
          <w:p w14:paraId="7F21713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-4.6</w:t>
            </w:r>
          </w:p>
        </w:tc>
        <w:tc>
          <w:tcPr>
            <w:tcW w:w="850" w:type="dxa"/>
            <w:gridSpan w:val="2"/>
            <w:shd w:val="clear" w:color="auto" w:fill="auto"/>
            <w:tcMar>
              <w:top w:w="0" w:type="dxa"/>
              <w:left w:w="108" w:type="dxa"/>
              <w:bottom w:w="0" w:type="dxa"/>
              <w:right w:w="108" w:type="dxa"/>
            </w:tcMar>
          </w:tcPr>
          <w:p w14:paraId="41017E8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0.7</w:t>
            </w:r>
          </w:p>
        </w:tc>
        <w:tc>
          <w:tcPr>
            <w:tcW w:w="851" w:type="dxa"/>
            <w:gridSpan w:val="2"/>
            <w:shd w:val="clear" w:color="auto" w:fill="auto"/>
            <w:tcMar>
              <w:top w:w="0" w:type="dxa"/>
              <w:left w:w="108" w:type="dxa"/>
              <w:bottom w:w="0" w:type="dxa"/>
              <w:right w:w="108" w:type="dxa"/>
            </w:tcMar>
          </w:tcPr>
          <w:p w14:paraId="715F232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-0.1</w:t>
            </w:r>
          </w:p>
        </w:tc>
        <w:tc>
          <w:tcPr>
            <w:tcW w:w="567" w:type="dxa"/>
            <w:shd w:val="clear" w:color="auto" w:fill="auto"/>
            <w:tcMar>
              <w:top w:w="0" w:type="dxa"/>
              <w:left w:w="10" w:type="dxa"/>
              <w:bottom w:w="0" w:type="dxa"/>
              <w:right w:w="10" w:type="dxa"/>
            </w:tcMar>
          </w:tcPr>
          <w:p w14:paraId="69D49EE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shd w:val="clear" w:color="auto" w:fill="auto"/>
            <w:tcMar>
              <w:top w:w="0" w:type="dxa"/>
              <w:left w:w="10" w:type="dxa"/>
              <w:bottom w:w="0" w:type="dxa"/>
              <w:right w:w="10" w:type="dxa"/>
            </w:tcMar>
          </w:tcPr>
          <w:p w14:paraId="1CE0069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-2.9</w:t>
            </w:r>
          </w:p>
        </w:tc>
        <w:tc>
          <w:tcPr>
            <w:tcW w:w="567" w:type="dxa"/>
            <w:gridSpan w:val="2"/>
            <w:shd w:val="clear" w:color="auto" w:fill="auto"/>
            <w:tcMar>
              <w:top w:w="0" w:type="dxa"/>
              <w:left w:w="10" w:type="dxa"/>
              <w:bottom w:w="0" w:type="dxa"/>
              <w:right w:w="10" w:type="dxa"/>
            </w:tcMar>
          </w:tcPr>
          <w:p w14:paraId="5968A09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2.6</w:t>
            </w:r>
          </w:p>
        </w:tc>
      </w:tr>
      <w:tr w:rsidR="00E3622C" w:rsidRPr="00E3622C" w14:paraId="7C63F2FB" w14:textId="77777777" w:rsidTr="003B4E1A">
        <w:tc>
          <w:tcPr>
            <w:tcW w:w="1101" w:type="dxa"/>
            <w:shd w:val="clear" w:color="auto" w:fill="auto"/>
            <w:tcMar>
              <w:top w:w="0" w:type="dxa"/>
              <w:left w:w="108" w:type="dxa"/>
              <w:bottom w:w="0" w:type="dxa"/>
              <w:right w:w="108" w:type="dxa"/>
            </w:tcMar>
          </w:tcPr>
          <w:p w14:paraId="72935A0B"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19F23C54"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West Midlands 15-17</w:t>
            </w:r>
          </w:p>
        </w:tc>
        <w:tc>
          <w:tcPr>
            <w:tcW w:w="850" w:type="dxa"/>
            <w:shd w:val="clear" w:color="auto" w:fill="auto"/>
            <w:tcMar>
              <w:top w:w="0" w:type="dxa"/>
              <w:left w:w="108" w:type="dxa"/>
              <w:bottom w:w="0" w:type="dxa"/>
              <w:right w:w="108" w:type="dxa"/>
            </w:tcMar>
          </w:tcPr>
          <w:p w14:paraId="7D011E6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-2.2</w:t>
            </w:r>
          </w:p>
        </w:tc>
        <w:tc>
          <w:tcPr>
            <w:tcW w:w="709" w:type="dxa"/>
            <w:gridSpan w:val="2"/>
            <w:shd w:val="clear" w:color="auto" w:fill="auto"/>
            <w:tcMar>
              <w:top w:w="0" w:type="dxa"/>
              <w:left w:w="108" w:type="dxa"/>
              <w:bottom w:w="0" w:type="dxa"/>
              <w:right w:w="108" w:type="dxa"/>
            </w:tcMar>
          </w:tcPr>
          <w:p w14:paraId="2EF7747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851" w:type="dxa"/>
            <w:gridSpan w:val="2"/>
            <w:shd w:val="clear" w:color="auto" w:fill="auto"/>
            <w:tcMar>
              <w:top w:w="0" w:type="dxa"/>
              <w:left w:w="108" w:type="dxa"/>
              <w:bottom w:w="0" w:type="dxa"/>
              <w:right w:w="108" w:type="dxa"/>
            </w:tcMar>
          </w:tcPr>
          <w:p w14:paraId="663BAB3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-5.1</w:t>
            </w:r>
          </w:p>
        </w:tc>
        <w:tc>
          <w:tcPr>
            <w:tcW w:w="850" w:type="dxa"/>
            <w:gridSpan w:val="2"/>
            <w:shd w:val="clear" w:color="auto" w:fill="auto"/>
            <w:tcMar>
              <w:top w:w="0" w:type="dxa"/>
              <w:left w:w="108" w:type="dxa"/>
              <w:bottom w:w="0" w:type="dxa"/>
              <w:right w:w="108" w:type="dxa"/>
            </w:tcMar>
          </w:tcPr>
          <w:p w14:paraId="1A23F00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0.8</w:t>
            </w:r>
          </w:p>
        </w:tc>
        <w:tc>
          <w:tcPr>
            <w:tcW w:w="851" w:type="dxa"/>
            <w:gridSpan w:val="2"/>
            <w:shd w:val="clear" w:color="auto" w:fill="auto"/>
            <w:tcMar>
              <w:top w:w="0" w:type="dxa"/>
              <w:left w:w="108" w:type="dxa"/>
              <w:bottom w:w="0" w:type="dxa"/>
              <w:right w:w="108" w:type="dxa"/>
            </w:tcMar>
          </w:tcPr>
          <w:p w14:paraId="6FBB822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-1.0</w:t>
            </w:r>
          </w:p>
        </w:tc>
        <w:tc>
          <w:tcPr>
            <w:tcW w:w="567" w:type="dxa"/>
            <w:shd w:val="clear" w:color="auto" w:fill="auto"/>
            <w:tcMar>
              <w:top w:w="0" w:type="dxa"/>
              <w:left w:w="10" w:type="dxa"/>
              <w:bottom w:w="0" w:type="dxa"/>
              <w:right w:w="10" w:type="dxa"/>
            </w:tcMar>
          </w:tcPr>
          <w:p w14:paraId="077DBF1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567" w:type="dxa"/>
            <w:shd w:val="clear" w:color="auto" w:fill="auto"/>
            <w:tcMar>
              <w:top w:w="0" w:type="dxa"/>
              <w:left w:w="10" w:type="dxa"/>
              <w:bottom w:w="0" w:type="dxa"/>
              <w:right w:w="10" w:type="dxa"/>
            </w:tcMar>
          </w:tcPr>
          <w:p w14:paraId="7E184E1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-4.0</w:t>
            </w:r>
          </w:p>
        </w:tc>
        <w:tc>
          <w:tcPr>
            <w:tcW w:w="567" w:type="dxa"/>
            <w:gridSpan w:val="2"/>
            <w:shd w:val="clear" w:color="auto" w:fill="auto"/>
            <w:tcMar>
              <w:top w:w="0" w:type="dxa"/>
              <w:left w:w="10" w:type="dxa"/>
              <w:bottom w:w="0" w:type="dxa"/>
              <w:right w:w="10" w:type="dxa"/>
            </w:tcMar>
          </w:tcPr>
          <w:p w14:paraId="05788A7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2.0</w:t>
            </w:r>
          </w:p>
        </w:tc>
      </w:tr>
      <w:tr w:rsidR="00E3622C" w:rsidRPr="00E3622C" w14:paraId="22AB1DE5" w14:textId="77777777" w:rsidTr="003B4E1A">
        <w:tc>
          <w:tcPr>
            <w:tcW w:w="1101" w:type="dxa"/>
            <w:shd w:val="clear" w:color="auto" w:fill="auto"/>
            <w:tcMar>
              <w:top w:w="0" w:type="dxa"/>
              <w:left w:w="108" w:type="dxa"/>
              <w:bottom w:w="0" w:type="dxa"/>
              <w:right w:w="108" w:type="dxa"/>
            </w:tcMar>
          </w:tcPr>
          <w:p w14:paraId="216D7089"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7E82FA3A"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Outer London 05-07</w:t>
            </w:r>
          </w:p>
        </w:tc>
        <w:tc>
          <w:tcPr>
            <w:tcW w:w="850" w:type="dxa"/>
            <w:shd w:val="clear" w:color="auto" w:fill="auto"/>
            <w:tcMar>
              <w:top w:w="0" w:type="dxa"/>
              <w:left w:w="108" w:type="dxa"/>
              <w:bottom w:w="0" w:type="dxa"/>
              <w:right w:w="108" w:type="dxa"/>
            </w:tcMar>
          </w:tcPr>
          <w:p w14:paraId="01C687B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-0.03</w:t>
            </w:r>
          </w:p>
        </w:tc>
        <w:tc>
          <w:tcPr>
            <w:tcW w:w="709" w:type="dxa"/>
            <w:gridSpan w:val="2"/>
            <w:shd w:val="clear" w:color="auto" w:fill="auto"/>
            <w:tcMar>
              <w:top w:w="0" w:type="dxa"/>
              <w:left w:w="108" w:type="dxa"/>
              <w:bottom w:w="0" w:type="dxa"/>
              <w:right w:w="108" w:type="dxa"/>
            </w:tcMar>
          </w:tcPr>
          <w:p w14:paraId="38507E9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851" w:type="dxa"/>
            <w:gridSpan w:val="2"/>
            <w:shd w:val="clear" w:color="auto" w:fill="auto"/>
            <w:tcMar>
              <w:top w:w="0" w:type="dxa"/>
              <w:left w:w="108" w:type="dxa"/>
              <w:bottom w:w="0" w:type="dxa"/>
              <w:right w:w="108" w:type="dxa"/>
            </w:tcMar>
          </w:tcPr>
          <w:p w14:paraId="0316742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-2.6</w:t>
            </w:r>
          </w:p>
        </w:tc>
        <w:tc>
          <w:tcPr>
            <w:tcW w:w="850" w:type="dxa"/>
            <w:gridSpan w:val="2"/>
            <w:shd w:val="clear" w:color="auto" w:fill="auto"/>
            <w:tcMar>
              <w:top w:w="0" w:type="dxa"/>
              <w:left w:w="108" w:type="dxa"/>
              <w:bottom w:w="0" w:type="dxa"/>
              <w:right w:w="108" w:type="dxa"/>
            </w:tcMar>
          </w:tcPr>
          <w:p w14:paraId="0F71E2B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2.5</w:t>
            </w:r>
          </w:p>
        </w:tc>
        <w:tc>
          <w:tcPr>
            <w:tcW w:w="851" w:type="dxa"/>
            <w:gridSpan w:val="2"/>
            <w:shd w:val="clear" w:color="auto" w:fill="auto"/>
            <w:tcMar>
              <w:top w:w="0" w:type="dxa"/>
              <w:left w:w="108" w:type="dxa"/>
              <w:bottom w:w="0" w:type="dxa"/>
              <w:right w:w="108" w:type="dxa"/>
            </w:tcMar>
          </w:tcPr>
          <w:p w14:paraId="1F13605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-0.1</w:t>
            </w:r>
          </w:p>
        </w:tc>
        <w:tc>
          <w:tcPr>
            <w:tcW w:w="567" w:type="dxa"/>
            <w:shd w:val="clear" w:color="auto" w:fill="auto"/>
            <w:tcMar>
              <w:top w:w="0" w:type="dxa"/>
              <w:left w:w="10" w:type="dxa"/>
              <w:bottom w:w="0" w:type="dxa"/>
              <w:right w:w="10" w:type="dxa"/>
            </w:tcMar>
          </w:tcPr>
          <w:p w14:paraId="4563127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567" w:type="dxa"/>
            <w:shd w:val="clear" w:color="auto" w:fill="auto"/>
            <w:tcMar>
              <w:top w:w="0" w:type="dxa"/>
              <w:left w:w="10" w:type="dxa"/>
              <w:bottom w:w="0" w:type="dxa"/>
              <w:right w:w="10" w:type="dxa"/>
            </w:tcMar>
          </w:tcPr>
          <w:p w14:paraId="04C82F8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-2.6</w:t>
            </w:r>
          </w:p>
        </w:tc>
        <w:tc>
          <w:tcPr>
            <w:tcW w:w="567" w:type="dxa"/>
            <w:gridSpan w:val="2"/>
            <w:shd w:val="clear" w:color="auto" w:fill="auto"/>
            <w:tcMar>
              <w:top w:w="0" w:type="dxa"/>
              <w:left w:w="10" w:type="dxa"/>
              <w:bottom w:w="0" w:type="dxa"/>
              <w:right w:w="10" w:type="dxa"/>
            </w:tcMar>
          </w:tcPr>
          <w:p w14:paraId="0ED529A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2.4</w:t>
            </w:r>
          </w:p>
        </w:tc>
      </w:tr>
      <w:tr w:rsidR="00E3622C" w:rsidRPr="00E3622C" w14:paraId="29E41269" w14:textId="77777777" w:rsidTr="003B4E1A">
        <w:tc>
          <w:tcPr>
            <w:tcW w:w="1101" w:type="dxa"/>
            <w:shd w:val="clear" w:color="auto" w:fill="auto"/>
            <w:tcMar>
              <w:top w:w="0" w:type="dxa"/>
              <w:left w:w="108" w:type="dxa"/>
              <w:bottom w:w="0" w:type="dxa"/>
              <w:right w:w="108" w:type="dxa"/>
            </w:tcMar>
          </w:tcPr>
          <w:p w14:paraId="19A69F34"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28364C88"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Outer London 15-17</w:t>
            </w:r>
          </w:p>
        </w:tc>
        <w:tc>
          <w:tcPr>
            <w:tcW w:w="850" w:type="dxa"/>
            <w:shd w:val="clear" w:color="auto" w:fill="auto"/>
            <w:tcMar>
              <w:top w:w="0" w:type="dxa"/>
              <w:left w:w="108" w:type="dxa"/>
              <w:bottom w:w="0" w:type="dxa"/>
              <w:right w:w="108" w:type="dxa"/>
            </w:tcMar>
          </w:tcPr>
          <w:p w14:paraId="4622D18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-1.6</w:t>
            </w:r>
          </w:p>
        </w:tc>
        <w:tc>
          <w:tcPr>
            <w:tcW w:w="709" w:type="dxa"/>
            <w:gridSpan w:val="2"/>
            <w:shd w:val="clear" w:color="auto" w:fill="auto"/>
            <w:tcMar>
              <w:top w:w="0" w:type="dxa"/>
              <w:left w:w="108" w:type="dxa"/>
              <w:bottom w:w="0" w:type="dxa"/>
              <w:right w:w="108" w:type="dxa"/>
            </w:tcMar>
          </w:tcPr>
          <w:p w14:paraId="40CDE76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851" w:type="dxa"/>
            <w:gridSpan w:val="2"/>
            <w:shd w:val="clear" w:color="auto" w:fill="auto"/>
            <w:tcMar>
              <w:top w:w="0" w:type="dxa"/>
              <w:left w:w="108" w:type="dxa"/>
              <w:bottom w:w="0" w:type="dxa"/>
              <w:right w:w="108" w:type="dxa"/>
            </w:tcMar>
          </w:tcPr>
          <w:p w14:paraId="3632A0A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-4.2</w:t>
            </w:r>
          </w:p>
        </w:tc>
        <w:tc>
          <w:tcPr>
            <w:tcW w:w="850" w:type="dxa"/>
            <w:gridSpan w:val="2"/>
            <w:shd w:val="clear" w:color="auto" w:fill="auto"/>
            <w:tcMar>
              <w:top w:w="0" w:type="dxa"/>
              <w:left w:w="108" w:type="dxa"/>
              <w:bottom w:w="0" w:type="dxa"/>
              <w:right w:w="108" w:type="dxa"/>
            </w:tcMar>
          </w:tcPr>
          <w:p w14:paraId="4F49D86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1.1</w:t>
            </w:r>
          </w:p>
        </w:tc>
        <w:tc>
          <w:tcPr>
            <w:tcW w:w="851" w:type="dxa"/>
            <w:gridSpan w:val="2"/>
            <w:shd w:val="clear" w:color="auto" w:fill="auto"/>
            <w:tcMar>
              <w:top w:w="0" w:type="dxa"/>
              <w:left w:w="108" w:type="dxa"/>
              <w:bottom w:w="0" w:type="dxa"/>
              <w:right w:w="108" w:type="dxa"/>
            </w:tcMar>
          </w:tcPr>
          <w:p w14:paraId="5F00721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-0.9</w:t>
            </w:r>
          </w:p>
        </w:tc>
        <w:tc>
          <w:tcPr>
            <w:tcW w:w="567" w:type="dxa"/>
            <w:shd w:val="clear" w:color="auto" w:fill="auto"/>
            <w:tcMar>
              <w:top w:w="0" w:type="dxa"/>
              <w:left w:w="10" w:type="dxa"/>
              <w:bottom w:w="0" w:type="dxa"/>
              <w:right w:w="10" w:type="dxa"/>
            </w:tcMar>
          </w:tcPr>
          <w:p w14:paraId="2F25A17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w:t>
            </w:r>
          </w:p>
        </w:tc>
        <w:tc>
          <w:tcPr>
            <w:tcW w:w="567" w:type="dxa"/>
            <w:shd w:val="clear" w:color="auto" w:fill="auto"/>
            <w:tcMar>
              <w:top w:w="0" w:type="dxa"/>
              <w:left w:w="10" w:type="dxa"/>
              <w:bottom w:w="0" w:type="dxa"/>
              <w:right w:w="10" w:type="dxa"/>
            </w:tcMar>
          </w:tcPr>
          <w:p w14:paraId="51AF31A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-3.5</w:t>
            </w:r>
          </w:p>
        </w:tc>
        <w:tc>
          <w:tcPr>
            <w:tcW w:w="567" w:type="dxa"/>
            <w:gridSpan w:val="2"/>
            <w:shd w:val="clear" w:color="auto" w:fill="auto"/>
            <w:tcMar>
              <w:top w:w="0" w:type="dxa"/>
              <w:left w:w="10" w:type="dxa"/>
              <w:bottom w:w="0" w:type="dxa"/>
              <w:right w:w="10" w:type="dxa"/>
            </w:tcMar>
          </w:tcPr>
          <w:p w14:paraId="4910F06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1.7</w:t>
            </w:r>
          </w:p>
        </w:tc>
      </w:tr>
      <w:tr w:rsidR="00E3622C" w:rsidRPr="00E3622C" w14:paraId="558822EC" w14:textId="77777777" w:rsidTr="003B4E1A">
        <w:tc>
          <w:tcPr>
            <w:tcW w:w="1101" w:type="dxa"/>
            <w:shd w:val="clear" w:color="auto" w:fill="auto"/>
            <w:tcMar>
              <w:top w:w="0" w:type="dxa"/>
              <w:left w:w="108" w:type="dxa"/>
              <w:bottom w:w="0" w:type="dxa"/>
              <w:right w:w="108" w:type="dxa"/>
            </w:tcMar>
          </w:tcPr>
          <w:p w14:paraId="2DA3224F"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6667F435"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Inner London 05-07</w:t>
            </w:r>
          </w:p>
        </w:tc>
        <w:tc>
          <w:tcPr>
            <w:tcW w:w="850" w:type="dxa"/>
            <w:shd w:val="clear" w:color="auto" w:fill="auto"/>
            <w:tcMar>
              <w:top w:w="0" w:type="dxa"/>
              <w:left w:w="108" w:type="dxa"/>
              <w:bottom w:w="0" w:type="dxa"/>
              <w:right w:w="108" w:type="dxa"/>
            </w:tcMar>
          </w:tcPr>
          <w:p w14:paraId="3D10885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-0.0</w:t>
            </w:r>
          </w:p>
        </w:tc>
        <w:tc>
          <w:tcPr>
            <w:tcW w:w="709" w:type="dxa"/>
            <w:gridSpan w:val="2"/>
            <w:shd w:val="clear" w:color="auto" w:fill="auto"/>
            <w:tcMar>
              <w:top w:w="0" w:type="dxa"/>
              <w:left w:w="108" w:type="dxa"/>
              <w:bottom w:w="0" w:type="dxa"/>
              <w:right w:w="108" w:type="dxa"/>
            </w:tcMar>
          </w:tcPr>
          <w:p w14:paraId="3E4B71C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851" w:type="dxa"/>
            <w:gridSpan w:val="2"/>
            <w:shd w:val="clear" w:color="auto" w:fill="auto"/>
            <w:tcMar>
              <w:top w:w="0" w:type="dxa"/>
              <w:left w:w="108" w:type="dxa"/>
              <w:bottom w:w="0" w:type="dxa"/>
              <w:right w:w="108" w:type="dxa"/>
            </w:tcMar>
          </w:tcPr>
          <w:p w14:paraId="6F59E3D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-2.9</w:t>
            </w:r>
          </w:p>
        </w:tc>
        <w:tc>
          <w:tcPr>
            <w:tcW w:w="850" w:type="dxa"/>
            <w:gridSpan w:val="2"/>
            <w:shd w:val="clear" w:color="auto" w:fill="auto"/>
            <w:tcMar>
              <w:top w:w="0" w:type="dxa"/>
              <w:left w:w="108" w:type="dxa"/>
              <w:bottom w:w="0" w:type="dxa"/>
              <w:right w:w="108" w:type="dxa"/>
            </w:tcMar>
          </w:tcPr>
          <w:p w14:paraId="6687BB6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2.9</w:t>
            </w:r>
          </w:p>
        </w:tc>
        <w:tc>
          <w:tcPr>
            <w:tcW w:w="851" w:type="dxa"/>
            <w:gridSpan w:val="2"/>
            <w:shd w:val="clear" w:color="auto" w:fill="auto"/>
            <w:tcMar>
              <w:top w:w="0" w:type="dxa"/>
              <w:left w:w="108" w:type="dxa"/>
              <w:bottom w:w="0" w:type="dxa"/>
              <w:right w:w="108" w:type="dxa"/>
            </w:tcMar>
          </w:tcPr>
          <w:p w14:paraId="002D2CB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 xml:space="preserve"> 3.4*</w:t>
            </w:r>
          </w:p>
        </w:tc>
        <w:tc>
          <w:tcPr>
            <w:tcW w:w="567" w:type="dxa"/>
            <w:shd w:val="clear" w:color="auto" w:fill="auto"/>
            <w:tcMar>
              <w:top w:w="0" w:type="dxa"/>
              <w:left w:w="10" w:type="dxa"/>
              <w:bottom w:w="0" w:type="dxa"/>
              <w:right w:w="10" w:type="dxa"/>
            </w:tcMar>
          </w:tcPr>
          <w:p w14:paraId="6019619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w:t>
            </w:r>
          </w:p>
        </w:tc>
        <w:tc>
          <w:tcPr>
            <w:tcW w:w="567" w:type="dxa"/>
            <w:shd w:val="clear" w:color="auto" w:fill="auto"/>
            <w:tcMar>
              <w:top w:w="0" w:type="dxa"/>
              <w:left w:w="10" w:type="dxa"/>
              <w:bottom w:w="0" w:type="dxa"/>
              <w:right w:w="10" w:type="dxa"/>
            </w:tcMar>
          </w:tcPr>
          <w:p w14:paraId="48C0BF8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c>
          <w:tcPr>
            <w:tcW w:w="567" w:type="dxa"/>
            <w:gridSpan w:val="2"/>
            <w:shd w:val="clear" w:color="auto" w:fill="auto"/>
            <w:tcMar>
              <w:top w:w="0" w:type="dxa"/>
              <w:left w:w="10" w:type="dxa"/>
              <w:bottom w:w="0" w:type="dxa"/>
              <w:right w:w="10" w:type="dxa"/>
            </w:tcMar>
          </w:tcPr>
          <w:p w14:paraId="2580B40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6.2</w:t>
            </w:r>
          </w:p>
        </w:tc>
      </w:tr>
      <w:tr w:rsidR="00E3622C" w:rsidRPr="00E3622C" w14:paraId="1356386C" w14:textId="77777777" w:rsidTr="003B4E1A">
        <w:tc>
          <w:tcPr>
            <w:tcW w:w="1101" w:type="dxa"/>
            <w:shd w:val="clear" w:color="auto" w:fill="auto"/>
            <w:tcMar>
              <w:top w:w="0" w:type="dxa"/>
              <w:left w:w="108" w:type="dxa"/>
              <w:bottom w:w="0" w:type="dxa"/>
              <w:right w:w="108" w:type="dxa"/>
            </w:tcMar>
          </w:tcPr>
          <w:p w14:paraId="62B0AD85"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2EFDB5D6"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Inner London 15-17</w:t>
            </w:r>
          </w:p>
        </w:tc>
        <w:tc>
          <w:tcPr>
            <w:tcW w:w="850" w:type="dxa"/>
            <w:shd w:val="clear" w:color="auto" w:fill="auto"/>
            <w:tcMar>
              <w:top w:w="0" w:type="dxa"/>
              <w:left w:w="108" w:type="dxa"/>
              <w:bottom w:w="0" w:type="dxa"/>
              <w:right w:w="108" w:type="dxa"/>
            </w:tcMar>
          </w:tcPr>
          <w:p w14:paraId="5635A98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 xml:space="preserve"> -</w:t>
            </w:r>
          </w:p>
        </w:tc>
        <w:tc>
          <w:tcPr>
            <w:tcW w:w="709" w:type="dxa"/>
            <w:gridSpan w:val="2"/>
            <w:shd w:val="clear" w:color="auto" w:fill="auto"/>
            <w:tcMar>
              <w:top w:w="0" w:type="dxa"/>
              <w:left w:w="108" w:type="dxa"/>
              <w:bottom w:w="0" w:type="dxa"/>
              <w:right w:w="108" w:type="dxa"/>
            </w:tcMar>
          </w:tcPr>
          <w:p w14:paraId="63B4C71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c>
          <w:tcPr>
            <w:tcW w:w="851" w:type="dxa"/>
            <w:gridSpan w:val="2"/>
            <w:shd w:val="clear" w:color="auto" w:fill="auto"/>
            <w:tcMar>
              <w:top w:w="0" w:type="dxa"/>
              <w:left w:w="108" w:type="dxa"/>
              <w:bottom w:w="0" w:type="dxa"/>
              <w:right w:w="108" w:type="dxa"/>
            </w:tcMar>
          </w:tcPr>
          <w:p w14:paraId="2947195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c>
          <w:tcPr>
            <w:tcW w:w="850" w:type="dxa"/>
            <w:gridSpan w:val="2"/>
            <w:shd w:val="clear" w:color="auto" w:fill="auto"/>
            <w:tcMar>
              <w:top w:w="0" w:type="dxa"/>
              <w:left w:w="108" w:type="dxa"/>
              <w:bottom w:w="0" w:type="dxa"/>
              <w:right w:w="108" w:type="dxa"/>
            </w:tcMar>
          </w:tcPr>
          <w:p w14:paraId="27A42A3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c>
          <w:tcPr>
            <w:tcW w:w="851" w:type="dxa"/>
            <w:gridSpan w:val="2"/>
            <w:shd w:val="clear" w:color="auto" w:fill="auto"/>
            <w:tcMar>
              <w:top w:w="0" w:type="dxa"/>
              <w:left w:w="108" w:type="dxa"/>
              <w:bottom w:w="0" w:type="dxa"/>
              <w:right w:w="108" w:type="dxa"/>
            </w:tcMar>
          </w:tcPr>
          <w:p w14:paraId="5FF3A93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c>
          <w:tcPr>
            <w:tcW w:w="567" w:type="dxa"/>
            <w:shd w:val="clear" w:color="auto" w:fill="auto"/>
            <w:tcMar>
              <w:top w:w="0" w:type="dxa"/>
              <w:left w:w="10" w:type="dxa"/>
              <w:bottom w:w="0" w:type="dxa"/>
              <w:right w:w="10" w:type="dxa"/>
            </w:tcMar>
          </w:tcPr>
          <w:p w14:paraId="21AF6FC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c>
          <w:tcPr>
            <w:tcW w:w="567" w:type="dxa"/>
            <w:shd w:val="clear" w:color="auto" w:fill="auto"/>
            <w:tcMar>
              <w:top w:w="0" w:type="dxa"/>
              <w:left w:w="10" w:type="dxa"/>
              <w:bottom w:w="0" w:type="dxa"/>
              <w:right w:w="10" w:type="dxa"/>
            </w:tcMar>
          </w:tcPr>
          <w:p w14:paraId="62602C7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c>
          <w:tcPr>
            <w:tcW w:w="567" w:type="dxa"/>
            <w:gridSpan w:val="2"/>
            <w:shd w:val="clear" w:color="auto" w:fill="auto"/>
            <w:tcMar>
              <w:top w:w="0" w:type="dxa"/>
              <w:left w:w="10" w:type="dxa"/>
              <w:bottom w:w="0" w:type="dxa"/>
              <w:right w:w="10" w:type="dxa"/>
            </w:tcMar>
          </w:tcPr>
          <w:p w14:paraId="1E969EC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r>
      <w:tr w:rsidR="00E3622C" w:rsidRPr="00E3622C" w14:paraId="530AE963" w14:textId="77777777" w:rsidTr="003B4E1A">
        <w:tc>
          <w:tcPr>
            <w:tcW w:w="1101" w:type="dxa"/>
            <w:shd w:val="clear" w:color="auto" w:fill="auto"/>
            <w:tcMar>
              <w:top w:w="0" w:type="dxa"/>
              <w:left w:w="108" w:type="dxa"/>
              <w:bottom w:w="0" w:type="dxa"/>
              <w:right w:w="108" w:type="dxa"/>
            </w:tcMar>
          </w:tcPr>
          <w:p w14:paraId="6DBF51EF"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Age</w:t>
            </w:r>
          </w:p>
        </w:tc>
        <w:tc>
          <w:tcPr>
            <w:tcW w:w="2585" w:type="dxa"/>
            <w:gridSpan w:val="3"/>
            <w:shd w:val="clear" w:color="auto" w:fill="auto"/>
            <w:tcMar>
              <w:top w:w="0" w:type="dxa"/>
              <w:left w:w="108" w:type="dxa"/>
              <w:bottom w:w="0" w:type="dxa"/>
              <w:right w:w="108" w:type="dxa"/>
            </w:tcMar>
          </w:tcPr>
          <w:p w14:paraId="5FB741B2"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18</w:t>
            </w:r>
          </w:p>
        </w:tc>
        <w:tc>
          <w:tcPr>
            <w:tcW w:w="850" w:type="dxa"/>
            <w:shd w:val="clear" w:color="auto" w:fill="auto"/>
            <w:tcMar>
              <w:top w:w="0" w:type="dxa"/>
              <w:left w:w="108" w:type="dxa"/>
              <w:bottom w:w="0" w:type="dxa"/>
              <w:right w:w="108" w:type="dxa"/>
            </w:tcMar>
          </w:tcPr>
          <w:p w14:paraId="14603DE1" w14:textId="77777777" w:rsidR="00E3622C" w:rsidRPr="00E3622C" w:rsidRDefault="00E3622C" w:rsidP="00C720DB">
            <w:pPr>
              <w:pStyle w:val="TableText"/>
              <w:spacing w:before="20" w:after="20" w:line="480" w:lineRule="auto"/>
              <w:jc w:val="right"/>
              <w:rPr>
                <w:sz w:val="16"/>
                <w:szCs w:val="16"/>
              </w:rPr>
            </w:pPr>
            <w:r w:rsidRPr="00E3622C">
              <w:rPr>
                <w:sz w:val="16"/>
                <w:szCs w:val="16"/>
              </w:rPr>
              <w:t xml:space="preserve"> -</w:t>
            </w:r>
          </w:p>
        </w:tc>
        <w:tc>
          <w:tcPr>
            <w:tcW w:w="709" w:type="dxa"/>
            <w:gridSpan w:val="2"/>
            <w:shd w:val="clear" w:color="auto" w:fill="auto"/>
            <w:tcMar>
              <w:top w:w="0" w:type="dxa"/>
              <w:left w:w="108" w:type="dxa"/>
              <w:bottom w:w="0" w:type="dxa"/>
              <w:right w:w="108" w:type="dxa"/>
            </w:tcMar>
          </w:tcPr>
          <w:p w14:paraId="4B32B003" w14:textId="77777777" w:rsidR="00E3622C" w:rsidRPr="00E3622C" w:rsidRDefault="00E3622C" w:rsidP="00C720DB">
            <w:pPr>
              <w:pStyle w:val="TableText"/>
              <w:spacing w:before="20" w:after="20" w:line="480" w:lineRule="auto"/>
              <w:jc w:val="right"/>
              <w:rPr>
                <w:sz w:val="16"/>
                <w:szCs w:val="16"/>
              </w:rPr>
            </w:pPr>
            <w:r w:rsidRPr="00E3622C">
              <w:rPr>
                <w:sz w:val="16"/>
                <w:szCs w:val="16"/>
              </w:rPr>
              <w:t>-</w:t>
            </w:r>
          </w:p>
        </w:tc>
        <w:tc>
          <w:tcPr>
            <w:tcW w:w="851" w:type="dxa"/>
            <w:gridSpan w:val="2"/>
            <w:shd w:val="clear" w:color="auto" w:fill="auto"/>
            <w:tcMar>
              <w:top w:w="0" w:type="dxa"/>
              <w:left w:w="108" w:type="dxa"/>
              <w:bottom w:w="0" w:type="dxa"/>
              <w:right w:w="108" w:type="dxa"/>
            </w:tcMar>
          </w:tcPr>
          <w:p w14:paraId="729743AB" w14:textId="77777777" w:rsidR="00E3622C" w:rsidRPr="00E3622C" w:rsidRDefault="00E3622C" w:rsidP="00C720DB">
            <w:pPr>
              <w:pStyle w:val="TableText"/>
              <w:spacing w:before="20" w:after="20" w:line="480" w:lineRule="auto"/>
              <w:jc w:val="right"/>
              <w:rPr>
                <w:sz w:val="16"/>
                <w:szCs w:val="16"/>
              </w:rPr>
            </w:pPr>
            <w:r w:rsidRPr="00E3622C">
              <w:rPr>
                <w:sz w:val="16"/>
                <w:szCs w:val="16"/>
              </w:rPr>
              <w:t>-</w:t>
            </w:r>
          </w:p>
        </w:tc>
        <w:tc>
          <w:tcPr>
            <w:tcW w:w="850" w:type="dxa"/>
            <w:gridSpan w:val="2"/>
            <w:shd w:val="clear" w:color="auto" w:fill="auto"/>
            <w:tcMar>
              <w:top w:w="0" w:type="dxa"/>
              <w:left w:w="108" w:type="dxa"/>
              <w:bottom w:w="0" w:type="dxa"/>
              <w:right w:w="108" w:type="dxa"/>
            </w:tcMar>
          </w:tcPr>
          <w:p w14:paraId="300BFC7F" w14:textId="77777777" w:rsidR="00E3622C" w:rsidRPr="00E3622C" w:rsidRDefault="00E3622C" w:rsidP="00C720DB">
            <w:pPr>
              <w:pStyle w:val="TableText"/>
              <w:spacing w:before="20" w:after="20" w:line="480" w:lineRule="auto"/>
              <w:jc w:val="right"/>
              <w:rPr>
                <w:sz w:val="16"/>
                <w:szCs w:val="16"/>
              </w:rPr>
            </w:pPr>
            <w:r w:rsidRPr="00E3622C">
              <w:rPr>
                <w:sz w:val="16"/>
                <w:szCs w:val="16"/>
              </w:rPr>
              <w:t>-</w:t>
            </w:r>
          </w:p>
        </w:tc>
        <w:tc>
          <w:tcPr>
            <w:tcW w:w="851" w:type="dxa"/>
            <w:gridSpan w:val="2"/>
            <w:shd w:val="clear" w:color="auto" w:fill="auto"/>
            <w:tcMar>
              <w:top w:w="0" w:type="dxa"/>
              <w:left w:w="108" w:type="dxa"/>
              <w:bottom w:w="0" w:type="dxa"/>
              <w:right w:w="108" w:type="dxa"/>
            </w:tcMar>
          </w:tcPr>
          <w:p w14:paraId="56E253E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c>
          <w:tcPr>
            <w:tcW w:w="567" w:type="dxa"/>
            <w:shd w:val="clear" w:color="auto" w:fill="auto"/>
            <w:tcMar>
              <w:top w:w="0" w:type="dxa"/>
              <w:left w:w="10" w:type="dxa"/>
              <w:bottom w:w="0" w:type="dxa"/>
              <w:right w:w="10" w:type="dxa"/>
            </w:tcMar>
          </w:tcPr>
          <w:p w14:paraId="43B98E7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c>
          <w:tcPr>
            <w:tcW w:w="567" w:type="dxa"/>
            <w:shd w:val="clear" w:color="auto" w:fill="auto"/>
            <w:tcMar>
              <w:top w:w="0" w:type="dxa"/>
              <w:left w:w="10" w:type="dxa"/>
              <w:bottom w:w="0" w:type="dxa"/>
              <w:right w:w="10" w:type="dxa"/>
            </w:tcMar>
          </w:tcPr>
          <w:p w14:paraId="409C863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c>
          <w:tcPr>
            <w:tcW w:w="567" w:type="dxa"/>
            <w:gridSpan w:val="2"/>
            <w:shd w:val="clear" w:color="auto" w:fill="auto"/>
            <w:tcMar>
              <w:top w:w="0" w:type="dxa"/>
              <w:left w:w="10" w:type="dxa"/>
              <w:bottom w:w="0" w:type="dxa"/>
              <w:right w:w="10" w:type="dxa"/>
            </w:tcMar>
          </w:tcPr>
          <w:p w14:paraId="4FD5AAE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r>
      <w:tr w:rsidR="00E3622C" w:rsidRPr="00E3622C" w14:paraId="53262838" w14:textId="77777777" w:rsidTr="003B4E1A">
        <w:tc>
          <w:tcPr>
            <w:tcW w:w="1101" w:type="dxa"/>
            <w:shd w:val="clear" w:color="auto" w:fill="auto"/>
            <w:tcMar>
              <w:top w:w="0" w:type="dxa"/>
              <w:left w:w="108" w:type="dxa"/>
              <w:bottom w:w="0" w:type="dxa"/>
              <w:right w:w="108" w:type="dxa"/>
            </w:tcMar>
          </w:tcPr>
          <w:p w14:paraId="64A86A02"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2BF7AFE9"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19</w:t>
            </w:r>
          </w:p>
        </w:tc>
        <w:tc>
          <w:tcPr>
            <w:tcW w:w="850" w:type="dxa"/>
            <w:shd w:val="clear" w:color="auto" w:fill="auto"/>
            <w:tcMar>
              <w:top w:w="0" w:type="dxa"/>
              <w:left w:w="108" w:type="dxa"/>
              <w:bottom w:w="0" w:type="dxa"/>
              <w:right w:w="108" w:type="dxa"/>
            </w:tcMar>
          </w:tcPr>
          <w:p w14:paraId="582447AC" w14:textId="77777777" w:rsidR="00E3622C" w:rsidRPr="00E3622C" w:rsidRDefault="00E3622C" w:rsidP="00C720DB">
            <w:pPr>
              <w:pStyle w:val="TableText"/>
              <w:spacing w:before="20" w:after="20" w:line="480" w:lineRule="auto"/>
              <w:jc w:val="right"/>
              <w:rPr>
                <w:sz w:val="16"/>
                <w:szCs w:val="16"/>
              </w:rPr>
            </w:pPr>
            <w:r w:rsidRPr="00E3622C">
              <w:rPr>
                <w:sz w:val="16"/>
                <w:szCs w:val="16"/>
              </w:rPr>
              <w:t>0.8</w:t>
            </w:r>
          </w:p>
        </w:tc>
        <w:tc>
          <w:tcPr>
            <w:tcW w:w="709" w:type="dxa"/>
            <w:gridSpan w:val="2"/>
            <w:shd w:val="clear" w:color="auto" w:fill="auto"/>
            <w:tcMar>
              <w:top w:w="0" w:type="dxa"/>
              <w:left w:w="108" w:type="dxa"/>
              <w:bottom w:w="0" w:type="dxa"/>
              <w:right w:w="108" w:type="dxa"/>
            </w:tcMar>
          </w:tcPr>
          <w:p w14:paraId="02DE7D03" w14:textId="77777777" w:rsidR="00E3622C" w:rsidRPr="00E3622C" w:rsidRDefault="00E3622C" w:rsidP="00C720DB">
            <w:pPr>
              <w:pStyle w:val="TableText"/>
              <w:spacing w:before="20" w:after="20" w:line="480" w:lineRule="auto"/>
              <w:jc w:val="right"/>
              <w:rPr>
                <w:sz w:val="16"/>
                <w:szCs w:val="16"/>
              </w:rPr>
            </w:pPr>
            <w:r w:rsidRPr="00E3622C">
              <w:rPr>
                <w:sz w:val="16"/>
                <w:szCs w:val="16"/>
              </w:rPr>
              <w:t>0.5</w:t>
            </w:r>
          </w:p>
        </w:tc>
        <w:tc>
          <w:tcPr>
            <w:tcW w:w="851" w:type="dxa"/>
            <w:gridSpan w:val="2"/>
            <w:shd w:val="clear" w:color="auto" w:fill="auto"/>
            <w:tcMar>
              <w:top w:w="0" w:type="dxa"/>
              <w:left w:w="108" w:type="dxa"/>
              <w:bottom w:w="0" w:type="dxa"/>
              <w:right w:w="108" w:type="dxa"/>
            </w:tcMar>
          </w:tcPr>
          <w:p w14:paraId="2C6E824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-0.3</w:t>
            </w:r>
          </w:p>
        </w:tc>
        <w:tc>
          <w:tcPr>
            <w:tcW w:w="850" w:type="dxa"/>
            <w:gridSpan w:val="2"/>
            <w:shd w:val="clear" w:color="auto" w:fill="auto"/>
            <w:tcMar>
              <w:top w:w="0" w:type="dxa"/>
              <w:left w:w="108" w:type="dxa"/>
              <w:bottom w:w="0" w:type="dxa"/>
              <w:right w:w="108" w:type="dxa"/>
            </w:tcMar>
          </w:tcPr>
          <w:p w14:paraId="2689B63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1.9</w:t>
            </w:r>
          </w:p>
        </w:tc>
        <w:tc>
          <w:tcPr>
            <w:tcW w:w="851" w:type="dxa"/>
            <w:gridSpan w:val="2"/>
            <w:shd w:val="clear" w:color="auto" w:fill="auto"/>
            <w:tcMar>
              <w:top w:w="0" w:type="dxa"/>
              <w:left w:w="108" w:type="dxa"/>
              <w:bottom w:w="0" w:type="dxa"/>
              <w:right w:w="108" w:type="dxa"/>
            </w:tcMar>
          </w:tcPr>
          <w:p w14:paraId="0C21331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-1.2</w:t>
            </w:r>
          </w:p>
        </w:tc>
        <w:tc>
          <w:tcPr>
            <w:tcW w:w="567" w:type="dxa"/>
            <w:shd w:val="clear" w:color="auto" w:fill="auto"/>
            <w:tcMar>
              <w:top w:w="0" w:type="dxa"/>
              <w:left w:w="10" w:type="dxa"/>
              <w:bottom w:w="0" w:type="dxa"/>
              <w:right w:w="10" w:type="dxa"/>
            </w:tcMar>
          </w:tcPr>
          <w:p w14:paraId="70B155D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c>
          <w:tcPr>
            <w:tcW w:w="567" w:type="dxa"/>
            <w:shd w:val="clear" w:color="auto" w:fill="auto"/>
            <w:tcMar>
              <w:top w:w="0" w:type="dxa"/>
              <w:left w:w="10" w:type="dxa"/>
              <w:bottom w:w="0" w:type="dxa"/>
              <w:right w:w="10" w:type="dxa"/>
            </w:tcMar>
          </w:tcPr>
          <w:p w14:paraId="5E36EF3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-2.4</w:t>
            </w:r>
          </w:p>
        </w:tc>
        <w:tc>
          <w:tcPr>
            <w:tcW w:w="567" w:type="dxa"/>
            <w:gridSpan w:val="2"/>
            <w:shd w:val="clear" w:color="auto" w:fill="auto"/>
            <w:tcMar>
              <w:top w:w="0" w:type="dxa"/>
              <w:left w:w="10" w:type="dxa"/>
              <w:bottom w:w="0" w:type="dxa"/>
              <w:right w:w="10" w:type="dxa"/>
            </w:tcMar>
          </w:tcPr>
          <w:p w14:paraId="7C83462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0.070</w:t>
            </w:r>
          </w:p>
        </w:tc>
      </w:tr>
      <w:tr w:rsidR="00E3622C" w:rsidRPr="00E3622C" w14:paraId="71FBC4AE" w14:textId="77777777" w:rsidTr="003B4E1A">
        <w:tc>
          <w:tcPr>
            <w:tcW w:w="1101" w:type="dxa"/>
            <w:shd w:val="clear" w:color="auto" w:fill="auto"/>
            <w:tcMar>
              <w:top w:w="0" w:type="dxa"/>
              <w:left w:w="108" w:type="dxa"/>
              <w:bottom w:w="0" w:type="dxa"/>
              <w:right w:w="108" w:type="dxa"/>
            </w:tcMar>
          </w:tcPr>
          <w:p w14:paraId="79E1CA13"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66124405"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20</w:t>
            </w:r>
          </w:p>
        </w:tc>
        <w:tc>
          <w:tcPr>
            <w:tcW w:w="850" w:type="dxa"/>
            <w:shd w:val="clear" w:color="auto" w:fill="auto"/>
            <w:tcMar>
              <w:top w:w="0" w:type="dxa"/>
              <w:left w:w="108" w:type="dxa"/>
              <w:bottom w:w="0" w:type="dxa"/>
              <w:right w:w="108" w:type="dxa"/>
            </w:tcMar>
          </w:tcPr>
          <w:p w14:paraId="65C85D3D" w14:textId="77777777" w:rsidR="00E3622C" w:rsidRPr="00E3622C" w:rsidRDefault="00E3622C" w:rsidP="00C720DB">
            <w:pPr>
              <w:pStyle w:val="TableText"/>
              <w:spacing w:before="20" w:after="20" w:line="480" w:lineRule="auto"/>
              <w:jc w:val="right"/>
              <w:rPr>
                <w:sz w:val="16"/>
                <w:szCs w:val="16"/>
              </w:rPr>
            </w:pPr>
            <w:r w:rsidRPr="00E3622C">
              <w:rPr>
                <w:sz w:val="16"/>
                <w:szCs w:val="16"/>
              </w:rPr>
              <w:t>1.2*</w:t>
            </w:r>
          </w:p>
        </w:tc>
        <w:tc>
          <w:tcPr>
            <w:tcW w:w="709" w:type="dxa"/>
            <w:gridSpan w:val="2"/>
            <w:shd w:val="clear" w:color="auto" w:fill="auto"/>
            <w:tcMar>
              <w:top w:w="0" w:type="dxa"/>
              <w:left w:w="108" w:type="dxa"/>
              <w:bottom w:w="0" w:type="dxa"/>
              <w:right w:w="108" w:type="dxa"/>
            </w:tcMar>
          </w:tcPr>
          <w:p w14:paraId="52ADDCCD" w14:textId="77777777" w:rsidR="00E3622C" w:rsidRPr="00E3622C" w:rsidRDefault="00E3622C" w:rsidP="00C720DB">
            <w:pPr>
              <w:pStyle w:val="TableText"/>
              <w:spacing w:before="20" w:after="20" w:line="480" w:lineRule="auto"/>
              <w:jc w:val="right"/>
              <w:rPr>
                <w:sz w:val="16"/>
                <w:szCs w:val="16"/>
              </w:rPr>
            </w:pPr>
            <w:r w:rsidRPr="00E3622C">
              <w:rPr>
                <w:sz w:val="16"/>
                <w:szCs w:val="16"/>
              </w:rPr>
              <w:t>0.5</w:t>
            </w:r>
          </w:p>
        </w:tc>
        <w:tc>
          <w:tcPr>
            <w:tcW w:w="851" w:type="dxa"/>
            <w:gridSpan w:val="2"/>
            <w:shd w:val="clear" w:color="auto" w:fill="auto"/>
            <w:tcMar>
              <w:top w:w="0" w:type="dxa"/>
              <w:left w:w="108" w:type="dxa"/>
              <w:bottom w:w="0" w:type="dxa"/>
              <w:right w:w="108" w:type="dxa"/>
            </w:tcMar>
          </w:tcPr>
          <w:p w14:paraId="72FC970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0.1</w:t>
            </w:r>
          </w:p>
        </w:tc>
        <w:tc>
          <w:tcPr>
            <w:tcW w:w="850" w:type="dxa"/>
            <w:gridSpan w:val="2"/>
            <w:shd w:val="clear" w:color="auto" w:fill="auto"/>
            <w:tcMar>
              <w:top w:w="0" w:type="dxa"/>
              <w:left w:w="108" w:type="dxa"/>
              <w:bottom w:w="0" w:type="dxa"/>
              <w:right w:w="108" w:type="dxa"/>
            </w:tcMar>
          </w:tcPr>
          <w:p w14:paraId="5F3B2A0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2.2</w:t>
            </w:r>
          </w:p>
        </w:tc>
        <w:tc>
          <w:tcPr>
            <w:tcW w:w="851" w:type="dxa"/>
            <w:gridSpan w:val="2"/>
            <w:shd w:val="clear" w:color="auto" w:fill="auto"/>
            <w:tcMar>
              <w:top w:w="0" w:type="dxa"/>
              <w:left w:w="108" w:type="dxa"/>
              <w:bottom w:w="0" w:type="dxa"/>
              <w:right w:w="108" w:type="dxa"/>
            </w:tcMar>
          </w:tcPr>
          <w:p w14:paraId="7BC9499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-1.0</w:t>
            </w:r>
          </w:p>
        </w:tc>
        <w:tc>
          <w:tcPr>
            <w:tcW w:w="567" w:type="dxa"/>
            <w:shd w:val="clear" w:color="auto" w:fill="auto"/>
            <w:tcMar>
              <w:top w:w="0" w:type="dxa"/>
              <w:left w:w="10" w:type="dxa"/>
              <w:bottom w:w="0" w:type="dxa"/>
              <w:right w:w="10" w:type="dxa"/>
            </w:tcMar>
          </w:tcPr>
          <w:p w14:paraId="7419961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c>
          <w:tcPr>
            <w:tcW w:w="567" w:type="dxa"/>
            <w:shd w:val="clear" w:color="auto" w:fill="auto"/>
            <w:tcMar>
              <w:top w:w="0" w:type="dxa"/>
              <w:left w:w="10" w:type="dxa"/>
              <w:bottom w:w="0" w:type="dxa"/>
              <w:right w:w="10" w:type="dxa"/>
            </w:tcMar>
          </w:tcPr>
          <w:p w14:paraId="149F3DE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-2.2</w:t>
            </w:r>
          </w:p>
        </w:tc>
        <w:tc>
          <w:tcPr>
            <w:tcW w:w="567" w:type="dxa"/>
            <w:gridSpan w:val="2"/>
            <w:shd w:val="clear" w:color="auto" w:fill="auto"/>
            <w:tcMar>
              <w:top w:w="0" w:type="dxa"/>
              <w:left w:w="10" w:type="dxa"/>
              <w:bottom w:w="0" w:type="dxa"/>
              <w:right w:w="10" w:type="dxa"/>
            </w:tcMar>
          </w:tcPr>
          <w:p w14:paraId="3C17A40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0.176</w:t>
            </w:r>
          </w:p>
        </w:tc>
      </w:tr>
      <w:tr w:rsidR="00E3622C" w:rsidRPr="00E3622C" w14:paraId="0791EB9E" w14:textId="77777777" w:rsidTr="003B4E1A">
        <w:tc>
          <w:tcPr>
            <w:tcW w:w="1101" w:type="dxa"/>
            <w:shd w:val="clear" w:color="auto" w:fill="auto"/>
            <w:tcMar>
              <w:top w:w="0" w:type="dxa"/>
              <w:left w:w="108" w:type="dxa"/>
              <w:bottom w:w="0" w:type="dxa"/>
              <w:right w:w="108" w:type="dxa"/>
            </w:tcMar>
          </w:tcPr>
          <w:p w14:paraId="62B52CE3"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5B87ED09"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21</w:t>
            </w:r>
          </w:p>
        </w:tc>
        <w:tc>
          <w:tcPr>
            <w:tcW w:w="850" w:type="dxa"/>
            <w:shd w:val="clear" w:color="auto" w:fill="auto"/>
            <w:tcMar>
              <w:top w:w="0" w:type="dxa"/>
              <w:left w:w="108" w:type="dxa"/>
              <w:bottom w:w="0" w:type="dxa"/>
              <w:right w:w="108" w:type="dxa"/>
            </w:tcMar>
          </w:tcPr>
          <w:p w14:paraId="089D53AE" w14:textId="77777777" w:rsidR="00E3622C" w:rsidRPr="00E3622C" w:rsidRDefault="00E3622C" w:rsidP="00C720DB">
            <w:pPr>
              <w:pStyle w:val="TableText"/>
              <w:spacing w:before="20" w:after="20" w:line="480" w:lineRule="auto"/>
              <w:jc w:val="right"/>
              <w:rPr>
                <w:sz w:val="16"/>
                <w:szCs w:val="16"/>
              </w:rPr>
            </w:pPr>
            <w:r w:rsidRPr="00E3622C">
              <w:rPr>
                <w:sz w:val="16"/>
                <w:szCs w:val="16"/>
              </w:rPr>
              <w:t>1.5**</w:t>
            </w:r>
          </w:p>
        </w:tc>
        <w:tc>
          <w:tcPr>
            <w:tcW w:w="709" w:type="dxa"/>
            <w:gridSpan w:val="2"/>
            <w:shd w:val="clear" w:color="auto" w:fill="auto"/>
            <w:tcMar>
              <w:top w:w="0" w:type="dxa"/>
              <w:left w:w="108" w:type="dxa"/>
              <w:bottom w:w="0" w:type="dxa"/>
              <w:right w:w="108" w:type="dxa"/>
            </w:tcMar>
          </w:tcPr>
          <w:p w14:paraId="169FF2C9" w14:textId="77777777" w:rsidR="00E3622C" w:rsidRPr="00E3622C" w:rsidRDefault="00E3622C" w:rsidP="00C720DB">
            <w:pPr>
              <w:pStyle w:val="TableText"/>
              <w:spacing w:before="20" w:after="20" w:line="480" w:lineRule="auto"/>
              <w:jc w:val="right"/>
              <w:rPr>
                <w:sz w:val="16"/>
                <w:szCs w:val="16"/>
              </w:rPr>
            </w:pPr>
            <w:r w:rsidRPr="00E3622C">
              <w:rPr>
                <w:sz w:val="16"/>
                <w:szCs w:val="16"/>
              </w:rPr>
              <w:t>0.5</w:t>
            </w:r>
          </w:p>
        </w:tc>
        <w:tc>
          <w:tcPr>
            <w:tcW w:w="851" w:type="dxa"/>
            <w:gridSpan w:val="2"/>
            <w:shd w:val="clear" w:color="auto" w:fill="auto"/>
            <w:tcMar>
              <w:top w:w="0" w:type="dxa"/>
              <w:left w:w="108" w:type="dxa"/>
              <w:bottom w:w="0" w:type="dxa"/>
              <w:right w:w="108" w:type="dxa"/>
            </w:tcMar>
          </w:tcPr>
          <w:p w14:paraId="1131C1D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0.5</w:t>
            </w:r>
          </w:p>
        </w:tc>
        <w:tc>
          <w:tcPr>
            <w:tcW w:w="850" w:type="dxa"/>
            <w:gridSpan w:val="2"/>
            <w:shd w:val="clear" w:color="auto" w:fill="auto"/>
            <w:tcMar>
              <w:top w:w="0" w:type="dxa"/>
              <w:left w:w="108" w:type="dxa"/>
              <w:bottom w:w="0" w:type="dxa"/>
              <w:right w:w="108" w:type="dxa"/>
            </w:tcMar>
          </w:tcPr>
          <w:p w14:paraId="3CE53CA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2.6</w:t>
            </w:r>
          </w:p>
        </w:tc>
        <w:tc>
          <w:tcPr>
            <w:tcW w:w="851" w:type="dxa"/>
            <w:gridSpan w:val="2"/>
            <w:shd w:val="clear" w:color="auto" w:fill="auto"/>
            <w:tcMar>
              <w:top w:w="0" w:type="dxa"/>
              <w:left w:w="108" w:type="dxa"/>
              <w:bottom w:w="0" w:type="dxa"/>
              <w:right w:w="108" w:type="dxa"/>
            </w:tcMar>
          </w:tcPr>
          <w:p w14:paraId="4153ADD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0.1</w:t>
            </w:r>
          </w:p>
        </w:tc>
        <w:tc>
          <w:tcPr>
            <w:tcW w:w="567" w:type="dxa"/>
            <w:shd w:val="clear" w:color="auto" w:fill="auto"/>
            <w:tcMar>
              <w:top w:w="0" w:type="dxa"/>
              <w:left w:w="10" w:type="dxa"/>
              <w:bottom w:w="0" w:type="dxa"/>
              <w:right w:w="10" w:type="dxa"/>
            </w:tcMar>
          </w:tcPr>
          <w:p w14:paraId="4240607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c>
          <w:tcPr>
            <w:tcW w:w="567" w:type="dxa"/>
            <w:shd w:val="clear" w:color="auto" w:fill="auto"/>
            <w:tcMar>
              <w:top w:w="0" w:type="dxa"/>
              <w:left w:w="10" w:type="dxa"/>
              <w:bottom w:w="0" w:type="dxa"/>
              <w:right w:w="10" w:type="dxa"/>
            </w:tcMar>
          </w:tcPr>
          <w:p w14:paraId="3AC2069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-1.0</w:t>
            </w:r>
          </w:p>
        </w:tc>
        <w:tc>
          <w:tcPr>
            <w:tcW w:w="567" w:type="dxa"/>
            <w:gridSpan w:val="2"/>
            <w:shd w:val="clear" w:color="auto" w:fill="auto"/>
            <w:tcMar>
              <w:top w:w="0" w:type="dxa"/>
              <w:left w:w="10" w:type="dxa"/>
              <w:bottom w:w="0" w:type="dxa"/>
              <w:right w:w="10" w:type="dxa"/>
            </w:tcMar>
          </w:tcPr>
          <w:p w14:paraId="408348F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1.316</w:t>
            </w:r>
          </w:p>
        </w:tc>
      </w:tr>
      <w:tr w:rsidR="00E3622C" w:rsidRPr="00E3622C" w14:paraId="5CB1F94F" w14:textId="77777777" w:rsidTr="003B4E1A">
        <w:tc>
          <w:tcPr>
            <w:tcW w:w="1101" w:type="dxa"/>
            <w:shd w:val="clear" w:color="auto" w:fill="auto"/>
            <w:tcMar>
              <w:top w:w="0" w:type="dxa"/>
              <w:left w:w="108" w:type="dxa"/>
              <w:bottom w:w="0" w:type="dxa"/>
              <w:right w:w="108" w:type="dxa"/>
            </w:tcMar>
          </w:tcPr>
          <w:p w14:paraId="0408CA5E"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604833F1"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22</w:t>
            </w:r>
          </w:p>
        </w:tc>
        <w:tc>
          <w:tcPr>
            <w:tcW w:w="850" w:type="dxa"/>
            <w:shd w:val="clear" w:color="auto" w:fill="auto"/>
            <w:tcMar>
              <w:top w:w="0" w:type="dxa"/>
              <w:left w:w="108" w:type="dxa"/>
              <w:bottom w:w="0" w:type="dxa"/>
              <w:right w:w="108" w:type="dxa"/>
            </w:tcMar>
          </w:tcPr>
          <w:p w14:paraId="4CFD7C71" w14:textId="77777777" w:rsidR="00E3622C" w:rsidRPr="00E3622C" w:rsidRDefault="00E3622C" w:rsidP="00C720DB">
            <w:pPr>
              <w:pStyle w:val="TableText"/>
              <w:spacing w:before="20" w:after="20" w:line="480" w:lineRule="auto"/>
              <w:jc w:val="right"/>
              <w:rPr>
                <w:sz w:val="16"/>
                <w:szCs w:val="16"/>
              </w:rPr>
            </w:pPr>
            <w:r w:rsidRPr="00E3622C">
              <w:rPr>
                <w:sz w:val="16"/>
                <w:szCs w:val="16"/>
              </w:rPr>
              <w:t>1.1*</w:t>
            </w:r>
          </w:p>
        </w:tc>
        <w:tc>
          <w:tcPr>
            <w:tcW w:w="709" w:type="dxa"/>
            <w:gridSpan w:val="2"/>
            <w:shd w:val="clear" w:color="auto" w:fill="auto"/>
            <w:tcMar>
              <w:top w:w="0" w:type="dxa"/>
              <w:left w:w="108" w:type="dxa"/>
              <w:bottom w:w="0" w:type="dxa"/>
              <w:right w:w="108" w:type="dxa"/>
            </w:tcMar>
          </w:tcPr>
          <w:p w14:paraId="339BD75D" w14:textId="77777777" w:rsidR="00E3622C" w:rsidRPr="00E3622C" w:rsidRDefault="00E3622C" w:rsidP="00C720DB">
            <w:pPr>
              <w:pStyle w:val="TableText"/>
              <w:spacing w:before="20" w:after="20" w:line="480" w:lineRule="auto"/>
              <w:jc w:val="right"/>
              <w:rPr>
                <w:sz w:val="16"/>
                <w:szCs w:val="16"/>
              </w:rPr>
            </w:pPr>
            <w:r w:rsidRPr="00E3622C">
              <w:rPr>
                <w:sz w:val="16"/>
                <w:szCs w:val="16"/>
              </w:rPr>
              <w:t>0.5</w:t>
            </w:r>
          </w:p>
        </w:tc>
        <w:tc>
          <w:tcPr>
            <w:tcW w:w="851" w:type="dxa"/>
            <w:gridSpan w:val="2"/>
            <w:shd w:val="clear" w:color="auto" w:fill="auto"/>
            <w:tcMar>
              <w:top w:w="0" w:type="dxa"/>
              <w:left w:w="108" w:type="dxa"/>
              <w:bottom w:w="0" w:type="dxa"/>
              <w:right w:w="108" w:type="dxa"/>
            </w:tcMar>
          </w:tcPr>
          <w:p w14:paraId="7CA1DC3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0.1</w:t>
            </w:r>
          </w:p>
        </w:tc>
        <w:tc>
          <w:tcPr>
            <w:tcW w:w="850" w:type="dxa"/>
            <w:gridSpan w:val="2"/>
            <w:shd w:val="clear" w:color="auto" w:fill="auto"/>
            <w:tcMar>
              <w:top w:w="0" w:type="dxa"/>
              <w:left w:w="108" w:type="dxa"/>
              <w:bottom w:w="0" w:type="dxa"/>
              <w:right w:w="108" w:type="dxa"/>
            </w:tcMar>
          </w:tcPr>
          <w:p w14:paraId="688AAE4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2.1</w:t>
            </w:r>
          </w:p>
        </w:tc>
        <w:tc>
          <w:tcPr>
            <w:tcW w:w="851" w:type="dxa"/>
            <w:gridSpan w:val="2"/>
            <w:shd w:val="clear" w:color="auto" w:fill="auto"/>
            <w:tcMar>
              <w:top w:w="0" w:type="dxa"/>
              <w:left w:w="108" w:type="dxa"/>
              <w:bottom w:w="0" w:type="dxa"/>
              <w:right w:w="108" w:type="dxa"/>
            </w:tcMar>
          </w:tcPr>
          <w:p w14:paraId="2B4CDAE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0.2</w:t>
            </w:r>
          </w:p>
        </w:tc>
        <w:tc>
          <w:tcPr>
            <w:tcW w:w="567" w:type="dxa"/>
            <w:shd w:val="clear" w:color="auto" w:fill="auto"/>
            <w:tcMar>
              <w:top w:w="0" w:type="dxa"/>
              <w:left w:w="10" w:type="dxa"/>
              <w:bottom w:w="0" w:type="dxa"/>
              <w:right w:w="10" w:type="dxa"/>
            </w:tcMar>
          </w:tcPr>
          <w:p w14:paraId="3E765BC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c>
          <w:tcPr>
            <w:tcW w:w="567" w:type="dxa"/>
            <w:shd w:val="clear" w:color="auto" w:fill="auto"/>
            <w:tcMar>
              <w:top w:w="0" w:type="dxa"/>
              <w:left w:w="10" w:type="dxa"/>
              <w:bottom w:w="0" w:type="dxa"/>
              <w:right w:w="10" w:type="dxa"/>
            </w:tcMar>
          </w:tcPr>
          <w:p w14:paraId="5DAAEFC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-0.9</w:t>
            </w:r>
          </w:p>
        </w:tc>
        <w:tc>
          <w:tcPr>
            <w:tcW w:w="567" w:type="dxa"/>
            <w:gridSpan w:val="2"/>
            <w:shd w:val="clear" w:color="auto" w:fill="auto"/>
            <w:tcMar>
              <w:top w:w="0" w:type="dxa"/>
              <w:left w:w="10" w:type="dxa"/>
              <w:bottom w:w="0" w:type="dxa"/>
              <w:right w:w="10" w:type="dxa"/>
            </w:tcMar>
          </w:tcPr>
          <w:p w14:paraId="01BD780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1.375</w:t>
            </w:r>
          </w:p>
        </w:tc>
      </w:tr>
      <w:tr w:rsidR="00E3622C" w:rsidRPr="00E3622C" w14:paraId="1E85D04F" w14:textId="77777777" w:rsidTr="003B4E1A">
        <w:tc>
          <w:tcPr>
            <w:tcW w:w="1101" w:type="dxa"/>
            <w:shd w:val="clear" w:color="auto" w:fill="auto"/>
            <w:tcMar>
              <w:top w:w="0" w:type="dxa"/>
              <w:left w:w="108" w:type="dxa"/>
              <w:bottom w:w="0" w:type="dxa"/>
              <w:right w:w="108" w:type="dxa"/>
            </w:tcMar>
          </w:tcPr>
          <w:p w14:paraId="32B62CF6"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11E79B02"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23</w:t>
            </w:r>
          </w:p>
        </w:tc>
        <w:tc>
          <w:tcPr>
            <w:tcW w:w="850" w:type="dxa"/>
            <w:shd w:val="clear" w:color="auto" w:fill="auto"/>
            <w:tcMar>
              <w:top w:w="0" w:type="dxa"/>
              <w:left w:w="108" w:type="dxa"/>
              <w:bottom w:w="0" w:type="dxa"/>
              <w:right w:w="108" w:type="dxa"/>
            </w:tcMar>
          </w:tcPr>
          <w:p w14:paraId="7D3253B2" w14:textId="77777777" w:rsidR="00E3622C" w:rsidRPr="00E3622C" w:rsidRDefault="00E3622C" w:rsidP="00C720DB">
            <w:pPr>
              <w:pStyle w:val="TableText"/>
              <w:spacing w:before="20" w:after="20" w:line="480" w:lineRule="auto"/>
              <w:jc w:val="right"/>
              <w:rPr>
                <w:sz w:val="16"/>
                <w:szCs w:val="16"/>
              </w:rPr>
            </w:pPr>
            <w:r w:rsidRPr="00E3622C">
              <w:rPr>
                <w:sz w:val="16"/>
                <w:szCs w:val="16"/>
              </w:rPr>
              <w:t>2.0***</w:t>
            </w:r>
          </w:p>
        </w:tc>
        <w:tc>
          <w:tcPr>
            <w:tcW w:w="709" w:type="dxa"/>
            <w:gridSpan w:val="2"/>
            <w:shd w:val="clear" w:color="auto" w:fill="auto"/>
            <w:tcMar>
              <w:top w:w="0" w:type="dxa"/>
              <w:left w:w="108" w:type="dxa"/>
              <w:bottom w:w="0" w:type="dxa"/>
              <w:right w:w="108" w:type="dxa"/>
            </w:tcMar>
          </w:tcPr>
          <w:p w14:paraId="0EC1C7CE" w14:textId="77777777" w:rsidR="00E3622C" w:rsidRPr="00E3622C" w:rsidRDefault="00E3622C" w:rsidP="00C720DB">
            <w:pPr>
              <w:pStyle w:val="TableText"/>
              <w:spacing w:before="20" w:after="20" w:line="480" w:lineRule="auto"/>
              <w:jc w:val="right"/>
              <w:rPr>
                <w:sz w:val="16"/>
                <w:szCs w:val="16"/>
              </w:rPr>
            </w:pPr>
            <w:r w:rsidRPr="00E3622C">
              <w:rPr>
                <w:sz w:val="16"/>
                <w:szCs w:val="16"/>
              </w:rPr>
              <w:t>0.5</w:t>
            </w:r>
          </w:p>
        </w:tc>
        <w:tc>
          <w:tcPr>
            <w:tcW w:w="851" w:type="dxa"/>
            <w:gridSpan w:val="2"/>
            <w:shd w:val="clear" w:color="auto" w:fill="auto"/>
            <w:tcMar>
              <w:top w:w="0" w:type="dxa"/>
              <w:left w:w="108" w:type="dxa"/>
              <w:bottom w:w="0" w:type="dxa"/>
              <w:right w:w="108" w:type="dxa"/>
            </w:tcMar>
          </w:tcPr>
          <w:p w14:paraId="3B1AF24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1.0</w:t>
            </w:r>
          </w:p>
        </w:tc>
        <w:tc>
          <w:tcPr>
            <w:tcW w:w="850" w:type="dxa"/>
            <w:gridSpan w:val="2"/>
            <w:shd w:val="clear" w:color="auto" w:fill="auto"/>
            <w:tcMar>
              <w:top w:w="0" w:type="dxa"/>
              <w:left w:w="108" w:type="dxa"/>
              <w:bottom w:w="0" w:type="dxa"/>
              <w:right w:w="108" w:type="dxa"/>
            </w:tcMar>
          </w:tcPr>
          <w:p w14:paraId="13CDF38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3.0</w:t>
            </w:r>
          </w:p>
        </w:tc>
        <w:tc>
          <w:tcPr>
            <w:tcW w:w="851" w:type="dxa"/>
            <w:gridSpan w:val="2"/>
            <w:shd w:val="clear" w:color="auto" w:fill="auto"/>
            <w:tcMar>
              <w:top w:w="0" w:type="dxa"/>
              <w:left w:w="108" w:type="dxa"/>
              <w:bottom w:w="0" w:type="dxa"/>
              <w:right w:w="108" w:type="dxa"/>
            </w:tcMar>
          </w:tcPr>
          <w:p w14:paraId="5F04321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1.8**</w:t>
            </w:r>
          </w:p>
        </w:tc>
        <w:tc>
          <w:tcPr>
            <w:tcW w:w="567" w:type="dxa"/>
            <w:shd w:val="clear" w:color="auto" w:fill="auto"/>
            <w:tcMar>
              <w:top w:w="0" w:type="dxa"/>
              <w:left w:w="10" w:type="dxa"/>
              <w:bottom w:w="0" w:type="dxa"/>
              <w:right w:w="10" w:type="dxa"/>
            </w:tcMar>
          </w:tcPr>
          <w:p w14:paraId="3F01C6F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c>
          <w:tcPr>
            <w:tcW w:w="567" w:type="dxa"/>
            <w:shd w:val="clear" w:color="auto" w:fill="auto"/>
            <w:tcMar>
              <w:top w:w="0" w:type="dxa"/>
              <w:left w:w="10" w:type="dxa"/>
              <w:bottom w:w="0" w:type="dxa"/>
              <w:right w:w="10" w:type="dxa"/>
            </w:tcMar>
          </w:tcPr>
          <w:p w14:paraId="4239BC5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c>
          <w:tcPr>
            <w:tcW w:w="567" w:type="dxa"/>
            <w:gridSpan w:val="2"/>
            <w:shd w:val="clear" w:color="auto" w:fill="auto"/>
            <w:tcMar>
              <w:top w:w="0" w:type="dxa"/>
              <w:left w:w="10" w:type="dxa"/>
              <w:bottom w:w="0" w:type="dxa"/>
              <w:right w:w="10" w:type="dxa"/>
            </w:tcMar>
          </w:tcPr>
          <w:p w14:paraId="3BFAC5D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2.920</w:t>
            </w:r>
          </w:p>
        </w:tc>
      </w:tr>
      <w:tr w:rsidR="00E3622C" w:rsidRPr="00E3622C" w14:paraId="2FDC4862" w14:textId="77777777" w:rsidTr="003B4E1A">
        <w:tc>
          <w:tcPr>
            <w:tcW w:w="1101" w:type="dxa"/>
            <w:shd w:val="clear" w:color="auto" w:fill="auto"/>
            <w:tcMar>
              <w:top w:w="0" w:type="dxa"/>
              <w:left w:w="108" w:type="dxa"/>
              <w:bottom w:w="0" w:type="dxa"/>
              <w:right w:w="108" w:type="dxa"/>
            </w:tcMar>
          </w:tcPr>
          <w:p w14:paraId="0E952771" w14:textId="77777777" w:rsidR="00E3622C" w:rsidRPr="00E3622C" w:rsidRDefault="00E3622C" w:rsidP="00C720DB">
            <w:pPr>
              <w:pStyle w:val="TableText"/>
              <w:spacing w:before="20" w:after="20" w:line="480" w:lineRule="auto"/>
              <w:rPr>
                <w:sz w:val="16"/>
                <w:szCs w:val="16"/>
                <w:lang w:val="en-US"/>
              </w:rPr>
            </w:pPr>
          </w:p>
        </w:tc>
        <w:tc>
          <w:tcPr>
            <w:tcW w:w="2585" w:type="dxa"/>
            <w:gridSpan w:val="3"/>
            <w:shd w:val="clear" w:color="auto" w:fill="auto"/>
            <w:tcMar>
              <w:top w:w="0" w:type="dxa"/>
              <w:left w:w="108" w:type="dxa"/>
              <w:bottom w:w="0" w:type="dxa"/>
              <w:right w:w="108" w:type="dxa"/>
            </w:tcMar>
          </w:tcPr>
          <w:p w14:paraId="0B16CB22" w14:textId="77777777" w:rsidR="00E3622C" w:rsidRPr="00E3622C" w:rsidRDefault="00E3622C" w:rsidP="00C720DB">
            <w:pPr>
              <w:pStyle w:val="TableText"/>
              <w:spacing w:before="20" w:after="20" w:line="480" w:lineRule="auto"/>
              <w:rPr>
                <w:sz w:val="16"/>
                <w:szCs w:val="16"/>
                <w:lang w:val="en-US"/>
              </w:rPr>
            </w:pPr>
            <w:r w:rsidRPr="00E3622C">
              <w:rPr>
                <w:sz w:val="16"/>
                <w:szCs w:val="16"/>
                <w:lang w:val="en-US"/>
              </w:rPr>
              <w:t>24</w:t>
            </w:r>
          </w:p>
        </w:tc>
        <w:tc>
          <w:tcPr>
            <w:tcW w:w="850" w:type="dxa"/>
            <w:shd w:val="clear" w:color="auto" w:fill="auto"/>
            <w:tcMar>
              <w:top w:w="0" w:type="dxa"/>
              <w:left w:w="108" w:type="dxa"/>
              <w:bottom w:w="0" w:type="dxa"/>
              <w:right w:w="108" w:type="dxa"/>
            </w:tcMar>
          </w:tcPr>
          <w:p w14:paraId="047B89DB" w14:textId="77777777" w:rsidR="00E3622C" w:rsidRPr="00E3622C" w:rsidRDefault="00E3622C" w:rsidP="00C720DB">
            <w:pPr>
              <w:pStyle w:val="TableText"/>
              <w:spacing w:before="20" w:after="20" w:line="480" w:lineRule="auto"/>
              <w:jc w:val="right"/>
              <w:rPr>
                <w:sz w:val="16"/>
                <w:szCs w:val="16"/>
              </w:rPr>
            </w:pPr>
            <w:r w:rsidRPr="00E3622C">
              <w:rPr>
                <w:sz w:val="16"/>
                <w:szCs w:val="16"/>
              </w:rPr>
              <w:t>2.5***</w:t>
            </w:r>
          </w:p>
        </w:tc>
        <w:tc>
          <w:tcPr>
            <w:tcW w:w="709" w:type="dxa"/>
            <w:gridSpan w:val="2"/>
            <w:shd w:val="clear" w:color="auto" w:fill="auto"/>
            <w:tcMar>
              <w:top w:w="0" w:type="dxa"/>
              <w:left w:w="108" w:type="dxa"/>
              <w:bottom w:w="0" w:type="dxa"/>
              <w:right w:w="108" w:type="dxa"/>
            </w:tcMar>
          </w:tcPr>
          <w:p w14:paraId="12645A5F" w14:textId="77777777" w:rsidR="00E3622C" w:rsidRPr="00E3622C" w:rsidRDefault="00E3622C" w:rsidP="00C720DB">
            <w:pPr>
              <w:pStyle w:val="TableText"/>
              <w:spacing w:before="20" w:after="20" w:line="480" w:lineRule="auto"/>
              <w:jc w:val="right"/>
              <w:rPr>
                <w:sz w:val="16"/>
                <w:szCs w:val="16"/>
              </w:rPr>
            </w:pPr>
            <w:r w:rsidRPr="00E3622C">
              <w:rPr>
                <w:sz w:val="16"/>
                <w:szCs w:val="16"/>
              </w:rPr>
              <w:t>0.5</w:t>
            </w:r>
          </w:p>
        </w:tc>
        <w:tc>
          <w:tcPr>
            <w:tcW w:w="851" w:type="dxa"/>
            <w:gridSpan w:val="2"/>
            <w:shd w:val="clear" w:color="auto" w:fill="auto"/>
            <w:tcMar>
              <w:top w:w="0" w:type="dxa"/>
              <w:left w:w="108" w:type="dxa"/>
              <w:bottom w:w="0" w:type="dxa"/>
              <w:right w:w="108" w:type="dxa"/>
            </w:tcMar>
          </w:tcPr>
          <w:p w14:paraId="2EEBB0C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1.5</w:t>
            </w:r>
          </w:p>
        </w:tc>
        <w:tc>
          <w:tcPr>
            <w:tcW w:w="850" w:type="dxa"/>
            <w:gridSpan w:val="2"/>
            <w:shd w:val="clear" w:color="auto" w:fill="auto"/>
            <w:tcMar>
              <w:top w:w="0" w:type="dxa"/>
              <w:left w:w="108" w:type="dxa"/>
              <w:bottom w:w="0" w:type="dxa"/>
              <w:right w:w="108" w:type="dxa"/>
            </w:tcMar>
          </w:tcPr>
          <w:p w14:paraId="22E87F1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3.5</w:t>
            </w:r>
          </w:p>
        </w:tc>
        <w:tc>
          <w:tcPr>
            <w:tcW w:w="851" w:type="dxa"/>
            <w:gridSpan w:val="2"/>
            <w:shd w:val="clear" w:color="auto" w:fill="auto"/>
            <w:tcMar>
              <w:top w:w="0" w:type="dxa"/>
              <w:left w:w="108" w:type="dxa"/>
              <w:bottom w:w="0" w:type="dxa"/>
              <w:right w:w="108" w:type="dxa"/>
            </w:tcMar>
          </w:tcPr>
          <w:p w14:paraId="4C6101F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2.3***</w:t>
            </w:r>
          </w:p>
        </w:tc>
        <w:tc>
          <w:tcPr>
            <w:tcW w:w="567" w:type="dxa"/>
            <w:shd w:val="clear" w:color="auto" w:fill="auto"/>
            <w:tcMar>
              <w:top w:w="0" w:type="dxa"/>
              <w:left w:w="10" w:type="dxa"/>
              <w:bottom w:w="0" w:type="dxa"/>
              <w:right w:w="10" w:type="dxa"/>
            </w:tcMar>
          </w:tcPr>
          <w:p w14:paraId="4095C57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c>
          <w:tcPr>
            <w:tcW w:w="567" w:type="dxa"/>
            <w:shd w:val="clear" w:color="auto" w:fill="auto"/>
            <w:tcMar>
              <w:top w:w="0" w:type="dxa"/>
              <w:left w:w="10" w:type="dxa"/>
              <w:bottom w:w="0" w:type="dxa"/>
              <w:right w:w="10" w:type="dxa"/>
            </w:tcMar>
          </w:tcPr>
          <w:p w14:paraId="4CC614F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1.1</w:t>
            </w:r>
          </w:p>
        </w:tc>
        <w:tc>
          <w:tcPr>
            <w:tcW w:w="567" w:type="dxa"/>
            <w:gridSpan w:val="2"/>
            <w:shd w:val="clear" w:color="auto" w:fill="auto"/>
            <w:tcMar>
              <w:top w:w="0" w:type="dxa"/>
              <w:left w:w="10" w:type="dxa"/>
              <w:bottom w:w="0" w:type="dxa"/>
              <w:right w:w="10" w:type="dxa"/>
            </w:tcMar>
          </w:tcPr>
          <w:p w14:paraId="661E34C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3.398</w:t>
            </w:r>
          </w:p>
        </w:tc>
      </w:tr>
      <w:tr w:rsidR="00E3622C" w:rsidRPr="00E3622C" w14:paraId="274AEF89" w14:textId="77777777" w:rsidTr="003B4E1A">
        <w:tc>
          <w:tcPr>
            <w:tcW w:w="1101" w:type="dxa"/>
            <w:shd w:val="clear" w:color="auto" w:fill="auto"/>
            <w:tcMar>
              <w:top w:w="0" w:type="dxa"/>
              <w:left w:w="108" w:type="dxa"/>
              <w:bottom w:w="0" w:type="dxa"/>
              <w:right w:w="108" w:type="dxa"/>
            </w:tcMar>
          </w:tcPr>
          <w:p w14:paraId="30D19C03" w14:textId="77777777" w:rsidR="00E3622C" w:rsidRPr="00E3622C" w:rsidRDefault="00E3622C" w:rsidP="00C720DB">
            <w:pPr>
              <w:pStyle w:val="TableText"/>
              <w:spacing w:before="20" w:after="20" w:line="480" w:lineRule="auto"/>
              <w:rPr>
                <w:color w:val="444444"/>
                <w:sz w:val="16"/>
                <w:szCs w:val="16"/>
                <w:shd w:val="clear" w:color="auto" w:fill="FFFFFF"/>
              </w:rPr>
            </w:pPr>
            <w:r w:rsidRPr="00E3622C">
              <w:rPr>
                <w:color w:val="444444"/>
                <w:sz w:val="16"/>
                <w:szCs w:val="16"/>
                <w:shd w:val="clear" w:color="auto" w:fill="FFFFFF"/>
              </w:rPr>
              <w:t>Educational</w:t>
            </w:r>
          </w:p>
        </w:tc>
        <w:tc>
          <w:tcPr>
            <w:tcW w:w="2585" w:type="dxa"/>
            <w:gridSpan w:val="3"/>
            <w:shd w:val="clear" w:color="auto" w:fill="auto"/>
            <w:tcMar>
              <w:top w:w="0" w:type="dxa"/>
              <w:left w:w="108" w:type="dxa"/>
              <w:bottom w:w="0" w:type="dxa"/>
              <w:right w:w="108" w:type="dxa"/>
            </w:tcMar>
          </w:tcPr>
          <w:p w14:paraId="745AF2B5" w14:textId="77777777" w:rsidR="00E3622C" w:rsidRPr="00E3622C" w:rsidRDefault="00E3622C" w:rsidP="00C720DB">
            <w:pPr>
              <w:pStyle w:val="TableText"/>
              <w:spacing w:before="20" w:after="20" w:line="480" w:lineRule="auto"/>
              <w:rPr>
                <w:sz w:val="16"/>
                <w:szCs w:val="16"/>
              </w:rPr>
            </w:pPr>
            <w:r w:rsidRPr="00E3622C">
              <w:rPr>
                <w:color w:val="444444"/>
                <w:sz w:val="16"/>
                <w:szCs w:val="16"/>
                <w:shd w:val="clear" w:color="auto" w:fill="FFFFFF"/>
              </w:rPr>
              <w:t>degree</w:t>
            </w:r>
          </w:p>
        </w:tc>
        <w:tc>
          <w:tcPr>
            <w:tcW w:w="850" w:type="dxa"/>
            <w:shd w:val="clear" w:color="auto" w:fill="auto"/>
            <w:tcMar>
              <w:top w:w="0" w:type="dxa"/>
              <w:left w:w="108" w:type="dxa"/>
              <w:bottom w:w="0" w:type="dxa"/>
              <w:right w:w="108" w:type="dxa"/>
            </w:tcMar>
          </w:tcPr>
          <w:p w14:paraId="601DFEDD" w14:textId="77777777" w:rsidR="00E3622C" w:rsidRPr="00E3622C" w:rsidRDefault="00E3622C" w:rsidP="00C720DB">
            <w:pPr>
              <w:pStyle w:val="TableText"/>
              <w:spacing w:before="20" w:after="20" w:line="480" w:lineRule="auto"/>
              <w:jc w:val="right"/>
              <w:rPr>
                <w:sz w:val="16"/>
                <w:szCs w:val="16"/>
              </w:rPr>
            </w:pPr>
            <w:r w:rsidRPr="00E3622C">
              <w:rPr>
                <w:sz w:val="16"/>
                <w:szCs w:val="16"/>
              </w:rPr>
              <w:t>-</w:t>
            </w:r>
          </w:p>
        </w:tc>
        <w:tc>
          <w:tcPr>
            <w:tcW w:w="709" w:type="dxa"/>
            <w:gridSpan w:val="2"/>
            <w:shd w:val="clear" w:color="auto" w:fill="auto"/>
            <w:tcMar>
              <w:top w:w="0" w:type="dxa"/>
              <w:left w:w="108" w:type="dxa"/>
              <w:bottom w:w="0" w:type="dxa"/>
              <w:right w:w="108" w:type="dxa"/>
            </w:tcMar>
          </w:tcPr>
          <w:p w14:paraId="79C760E3" w14:textId="77777777" w:rsidR="00E3622C" w:rsidRPr="00E3622C" w:rsidRDefault="00E3622C" w:rsidP="00C720DB">
            <w:pPr>
              <w:pStyle w:val="TableText"/>
              <w:spacing w:before="20" w:after="20" w:line="480" w:lineRule="auto"/>
              <w:jc w:val="right"/>
              <w:rPr>
                <w:sz w:val="16"/>
                <w:szCs w:val="16"/>
              </w:rPr>
            </w:pPr>
            <w:r w:rsidRPr="00E3622C">
              <w:rPr>
                <w:sz w:val="16"/>
                <w:szCs w:val="16"/>
              </w:rPr>
              <w:t>-</w:t>
            </w:r>
          </w:p>
        </w:tc>
        <w:tc>
          <w:tcPr>
            <w:tcW w:w="851" w:type="dxa"/>
            <w:gridSpan w:val="2"/>
            <w:shd w:val="clear" w:color="auto" w:fill="auto"/>
            <w:tcMar>
              <w:top w:w="0" w:type="dxa"/>
              <w:left w:w="108" w:type="dxa"/>
              <w:bottom w:w="0" w:type="dxa"/>
              <w:right w:w="108" w:type="dxa"/>
            </w:tcMar>
          </w:tcPr>
          <w:p w14:paraId="70DCE749" w14:textId="77777777" w:rsidR="00E3622C" w:rsidRPr="00E3622C" w:rsidRDefault="00E3622C" w:rsidP="00C720DB">
            <w:pPr>
              <w:pStyle w:val="TableText"/>
              <w:spacing w:before="20" w:after="20" w:line="480" w:lineRule="auto"/>
              <w:jc w:val="right"/>
              <w:rPr>
                <w:sz w:val="16"/>
                <w:szCs w:val="16"/>
              </w:rPr>
            </w:pPr>
            <w:r w:rsidRPr="00E3622C">
              <w:rPr>
                <w:sz w:val="16"/>
                <w:szCs w:val="16"/>
              </w:rPr>
              <w:t>-</w:t>
            </w:r>
          </w:p>
        </w:tc>
        <w:tc>
          <w:tcPr>
            <w:tcW w:w="850" w:type="dxa"/>
            <w:gridSpan w:val="2"/>
            <w:shd w:val="clear" w:color="auto" w:fill="auto"/>
            <w:tcMar>
              <w:top w:w="0" w:type="dxa"/>
              <w:left w:w="108" w:type="dxa"/>
              <w:bottom w:w="0" w:type="dxa"/>
              <w:right w:w="108" w:type="dxa"/>
            </w:tcMar>
          </w:tcPr>
          <w:p w14:paraId="65A1E16A" w14:textId="77777777" w:rsidR="00E3622C" w:rsidRPr="00E3622C" w:rsidRDefault="00E3622C" w:rsidP="00C720DB">
            <w:pPr>
              <w:pStyle w:val="TableText"/>
              <w:spacing w:before="20" w:after="20" w:line="480" w:lineRule="auto"/>
              <w:jc w:val="right"/>
              <w:rPr>
                <w:sz w:val="16"/>
                <w:szCs w:val="16"/>
              </w:rPr>
            </w:pPr>
            <w:r w:rsidRPr="00E3622C">
              <w:rPr>
                <w:sz w:val="16"/>
                <w:szCs w:val="16"/>
              </w:rPr>
              <w:t>-</w:t>
            </w:r>
          </w:p>
        </w:tc>
        <w:tc>
          <w:tcPr>
            <w:tcW w:w="851" w:type="dxa"/>
            <w:gridSpan w:val="2"/>
            <w:shd w:val="clear" w:color="auto" w:fill="auto"/>
            <w:tcMar>
              <w:top w:w="0" w:type="dxa"/>
              <w:left w:w="108" w:type="dxa"/>
              <w:bottom w:w="0" w:type="dxa"/>
              <w:right w:w="108" w:type="dxa"/>
            </w:tcMar>
          </w:tcPr>
          <w:p w14:paraId="0E51902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c>
          <w:tcPr>
            <w:tcW w:w="567" w:type="dxa"/>
            <w:shd w:val="clear" w:color="auto" w:fill="auto"/>
            <w:tcMar>
              <w:top w:w="0" w:type="dxa"/>
              <w:left w:w="10" w:type="dxa"/>
              <w:bottom w:w="0" w:type="dxa"/>
              <w:right w:w="10" w:type="dxa"/>
            </w:tcMar>
          </w:tcPr>
          <w:p w14:paraId="6A12F5B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c>
          <w:tcPr>
            <w:tcW w:w="567" w:type="dxa"/>
            <w:shd w:val="clear" w:color="auto" w:fill="auto"/>
            <w:tcMar>
              <w:top w:w="0" w:type="dxa"/>
              <w:left w:w="10" w:type="dxa"/>
              <w:bottom w:w="0" w:type="dxa"/>
              <w:right w:w="10" w:type="dxa"/>
            </w:tcMar>
          </w:tcPr>
          <w:p w14:paraId="7468478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c>
          <w:tcPr>
            <w:tcW w:w="567" w:type="dxa"/>
            <w:gridSpan w:val="2"/>
            <w:shd w:val="clear" w:color="auto" w:fill="auto"/>
            <w:tcMar>
              <w:top w:w="0" w:type="dxa"/>
              <w:left w:w="10" w:type="dxa"/>
              <w:bottom w:w="0" w:type="dxa"/>
              <w:right w:w="10" w:type="dxa"/>
            </w:tcMar>
          </w:tcPr>
          <w:p w14:paraId="5F8C5FF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w:t>
            </w:r>
          </w:p>
        </w:tc>
      </w:tr>
      <w:tr w:rsidR="00E3622C" w:rsidRPr="00E3622C" w14:paraId="5D9DE909" w14:textId="77777777" w:rsidTr="003B4E1A">
        <w:tc>
          <w:tcPr>
            <w:tcW w:w="1101" w:type="dxa"/>
            <w:shd w:val="clear" w:color="auto" w:fill="auto"/>
            <w:tcMar>
              <w:top w:w="0" w:type="dxa"/>
              <w:left w:w="108" w:type="dxa"/>
              <w:bottom w:w="0" w:type="dxa"/>
              <w:right w:w="108" w:type="dxa"/>
            </w:tcMar>
          </w:tcPr>
          <w:p w14:paraId="00D41BF6" w14:textId="77777777" w:rsidR="00E3622C" w:rsidRPr="00E3622C" w:rsidRDefault="00E3622C" w:rsidP="00C720DB">
            <w:pPr>
              <w:pStyle w:val="TableText"/>
              <w:spacing w:before="20" w:after="20" w:line="480" w:lineRule="auto"/>
              <w:rPr>
                <w:color w:val="444444"/>
                <w:sz w:val="16"/>
                <w:szCs w:val="16"/>
                <w:shd w:val="clear" w:color="auto" w:fill="FFFFFF"/>
              </w:rPr>
            </w:pPr>
            <w:r w:rsidRPr="00E3622C">
              <w:rPr>
                <w:color w:val="444444"/>
                <w:sz w:val="16"/>
                <w:szCs w:val="16"/>
                <w:shd w:val="clear" w:color="auto" w:fill="FFFFFF"/>
              </w:rPr>
              <w:t>Attainment</w:t>
            </w:r>
          </w:p>
        </w:tc>
        <w:tc>
          <w:tcPr>
            <w:tcW w:w="2585" w:type="dxa"/>
            <w:gridSpan w:val="3"/>
            <w:shd w:val="clear" w:color="auto" w:fill="auto"/>
            <w:tcMar>
              <w:top w:w="0" w:type="dxa"/>
              <w:left w:w="108" w:type="dxa"/>
              <w:bottom w:w="0" w:type="dxa"/>
              <w:right w:w="108" w:type="dxa"/>
            </w:tcMar>
          </w:tcPr>
          <w:p w14:paraId="644160E4" w14:textId="77777777" w:rsidR="00E3622C" w:rsidRPr="00E3622C" w:rsidRDefault="00E3622C" w:rsidP="00C720DB">
            <w:pPr>
              <w:pStyle w:val="TableText"/>
              <w:spacing w:before="20" w:after="20" w:line="480" w:lineRule="auto"/>
              <w:rPr>
                <w:sz w:val="16"/>
                <w:szCs w:val="16"/>
              </w:rPr>
            </w:pPr>
            <w:r w:rsidRPr="00E3622C">
              <w:rPr>
                <w:color w:val="444444"/>
                <w:sz w:val="16"/>
                <w:szCs w:val="16"/>
                <w:shd w:val="clear" w:color="auto" w:fill="FFFFFF"/>
              </w:rPr>
              <w:t>higher education level</w:t>
            </w:r>
          </w:p>
        </w:tc>
        <w:tc>
          <w:tcPr>
            <w:tcW w:w="850" w:type="dxa"/>
            <w:shd w:val="clear" w:color="auto" w:fill="auto"/>
            <w:tcMar>
              <w:top w:w="0" w:type="dxa"/>
              <w:left w:w="108" w:type="dxa"/>
              <w:bottom w:w="0" w:type="dxa"/>
              <w:right w:w="108" w:type="dxa"/>
            </w:tcMar>
          </w:tcPr>
          <w:p w14:paraId="3B2EF155" w14:textId="77777777" w:rsidR="00E3622C" w:rsidRPr="00E3622C" w:rsidRDefault="00E3622C" w:rsidP="00C720DB">
            <w:pPr>
              <w:pStyle w:val="TableText"/>
              <w:spacing w:before="20" w:after="20" w:line="480" w:lineRule="auto"/>
              <w:jc w:val="right"/>
              <w:rPr>
                <w:sz w:val="16"/>
                <w:szCs w:val="16"/>
              </w:rPr>
            </w:pPr>
            <w:r w:rsidRPr="00E3622C">
              <w:rPr>
                <w:sz w:val="16"/>
                <w:szCs w:val="16"/>
              </w:rPr>
              <w:t>-9.4***</w:t>
            </w:r>
          </w:p>
        </w:tc>
        <w:tc>
          <w:tcPr>
            <w:tcW w:w="709" w:type="dxa"/>
            <w:gridSpan w:val="2"/>
            <w:shd w:val="clear" w:color="auto" w:fill="auto"/>
            <w:tcMar>
              <w:top w:w="0" w:type="dxa"/>
              <w:left w:w="108" w:type="dxa"/>
              <w:bottom w:w="0" w:type="dxa"/>
              <w:right w:w="108" w:type="dxa"/>
            </w:tcMar>
          </w:tcPr>
          <w:p w14:paraId="12ED1B67" w14:textId="77777777" w:rsidR="00E3622C" w:rsidRPr="00E3622C" w:rsidRDefault="00E3622C" w:rsidP="00C720DB">
            <w:pPr>
              <w:pStyle w:val="TableText"/>
              <w:spacing w:before="20" w:after="20" w:line="480" w:lineRule="auto"/>
              <w:jc w:val="right"/>
              <w:rPr>
                <w:sz w:val="16"/>
                <w:szCs w:val="16"/>
              </w:rPr>
            </w:pPr>
            <w:r w:rsidRPr="00E3622C">
              <w:rPr>
                <w:sz w:val="16"/>
                <w:szCs w:val="16"/>
              </w:rPr>
              <w:t>0.6</w:t>
            </w:r>
          </w:p>
        </w:tc>
        <w:tc>
          <w:tcPr>
            <w:tcW w:w="851" w:type="dxa"/>
            <w:gridSpan w:val="2"/>
            <w:shd w:val="clear" w:color="auto" w:fill="auto"/>
            <w:tcMar>
              <w:top w:w="0" w:type="dxa"/>
              <w:left w:w="108" w:type="dxa"/>
              <w:bottom w:w="0" w:type="dxa"/>
              <w:right w:w="108" w:type="dxa"/>
            </w:tcMar>
          </w:tcPr>
          <w:p w14:paraId="2D4109D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-10.7</w:t>
            </w:r>
          </w:p>
        </w:tc>
        <w:tc>
          <w:tcPr>
            <w:tcW w:w="850" w:type="dxa"/>
            <w:gridSpan w:val="2"/>
            <w:shd w:val="clear" w:color="auto" w:fill="auto"/>
            <w:tcMar>
              <w:top w:w="0" w:type="dxa"/>
              <w:left w:w="108" w:type="dxa"/>
              <w:bottom w:w="0" w:type="dxa"/>
              <w:right w:w="108" w:type="dxa"/>
            </w:tcMar>
          </w:tcPr>
          <w:p w14:paraId="3324867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-8.2</w:t>
            </w:r>
          </w:p>
        </w:tc>
        <w:tc>
          <w:tcPr>
            <w:tcW w:w="851" w:type="dxa"/>
            <w:gridSpan w:val="2"/>
            <w:shd w:val="clear" w:color="auto" w:fill="auto"/>
            <w:tcMar>
              <w:top w:w="0" w:type="dxa"/>
              <w:left w:w="108" w:type="dxa"/>
              <w:bottom w:w="0" w:type="dxa"/>
              <w:right w:w="108" w:type="dxa"/>
            </w:tcMar>
          </w:tcPr>
          <w:p w14:paraId="1B47E7B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-7.6***</w:t>
            </w:r>
          </w:p>
        </w:tc>
        <w:tc>
          <w:tcPr>
            <w:tcW w:w="567" w:type="dxa"/>
            <w:shd w:val="clear" w:color="auto" w:fill="auto"/>
            <w:tcMar>
              <w:top w:w="0" w:type="dxa"/>
              <w:left w:w="10" w:type="dxa"/>
              <w:bottom w:w="0" w:type="dxa"/>
              <w:right w:w="10" w:type="dxa"/>
            </w:tcMar>
          </w:tcPr>
          <w:p w14:paraId="30901DF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c>
          <w:tcPr>
            <w:tcW w:w="567" w:type="dxa"/>
            <w:shd w:val="clear" w:color="auto" w:fill="auto"/>
            <w:tcMar>
              <w:top w:w="0" w:type="dxa"/>
              <w:left w:w="10" w:type="dxa"/>
              <w:bottom w:w="0" w:type="dxa"/>
              <w:right w:w="10" w:type="dxa"/>
            </w:tcMar>
          </w:tcPr>
          <w:p w14:paraId="23DA23BC"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-8.8</w:t>
            </w:r>
          </w:p>
        </w:tc>
        <w:tc>
          <w:tcPr>
            <w:tcW w:w="567" w:type="dxa"/>
            <w:gridSpan w:val="2"/>
            <w:shd w:val="clear" w:color="auto" w:fill="auto"/>
            <w:tcMar>
              <w:top w:w="0" w:type="dxa"/>
              <w:left w:w="10" w:type="dxa"/>
              <w:bottom w:w="0" w:type="dxa"/>
              <w:right w:w="10" w:type="dxa"/>
            </w:tcMar>
          </w:tcPr>
          <w:p w14:paraId="0299B41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-6.5</w:t>
            </w:r>
          </w:p>
        </w:tc>
      </w:tr>
      <w:tr w:rsidR="00E3622C" w:rsidRPr="00E3622C" w14:paraId="647AB64E" w14:textId="77777777" w:rsidTr="003B4E1A">
        <w:tc>
          <w:tcPr>
            <w:tcW w:w="1101" w:type="dxa"/>
            <w:shd w:val="clear" w:color="auto" w:fill="auto"/>
            <w:tcMar>
              <w:top w:w="0" w:type="dxa"/>
              <w:left w:w="108" w:type="dxa"/>
              <w:bottom w:w="0" w:type="dxa"/>
              <w:right w:w="108" w:type="dxa"/>
            </w:tcMar>
          </w:tcPr>
          <w:p w14:paraId="0E01D797" w14:textId="77777777" w:rsidR="00E3622C" w:rsidRPr="00E3622C" w:rsidRDefault="00E3622C" w:rsidP="00C720DB">
            <w:pPr>
              <w:pStyle w:val="TableText"/>
              <w:spacing w:before="20" w:after="20" w:line="480" w:lineRule="auto"/>
              <w:rPr>
                <w:color w:val="444444"/>
                <w:sz w:val="16"/>
                <w:szCs w:val="16"/>
                <w:shd w:val="clear" w:color="auto" w:fill="FFFFFF"/>
              </w:rPr>
            </w:pPr>
          </w:p>
        </w:tc>
        <w:tc>
          <w:tcPr>
            <w:tcW w:w="2585" w:type="dxa"/>
            <w:gridSpan w:val="3"/>
            <w:shd w:val="clear" w:color="auto" w:fill="auto"/>
            <w:tcMar>
              <w:top w:w="0" w:type="dxa"/>
              <w:left w:w="108" w:type="dxa"/>
              <w:bottom w:w="0" w:type="dxa"/>
              <w:right w:w="108" w:type="dxa"/>
            </w:tcMar>
          </w:tcPr>
          <w:p w14:paraId="77B873C0" w14:textId="77777777" w:rsidR="00E3622C" w:rsidRPr="00E3622C" w:rsidRDefault="00E3622C" w:rsidP="00C720DB">
            <w:pPr>
              <w:pStyle w:val="TableText"/>
              <w:spacing w:before="20" w:after="20" w:line="480" w:lineRule="auto"/>
              <w:rPr>
                <w:sz w:val="16"/>
                <w:szCs w:val="16"/>
              </w:rPr>
            </w:pPr>
            <w:r w:rsidRPr="00E3622C">
              <w:rPr>
                <w:color w:val="444444"/>
                <w:sz w:val="16"/>
                <w:szCs w:val="16"/>
                <w:shd w:val="clear" w:color="auto" w:fill="FFFFFF"/>
              </w:rPr>
              <w:t>GCE/A-level or equivalent</w:t>
            </w:r>
          </w:p>
        </w:tc>
        <w:tc>
          <w:tcPr>
            <w:tcW w:w="850" w:type="dxa"/>
            <w:shd w:val="clear" w:color="auto" w:fill="auto"/>
            <w:tcMar>
              <w:top w:w="0" w:type="dxa"/>
              <w:left w:w="108" w:type="dxa"/>
              <w:bottom w:w="0" w:type="dxa"/>
              <w:right w:w="108" w:type="dxa"/>
            </w:tcMar>
          </w:tcPr>
          <w:p w14:paraId="7A3D79EB" w14:textId="77777777" w:rsidR="00E3622C" w:rsidRPr="00E3622C" w:rsidRDefault="00E3622C" w:rsidP="00C720DB">
            <w:pPr>
              <w:pStyle w:val="TableText"/>
              <w:spacing w:before="20" w:after="20" w:line="480" w:lineRule="auto"/>
              <w:jc w:val="right"/>
              <w:rPr>
                <w:sz w:val="16"/>
                <w:szCs w:val="16"/>
              </w:rPr>
            </w:pPr>
            <w:r w:rsidRPr="00E3622C">
              <w:rPr>
                <w:sz w:val="16"/>
                <w:szCs w:val="16"/>
              </w:rPr>
              <w:t>-11.8***</w:t>
            </w:r>
          </w:p>
        </w:tc>
        <w:tc>
          <w:tcPr>
            <w:tcW w:w="709" w:type="dxa"/>
            <w:gridSpan w:val="2"/>
            <w:shd w:val="clear" w:color="auto" w:fill="auto"/>
            <w:tcMar>
              <w:top w:w="0" w:type="dxa"/>
              <w:left w:w="108" w:type="dxa"/>
              <w:bottom w:w="0" w:type="dxa"/>
              <w:right w:w="108" w:type="dxa"/>
            </w:tcMar>
          </w:tcPr>
          <w:p w14:paraId="237B1F3D" w14:textId="77777777" w:rsidR="00E3622C" w:rsidRPr="00E3622C" w:rsidRDefault="00E3622C" w:rsidP="00C720DB">
            <w:pPr>
              <w:pStyle w:val="TableText"/>
              <w:spacing w:before="20" w:after="20" w:line="480" w:lineRule="auto"/>
              <w:jc w:val="right"/>
              <w:rPr>
                <w:sz w:val="16"/>
                <w:szCs w:val="16"/>
              </w:rPr>
            </w:pPr>
            <w:r w:rsidRPr="00E3622C">
              <w:rPr>
                <w:sz w:val="16"/>
                <w:szCs w:val="16"/>
              </w:rPr>
              <w:t>0.4</w:t>
            </w:r>
          </w:p>
        </w:tc>
        <w:tc>
          <w:tcPr>
            <w:tcW w:w="851" w:type="dxa"/>
            <w:gridSpan w:val="2"/>
            <w:shd w:val="clear" w:color="auto" w:fill="auto"/>
            <w:tcMar>
              <w:top w:w="0" w:type="dxa"/>
              <w:left w:w="108" w:type="dxa"/>
              <w:bottom w:w="0" w:type="dxa"/>
              <w:right w:w="108" w:type="dxa"/>
            </w:tcMar>
          </w:tcPr>
          <w:p w14:paraId="456A2C2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-12.6</w:t>
            </w:r>
          </w:p>
        </w:tc>
        <w:tc>
          <w:tcPr>
            <w:tcW w:w="850" w:type="dxa"/>
            <w:gridSpan w:val="2"/>
            <w:shd w:val="clear" w:color="auto" w:fill="auto"/>
            <w:tcMar>
              <w:top w:w="0" w:type="dxa"/>
              <w:left w:w="108" w:type="dxa"/>
              <w:bottom w:w="0" w:type="dxa"/>
              <w:right w:w="108" w:type="dxa"/>
            </w:tcMar>
          </w:tcPr>
          <w:p w14:paraId="152D52A1"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-11.1</w:t>
            </w:r>
          </w:p>
        </w:tc>
        <w:tc>
          <w:tcPr>
            <w:tcW w:w="851" w:type="dxa"/>
            <w:gridSpan w:val="2"/>
            <w:shd w:val="clear" w:color="auto" w:fill="auto"/>
            <w:tcMar>
              <w:top w:w="0" w:type="dxa"/>
              <w:left w:w="108" w:type="dxa"/>
              <w:bottom w:w="0" w:type="dxa"/>
              <w:right w:w="108" w:type="dxa"/>
            </w:tcMar>
          </w:tcPr>
          <w:p w14:paraId="06C7984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-8.6***</w:t>
            </w:r>
          </w:p>
        </w:tc>
        <w:tc>
          <w:tcPr>
            <w:tcW w:w="567" w:type="dxa"/>
            <w:shd w:val="clear" w:color="auto" w:fill="auto"/>
            <w:tcMar>
              <w:top w:w="0" w:type="dxa"/>
              <w:left w:w="10" w:type="dxa"/>
              <w:bottom w:w="0" w:type="dxa"/>
              <w:right w:w="10" w:type="dxa"/>
            </w:tcMar>
          </w:tcPr>
          <w:p w14:paraId="3229683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0.4</w:t>
            </w:r>
          </w:p>
        </w:tc>
        <w:tc>
          <w:tcPr>
            <w:tcW w:w="567" w:type="dxa"/>
            <w:shd w:val="clear" w:color="auto" w:fill="auto"/>
            <w:tcMar>
              <w:top w:w="0" w:type="dxa"/>
              <w:left w:w="10" w:type="dxa"/>
              <w:bottom w:w="0" w:type="dxa"/>
              <w:right w:w="10" w:type="dxa"/>
            </w:tcMar>
          </w:tcPr>
          <w:p w14:paraId="79907F1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-9.3</w:t>
            </w:r>
          </w:p>
        </w:tc>
        <w:tc>
          <w:tcPr>
            <w:tcW w:w="567" w:type="dxa"/>
            <w:gridSpan w:val="2"/>
            <w:shd w:val="clear" w:color="auto" w:fill="auto"/>
            <w:tcMar>
              <w:top w:w="0" w:type="dxa"/>
              <w:left w:w="10" w:type="dxa"/>
              <w:bottom w:w="0" w:type="dxa"/>
              <w:right w:w="10" w:type="dxa"/>
            </w:tcMar>
          </w:tcPr>
          <w:p w14:paraId="37697A0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-7.9</w:t>
            </w:r>
          </w:p>
        </w:tc>
      </w:tr>
      <w:tr w:rsidR="00E3622C" w:rsidRPr="00E3622C" w14:paraId="66DC1AA0" w14:textId="77777777" w:rsidTr="003B4E1A">
        <w:tc>
          <w:tcPr>
            <w:tcW w:w="1101" w:type="dxa"/>
            <w:shd w:val="clear" w:color="auto" w:fill="auto"/>
            <w:tcMar>
              <w:top w:w="0" w:type="dxa"/>
              <w:left w:w="108" w:type="dxa"/>
              <w:bottom w:w="0" w:type="dxa"/>
              <w:right w:w="108" w:type="dxa"/>
            </w:tcMar>
          </w:tcPr>
          <w:p w14:paraId="52B0B9C8" w14:textId="77777777" w:rsidR="00E3622C" w:rsidRPr="00E3622C" w:rsidRDefault="00E3622C" w:rsidP="00C720DB">
            <w:pPr>
              <w:pStyle w:val="TableText"/>
              <w:spacing w:before="20" w:after="20" w:line="480" w:lineRule="auto"/>
              <w:rPr>
                <w:color w:val="444444"/>
                <w:sz w:val="16"/>
                <w:szCs w:val="16"/>
                <w:shd w:val="clear" w:color="auto" w:fill="FFFFFF"/>
              </w:rPr>
            </w:pPr>
          </w:p>
        </w:tc>
        <w:tc>
          <w:tcPr>
            <w:tcW w:w="2585" w:type="dxa"/>
            <w:gridSpan w:val="3"/>
            <w:shd w:val="clear" w:color="auto" w:fill="auto"/>
            <w:tcMar>
              <w:top w:w="0" w:type="dxa"/>
              <w:left w:w="108" w:type="dxa"/>
              <w:bottom w:w="0" w:type="dxa"/>
              <w:right w:w="108" w:type="dxa"/>
            </w:tcMar>
          </w:tcPr>
          <w:p w14:paraId="60D419A0" w14:textId="77777777" w:rsidR="00E3622C" w:rsidRPr="00E3622C" w:rsidRDefault="00E3622C" w:rsidP="00C720DB">
            <w:pPr>
              <w:pStyle w:val="TableText"/>
              <w:spacing w:before="20" w:after="20" w:line="480" w:lineRule="auto"/>
              <w:rPr>
                <w:sz w:val="16"/>
                <w:szCs w:val="16"/>
              </w:rPr>
            </w:pPr>
            <w:r w:rsidRPr="00E3622C">
              <w:rPr>
                <w:color w:val="444444"/>
                <w:sz w:val="16"/>
                <w:szCs w:val="16"/>
                <w:shd w:val="clear" w:color="auto" w:fill="FFFFFF"/>
              </w:rPr>
              <w:t>GCSE A*-C level or equivalent</w:t>
            </w:r>
          </w:p>
        </w:tc>
        <w:tc>
          <w:tcPr>
            <w:tcW w:w="850" w:type="dxa"/>
            <w:shd w:val="clear" w:color="auto" w:fill="auto"/>
            <w:tcMar>
              <w:top w:w="0" w:type="dxa"/>
              <w:left w:w="108" w:type="dxa"/>
              <w:bottom w:w="0" w:type="dxa"/>
              <w:right w:w="108" w:type="dxa"/>
            </w:tcMar>
          </w:tcPr>
          <w:p w14:paraId="43E80583" w14:textId="77777777" w:rsidR="00E3622C" w:rsidRPr="00E3622C" w:rsidRDefault="00E3622C" w:rsidP="00C720DB">
            <w:pPr>
              <w:pStyle w:val="TableText"/>
              <w:spacing w:before="20" w:after="20" w:line="480" w:lineRule="auto"/>
              <w:jc w:val="right"/>
              <w:rPr>
                <w:sz w:val="16"/>
                <w:szCs w:val="16"/>
              </w:rPr>
            </w:pPr>
            <w:r w:rsidRPr="00E3622C">
              <w:rPr>
                <w:sz w:val="16"/>
                <w:szCs w:val="16"/>
              </w:rPr>
              <w:t>-15.7***</w:t>
            </w:r>
          </w:p>
        </w:tc>
        <w:tc>
          <w:tcPr>
            <w:tcW w:w="709" w:type="dxa"/>
            <w:gridSpan w:val="2"/>
            <w:shd w:val="clear" w:color="auto" w:fill="auto"/>
            <w:tcMar>
              <w:top w:w="0" w:type="dxa"/>
              <w:left w:w="108" w:type="dxa"/>
              <w:bottom w:w="0" w:type="dxa"/>
              <w:right w:w="108" w:type="dxa"/>
            </w:tcMar>
          </w:tcPr>
          <w:p w14:paraId="37284C21" w14:textId="77777777" w:rsidR="00E3622C" w:rsidRPr="00E3622C" w:rsidRDefault="00E3622C" w:rsidP="00C720DB">
            <w:pPr>
              <w:pStyle w:val="TableText"/>
              <w:spacing w:before="20" w:after="20" w:line="480" w:lineRule="auto"/>
              <w:jc w:val="right"/>
              <w:rPr>
                <w:sz w:val="16"/>
                <w:szCs w:val="16"/>
              </w:rPr>
            </w:pPr>
            <w:r w:rsidRPr="00E3622C">
              <w:rPr>
                <w:sz w:val="16"/>
                <w:szCs w:val="16"/>
              </w:rPr>
              <w:t>0.4</w:t>
            </w:r>
          </w:p>
        </w:tc>
        <w:tc>
          <w:tcPr>
            <w:tcW w:w="851" w:type="dxa"/>
            <w:gridSpan w:val="2"/>
            <w:shd w:val="clear" w:color="auto" w:fill="auto"/>
            <w:tcMar>
              <w:top w:w="0" w:type="dxa"/>
              <w:left w:w="108" w:type="dxa"/>
              <w:bottom w:w="0" w:type="dxa"/>
              <w:right w:w="108" w:type="dxa"/>
            </w:tcMar>
          </w:tcPr>
          <w:p w14:paraId="1FFD6A2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-16.5</w:t>
            </w:r>
          </w:p>
        </w:tc>
        <w:tc>
          <w:tcPr>
            <w:tcW w:w="850" w:type="dxa"/>
            <w:gridSpan w:val="2"/>
            <w:shd w:val="clear" w:color="auto" w:fill="auto"/>
            <w:tcMar>
              <w:top w:w="0" w:type="dxa"/>
              <w:left w:w="108" w:type="dxa"/>
              <w:bottom w:w="0" w:type="dxa"/>
              <w:right w:w="108" w:type="dxa"/>
            </w:tcMar>
          </w:tcPr>
          <w:p w14:paraId="57DE1DA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-14.9</w:t>
            </w:r>
          </w:p>
        </w:tc>
        <w:tc>
          <w:tcPr>
            <w:tcW w:w="851" w:type="dxa"/>
            <w:gridSpan w:val="2"/>
            <w:shd w:val="clear" w:color="auto" w:fill="auto"/>
            <w:tcMar>
              <w:top w:w="0" w:type="dxa"/>
              <w:left w:w="108" w:type="dxa"/>
              <w:bottom w:w="0" w:type="dxa"/>
              <w:right w:w="108" w:type="dxa"/>
            </w:tcMar>
          </w:tcPr>
          <w:p w14:paraId="7F2568E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-11.3***</w:t>
            </w:r>
          </w:p>
        </w:tc>
        <w:tc>
          <w:tcPr>
            <w:tcW w:w="567" w:type="dxa"/>
            <w:shd w:val="clear" w:color="auto" w:fill="auto"/>
            <w:tcMar>
              <w:top w:w="0" w:type="dxa"/>
              <w:left w:w="10" w:type="dxa"/>
              <w:bottom w:w="0" w:type="dxa"/>
              <w:right w:w="10" w:type="dxa"/>
            </w:tcMar>
          </w:tcPr>
          <w:p w14:paraId="5937990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0.4</w:t>
            </w:r>
          </w:p>
        </w:tc>
        <w:tc>
          <w:tcPr>
            <w:tcW w:w="567" w:type="dxa"/>
            <w:shd w:val="clear" w:color="auto" w:fill="auto"/>
            <w:tcMar>
              <w:top w:w="0" w:type="dxa"/>
              <w:left w:w="10" w:type="dxa"/>
              <w:bottom w:w="0" w:type="dxa"/>
              <w:right w:w="10" w:type="dxa"/>
            </w:tcMar>
          </w:tcPr>
          <w:p w14:paraId="44F6734A"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-12.1</w:t>
            </w:r>
          </w:p>
        </w:tc>
        <w:tc>
          <w:tcPr>
            <w:tcW w:w="567" w:type="dxa"/>
            <w:gridSpan w:val="2"/>
            <w:shd w:val="clear" w:color="auto" w:fill="auto"/>
            <w:tcMar>
              <w:top w:w="0" w:type="dxa"/>
              <w:left w:w="10" w:type="dxa"/>
              <w:bottom w:w="0" w:type="dxa"/>
              <w:right w:w="10" w:type="dxa"/>
            </w:tcMar>
          </w:tcPr>
          <w:p w14:paraId="3DB1BE3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-10.6</w:t>
            </w:r>
          </w:p>
        </w:tc>
      </w:tr>
      <w:tr w:rsidR="00E3622C" w:rsidRPr="00E3622C" w14:paraId="0A2FD83B" w14:textId="77777777" w:rsidTr="003B4E1A">
        <w:tc>
          <w:tcPr>
            <w:tcW w:w="1101" w:type="dxa"/>
            <w:shd w:val="clear" w:color="auto" w:fill="auto"/>
            <w:tcMar>
              <w:top w:w="0" w:type="dxa"/>
              <w:left w:w="108" w:type="dxa"/>
              <w:bottom w:w="0" w:type="dxa"/>
              <w:right w:w="108" w:type="dxa"/>
            </w:tcMar>
          </w:tcPr>
          <w:p w14:paraId="24F65E9E" w14:textId="77777777" w:rsidR="00E3622C" w:rsidRPr="00E3622C" w:rsidRDefault="00E3622C" w:rsidP="00C720DB">
            <w:pPr>
              <w:pStyle w:val="TableText"/>
              <w:spacing w:before="20" w:after="20" w:line="480" w:lineRule="auto"/>
              <w:rPr>
                <w:color w:val="444444"/>
                <w:sz w:val="16"/>
                <w:szCs w:val="16"/>
                <w:shd w:val="clear" w:color="auto" w:fill="FFFFFF"/>
              </w:rPr>
            </w:pPr>
          </w:p>
        </w:tc>
        <w:tc>
          <w:tcPr>
            <w:tcW w:w="2585" w:type="dxa"/>
            <w:gridSpan w:val="3"/>
            <w:shd w:val="clear" w:color="auto" w:fill="auto"/>
            <w:tcMar>
              <w:top w:w="0" w:type="dxa"/>
              <w:left w:w="108" w:type="dxa"/>
              <w:bottom w:w="0" w:type="dxa"/>
              <w:right w:w="108" w:type="dxa"/>
            </w:tcMar>
          </w:tcPr>
          <w:p w14:paraId="1A989BDB" w14:textId="77777777" w:rsidR="00E3622C" w:rsidRPr="00E3622C" w:rsidRDefault="00E3622C" w:rsidP="00C720DB">
            <w:pPr>
              <w:pStyle w:val="TableText"/>
              <w:spacing w:before="20" w:after="20" w:line="480" w:lineRule="auto"/>
              <w:rPr>
                <w:sz w:val="16"/>
                <w:szCs w:val="16"/>
              </w:rPr>
            </w:pPr>
            <w:r w:rsidRPr="00E3622C">
              <w:rPr>
                <w:color w:val="444444"/>
                <w:sz w:val="16"/>
                <w:szCs w:val="16"/>
                <w:shd w:val="clear" w:color="auto" w:fill="FFFFFF"/>
              </w:rPr>
              <w:t>other qualifications</w:t>
            </w:r>
          </w:p>
        </w:tc>
        <w:tc>
          <w:tcPr>
            <w:tcW w:w="850" w:type="dxa"/>
            <w:shd w:val="clear" w:color="auto" w:fill="auto"/>
            <w:tcMar>
              <w:top w:w="0" w:type="dxa"/>
              <w:left w:w="108" w:type="dxa"/>
              <w:bottom w:w="0" w:type="dxa"/>
              <w:right w:w="108" w:type="dxa"/>
            </w:tcMar>
          </w:tcPr>
          <w:p w14:paraId="6B9FECD5" w14:textId="77777777" w:rsidR="00E3622C" w:rsidRPr="00E3622C" w:rsidRDefault="00E3622C" w:rsidP="00C720DB">
            <w:pPr>
              <w:pStyle w:val="TableText"/>
              <w:spacing w:before="20" w:after="20" w:line="480" w:lineRule="auto"/>
              <w:jc w:val="right"/>
              <w:rPr>
                <w:sz w:val="16"/>
                <w:szCs w:val="16"/>
              </w:rPr>
            </w:pPr>
            <w:r w:rsidRPr="00E3622C">
              <w:rPr>
                <w:sz w:val="16"/>
                <w:szCs w:val="16"/>
              </w:rPr>
              <w:t>-20.0***</w:t>
            </w:r>
          </w:p>
        </w:tc>
        <w:tc>
          <w:tcPr>
            <w:tcW w:w="709" w:type="dxa"/>
            <w:gridSpan w:val="2"/>
            <w:shd w:val="clear" w:color="auto" w:fill="auto"/>
            <w:tcMar>
              <w:top w:w="0" w:type="dxa"/>
              <w:left w:w="108" w:type="dxa"/>
              <w:bottom w:w="0" w:type="dxa"/>
              <w:right w:w="108" w:type="dxa"/>
            </w:tcMar>
          </w:tcPr>
          <w:p w14:paraId="714DA422" w14:textId="77777777" w:rsidR="00E3622C" w:rsidRPr="00E3622C" w:rsidRDefault="00E3622C" w:rsidP="00C720DB">
            <w:pPr>
              <w:pStyle w:val="TableText"/>
              <w:spacing w:before="20" w:after="20" w:line="480" w:lineRule="auto"/>
              <w:jc w:val="right"/>
              <w:rPr>
                <w:sz w:val="16"/>
                <w:szCs w:val="16"/>
              </w:rPr>
            </w:pPr>
            <w:r w:rsidRPr="00E3622C">
              <w:rPr>
                <w:sz w:val="16"/>
                <w:szCs w:val="16"/>
              </w:rPr>
              <w:t>0.5</w:t>
            </w:r>
          </w:p>
        </w:tc>
        <w:tc>
          <w:tcPr>
            <w:tcW w:w="851" w:type="dxa"/>
            <w:gridSpan w:val="2"/>
            <w:shd w:val="clear" w:color="auto" w:fill="auto"/>
            <w:tcMar>
              <w:top w:w="0" w:type="dxa"/>
              <w:left w:w="108" w:type="dxa"/>
              <w:bottom w:w="0" w:type="dxa"/>
              <w:right w:w="108" w:type="dxa"/>
            </w:tcMar>
          </w:tcPr>
          <w:p w14:paraId="4A9E96D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-21.0</w:t>
            </w:r>
          </w:p>
        </w:tc>
        <w:tc>
          <w:tcPr>
            <w:tcW w:w="850" w:type="dxa"/>
            <w:gridSpan w:val="2"/>
            <w:shd w:val="clear" w:color="auto" w:fill="auto"/>
            <w:tcMar>
              <w:top w:w="0" w:type="dxa"/>
              <w:left w:w="108" w:type="dxa"/>
              <w:bottom w:w="0" w:type="dxa"/>
              <w:right w:w="108" w:type="dxa"/>
            </w:tcMar>
          </w:tcPr>
          <w:p w14:paraId="410CFAD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-19.0</w:t>
            </w:r>
          </w:p>
        </w:tc>
        <w:tc>
          <w:tcPr>
            <w:tcW w:w="851" w:type="dxa"/>
            <w:gridSpan w:val="2"/>
            <w:shd w:val="clear" w:color="auto" w:fill="auto"/>
            <w:tcMar>
              <w:top w:w="0" w:type="dxa"/>
              <w:left w:w="108" w:type="dxa"/>
              <w:bottom w:w="0" w:type="dxa"/>
              <w:right w:w="108" w:type="dxa"/>
            </w:tcMar>
          </w:tcPr>
          <w:p w14:paraId="29FFC9F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-17.5***</w:t>
            </w:r>
          </w:p>
        </w:tc>
        <w:tc>
          <w:tcPr>
            <w:tcW w:w="567" w:type="dxa"/>
            <w:shd w:val="clear" w:color="auto" w:fill="auto"/>
            <w:tcMar>
              <w:top w:w="0" w:type="dxa"/>
              <w:left w:w="10" w:type="dxa"/>
              <w:bottom w:w="0" w:type="dxa"/>
              <w:right w:w="10" w:type="dxa"/>
            </w:tcMar>
          </w:tcPr>
          <w:p w14:paraId="54F31976"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0.6</w:t>
            </w:r>
          </w:p>
        </w:tc>
        <w:tc>
          <w:tcPr>
            <w:tcW w:w="567" w:type="dxa"/>
            <w:shd w:val="clear" w:color="auto" w:fill="auto"/>
            <w:tcMar>
              <w:top w:w="0" w:type="dxa"/>
              <w:left w:w="10" w:type="dxa"/>
              <w:bottom w:w="0" w:type="dxa"/>
              <w:right w:w="10" w:type="dxa"/>
            </w:tcMar>
          </w:tcPr>
          <w:p w14:paraId="0D24A7D3"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-18.7</w:t>
            </w:r>
          </w:p>
        </w:tc>
        <w:tc>
          <w:tcPr>
            <w:tcW w:w="567" w:type="dxa"/>
            <w:gridSpan w:val="2"/>
            <w:shd w:val="clear" w:color="auto" w:fill="auto"/>
            <w:tcMar>
              <w:top w:w="0" w:type="dxa"/>
              <w:left w:w="10" w:type="dxa"/>
              <w:bottom w:w="0" w:type="dxa"/>
              <w:right w:w="10" w:type="dxa"/>
            </w:tcMar>
          </w:tcPr>
          <w:p w14:paraId="524708F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-16.4</w:t>
            </w:r>
          </w:p>
        </w:tc>
      </w:tr>
      <w:tr w:rsidR="00E3622C" w:rsidRPr="00E3622C" w14:paraId="66B96F73" w14:textId="77777777" w:rsidTr="003B4E1A">
        <w:tc>
          <w:tcPr>
            <w:tcW w:w="1101" w:type="dxa"/>
            <w:shd w:val="clear" w:color="auto" w:fill="auto"/>
            <w:tcMar>
              <w:top w:w="0" w:type="dxa"/>
              <w:left w:w="108" w:type="dxa"/>
              <w:bottom w:w="0" w:type="dxa"/>
              <w:right w:w="108" w:type="dxa"/>
            </w:tcMar>
          </w:tcPr>
          <w:p w14:paraId="68870382" w14:textId="77777777" w:rsidR="00E3622C" w:rsidRPr="00E3622C" w:rsidRDefault="00E3622C" w:rsidP="00C720DB">
            <w:pPr>
              <w:pStyle w:val="TableText"/>
              <w:spacing w:before="20" w:after="20" w:line="480" w:lineRule="auto"/>
              <w:rPr>
                <w:color w:val="444444"/>
                <w:sz w:val="16"/>
                <w:szCs w:val="16"/>
                <w:shd w:val="clear" w:color="auto" w:fill="FFFFFF"/>
              </w:rPr>
            </w:pPr>
          </w:p>
        </w:tc>
        <w:tc>
          <w:tcPr>
            <w:tcW w:w="2585" w:type="dxa"/>
            <w:gridSpan w:val="3"/>
            <w:shd w:val="clear" w:color="auto" w:fill="auto"/>
            <w:tcMar>
              <w:top w:w="0" w:type="dxa"/>
              <w:left w:w="108" w:type="dxa"/>
              <w:bottom w:w="0" w:type="dxa"/>
              <w:right w:w="108" w:type="dxa"/>
            </w:tcMar>
          </w:tcPr>
          <w:p w14:paraId="1E9E7549" w14:textId="77777777" w:rsidR="00E3622C" w:rsidRPr="00E3622C" w:rsidRDefault="00E3622C" w:rsidP="00C720DB">
            <w:pPr>
              <w:pStyle w:val="TableText"/>
              <w:spacing w:before="20" w:after="20" w:line="480" w:lineRule="auto"/>
              <w:rPr>
                <w:sz w:val="16"/>
                <w:szCs w:val="16"/>
              </w:rPr>
            </w:pPr>
            <w:r w:rsidRPr="00E3622C">
              <w:rPr>
                <w:color w:val="444444"/>
                <w:sz w:val="16"/>
                <w:szCs w:val="16"/>
                <w:shd w:val="clear" w:color="auto" w:fill="FFFFFF"/>
              </w:rPr>
              <w:t>no qualifications</w:t>
            </w:r>
          </w:p>
        </w:tc>
        <w:tc>
          <w:tcPr>
            <w:tcW w:w="850" w:type="dxa"/>
            <w:shd w:val="clear" w:color="auto" w:fill="auto"/>
            <w:tcMar>
              <w:top w:w="0" w:type="dxa"/>
              <w:left w:w="108" w:type="dxa"/>
              <w:bottom w:w="0" w:type="dxa"/>
              <w:right w:w="108" w:type="dxa"/>
            </w:tcMar>
          </w:tcPr>
          <w:p w14:paraId="400629F1" w14:textId="77777777" w:rsidR="00E3622C" w:rsidRPr="00E3622C" w:rsidRDefault="00E3622C" w:rsidP="00C720DB">
            <w:pPr>
              <w:pStyle w:val="TableText"/>
              <w:spacing w:before="20" w:after="20" w:line="480" w:lineRule="auto"/>
              <w:jc w:val="right"/>
              <w:rPr>
                <w:sz w:val="16"/>
                <w:szCs w:val="16"/>
              </w:rPr>
            </w:pPr>
            <w:r w:rsidRPr="00E3622C">
              <w:rPr>
                <w:sz w:val="16"/>
                <w:szCs w:val="16"/>
              </w:rPr>
              <w:t>-21.4***</w:t>
            </w:r>
          </w:p>
        </w:tc>
        <w:tc>
          <w:tcPr>
            <w:tcW w:w="709" w:type="dxa"/>
            <w:gridSpan w:val="2"/>
            <w:shd w:val="clear" w:color="auto" w:fill="auto"/>
            <w:tcMar>
              <w:top w:w="0" w:type="dxa"/>
              <w:left w:w="108" w:type="dxa"/>
              <w:bottom w:w="0" w:type="dxa"/>
              <w:right w:w="108" w:type="dxa"/>
            </w:tcMar>
          </w:tcPr>
          <w:p w14:paraId="4783D3C6" w14:textId="77777777" w:rsidR="00E3622C" w:rsidRPr="00E3622C" w:rsidRDefault="00E3622C" w:rsidP="00C720DB">
            <w:pPr>
              <w:pStyle w:val="TableText"/>
              <w:spacing w:before="20" w:after="20" w:line="480" w:lineRule="auto"/>
              <w:jc w:val="right"/>
              <w:rPr>
                <w:sz w:val="16"/>
                <w:szCs w:val="16"/>
              </w:rPr>
            </w:pPr>
            <w:r w:rsidRPr="00E3622C">
              <w:rPr>
                <w:sz w:val="16"/>
                <w:szCs w:val="16"/>
              </w:rPr>
              <w:t>0.6</w:t>
            </w:r>
          </w:p>
        </w:tc>
        <w:tc>
          <w:tcPr>
            <w:tcW w:w="851" w:type="dxa"/>
            <w:gridSpan w:val="2"/>
            <w:shd w:val="clear" w:color="auto" w:fill="auto"/>
            <w:tcMar>
              <w:top w:w="0" w:type="dxa"/>
              <w:left w:w="108" w:type="dxa"/>
              <w:bottom w:w="0" w:type="dxa"/>
              <w:right w:w="108" w:type="dxa"/>
            </w:tcMar>
          </w:tcPr>
          <w:p w14:paraId="276028E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-22.5</w:t>
            </w:r>
          </w:p>
        </w:tc>
        <w:tc>
          <w:tcPr>
            <w:tcW w:w="850" w:type="dxa"/>
            <w:gridSpan w:val="2"/>
            <w:shd w:val="clear" w:color="auto" w:fill="auto"/>
            <w:tcMar>
              <w:top w:w="0" w:type="dxa"/>
              <w:left w:w="108" w:type="dxa"/>
              <w:bottom w:w="0" w:type="dxa"/>
              <w:right w:w="108" w:type="dxa"/>
            </w:tcMar>
          </w:tcPr>
          <w:p w14:paraId="2F0CD9F7"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-20.3</w:t>
            </w:r>
          </w:p>
        </w:tc>
        <w:tc>
          <w:tcPr>
            <w:tcW w:w="851" w:type="dxa"/>
            <w:gridSpan w:val="2"/>
            <w:shd w:val="clear" w:color="auto" w:fill="auto"/>
            <w:tcMar>
              <w:top w:w="0" w:type="dxa"/>
              <w:left w:w="108" w:type="dxa"/>
              <w:bottom w:w="0" w:type="dxa"/>
              <w:right w:w="108" w:type="dxa"/>
            </w:tcMar>
          </w:tcPr>
          <w:p w14:paraId="1B12A23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-18.9***</w:t>
            </w:r>
          </w:p>
        </w:tc>
        <w:tc>
          <w:tcPr>
            <w:tcW w:w="567" w:type="dxa"/>
            <w:shd w:val="clear" w:color="auto" w:fill="auto"/>
            <w:tcMar>
              <w:top w:w="0" w:type="dxa"/>
              <w:left w:w="10" w:type="dxa"/>
              <w:bottom w:w="0" w:type="dxa"/>
              <w:right w:w="10" w:type="dxa"/>
            </w:tcMar>
          </w:tcPr>
          <w:p w14:paraId="34E6B8E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0.7</w:t>
            </w:r>
          </w:p>
        </w:tc>
        <w:tc>
          <w:tcPr>
            <w:tcW w:w="567" w:type="dxa"/>
            <w:shd w:val="clear" w:color="auto" w:fill="auto"/>
            <w:tcMar>
              <w:top w:w="0" w:type="dxa"/>
              <w:left w:w="10" w:type="dxa"/>
              <w:bottom w:w="0" w:type="dxa"/>
              <w:right w:w="10" w:type="dxa"/>
            </w:tcMar>
          </w:tcPr>
          <w:p w14:paraId="12505F5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-20.3</w:t>
            </w:r>
          </w:p>
        </w:tc>
        <w:tc>
          <w:tcPr>
            <w:tcW w:w="567" w:type="dxa"/>
            <w:gridSpan w:val="2"/>
            <w:shd w:val="clear" w:color="auto" w:fill="auto"/>
            <w:tcMar>
              <w:top w:w="0" w:type="dxa"/>
              <w:left w:w="10" w:type="dxa"/>
              <w:bottom w:w="0" w:type="dxa"/>
              <w:right w:w="10" w:type="dxa"/>
            </w:tcMar>
          </w:tcPr>
          <w:p w14:paraId="30667C4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-17.4</w:t>
            </w:r>
          </w:p>
        </w:tc>
      </w:tr>
      <w:tr w:rsidR="00E3622C" w:rsidRPr="00E3622C" w14:paraId="3432B1C1" w14:textId="77777777" w:rsidTr="003B4E1A">
        <w:tc>
          <w:tcPr>
            <w:tcW w:w="1101" w:type="dxa"/>
            <w:shd w:val="clear" w:color="auto" w:fill="auto"/>
            <w:tcMar>
              <w:top w:w="0" w:type="dxa"/>
              <w:left w:w="108" w:type="dxa"/>
              <w:bottom w:w="0" w:type="dxa"/>
              <w:right w:w="108" w:type="dxa"/>
            </w:tcMar>
          </w:tcPr>
          <w:p w14:paraId="72F58490" w14:textId="77777777" w:rsidR="00E3622C" w:rsidRPr="00E3622C" w:rsidRDefault="00E3622C" w:rsidP="00C720DB">
            <w:pPr>
              <w:pStyle w:val="TableText"/>
              <w:spacing w:before="20" w:after="20" w:line="480" w:lineRule="auto"/>
              <w:rPr>
                <w:color w:val="444444"/>
                <w:sz w:val="16"/>
                <w:szCs w:val="16"/>
                <w:shd w:val="clear" w:color="auto" w:fill="FFFFFF"/>
              </w:rPr>
            </w:pPr>
          </w:p>
        </w:tc>
        <w:tc>
          <w:tcPr>
            <w:tcW w:w="2585" w:type="dxa"/>
            <w:gridSpan w:val="3"/>
            <w:shd w:val="clear" w:color="auto" w:fill="auto"/>
            <w:tcMar>
              <w:top w:w="0" w:type="dxa"/>
              <w:left w:w="108" w:type="dxa"/>
              <w:bottom w:w="0" w:type="dxa"/>
              <w:right w:w="108" w:type="dxa"/>
            </w:tcMar>
          </w:tcPr>
          <w:p w14:paraId="4FEB76D5" w14:textId="77777777" w:rsidR="00E3622C" w:rsidRPr="00E3622C" w:rsidRDefault="00E3622C" w:rsidP="00C720DB">
            <w:pPr>
              <w:pStyle w:val="TableText"/>
              <w:spacing w:before="20" w:after="20" w:line="480" w:lineRule="auto"/>
              <w:rPr>
                <w:sz w:val="16"/>
                <w:szCs w:val="16"/>
              </w:rPr>
            </w:pPr>
            <w:r w:rsidRPr="00E3622C">
              <w:rPr>
                <w:color w:val="444444"/>
                <w:sz w:val="16"/>
                <w:szCs w:val="16"/>
                <w:shd w:val="clear" w:color="auto" w:fill="FFFFFF"/>
              </w:rPr>
              <w:t>don’t know</w:t>
            </w:r>
          </w:p>
        </w:tc>
        <w:tc>
          <w:tcPr>
            <w:tcW w:w="850" w:type="dxa"/>
            <w:shd w:val="clear" w:color="auto" w:fill="auto"/>
            <w:tcMar>
              <w:top w:w="0" w:type="dxa"/>
              <w:left w:w="108" w:type="dxa"/>
              <w:bottom w:w="0" w:type="dxa"/>
              <w:right w:w="108" w:type="dxa"/>
            </w:tcMar>
          </w:tcPr>
          <w:p w14:paraId="173AA039" w14:textId="77777777" w:rsidR="00E3622C" w:rsidRPr="00E3622C" w:rsidRDefault="00E3622C" w:rsidP="00C720DB">
            <w:pPr>
              <w:pStyle w:val="TableText"/>
              <w:spacing w:before="20" w:after="20" w:line="480" w:lineRule="auto"/>
              <w:jc w:val="right"/>
              <w:rPr>
                <w:sz w:val="16"/>
                <w:szCs w:val="16"/>
              </w:rPr>
            </w:pPr>
            <w:r w:rsidRPr="00E3622C">
              <w:rPr>
                <w:sz w:val="16"/>
                <w:szCs w:val="16"/>
              </w:rPr>
              <w:t>-16.5***</w:t>
            </w:r>
          </w:p>
        </w:tc>
        <w:tc>
          <w:tcPr>
            <w:tcW w:w="709" w:type="dxa"/>
            <w:gridSpan w:val="2"/>
            <w:shd w:val="clear" w:color="auto" w:fill="auto"/>
            <w:tcMar>
              <w:top w:w="0" w:type="dxa"/>
              <w:left w:w="108" w:type="dxa"/>
              <w:bottom w:w="0" w:type="dxa"/>
              <w:right w:w="108" w:type="dxa"/>
            </w:tcMar>
          </w:tcPr>
          <w:p w14:paraId="3F217230" w14:textId="77777777" w:rsidR="00E3622C" w:rsidRPr="00E3622C" w:rsidRDefault="00E3622C" w:rsidP="00C720DB">
            <w:pPr>
              <w:pStyle w:val="TableText"/>
              <w:spacing w:before="20" w:after="20" w:line="480" w:lineRule="auto"/>
              <w:jc w:val="right"/>
              <w:rPr>
                <w:sz w:val="16"/>
                <w:szCs w:val="16"/>
              </w:rPr>
            </w:pPr>
            <w:r w:rsidRPr="00E3622C">
              <w:rPr>
                <w:sz w:val="16"/>
                <w:szCs w:val="16"/>
              </w:rPr>
              <w:t>0.8</w:t>
            </w:r>
          </w:p>
        </w:tc>
        <w:tc>
          <w:tcPr>
            <w:tcW w:w="851" w:type="dxa"/>
            <w:gridSpan w:val="2"/>
            <w:shd w:val="clear" w:color="auto" w:fill="auto"/>
            <w:tcMar>
              <w:top w:w="0" w:type="dxa"/>
              <w:left w:w="108" w:type="dxa"/>
              <w:bottom w:w="0" w:type="dxa"/>
              <w:right w:w="108" w:type="dxa"/>
            </w:tcMar>
          </w:tcPr>
          <w:p w14:paraId="0126803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-18.2</w:t>
            </w:r>
          </w:p>
        </w:tc>
        <w:tc>
          <w:tcPr>
            <w:tcW w:w="850" w:type="dxa"/>
            <w:gridSpan w:val="2"/>
            <w:shd w:val="clear" w:color="auto" w:fill="auto"/>
            <w:tcMar>
              <w:top w:w="0" w:type="dxa"/>
              <w:left w:w="108" w:type="dxa"/>
              <w:bottom w:w="0" w:type="dxa"/>
              <w:right w:w="108" w:type="dxa"/>
            </w:tcMar>
          </w:tcPr>
          <w:p w14:paraId="3D11A395"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-14.9</w:t>
            </w:r>
          </w:p>
        </w:tc>
        <w:tc>
          <w:tcPr>
            <w:tcW w:w="851" w:type="dxa"/>
            <w:gridSpan w:val="2"/>
            <w:shd w:val="clear" w:color="auto" w:fill="auto"/>
            <w:tcMar>
              <w:top w:w="0" w:type="dxa"/>
              <w:left w:w="108" w:type="dxa"/>
              <w:bottom w:w="0" w:type="dxa"/>
              <w:right w:w="108" w:type="dxa"/>
            </w:tcMar>
          </w:tcPr>
          <w:p w14:paraId="68BD70A8"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-12.2***</w:t>
            </w:r>
          </w:p>
        </w:tc>
        <w:tc>
          <w:tcPr>
            <w:tcW w:w="567" w:type="dxa"/>
            <w:shd w:val="clear" w:color="auto" w:fill="auto"/>
            <w:tcMar>
              <w:top w:w="0" w:type="dxa"/>
              <w:left w:w="10" w:type="dxa"/>
              <w:bottom w:w="0" w:type="dxa"/>
              <w:right w:w="10" w:type="dxa"/>
            </w:tcMar>
          </w:tcPr>
          <w:p w14:paraId="4697C70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1.0</w:t>
            </w:r>
          </w:p>
        </w:tc>
        <w:tc>
          <w:tcPr>
            <w:tcW w:w="567" w:type="dxa"/>
            <w:shd w:val="clear" w:color="auto" w:fill="auto"/>
            <w:tcMar>
              <w:top w:w="0" w:type="dxa"/>
              <w:left w:w="10" w:type="dxa"/>
              <w:bottom w:w="0" w:type="dxa"/>
              <w:right w:w="10" w:type="dxa"/>
            </w:tcMar>
          </w:tcPr>
          <w:p w14:paraId="47BC3EC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-14.1</w:t>
            </w:r>
          </w:p>
        </w:tc>
        <w:tc>
          <w:tcPr>
            <w:tcW w:w="567" w:type="dxa"/>
            <w:gridSpan w:val="2"/>
            <w:shd w:val="clear" w:color="auto" w:fill="auto"/>
            <w:tcMar>
              <w:top w:w="0" w:type="dxa"/>
              <w:left w:w="10" w:type="dxa"/>
              <w:bottom w:w="0" w:type="dxa"/>
              <w:right w:w="10" w:type="dxa"/>
            </w:tcMar>
          </w:tcPr>
          <w:p w14:paraId="1BC01D5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-10.3</w:t>
            </w:r>
          </w:p>
        </w:tc>
      </w:tr>
      <w:tr w:rsidR="00E3622C" w:rsidRPr="00E3622C" w14:paraId="50EB0293" w14:textId="77777777" w:rsidTr="003B4E1A">
        <w:tc>
          <w:tcPr>
            <w:tcW w:w="1101" w:type="dxa"/>
            <w:shd w:val="clear" w:color="auto" w:fill="auto"/>
            <w:tcMar>
              <w:top w:w="0" w:type="dxa"/>
              <w:left w:w="108" w:type="dxa"/>
              <w:bottom w:w="0" w:type="dxa"/>
              <w:right w:w="108" w:type="dxa"/>
            </w:tcMar>
          </w:tcPr>
          <w:p w14:paraId="17DA0B76" w14:textId="77777777" w:rsidR="00E3622C" w:rsidRPr="00E3622C" w:rsidRDefault="00E3622C" w:rsidP="00C720DB">
            <w:pPr>
              <w:pStyle w:val="TableText"/>
              <w:spacing w:before="20" w:after="20" w:line="480" w:lineRule="auto"/>
              <w:rPr>
                <w:sz w:val="16"/>
                <w:szCs w:val="16"/>
              </w:rPr>
            </w:pPr>
          </w:p>
        </w:tc>
        <w:tc>
          <w:tcPr>
            <w:tcW w:w="2585" w:type="dxa"/>
            <w:gridSpan w:val="3"/>
            <w:shd w:val="clear" w:color="auto" w:fill="auto"/>
            <w:tcMar>
              <w:top w:w="0" w:type="dxa"/>
              <w:left w:w="108" w:type="dxa"/>
              <w:bottom w:w="0" w:type="dxa"/>
              <w:right w:w="108" w:type="dxa"/>
            </w:tcMar>
          </w:tcPr>
          <w:p w14:paraId="22F6793F" w14:textId="77777777" w:rsidR="00E3622C" w:rsidRPr="00E3622C" w:rsidRDefault="00E3622C" w:rsidP="00C720DB">
            <w:pPr>
              <w:pStyle w:val="TableText"/>
              <w:spacing w:before="20" w:after="20" w:line="480" w:lineRule="auto"/>
              <w:rPr>
                <w:sz w:val="16"/>
                <w:szCs w:val="16"/>
              </w:rPr>
            </w:pPr>
            <w:r w:rsidRPr="00E3622C">
              <w:rPr>
                <w:sz w:val="16"/>
                <w:szCs w:val="16"/>
              </w:rPr>
              <w:t>constant</w:t>
            </w:r>
          </w:p>
        </w:tc>
        <w:tc>
          <w:tcPr>
            <w:tcW w:w="850" w:type="dxa"/>
            <w:shd w:val="clear" w:color="auto" w:fill="auto"/>
            <w:tcMar>
              <w:top w:w="0" w:type="dxa"/>
              <w:left w:w="108" w:type="dxa"/>
              <w:bottom w:w="0" w:type="dxa"/>
              <w:right w:w="108" w:type="dxa"/>
            </w:tcMar>
          </w:tcPr>
          <w:p w14:paraId="64963562" w14:textId="77777777" w:rsidR="00E3622C" w:rsidRPr="00E3622C" w:rsidRDefault="00E3622C" w:rsidP="00C720DB">
            <w:pPr>
              <w:pStyle w:val="TableText"/>
              <w:spacing w:before="20" w:after="20" w:line="480" w:lineRule="auto"/>
              <w:jc w:val="right"/>
              <w:rPr>
                <w:sz w:val="16"/>
                <w:szCs w:val="16"/>
              </w:rPr>
            </w:pPr>
            <w:r w:rsidRPr="00E3622C">
              <w:rPr>
                <w:sz w:val="16"/>
                <w:szCs w:val="16"/>
              </w:rPr>
              <w:t xml:space="preserve"> 61.3***</w:t>
            </w:r>
          </w:p>
        </w:tc>
        <w:tc>
          <w:tcPr>
            <w:tcW w:w="709" w:type="dxa"/>
            <w:gridSpan w:val="2"/>
            <w:shd w:val="clear" w:color="auto" w:fill="auto"/>
            <w:tcMar>
              <w:top w:w="0" w:type="dxa"/>
              <w:left w:w="108" w:type="dxa"/>
              <w:bottom w:w="0" w:type="dxa"/>
              <w:right w:w="108" w:type="dxa"/>
            </w:tcMar>
          </w:tcPr>
          <w:p w14:paraId="718AE616" w14:textId="77777777" w:rsidR="00E3622C" w:rsidRPr="00E3622C" w:rsidRDefault="00E3622C" w:rsidP="00C720DB">
            <w:pPr>
              <w:pStyle w:val="TableText"/>
              <w:spacing w:before="20" w:after="20" w:line="480" w:lineRule="auto"/>
              <w:jc w:val="right"/>
              <w:rPr>
                <w:sz w:val="16"/>
                <w:szCs w:val="16"/>
              </w:rPr>
            </w:pPr>
            <w:r w:rsidRPr="00E3622C">
              <w:rPr>
                <w:sz w:val="16"/>
                <w:szCs w:val="16"/>
              </w:rPr>
              <w:t>1.1</w:t>
            </w:r>
          </w:p>
        </w:tc>
        <w:tc>
          <w:tcPr>
            <w:tcW w:w="851" w:type="dxa"/>
            <w:gridSpan w:val="2"/>
            <w:shd w:val="clear" w:color="auto" w:fill="auto"/>
            <w:tcMar>
              <w:top w:w="0" w:type="dxa"/>
              <w:left w:w="108" w:type="dxa"/>
              <w:bottom w:w="0" w:type="dxa"/>
              <w:right w:w="108" w:type="dxa"/>
            </w:tcMar>
          </w:tcPr>
          <w:p w14:paraId="78A9D300"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59.0</w:t>
            </w:r>
          </w:p>
        </w:tc>
        <w:tc>
          <w:tcPr>
            <w:tcW w:w="850" w:type="dxa"/>
            <w:gridSpan w:val="2"/>
            <w:shd w:val="clear" w:color="auto" w:fill="auto"/>
            <w:tcMar>
              <w:top w:w="0" w:type="dxa"/>
              <w:left w:w="108" w:type="dxa"/>
              <w:bottom w:w="0" w:type="dxa"/>
              <w:right w:w="108" w:type="dxa"/>
            </w:tcMar>
          </w:tcPr>
          <w:p w14:paraId="26108E54"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63.7</w:t>
            </w:r>
          </w:p>
        </w:tc>
        <w:tc>
          <w:tcPr>
            <w:tcW w:w="851" w:type="dxa"/>
            <w:gridSpan w:val="2"/>
            <w:shd w:val="clear" w:color="auto" w:fill="auto"/>
            <w:tcMar>
              <w:top w:w="0" w:type="dxa"/>
              <w:left w:w="108" w:type="dxa"/>
              <w:bottom w:w="0" w:type="dxa"/>
              <w:right w:w="108" w:type="dxa"/>
            </w:tcMar>
          </w:tcPr>
          <w:p w14:paraId="6430F292"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 xml:space="preserve"> 65.3***</w:t>
            </w:r>
          </w:p>
        </w:tc>
        <w:tc>
          <w:tcPr>
            <w:tcW w:w="567" w:type="dxa"/>
            <w:shd w:val="clear" w:color="auto" w:fill="auto"/>
            <w:tcMar>
              <w:top w:w="0" w:type="dxa"/>
              <w:left w:w="10" w:type="dxa"/>
              <w:bottom w:w="0" w:type="dxa"/>
              <w:right w:w="10" w:type="dxa"/>
            </w:tcMar>
          </w:tcPr>
          <w:p w14:paraId="44D6C4D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1.1</w:t>
            </w:r>
          </w:p>
        </w:tc>
        <w:tc>
          <w:tcPr>
            <w:tcW w:w="567" w:type="dxa"/>
            <w:shd w:val="clear" w:color="auto" w:fill="auto"/>
            <w:tcMar>
              <w:top w:w="0" w:type="dxa"/>
              <w:left w:w="10" w:type="dxa"/>
              <w:bottom w:w="0" w:type="dxa"/>
              <w:right w:w="10" w:type="dxa"/>
            </w:tcMar>
          </w:tcPr>
          <w:p w14:paraId="7E4B862F"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59.6</w:t>
            </w:r>
          </w:p>
        </w:tc>
        <w:tc>
          <w:tcPr>
            <w:tcW w:w="567" w:type="dxa"/>
            <w:gridSpan w:val="2"/>
            <w:shd w:val="clear" w:color="auto" w:fill="auto"/>
            <w:tcMar>
              <w:top w:w="0" w:type="dxa"/>
              <w:left w:w="10" w:type="dxa"/>
              <w:bottom w:w="0" w:type="dxa"/>
              <w:right w:w="10" w:type="dxa"/>
            </w:tcMar>
          </w:tcPr>
          <w:p w14:paraId="3267BDD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64.4</w:t>
            </w:r>
          </w:p>
        </w:tc>
      </w:tr>
      <w:tr w:rsidR="00E3622C" w:rsidRPr="00E3622C" w14:paraId="3DD0EFD6" w14:textId="77777777" w:rsidTr="003B4E1A">
        <w:tc>
          <w:tcPr>
            <w:tcW w:w="1101" w:type="dxa"/>
            <w:shd w:val="clear" w:color="auto" w:fill="auto"/>
            <w:tcMar>
              <w:top w:w="0" w:type="dxa"/>
              <w:left w:w="108" w:type="dxa"/>
              <w:bottom w:w="0" w:type="dxa"/>
              <w:right w:w="108" w:type="dxa"/>
            </w:tcMar>
          </w:tcPr>
          <w:p w14:paraId="62CEABF3" w14:textId="77777777" w:rsidR="00E3622C" w:rsidRPr="00E3622C" w:rsidRDefault="00E3622C" w:rsidP="00C720DB">
            <w:pPr>
              <w:pStyle w:val="TableText"/>
              <w:spacing w:before="20" w:after="20" w:line="480" w:lineRule="auto"/>
              <w:rPr>
                <w:sz w:val="16"/>
                <w:szCs w:val="16"/>
              </w:rPr>
            </w:pPr>
          </w:p>
        </w:tc>
        <w:tc>
          <w:tcPr>
            <w:tcW w:w="1593" w:type="dxa"/>
            <w:shd w:val="clear" w:color="auto" w:fill="auto"/>
            <w:tcMar>
              <w:top w:w="0" w:type="dxa"/>
              <w:left w:w="108" w:type="dxa"/>
              <w:bottom w:w="0" w:type="dxa"/>
              <w:right w:w="108" w:type="dxa"/>
            </w:tcMar>
          </w:tcPr>
          <w:p w14:paraId="2DA76E5B" w14:textId="77777777" w:rsidR="00E3622C" w:rsidRPr="00E3622C" w:rsidRDefault="00E3622C" w:rsidP="00C720DB">
            <w:pPr>
              <w:pStyle w:val="TableText"/>
              <w:spacing w:before="20" w:after="20" w:line="480" w:lineRule="auto"/>
              <w:rPr>
                <w:sz w:val="16"/>
                <w:szCs w:val="16"/>
              </w:rPr>
            </w:pPr>
            <w:r w:rsidRPr="00E3622C">
              <w:rPr>
                <w:sz w:val="16"/>
                <w:szCs w:val="16"/>
              </w:rPr>
              <w:t>Mean dependent var</w:t>
            </w:r>
          </w:p>
        </w:tc>
        <w:tc>
          <w:tcPr>
            <w:tcW w:w="637" w:type="dxa"/>
            <w:shd w:val="clear" w:color="auto" w:fill="auto"/>
            <w:tcMar>
              <w:top w:w="0" w:type="dxa"/>
              <w:left w:w="10" w:type="dxa"/>
              <w:bottom w:w="0" w:type="dxa"/>
              <w:right w:w="10" w:type="dxa"/>
            </w:tcMar>
          </w:tcPr>
          <w:p w14:paraId="0B41742D" w14:textId="77777777" w:rsidR="00E3622C" w:rsidRPr="00E3622C" w:rsidRDefault="00E3622C" w:rsidP="00C720DB">
            <w:pPr>
              <w:pStyle w:val="TableText"/>
              <w:spacing w:before="20" w:after="20" w:line="480" w:lineRule="auto"/>
              <w:rPr>
                <w:sz w:val="16"/>
                <w:szCs w:val="16"/>
              </w:rPr>
            </w:pPr>
            <w:r w:rsidRPr="00E3622C">
              <w:rPr>
                <w:sz w:val="16"/>
                <w:szCs w:val="16"/>
              </w:rPr>
              <w:t>47</w:t>
            </w:r>
          </w:p>
        </w:tc>
        <w:tc>
          <w:tcPr>
            <w:tcW w:w="1347" w:type="dxa"/>
            <w:gridSpan w:val="3"/>
            <w:shd w:val="clear" w:color="auto" w:fill="auto"/>
            <w:tcMar>
              <w:top w:w="0" w:type="dxa"/>
              <w:left w:w="10" w:type="dxa"/>
              <w:bottom w:w="0" w:type="dxa"/>
              <w:right w:w="10" w:type="dxa"/>
            </w:tcMar>
          </w:tcPr>
          <w:p w14:paraId="69129107" w14:textId="77777777" w:rsidR="00E3622C" w:rsidRPr="00E3622C" w:rsidRDefault="00E3622C" w:rsidP="00C720DB">
            <w:pPr>
              <w:pStyle w:val="TableText"/>
              <w:spacing w:before="20" w:after="20" w:line="480" w:lineRule="auto"/>
              <w:jc w:val="right"/>
              <w:rPr>
                <w:sz w:val="16"/>
                <w:szCs w:val="16"/>
              </w:rPr>
            </w:pPr>
            <w:r w:rsidRPr="00E3622C">
              <w:rPr>
                <w:sz w:val="16"/>
                <w:szCs w:val="16"/>
              </w:rPr>
              <w:t xml:space="preserve">SD dependent var </w:t>
            </w:r>
          </w:p>
        </w:tc>
        <w:tc>
          <w:tcPr>
            <w:tcW w:w="709" w:type="dxa"/>
            <w:gridSpan w:val="2"/>
            <w:shd w:val="clear" w:color="auto" w:fill="auto"/>
            <w:tcMar>
              <w:top w:w="0" w:type="dxa"/>
              <w:left w:w="108" w:type="dxa"/>
              <w:bottom w:w="0" w:type="dxa"/>
              <w:right w:w="108" w:type="dxa"/>
            </w:tcMar>
          </w:tcPr>
          <w:p w14:paraId="0852999B" w14:textId="77777777" w:rsidR="00E3622C" w:rsidRPr="00E3622C" w:rsidRDefault="00E3622C" w:rsidP="00C720DB">
            <w:pPr>
              <w:pStyle w:val="TableText"/>
              <w:spacing w:before="20" w:after="20" w:line="480" w:lineRule="auto"/>
              <w:jc w:val="right"/>
              <w:rPr>
                <w:sz w:val="16"/>
                <w:szCs w:val="16"/>
              </w:rPr>
            </w:pPr>
            <w:r w:rsidRPr="00E3622C">
              <w:rPr>
                <w:sz w:val="16"/>
                <w:szCs w:val="16"/>
              </w:rPr>
              <w:t>13</w:t>
            </w:r>
          </w:p>
        </w:tc>
        <w:tc>
          <w:tcPr>
            <w:tcW w:w="1417" w:type="dxa"/>
            <w:gridSpan w:val="2"/>
            <w:shd w:val="clear" w:color="auto" w:fill="auto"/>
            <w:tcMar>
              <w:top w:w="0" w:type="dxa"/>
              <w:left w:w="10" w:type="dxa"/>
              <w:bottom w:w="0" w:type="dxa"/>
              <w:right w:w="10" w:type="dxa"/>
            </w:tcMar>
          </w:tcPr>
          <w:p w14:paraId="63DB7D8A" w14:textId="77777777" w:rsidR="00E3622C" w:rsidRPr="00E3622C" w:rsidRDefault="00E3622C" w:rsidP="00C720DB">
            <w:pPr>
              <w:pStyle w:val="TableText"/>
              <w:spacing w:before="20" w:after="20" w:line="480" w:lineRule="auto"/>
              <w:jc w:val="right"/>
              <w:rPr>
                <w:sz w:val="16"/>
                <w:szCs w:val="16"/>
              </w:rPr>
            </w:pPr>
            <w:r w:rsidRPr="00E3622C">
              <w:rPr>
                <w:sz w:val="16"/>
                <w:szCs w:val="16"/>
              </w:rPr>
              <w:t>Mean dependent var</w:t>
            </w:r>
          </w:p>
        </w:tc>
        <w:tc>
          <w:tcPr>
            <w:tcW w:w="496" w:type="dxa"/>
            <w:gridSpan w:val="2"/>
            <w:shd w:val="clear" w:color="auto" w:fill="auto"/>
            <w:tcMar>
              <w:top w:w="0" w:type="dxa"/>
              <w:left w:w="10" w:type="dxa"/>
              <w:bottom w:w="0" w:type="dxa"/>
              <w:right w:w="10" w:type="dxa"/>
            </w:tcMar>
          </w:tcPr>
          <w:p w14:paraId="766BF3B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53</w:t>
            </w:r>
          </w:p>
        </w:tc>
        <w:tc>
          <w:tcPr>
            <w:tcW w:w="1631" w:type="dxa"/>
            <w:gridSpan w:val="3"/>
            <w:shd w:val="clear" w:color="auto" w:fill="auto"/>
            <w:tcMar>
              <w:top w:w="0" w:type="dxa"/>
              <w:left w:w="10" w:type="dxa"/>
              <w:bottom w:w="0" w:type="dxa"/>
              <w:right w:w="10" w:type="dxa"/>
            </w:tcMar>
          </w:tcPr>
          <w:p w14:paraId="2672AD59" w14:textId="77777777" w:rsidR="00E3622C" w:rsidRPr="00E3622C" w:rsidRDefault="00E3622C" w:rsidP="00C720DB">
            <w:pPr>
              <w:pStyle w:val="TableText"/>
              <w:spacing w:before="20" w:after="20" w:line="480" w:lineRule="auto"/>
              <w:jc w:val="right"/>
              <w:rPr>
                <w:sz w:val="16"/>
                <w:szCs w:val="16"/>
              </w:rPr>
            </w:pPr>
            <w:r w:rsidRPr="00E3622C">
              <w:rPr>
                <w:sz w:val="16"/>
                <w:szCs w:val="16"/>
              </w:rPr>
              <w:t xml:space="preserve">SD dependent var </w:t>
            </w:r>
          </w:p>
        </w:tc>
        <w:tc>
          <w:tcPr>
            <w:tcW w:w="567" w:type="dxa"/>
            <w:gridSpan w:val="2"/>
            <w:shd w:val="clear" w:color="auto" w:fill="auto"/>
            <w:tcMar>
              <w:top w:w="0" w:type="dxa"/>
              <w:left w:w="10" w:type="dxa"/>
              <w:bottom w:w="0" w:type="dxa"/>
              <w:right w:w="10" w:type="dxa"/>
            </w:tcMar>
          </w:tcPr>
          <w:p w14:paraId="1870E36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12</w:t>
            </w:r>
          </w:p>
        </w:tc>
      </w:tr>
      <w:tr w:rsidR="00E3622C" w:rsidRPr="00E3622C" w14:paraId="6F4E92CE" w14:textId="77777777" w:rsidTr="003B4E1A">
        <w:tc>
          <w:tcPr>
            <w:tcW w:w="1101" w:type="dxa"/>
            <w:shd w:val="clear" w:color="auto" w:fill="auto"/>
            <w:tcMar>
              <w:top w:w="0" w:type="dxa"/>
              <w:left w:w="108" w:type="dxa"/>
              <w:bottom w:w="0" w:type="dxa"/>
              <w:right w:w="108" w:type="dxa"/>
            </w:tcMar>
          </w:tcPr>
          <w:p w14:paraId="138DC388" w14:textId="77777777" w:rsidR="00E3622C" w:rsidRPr="00E3622C" w:rsidRDefault="00E3622C" w:rsidP="00C720DB">
            <w:pPr>
              <w:pStyle w:val="TableText"/>
              <w:spacing w:before="20" w:after="20" w:line="480" w:lineRule="auto"/>
              <w:rPr>
                <w:sz w:val="16"/>
                <w:szCs w:val="16"/>
              </w:rPr>
            </w:pPr>
          </w:p>
        </w:tc>
        <w:tc>
          <w:tcPr>
            <w:tcW w:w="1593" w:type="dxa"/>
            <w:shd w:val="clear" w:color="auto" w:fill="auto"/>
            <w:tcMar>
              <w:top w:w="0" w:type="dxa"/>
              <w:left w:w="108" w:type="dxa"/>
              <w:bottom w:w="0" w:type="dxa"/>
              <w:right w:w="108" w:type="dxa"/>
            </w:tcMar>
          </w:tcPr>
          <w:p w14:paraId="4092E344" w14:textId="77777777" w:rsidR="00E3622C" w:rsidRPr="00E3622C" w:rsidRDefault="00E3622C" w:rsidP="00C720DB">
            <w:pPr>
              <w:pStyle w:val="TableText"/>
              <w:spacing w:before="20" w:after="20" w:line="480" w:lineRule="auto"/>
              <w:rPr>
                <w:sz w:val="16"/>
                <w:szCs w:val="16"/>
              </w:rPr>
            </w:pPr>
            <w:r w:rsidRPr="00E3622C">
              <w:rPr>
                <w:sz w:val="16"/>
                <w:szCs w:val="16"/>
              </w:rPr>
              <w:t xml:space="preserve">R-squared </w:t>
            </w:r>
          </w:p>
        </w:tc>
        <w:tc>
          <w:tcPr>
            <w:tcW w:w="637" w:type="dxa"/>
            <w:shd w:val="clear" w:color="auto" w:fill="auto"/>
            <w:tcMar>
              <w:top w:w="0" w:type="dxa"/>
              <w:left w:w="10" w:type="dxa"/>
              <w:bottom w:w="0" w:type="dxa"/>
              <w:right w:w="10" w:type="dxa"/>
            </w:tcMar>
          </w:tcPr>
          <w:p w14:paraId="5E257DA5" w14:textId="77777777" w:rsidR="00E3622C" w:rsidRPr="00E3622C" w:rsidRDefault="00E3622C" w:rsidP="00C720DB">
            <w:pPr>
              <w:pStyle w:val="TableText"/>
              <w:spacing w:before="20" w:after="20" w:line="480" w:lineRule="auto"/>
              <w:rPr>
                <w:sz w:val="16"/>
                <w:szCs w:val="16"/>
              </w:rPr>
            </w:pPr>
            <w:r w:rsidRPr="00E3622C">
              <w:rPr>
                <w:sz w:val="16"/>
                <w:szCs w:val="16"/>
              </w:rPr>
              <w:t>0.26</w:t>
            </w:r>
          </w:p>
        </w:tc>
        <w:tc>
          <w:tcPr>
            <w:tcW w:w="1347" w:type="dxa"/>
            <w:gridSpan w:val="3"/>
            <w:shd w:val="clear" w:color="auto" w:fill="auto"/>
            <w:tcMar>
              <w:top w:w="0" w:type="dxa"/>
              <w:left w:w="10" w:type="dxa"/>
              <w:bottom w:w="0" w:type="dxa"/>
              <w:right w:w="10" w:type="dxa"/>
            </w:tcMar>
          </w:tcPr>
          <w:p w14:paraId="5F5209E4" w14:textId="77777777" w:rsidR="00E3622C" w:rsidRPr="00E3622C" w:rsidRDefault="00E3622C" w:rsidP="00C720DB">
            <w:pPr>
              <w:pStyle w:val="TableText"/>
              <w:spacing w:before="20" w:after="20" w:line="480" w:lineRule="auto"/>
              <w:jc w:val="right"/>
              <w:rPr>
                <w:sz w:val="16"/>
                <w:szCs w:val="16"/>
              </w:rPr>
            </w:pPr>
            <w:r w:rsidRPr="00E3622C">
              <w:rPr>
                <w:sz w:val="16"/>
                <w:szCs w:val="16"/>
              </w:rPr>
              <w:t xml:space="preserve">Number of </w:t>
            </w:r>
            <w:proofErr w:type="spellStart"/>
            <w:r w:rsidRPr="00E3622C">
              <w:rPr>
                <w:sz w:val="16"/>
                <w:szCs w:val="16"/>
              </w:rPr>
              <w:t>obs</w:t>
            </w:r>
            <w:proofErr w:type="spellEnd"/>
            <w:r w:rsidRPr="00E3622C">
              <w:rPr>
                <w:sz w:val="16"/>
                <w:szCs w:val="16"/>
              </w:rPr>
              <w:t xml:space="preserve">  </w:t>
            </w:r>
          </w:p>
        </w:tc>
        <w:tc>
          <w:tcPr>
            <w:tcW w:w="709" w:type="dxa"/>
            <w:gridSpan w:val="2"/>
            <w:shd w:val="clear" w:color="auto" w:fill="auto"/>
            <w:tcMar>
              <w:top w:w="0" w:type="dxa"/>
              <w:left w:w="108" w:type="dxa"/>
              <w:bottom w:w="0" w:type="dxa"/>
              <w:right w:w="108" w:type="dxa"/>
            </w:tcMar>
          </w:tcPr>
          <w:p w14:paraId="69525FB2" w14:textId="77777777" w:rsidR="00E3622C" w:rsidRPr="00E3622C" w:rsidRDefault="00E3622C" w:rsidP="00C720DB">
            <w:pPr>
              <w:pStyle w:val="TableText"/>
              <w:spacing w:before="20" w:after="20" w:line="480" w:lineRule="auto"/>
              <w:jc w:val="right"/>
              <w:rPr>
                <w:sz w:val="16"/>
                <w:szCs w:val="16"/>
              </w:rPr>
            </w:pPr>
            <w:r w:rsidRPr="00E3622C">
              <w:rPr>
                <w:sz w:val="16"/>
                <w:szCs w:val="16"/>
              </w:rPr>
              <w:t>9447</w:t>
            </w:r>
          </w:p>
        </w:tc>
        <w:tc>
          <w:tcPr>
            <w:tcW w:w="1417" w:type="dxa"/>
            <w:gridSpan w:val="2"/>
            <w:shd w:val="clear" w:color="auto" w:fill="auto"/>
            <w:tcMar>
              <w:top w:w="0" w:type="dxa"/>
              <w:left w:w="10" w:type="dxa"/>
              <w:bottom w:w="0" w:type="dxa"/>
              <w:right w:w="10" w:type="dxa"/>
            </w:tcMar>
          </w:tcPr>
          <w:p w14:paraId="182E10C6" w14:textId="77777777" w:rsidR="00E3622C" w:rsidRPr="00E3622C" w:rsidRDefault="00E3622C" w:rsidP="00C720DB">
            <w:pPr>
              <w:pStyle w:val="TableText"/>
              <w:spacing w:before="20" w:after="20" w:line="480" w:lineRule="auto"/>
              <w:jc w:val="right"/>
              <w:rPr>
                <w:sz w:val="16"/>
                <w:szCs w:val="16"/>
              </w:rPr>
            </w:pPr>
            <w:r w:rsidRPr="00E3622C">
              <w:rPr>
                <w:sz w:val="16"/>
                <w:szCs w:val="16"/>
              </w:rPr>
              <w:t xml:space="preserve">R-squared </w:t>
            </w:r>
          </w:p>
        </w:tc>
        <w:tc>
          <w:tcPr>
            <w:tcW w:w="496" w:type="dxa"/>
            <w:gridSpan w:val="2"/>
            <w:shd w:val="clear" w:color="auto" w:fill="auto"/>
            <w:tcMar>
              <w:top w:w="0" w:type="dxa"/>
              <w:left w:w="10" w:type="dxa"/>
              <w:bottom w:w="0" w:type="dxa"/>
              <w:right w:w="10" w:type="dxa"/>
            </w:tcMar>
          </w:tcPr>
          <w:p w14:paraId="3A463EF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0.23</w:t>
            </w:r>
          </w:p>
        </w:tc>
        <w:tc>
          <w:tcPr>
            <w:tcW w:w="1631" w:type="dxa"/>
            <w:gridSpan w:val="3"/>
            <w:shd w:val="clear" w:color="auto" w:fill="auto"/>
            <w:tcMar>
              <w:top w:w="0" w:type="dxa"/>
              <w:left w:w="10" w:type="dxa"/>
              <w:bottom w:w="0" w:type="dxa"/>
              <w:right w:w="10" w:type="dxa"/>
            </w:tcMar>
          </w:tcPr>
          <w:p w14:paraId="33EB5F8E" w14:textId="77777777" w:rsidR="00E3622C" w:rsidRPr="00E3622C" w:rsidRDefault="00E3622C" w:rsidP="00C720DB">
            <w:pPr>
              <w:pStyle w:val="TableText"/>
              <w:spacing w:before="20" w:after="20" w:line="480" w:lineRule="auto"/>
              <w:jc w:val="right"/>
              <w:rPr>
                <w:sz w:val="16"/>
                <w:szCs w:val="16"/>
              </w:rPr>
            </w:pPr>
            <w:r w:rsidRPr="00E3622C">
              <w:rPr>
                <w:sz w:val="16"/>
                <w:szCs w:val="16"/>
              </w:rPr>
              <w:t xml:space="preserve">Number of </w:t>
            </w:r>
            <w:proofErr w:type="spellStart"/>
            <w:r w:rsidRPr="00E3622C">
              <w:rPr>
                <w:sz w:val="16"/>
                <w:szCs w:val="16"/>
              </w:rPr>
              <w:t>obs</w:t>
            </w:r>
            <w:proofErr w:type="spellEnd"/>
            <w:r w:rsidRPr="00E3622C">
              <w:rPr>
                <w:sz w:val="16"/>
                <w:szCs w:val="16"/>
              </w:rPr>
              <w:t xml:space="preserve">  </w:t>
            </w:r>
          </w:p>
        </w:tc>
        <w:tc>
          <w:tcPr>
            <w:tcW w:w="567" w:type="dxa"/>
            <w:gridSpan w:val="2"/>
            <w:shd w:val="clear" w:color="auto" w:fill="auto"/>
            <w:tcMar>
              <w:top w:w="0" w:type="dxa"/>
              <w:left w:w="10" w:type="dxa"/>
              <w:bottom w:w="0" w:type="dxa"/>
              <w:right w:w="10" w:type="dxa"/>
            </w:tcMar>
          </w:tcPr>
          <w:p w14:paraId="67BD96C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7609</w:t>
            </w:r>
          </w:p>
        </w:tc>
      </w:tr>
      <w:tr w:rsidR="00E3622C" w:rsidRPr="00E3622C" w14:paraId="0B728B2B" w14:textId="77777777" w:rsidTr="003B4E1A">
        <w:tc>
          <w:tcPr>
            <w:tcW w:w="1101" w:type="dxa"/>
            <w:shd w:val="clear" w:color="auto" w:fill="auto"/>
            <w:tcMar>
              <w:top w:w="0" w:type="dxa"/>
              <w:left w:w="108" w:type="dxa"/>
              <w:bottom w:w="0" w:type="dxa"/>
              <w:right w:w="108" w:type="dxa"/>
            </w:tcMar>
          </w:tcPr>
          <w:p w14:paraId="3462D75B" w14:textId="77777777" w:rsidR="00E3622C" w:rsidRPr="00E3622C" w:rsidRDefault="00E3622C" w:rsidP="00C720DB">
            <w:pPr>
              <w:pStyle w:val="TableText"/>
              <w:spacing w:before="20" w:after="20" w:line="480" w:lineRule="auto"/>
              <w:rPr>
                <w:sz w:val="16"/>
                <w:szCs w:val="16"/>
              </w:rPr>
            </w:pPr>
          </w:p>
        </w:tc>
        <w:tc>
          <w:tcPr>
            <w:tcW w:w="1593" w:type="dxa"/>
            <w:shd w:val="clear" w:color="auto" w:fill="auto"/>
            <w:tcMar>
              <w:top w:w="0" w:type="dxa"/>
              <w:left w:w="108" w:type="dxa"/>
              <w:bottom w:w="0" w:type="dxa"/>
              <w:right w:w="108" w:type="dxa"/>
            </w:tcMar>
          </w:tcPr>
          <w:p w14:paraId="4EEC94E6" w14:textId="77777777" w:rsidR="00E3622C" w:rsidRPr="00E3622C" w:rsidRDefault="00E3622C" w:rsidP="00C720DB">
            <w:pPr>
              <w:pStyle w:val="TableText"/>
              <w:spacing w:before="20" w:after="20" w:line="480" w:lineRule="auto"/>
              <w:rPr>
                <w:sz w:val="16"/>
                <w:szCs w:val="16"/>
              </w:rPr>
            </w:pPr>
            <w:r w:rsidRPr="00E3622C">
              <w:rPr>
                <w:sz w:val="16"/>
                <w:szCs w:val="16"/>
              </w:rPr>
              <w:t xml:space="preserve">F-test  </w:t>
            </w:r>
          </w:p>
        </w:tc>
        <w:tc>
          <w:tcPr>
            <w:tcW w:w="637" w:type="dxa"/>
            <w:shd w:val="clear" w:color="auto" w:fill="auto"/>
            <w:tcMar>
              <w:top w:w="0" w:type="dxa"/>
              <w:left w:w="10" w:type="dxa"/>
              <w:bottom w:w="0" w:type="dxa"/>
              <w:right w:w="10" w:type="dxa"/>
            </w:tcMar>
          </w:tcPr>
          <w:p w14:paraId="65192966" w14:textId="77777777" w:rsidR="00E3622C" w:rsidRPr="00E3622C" w:rsidRDefault="00E3622C" w:rsidP="00C720DB">
            <w:pPr>
              <w:pStyle w:val="TableText"/>
              <w:spacing w:before="20" w:after="20" w:line="480" w:lineRule="auto"/>
              <w:rPr>
                <w:sz w:val="16"/>
                <w:szCs w:val="16"/>
              </w:rPr>
            </w:pPr>
            <w:r w:rsidRPr="00E3622C">
              <w:rPr>
                <w:sz w:val="16"/>
                <w:szCs w:val="16"/>
              </w:rPr>
              <w:t>64</w:t>
            </w:r>
          </w:p>
        </w:tc>
        <w:tc>
          <w:tcPr>
            <w:tcW w:w="1347" w:type="dxa"/>
            <w:gridSpan w:val="3"/>
            <w:shd w:val="clear" w:color="auto" w:fill="auto"/>
            <w:tcMar>
              <w:top w:w="0" w:type="dxa"/>
              <w:left w:w="10" w:type="dxa"/>
              <w:bottom w:w="0" w:type="dxa"/>
              <w:right w:w="10" w:type="dxa"/>
            </w:tcMar>
          </w:tcPr>
          <w:p w14:paraId="115612D6" w14:textId="77777777" w:rsidR="00E3622C" w:rsidRPr="00E3622C" w:rsidRDefault="00E3622C" w:rsidP="00C720DB">
            <w:pPr>
              <w:pStyle w:val="TableText"/>
              <w:spacing w:before="20" w:after="20" w:line="480" w:lineRule="auto"/>
              <w:jc w:val="right"/>
              <w:rPr>
                <w:sz w:val="16"/>
                <w:szCs w:val="16"/>
              </w:rPr>
            </w:pPr>
            <w:r w:rsidRPr="00E3622C">
              <w:rPr>
                <w:sz w:val="16"/>
                <w:szCs w:val="16"/>
              </w:rPr>
              <w:t xml:space="preserve">Prob &gt; F </w:t>
            </w:r>
          </w:p>
        </w:tc>
        <w:tc>
          <w:tcPr>
            <w:tcW w:w="709" w:type="dxa"/>
            <w:gridSpan w:val="2"/>
            <w:shd w:val="clear" w:color="auto" w:fill="auto"/>
            <w:tcMar>
              <w:top w:w="0" w:type="dxa"/>
              <w:left w:w="108" w:type="dxa"/>
              <w:bottom w:w="0" w:type="dxa"/>
              <w:right w:w="108" w:type="dxa"/>
            </w:tcMar>
          </w:tcPr>
          <w:p w14:paraId="2E1D5AFC" w14:textId="77777777" w:rsidR="00E3622C" w:rsidRPr="00E3622C" w:rsidRDefault="00E3622C" w:rsidP="00C720DB">
            <w:pPr>
              <w:pStyle w:val="TableText"/>
              <w:spacing w:before="20" w:after="20" w:line="480" w:lineRule="auto"/>
              <w:jc w:val="right"/>
              <w:rPr>
                <w:sz w:val="16"/>
                <w:szCs w:val="16"/>
              </w:rPr>
            </w:pPr>
            <w:r w:rsidRPr="00E3622C">
              <w:rPr>
                <w:sz w:val="16"/>
                <w:szCs w:val="16"/>
              </w:rPr>
              <w:t>0.000</w:t>
            </w:r>
          </w:p>
        </w:tc>
        <w:tc>
          <w:tcPr>
            <w:tcW w:w="1417" w:type="dxa"/>
            <w:gridSpan w:val="2"/>
            <w:shd w:val="clear" w:color="auto" w:fill="auto"/>
            <w:tcMar>
              <w:top w:w="0" w:type="dxa"/>
              <w:left w:w="10" w:type="dxa"/>
              <w:bottom w:w="0" w:type="dxa"/>
              <w:right w:w="10" w:type="dxa"/>
            </w:tcMar>
          </w:tcPr>
          <w:p w14:paraId="373834B6" w14:textId="77777777" w:rsidR="00E3622C" w:rsidRPr="00E3622C" w:rsidRDefault="00E3622C" w:rsidP="00C720DB">
            <w:pPr>
              <w:pStyle w:val="TableText"/>
              <w:spacing w:before="20" w:after="20" w:line="480" w:lineRule="auto"/>
              <w:jc w:val="right"/>
              <w:rPr>
                <w:sz w:val="16"/>
                <w:szCs w:val="16"/>
              </w:rPr>
            </w:pPr>
            <w:r w:rsidRPr="00E3622C">
              <w:rPr>
                <w:sz w:val="16"/>
                <w:szCs w:val="16"/>
              </w:rPr>
              <w:t xml:space="preserve">F-test  </w:t>
            </w:r>
          </w:p>
        </w:tc>
        <w:tc>
          <w:tcPr>
            <w:tcW w:w="496" w:type="dxa"/>
            <w:gridSpan w:val="2"/>
            <w:shd w:val="clear" w:color="auto" w:fill="auto"/>
            <w:tcMar>
              <w:top w:w="0" w:type="dxa"/>
              <w:left w:w="10" w:type="dxa"/>
              <w:bottom w:w="0" w:type="dxa"/>
              <w:right w:w="10" w:type="dxa"/>
            </w:tcMar>
          </w:tcPr>
          <w:p w14:paraId="024B08AE"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44</w:t>
            </w:r>
          </w:p>
        </w:tc>
        <w:tc>
          <w:tcPr>
            <w:tcW w:w="1631" w:type="dxa"/>
            <w:gridSpan w:val="3"/>
            <w:shd w:val="clear" w:color="auto" w:fill="auto"/>
            <w:tcMar>
              <w:top w:w="0" w:type="dxa"/>
              <w:left w:w="10" w:type="dxa"/>
              <w:bottom w:w="0" w:type="dxa"/>
              <w:right w:w="10" w:type="dxa"/>
            </w:tcMar>
          </w:tcPr>
          <w:p w14:paraId="1398B788" w14:textId="77777777" w:rsidR="00E3622C" w:rsidRPr="00E3622C" w:rsidRDefault="00E3622C" w:rsidP="00C720DB">
            <w:pPr>
              <w:pStyle w:val="TableText"/>
              <w:spacing w:before="20" w:after="20" w:line="480" w:lineRule="auto"/>
              <w:jc w:val="right"/>
              <w:rPr>
                <w:sz w:val="16"/>
                <w:szCs w:val="16"/>
              </w:rPr>
            </w:pPr>
            <w:r w:rsidRPr="00E3622C">
              <w:rPr>
                <w:sz w:val="16"/>
                <w:szCs w:val="16"/>
              </w:rPr>
              <w:t xml:space="preserve">Prob &gt; F </w:t>
            </w:r>
          </w:p>
        </w:tc>
        <w:tc>
          <w:tcPr>
            <w:tcW w:w="567" w:type="dxa"/>
            <w:gridSpan w:val="2"/>
            <w:shd w:val="clear" w:color="auto" w:fill="auto"/>
            <w:tcMar>
              <w:top w:w="0" w:type="dxa"/>
              <w:left w:w="10" w:type="dxa"/>
              <w:bottom w:w="0" w:type="dxa"/>
              <w:right w:w="10" w:type="dxa"/>
            </w:tcMar>
          </w:tcPr>
          <w:p w14:paraId="64C59859"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0.000</w:t>
            </w:r>
          </w:p>
        </w:tc>
      </w:tr>
      <w:tr w:rsidR="00E3622C" w:rsidRPr="00E3622C" w14:paraId="668390A4" w14:textId="77777777" w:rsidTr="003B4E1A">
        <w:tc>
          <w:tcPr>
            <w:tcW w:w="1101" w:type="dxa"/>
            <w:tcBorders>
              <w:bottom w:val="single" w:sz="4" w:space="0" w:color="000000"/>
            </w:tcBorders>
            <w:shd w:val="clear" w:color="auto" w:fill="auto"/>
            <w:tcMar>
              <w:top w:w="0" w:type="dxa"/>
              <w:left w:w="108" w:type="dxa"/>
              <w:bottom w:w="0" w:type="dxa"/>
              <w:right w:w="108" w:type="dxa"/>
            </w:tcMar>
          </w:tcPr>
          <w:p w14:paraId="44519543" w14:textId="77777777" w:rsidR="00E3622C" w:rsidRPr="00E3622C" w:rsidRDefault="00E3622C" w:rsidP="00C720DB">
            <w:pPr>
              <w:pStyle w:val="TableText"/>
              <w:spacing w:before="20" w:after="20" w:line="480" w:lineRule="auto"/>
              <w:rPr>
                <w:sz w:val="16"/>
                <w:szCs w:val="16"/>
              </w:rPr>
            </w:pPr>
          </w:p>
        </w:tc>
        <w:tc>
          <w:tcPr>
            <w:tcW w:w="1593" w:type="dxa"/>
            <w:shd w:val="clear" w:color="auto" w:fill="auto"/>
            <w:tcMar>
              <w:top w:w="0" w:type="dxa"/>
              <w:left w:w="108" w:type="dxa"/>
              <w:bottom w:w="0" w:type="dxa"/>
              <w:right w:w="108" w:type="dxa"/>
            </w:tcMar>
          </w:tcPr>
          <w:p w14:paraId="08D7FE5D" w14:textId="77777777" w:rsidR="00E3622C" w:rsidRPr="00E3622C" w:rsidRDefault="00E3622C" w:rsidP="00C720DB">
            <w:pPr>
              <w:pStyle w:val="TableText"/>
              <w:spacing w:before="20" w:after="20" w:line="480" w:lineRule="auto"/>
              <w:rPr>
                <w:sz w:val="16"/>
                <w:szCs w:val="16"/>
              </w:rPr>
            </w:pPr>
            <w:r w:rsidRPr="00E3622C">
              <w:rPr>
                <w:sz w:val="16"/>
                <w:szCs w:val="16"/>
              </w:rPr>
              <w:t>Akaike crit. (AIC)</w:t>
            </w:r>
          </w:p>
        </w:tc>
        <w:tc>
          <w:tcPr>
            <w:tcW w:w="637" w:type="dxa"/>
            <w:shd w:val="clear" w:color="auto" w:fill="auto"/>
            <w:tcMar>
              <w:top w:w="0" w:type="dxa"/>
              <w:left w:w="10" w:type="dxa"/>
              <w:bottom w:w="0" w:type="dxa"/>
              <w:right w:w="10" w:type="dxa"/>
            </w:tcMar>
          </w:tcPr>
          <w:p w14:paraId="6145F326" w14:textId="77777777" w:rsidR="00E3622C" w:rsidRPr="00E3622C" w:rsidRDefault="00E3622C" w:rsidP="00C720DB">
            <w:pPr>
              <w:pStyle w:val="TableText"/>
              <w:spacing w:before="20" w:after="20" w:line="480" w:lineRule="auto"/>
              <w:rPr>
                <w:sz w:val="16"/>
                <w:szCs w:val="16"/>
              </w:rPr>
            </w:pPr>
            <w:r w:rsidRPr="00E3622C">
              <w:rPr>
                <w:sz w:val="16"/>
                <w:szCs w:val="16"/>
              </w:rPr>
              <w:t>72813</w:t>
            </w:r>
          </w:p>
        </w:tc>
        <w:tc>
          <w:tcPr>
            <w:tcW w:w="1347" w:type="dxa"/>
            <w:gridSpan w:val="3"/>
            <w:shd w:val="clear" w:color="auto" w:fill="auto"/>
            <w:tcMar>
              <w:top w:w="0" w:type="dxa"/>
              <w:left w:w="10" w:type="dxa"/>
              <w:bottom w:w="0" w:type="dxa"/>
              <w:right w:w="10" w:type="dxa"/>
            </w:tcMar>
          </w:tcPr>
          <w:p w14:paraId="538DEFF1" w14:textId="77777777" w:rsidR="00E3622C" w:rsidRPr="00E3622C" w:rsidRDefault="00E3622C" w:rsidP="00C720DB">
            <w:pPr>
              <w:pStyle w:val="TableText"/>
              <w:spacing w:before="20" w:after="20" w:line="480" w:lineRule="auto"/>
              <w:jc w:val="right"/>
              <w:rPr>
                <w:sz w:val="16"/>
                <w:szCs w:val="16"/>
              </w:rPr>
            </w:pPr>
            <w:r w:rsidRPr="00E3622C">
              <w:rPr>
                <w:sz w:val="16"/>
                <w:szCs w:val="16"/>
              </w:rPr>
              <w:t>Bayesian crit. (BIC)</w:t>
            </w:r>
          </w:p>
        </w:tc>
        <w:tc>
          <w:tcPr>
            <w:tcW w:w="709" w:type="dxa"/>
            <w:gridSpan w:val="2"/>
            <w:shd w:val="clear" w:color="auto" w:fill="auto"/>
            <w:tcMar>
              <w:top w:w="0" w:type="dxa"/>
              <w:left w:w="108" w:type="dxa"/>
              <w:bottom w:w="0" w:type="dxa"/>
              <w:right w:w="108" w:type="dxa"/>
            </w:tcMar>
          </w:tcPr>
          <w:p w14:paraId="073AC30D" w14:textId="77777777" w:rsidR="00E3622C" w:rsidRPr="00E3622C" w:rsidRDefault="00E3622C" w:rsidP="00C720DB">
            <w:pPr>
              <w:pStyle w:val="TableText"/>
              <w:spacing w:before="20" w:after="20" w:line="480" w:lineRule="auto"/>
              <w:jc w:val="right"/>
              <w:rPr>
                <w:sz w:val="16"/>
                <w:szCs w:val="16"/>
              </w:rPr>
            </w:pPr>
            <w:r w:rsidRPr="00E3622C">
              <w:rPr>
                <w:sz w:val="16"/>
                <w:szCs w:val="16"/>
              </w:rPr>
              <w:t>73185</w:t>
            </w:r>
          </w:p>
        </w:tc>
        <w:tc>
          <w:tcPr>
            <w:tcW w:w="1417" w:type="dxa"/>
            <w:gridSpan w:val="2"/>
            <w:shd w:val="clear" w:color="auto" w:fill="auto"/>
            <w:tcMar>
              <w:top w:w="0" w:type="dxa"/>
              <w:left w:w="10" w:type="dxa"/>
              <w:bottom w:w="0" w:type="dxa"/>
              <w:right w:w="10" w:type="dxa"/>
            </w:tcMar>
          </w:tcPr>
          <w:p w14:paraId="74597CAC" w14:textId="77777777" w:rsidR="00E3622C" w:rsidRPr="00E3622C" w:rsidRDefault="00E3622C" w:rsidP="00C720DB">
            <w:pPr>
              <w:pStyle w:val="TableText"/>
              <w:spacing w:before="20" w:after="20" w:line="480" w:lineRule="auto"/>
              <w:jc w:val="right"/>
              <w:rPr>
                <w:sz w:val="16"/>
                <w:szCs w:val="16"/>
              </w:rPr>
            </w:pPr>
            <w:r w:rsidRPr="00E3622C">
              <w:rPr>
                <w:sz w:val="16"/>
                <w:szCs w:val="16"/>
              </w:rPr>
              <w:t>Akaike crit. (AIC)</w:t>
            </w:r>
          </w:p>
        </w:tc>
        <w:tc>
          <w:tcPr>
            <w:tcW w:w="496" w:type="dxa"/>
            <w:gridSpan w:val="2"/>
            <w:shd w:val="clear" w:color="auto" w:fill="auto"/>
            <w:tcMar>
              <w:top w:w="0" w:type="dxa"/>
              <w:left w:w="10" w:type="dxa"/>
              <w:bottom w:w="0" w:type="dxa"/>
              <w:right w:w="10" w:type="dxa"/>
            </w:tcMar>
          </w:tcPr>
          <w:p w14:paraId="2810C01B"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58165</w:t>
            </w:r>
          </w:p>
        </w:tc>
        <w:tc>
          <w:tcPr>
            <w:tcW w:w="1631" w:type="dxa"/>
            <w:gridSpan w:val="3"/>
            <w:shd w:val="clear" w:color="auto" w:fill="auto"/>
            <w:tcMar>
              <w:top w:w="0" w:type="dxa"/>
              <w:left w:w="10" w:type="dxa"/>
              <w:bottom w:w="0" w:type="dxa"/>
              <w:right w:w="10" w:type="dxa"/>
            </w:tcMar>
          </w:tcPr>
          <w:p w14:paraId="25A69BC2" w14:textId="77777777" w:rsidR="00E3622C" w:rsidRPr="00E3622C" w:rsidRDefault="00E3622C" w:rsidP="00C720DB">
            <w:pPr>
              <w:pStyle w:val="TableText"/>
              <w:spacing w:before="20" w:after="20" w:line="480" w:lineRule="auto"/>
              <w:jc w:val="right"/>
              <w:rPr>
                <w:sz w:val="16"/>
                <w:szCs w:val="16"/>
              </w:rPr>
            </w:pPr>
            <w:r w:rsidRPr="00E3622C">
              <w:rPr>
                <w:sz w:val="16"/>
                <w:szCs w:val="16"/>
              </w:rPr>
              <w:t>Bayesian crit. (BIC)</w:t>
            </w:r>
          </w:p>
        </w:tc>
        <w:tc>
          <w:tcPr>
            <w:tcW w:w="567" w:type="dxa"/>
            <w:gridSpan w:val="2"/>
            <w:shd w:val="clear" w:color="auto" w:fill="auto"/>
            <w:tcMar>
              <w:top w:w="0" w:type="dxa"/>
              <w:left w:w="10" w:type="dxa"/>
              <w:bottom w:w="0" w:type="dxa"/>
              <w:right w:w="10" w:type="dxa"/>
            </w:tcMar>
          </w:tcPr>
          <w:p w14:paraId="03B2340D" w14:textId="77777777" w:rsidR="00E3622C" w:rsidRPr="00E3622C" w:rsidRDefault="00E3622C" w:rsidP="00C720DB">
            <w:pPr>
              <w:pStyle w:val="TableText"/>
              <w:spacing w:before="20" w:after="20" w:line="480" w:lineRule="auto"/>
              <w:jc w:val="right"/>
              <w:rPr>
                <w:sz w:val="16"/>
                <w:szCs w:val="16"/>
                <w:lang w:val="en-US"/>
              </w:rPr>
            </w:pPr>
            <w:r w:rsidRPr="00E3622C">
              <w:rPr>
                <w:sz w:val="16"/>
                <w:szCs w:val="16"/>
                <w:lang w:val="en-US"/>
              </w:rPr>
              <w:t>58526</w:t>
            </w:r>
          </w:p>
        </w:tc>
      </w:tr>
    </w:tbl>
    <w:p w14:paraId="5035D8DA" w14:textId="36D1F391" w:rsidR="00E00C95" w:rsidRPr="004F3AEB" w:rsidRDefault="00E00C95" w:rsidP="004F3AEB">
      <w:pPr>
        <w:pStyle w:val="TableGraphSource"/>
        <w:spacing w:line="480" w:lineRule="auto"/>
      </w:pPr>
      <w:r w:rsidRPr="00E00C95">
        <w:t xml:space="preserve">Note: *** p&lt;.001, ** p&lt;.01, * p&lt;.05, </w:t>
      </w:r>
      <w:r w:rsidRPr="00E00C95">
        <w:rPr>
          <w:lang w:val="en-US"/>
        </w:rPr>
        <w:t xml:space="preserve">Source: </w:t>
      </w:r>
      <w:proofErr w:type="spellStart"/>
      <w:r w:rsidRPr="00E00C95">
        <w:rPr>
          <w:lang w:val="en-US"/>
        </w:rPr>
        <w:t>Labour</w:t>
      </w:r>
      <w:proofErr w:type="spellEnd"/>
      <w:r w:rsidRPr="00E00C95">
        <w:rPr>
          <w:lang w:val="en-US"/>
        </w:rPr>
        <w:t xml:space="preserve"> Force Survey, pooled quarterly datasets 05-07, 15-17</w:t>
      </w:r>
      <w:r w:rsidRPr="00E00C95">
        <w:t>.</w:t>
      </w:r>
      <w:r w:rsidR="00E7066A">
        <w:t xml:space="preserve"> </w:t>
      </w:r>
      <w:r w:rsidRPr="00E00C95">
        <w:t>Linear regressions – CAMSIS score of men and women, the models compare time periods 2005-2007 and 2015-17 by region, controlling for age and educational attainment.</w:t>
      </w:r>
      <w:r>
        <w:br w:type="page"/>
      </w:r>
    </w:p>
    <w:p w14:paraId="0B3454E5" w14:textId="24DDAEB0" w:rsidR="00E3622C" w:rsidRDefault="00E3622C" w:rsidP="00C720DB">
      <w:pPr>
        <w:pStyle w:val="TableGraphheading"/>
        <w:spacing w:line="480" w:lineRule="auto"/>
      </w:pPr>
      <w:r>
        <w:lastRenderedPageBreak/>
        <w:t xml:space="preserve">Figure 1: </w:t>
      </w:r>
      <w:r w:rsidR="00BE2DE3">
        <w:t>Marginal estimates of CAMSIS for men by region</w:t>
      </w:r>
    </w:p>
    <w:p w14:paraId="71A99B8C" w14:textId="77777777" w:rsidR="00E3622C" w:rsidRDefault="00E3622C" w:rsidP="00C720DB">
      <w:pPr>
        <w:spacing w:line="480" w:lineRule="auto"/>
      </w:pPr>
      <w:r>
        <w:rPr>
          <w:noProof/>
          <w:lang w:eastAsia="en-GB"/>
        </w:rPr>
        <w:drawing>
          <wp:inline distT="0" distB="0" distL="0" distR="0" wp14:anchorId="695831C7" wp14:editId="38D6561C">
            <wp:extent cx="5731514" cy="3526785"/>
            <wp:effectExtent l="0" t="0" r="2536" b="0"/>
            <wp:docPr id="1" name="Picture 12" descr="Figure 1: Marginal estimates of CAMSIS for men by region&#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31514" cy="3526785"/>
                    </a:xfrm>
                    <a:prstGeom prst="rect">
                      <a:avLst/>
                    </a:prstGeom>
                    <a:noFill/>
                    <a:ln>
                      <a:noFill/>
                      <a:prstDash/>
                    </a:ln>
                  </pic:spPr>
                </pic:pic>
              </a:graphicData>
            </a:graphic>
          </wp:inline>
        </w:drawing>
      </w:r>
    </w:p>
    <w:p w14:paraId="12C13935" w14:textId="1FBA1AC0" w:rsidR="00E3622C" w:rsidRDefault="00E3622C" w:rsidP="0000736B">
      <w:pPr>
        <w:pStyle w:val="TableGraphheading"/>
        <w:keepNext/>
        <w:spacing w:line="480" w:lineRule="auto"/>
      </w:pPr>
      <w:r>
        <w:lastRenderedPageBreak/>
        <w:t xml:space="preserve">Figure 2: </w:t>
      </w:r>
      <w:r w:rsidR="00BE2DE3">
        <w:t>Marginal estimates of CAMSIS for women by region</w:t>
      </w:r>
    </w:p>
    <w:p w14:paraId="19BC56BC" w14:textId="77777777" w:rsidR="00E3622C" w:rsidRDefault="00E3622C" w:rsidP="00C720DB">
      <w:pPr>
        <w:spacing w:line="480" w:lineRule="auto"/>
      </w:pPr>
      <w:r>
        <w:rPr>
          <w:rFonts w:ascii="Arial" w:hAnsi="Arial"/>
          <w:noProof/>
          <w:szCs w:val="20"/>
          <w:lang w:eastAsia="en-GB"/>
        </w:rPr>
        <w:drawing>
          <wp:inline distT="0" distB="0" distL="0" distR="0" wp14:anchorId="32298C25" wp14:editId="793D5996">
            <wp:extent cx="5731514" cy="3526785"/>
            <wp:effectExtent l="0" t="0" r="2536" b="0"/>
            <wp:docPr id="2" name="Picture 11" descr="Figure 2: Marginal estimates of CAMSIS for women by region&#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31514" cy="3526785"/>
                    </a:xfrm>
                    <a:prstGeom prst="rect">
                      <a:avLst/>
                    </a:prstGeom>
                    <a:noFill/>
                    <a:ln>
                      <a:noFill/>
                      <a:prstDash/>
                    </a:ln>
                  </pic:spPr>
                </pic:pic>
              </a:graphicData>
            </a:graphic>
          </wp:inline>
        </w:drawing>
      </w:r>
    </w:p>
    <w:p w14:paraId="447D3593" w14:textId="77777777" w:rsidR="007F58F0" w:rsidRDefault="007F58F0" w:rsidP="00C720DB">
      <w:pPr>
        <w:pStyle w:val="Heading3"/>
        <w:spacing w:line="480" w:lineRule="auto"/>
      </w:pPr>
      <w:r>
        <w:t>The continued hollowing out of the youth job market</w:t>
      </w:r>
    </w:p>
    <w:p w14:paraId="127D204C" w14:textId="0AE9F275" w:rsidR="007F58F0" w:rsidRDefault="007F58F0" w:rsidP="00C720DB">
      <w:pPr>
        <w:pStyle w:val="Paragraph"/>
        <w:spacing w:line="480" w:lineRule="auto"/>
      </w:pPr>
      <w:r>
        <w:t xml:space="preserve">This section looks in more detail at selected regional labour markets. Figure 4 visualises the occupations undertaken by men in Manchester between the time periods under analysis. Figure 5 depicts inner-London, Figure 6 depicts women in Northern Ireland. Figure 7 Women in inner-London. These regions are highlighted because they report either the greatest levels of change or the most stable continuity across the period. Occupations are included in the figures using four-digit standard occupational groups </w:t>
      </w:r>
      <w:r w:rsidRPr="00E7066A">
        <w:t>(</w:t>
      </w:r>
      <w:r w:rsidRPr="00E7066A">
        <w:rPr>
          <w:szCs w:val="20"/>
        </w:rPr>
        <w:t>SOC</w:t>
      </w:r>
      <w:r w:rsidRPr="00E7066A">
        <w:t>).</w:t>
      </w:r>
      <w:r>
        <w:t xml:space="preserve"> </w:t>
      </w:r>
      <w:r>
        <w:rPr>
          <w:shd w:val="clear" w:color="auto" w:fill="FFFFFF"/>
        </w:rPr>
        <w:t xml:space="preserve">An occupation will only appear in a figure if there are young people employed within it, within the region. </w:t>
      </w:r>
      <w:r>
        <w:t xml:space="preserve">The graph weights each occupation by the numbers employed in that occupation. Larger bubbles represent occupations employing more young people. The CAMSIS score of occupations is included on the </w:t>
      </w:r>
      <w:r>
        <w:lastRenderedPageBreak/>
        <w:t xml:space="preserve">graph y-axis. The predicted CAMSIS score is the estimate from the marginal model for that region, controlling for age and educational attainment. </w:t>
      </w:r>
    </w:p>
    <w:p w14:paraId="654CB98E" w14:textId="3B155D68" w:rsidR="007F58F0" w:rsidRDefault="007F58F0" w:rsidP="00C720DB">
      <w:pPr>
        <w:pStyle w:val="Paragraph"/>
        <w:spacing w:line="480" w:lineRule="auto"/>
      </w:pPr>
      <w:r>
        <w:t>For men in Greater Manchester, Figure 4, the estimated average occupational position increases more than five points between the periods. This uplift, however, reflects the disproportionate disappearance of youth workers from lower status jobs. This elimination from occupations is evident by simply comparing between the time periods, where the density of the bubbles is far higher in the 2005-2007 period. Figure 5 depicts inner-London, the average occupational position of men has been maintained between the periods, but again, the numbers of young people employed, and the diversity of occupations has declined substantially. Figures 6 and 7 visualise the equivalent pattern for women in Northern Ireland and inner-London. In both regions the average occupational position has lowered, driven by a disproportionate loss of more advantaged occupations. Yet again, the visualisations reveal this in a lower density of the bubbles between periods, representing the thinning out of occupations employing young people. Overall there has been a continuation of the decline of the youth labour market and this has driven the regional and temporal trends highlighted in detail above.</w:t>
      </w:r>
    </w:p>
    <w:p w14:paraId="36E3DA25" w14:textId="12D6597C" w:rsidR="003B4E1A" w:rsidRDefault="0000736B" w:rsidP="00352FE4">
      <w:pPr>
        <w:pStyle w:val="TableGraphheading"/>
        <w:keepNext/>
        <w:keepLines/>
        <w:spacing w:line="480" w:lineRule="auto"/>
      </w:pPr>
      <w:r>
        <w:lastRenderedPageBreak/>
        <w:t xml:space="preserve">Figure 3: </w:t>
      </w:r>
      <w:r w:rsidR="00961A37">
        <w:t xml:space="preserve">Temporal comparison of the youth labour market of </w:t>
      </w:r>
      <w:r w:rsidR="003F4733">
        <w:t>Greater Manchester</w:t>
      </w:r>
      <w:r w:rsidR="00961A37">
        <w:t>, men</w:t>
      </w:r>
      <w:r w:rsidR="003F4733">
        <w:t xml:space="preserve"> </w:t>
      </w:r>
    </w:p>
    <w:p w14:paraId="5E3490FC" w14:textId="77777777" w:rsidR="003B4E1A" w:rsidRDefault="003B4E1A" w:rsidP="00C720DB">
      <w:pPr>
        <w:spacing w:line="480" w:lineRule="auto"/>
      </w:pPr>
      <w:r>
        <w:rPr>
          <w:noProof/>
          <w:lang w:eastAsia="en-GB"/>
        </w:rPr>
        <w:drawing>
          <wp:inline distT="0" distB="0" distL="0" distR="0" wp14:anchorId="59CB10C5" wp14:editId="2D8BE9E3">
            <wp:extent cx="4448665" cy="3124550"/>
            <wp:effectExtent l="0" t="0" r="9035" b="0"/>
            <wp:docPr id="3" name="Picture 10" descr="Figure 3: Temporal comparison of the youth labour market of Greater Manchester, m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448665" cy="3124550"/>
                    </a:xfrm>
                    <a:prstGeom prst="rect">
                      <a:avLst/>
                    </a:prstGeom>
                    <a:noFill/>
                    <a:ln>
                      <a:noFill/>
                      <a:prstDash/>
                    </a:ln>
                  </pic:spPr>
                </pic:pic>
              </a:graphicData>
            </a:graphic>
          </wp:inline>
        </w:drawing>
      </w:r>
    </w:p>
    <w:p w14:paraId="57926831" w14:textId="77777777" w:rsidR="00E00C95" w:rsidRDefault="00E00C95" w:rsidP="00C720DB">
      <w:pPr>
        <w:spacing w:before="0" w:after="200" w:line="480" w:lineRule="auto"/>
        <w:jc w:val="left"/>
        <w:rPr>
          <w:b/>
        </w:rPr>
      </w:pPr>
      <w:r>
        <w:br w:type="page"/>
      </w:r>
    </w:p>
    <w:p w14:paraId="57DAE053" w14:textId="3E27FCC4" w:rsidR="000F7A69" w:rsidRDefault="003B4E1A" w:rsidP="00C720DB">
      <w:pPr>
        <w:pStyle w:val="TableGraphheading"/>
        <w:spacing w:line="480" w:lineRule="auto"/>
      </w:pPr>
      <w:r>
        <w:lastRenderedPageBreak/>
        <w:t xml:space="preserve">Figure 4: </w:t>
      </w:r>
      <w:r w:rsidR="00961A37">
        <w:t>Temporal comparison of the youth labour market of inner London, men</w:t>
      </w:r>
      <w:r w:rsidR="00961A37" w:rsidDel="00961A37">
        <w:t xml:space="preserve"> </w:t>
      </w:r>
    </w:p>
    <w:p w14:paraId="386CBD97" w14:textId="46EC2A1A" w:rsidR="003B4E1A" w:rsidRDefault="006C5A09" w:rsidP="00C720DB">
      <w:pPr>
        <w:spacing w:line="480" w:lineRule="auto"/>
      </w:pPr>
      <w:r w:rsidRPr="006C5A09">
        <w:rPr>
          <w:noProof/>
          <w:lang w:eastAsia="en-GB"/>
        </w:rPr>
        <w:drawing>
          <wp:inline distT="0" distB="0" distL="0" distR="0" wp14:anchorId="506AD575" wp14:editId="3BE5B902">
            <wp:extent cx="4679950" cy="3401343"/>
            <wp:effectExtent l="0" t="0" r="6350" b="8890"/>
            <wp:docPr id="9" name="Picture 9" descr="Figure 4: Temporal comparison of the youth labour market of inner London, m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0" cy="3401343"/>
                    </a:xfrm>
                    <a:prstGeom prst="rect">
                      <a:avLst/>
                    </a:prstGeom>
                    <a:noFill/>
                    <a:ln>
                      <a:noFill/>
                    </a:ln>
                  </pic:spPr>
                </pic:pic>
              </a:graphicData>
            </a:graphic>
          </wp:inline>
        </w:drawing>
      </w:r>
    </w:p>
    <w:p w14:paraId="61C5FD4F" w14:textId="3576E350" w:rsidR="00E00C95" w:rsidRPr="00873E46" w:rsidRDefault="003B4E1A" w:rsidP="00961A37">
      <w:pPr>
        <w:pStyle w:val="TableGraphheading"/>
        <w:keepNext/>
        <w:keepLines/>
        <w:spacing w:line="480" w:lineRule="auto"/>
      </w:pPr>
      <w:r>
        <w:lastRenderedPageBreak/>
        <w:t xml:space="preserve">Figure 5: </w:t>
      </w:r>
      <w:r w:rsidR="00961A37">
        <w:t>Temporal comparison of the youth labour market of Northern Ireland, women</w:t>
      </w:r>
      <w:r w:rsidR="00961A37" w:rsidDel="00961A37">
        <w:t xml:space="preserve"> </w:t>
      </w:r>
      <w:r w:rsidR="00873E46" w:rsidRPr="00873E46">
        <w:rPr>
          <w:noProof/>
          <w:lang w:eastAsia="en-GB"/>
        </w:rPr>
        <w:drawing>
          <wp:inline distT="0" distB="0" distL="0" distR="0" wp14:anchorId="6BEEC551" wp14:editId="2163396D">
            <wp:extent cx="4679950" cy="3401343"/>
            <wp:effectExtent l="0" t="0" r="6350" b="8890"/>
            <wp:docPr id="10" name="Picture 10" descr="Figure 5: Temporal comparison of the youth labour market of Northern Ireland, wom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9950" cy="3401343"/>
                    </a:xfrm>
                    <a:prstGeom prst="rect">
                      <a:avLst/>
                    </a:prstGeom>
                    <a:noFill/>
                    <a:ln>
                      <a:noFill/>
                    </a:ln>
                  </pic:spPr>
                </pic:pic>
              </a:graphicData>
            </a:graphic>
          </wp:inline>
        </w:drawing>
      </w:r>
    </w:p>
    <w:p w14:paraId="0C86EE86" w14:textId="6D5CC10A" w:rsidR="003B4E1A" w:rsidRDefault="003B4E1A" w:rsidP="00C720DB">
      <w:pPr>
        <w:pStyle w:val="TableGraphheading"/>
        <w:spacing w:line="480" w:lineRule="auto"/>
      </w:pPr>
      <w:r>
        <w:t xml:space="preserve">Figure 6: </w:t>
      </w:r>
      <w:r w:rsidR="00961A37">
        <w:t>Temporal comparison of the youth labour market of inner London, women</w:t>
      </w:r>
      <w:r w:rsidR="00961A37" w:rsidDel="00961A37">
        <w:t xml:space="preserve"> </w:t>
      </w:r>
      <w:r w:rsidR="00C93A67">
        <w:t xml:space="preserve"> </w:t>
      </w:r>
    </w:p>
    <w:p w14:paraId="2F79414E" w14:textId="19FD93F5" w:rsidR="003B4E1A" w:rsidRDefault="00873E46" w:rsidP="00C720DB">
      <w:pPr>
        <w:spacing w:line="480" w:lineRule="auto"/>
      </w:pPr>
      <w:r w:rsidRPr="00873E46">
        <w:rPr>
          <w:noProof/>
          <w:lang w:eastAsia="en-GB"/>
        </w:rPr>
        <w:drawing>
          <wp:inline distT="0" distB="0" distL="0" distR="0" wp14:anchorId="4B86A88F" wp14:editId="6096A76F">
            <wp:extent cx="4679950" cy="3401343"/>
            <wp:effectExtent l="0" t="0" r="6350" b="8890"/>
            <wp:docPr id="11" name="Picture 11" descr="Figure 6: Temporal comparison of the youth labour market of inner London, wom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79950" cy="3401343"/>
                    </a:xfrm>
                    <a:prstGeom prst="rect">
                      <a:avLst/>
                    </a:prstGeom>
                    <a:noFill/>
                    <a:ln>
                      <a:noFill/>
                    </a:ln>
                  </pic:spPr>
                </pic:pic>
              </a:graphicData>
            </a:graphic>
          </wp:inline>
        </w:drawing>
      </w:r>
    </w:p>
    <w:p w14:paraId="57F83C49" w14:textId="77777777" w:rsidR="007F58F0" w:rsidRDefault="007F58F0" w:rsidP="00C720DB">
      <w:pPr>
        <w:pStyle w:val="Heading2"/>
        <w:spacing w:line="480" w:lineRule="auto"/>
      </w:pPr>
      <w:r>
        <w:lastRenderedPageBreak/>
        <w:t>Discussion</w:t>
      </w:r>
    </w:p>
    <w:p w14:paraId="692D8E7D" w14:textId="77777777" w:rsidR="007F58F0" w:rsidRDefault="007F58F0" w:rsidP="00C720DB">
      <w:pPr>
        <w:pStyle w:val="Topparagraph"/>
        <w:spacing w:line="480" w:lineRule="auto"/>
      </w:pPr>
      <w:r>
        <w:t xml:space="preserve">The extent of the restructuring of the youth labour market that appears to have occurred following Great Recession of 2008 is striking. It seems that there is now greater regional equality – although this has been driven by negative trends of job losses, and lowering of the average position of women. A second aspect of this is that London may no longer be driving occupational advantage as it was in the past.  A major feature of this is that there has been a collapse in numbers of young people in work in all parts of the UK. The analysis points to a national trend in this regard, irrespective of regional context. The extent and nature of this collapse is further accentuated by the thinning out at all levels of occupations. Although the labour market has disproportionately shed lower status jobs for men, for women it has disproportionately lost higher status jobs. Roberts (2009) argued there is both a lack of jobs and ‘good’ jobs for young people to do. This fits with the trends reported above. Our analysis clearly illustrates that, for young people not in education – the opportunities offered in youth labour markets around the UK are fewer in comparison to pre-recession. In effect, this further reduces young people’s agency in the job market as there may simply be a lack of available jobs for them to do. </w:t>
      </w:r>
    </w:p>
    <w:p w14:paraId="13C046AD" w14:textId="5C2B4F74" w:rsidR="007F58F0" w:rsidRDefault="007F58F0" w:rsidP="00C720DB">
      <w:pPr>
        <w:pStyle w:val="Paragraph"/>
        <w:spacing w:line="480" w:lineRule="auto"/>
      </w:pPr>
      <w:r>
        <w:t>Polarisation has been given as an explanation for the collapse</w:t>
      </w:r>
      <w:r w:rsidR="008D6E2D">
        <w:t xml:space="preserve"> in jobs (</w:t>
      </w:r>
      <w:proofErr w:type="spellStart"/>
      <w:r w:rsidR="008D6E2D">
        <w:t>Goos</w:t>
      </w:r>
      <w:proofErr w:type="spellEnd"/>
      <w:r w:rsidR="008D6E2D">
        <w:t xml:space="preserve"> and Manning, 2003</w:t>
      </w:r>
      <w:r>
        <w:t>). This posits that demand for ‘middling’ jobs is falling due to increased computational technologies (</w:t>
      </w:r>
      <w:r w:rsidR="00B1687F">
        <w:t xml:space="preserve">Autor, </w:t>
      </w:r>
      <w:r>
        <w:t>Levy and Murnane, 2003) – this may have impact</w:t>
      </w:r>
      <w:r w:rsidR="004F3AEB">
        <w:t>ed</w:t>
      </w:r>
      <w:r>
        <w:t xml:space="preserve"> youth labour markets through ‘knock-on’ effects. The evidence shows young people were squeezed out of the types of occupation in which that would have previously employed them (</w:t>
      </w:r>
      <w:proofErr w:type="spellStart"/>
      <w:r>
        <w:t>Oritz</w:t>
      </w:r>
      <w:proofErr w:type="spellEnd"/>
      <w:r>
        <w:t xml:space="preserve"> and Cummins, 2012). In turn, this is likely a factor that drives young people to engage with alternatives such as apprenticeships, further and higher education. Hoskins et al (2018) find most young people are now delaying transitions into the labour market and opting for higher educational qualifications – </w:t>
      </w:r>
      <w:r>
        <w:lastRenderedPageBreak/>
        <w:t xml:space="preserve">with the specific aspiration to improve job prospects. An additional concern here is the extent that the youth unemployment problem has been ‘disguised’ through the process of ‘warehousing’ in education (Roberts and </w:t>
      </w:r>
      <w:proofErr w:type="spellStart"/>
      <w:r>
        <w:t>Parsell</w:t>
      </w:r>
      <w:proofErr w:type="spellEnd"/>
      <w:r>
        <w:t>, 1992; MacDonald, 2011). This is not to say that youth labour markets are entirely negative for young people that enter work quickly</w:t>
      </w:r>
      <w:r w:rsidR="009A320E">
        <w:t xml:space="preserve"> </w:t>
      </w:r>
      <w:r>
        <w:t xml:space="preserve">as many enjoy earning and view this is as part of their transition to adulthood (Hoskins et al, 2018: 76). However, in comparing pre-and-post recessional labour markets, the results suggests the youth labour market now offers far less opportunity than before – especially for those with lesser or no qualifications. As MacDowell comments, “young people without skills, education and often jobs, but not without determination and ambition, are the ones who will bear the main brunt of the uncertainty” (MacDowell, 2012: 587).  </w:t>
      </w:r>
    </w:p>
    <w:p w14:paraId="52641896" w14:textId="1AFF5752" w:rsidR="007F58F0" w:rsidRDefault="007F58F0" w:rsidP="00C720DB">
      <w:pPr>
        <w:pStyle w:val="Paragraph"/>
        <w:spacing w:line="480" w:lineRule="auto"/>
      </w:pPr>
      <w:r>
        <w:t xml:space="preserve">The results presented offer a clear challenge to supply-sided approaches of conceptualising unemployment that focus on individual ‘employability’. The attempt to ‘activate’ young people to enter work is a limited solution when substantial numbers of jobs have become inaccessible (Crisp and Powell, 2017: 1790).  The supply-side orthodoxy and its emphasis on up-skilling young people through increased ‘employability’ needs further reflection. As relative job opportunities decrease in youth labour markets, there is greater need to reflect on how to stimulate demand (Bell and Blanchflower 2011) or at least start convincing policy makers that “youth unemployment must be understood not only in the context of individual characteristics, but also local labour market demand” (Crisp and Powell, 2017: 1800).  </w:t>
      </w:r>
    </w:p>
    <w:p w14:paraId="6510261B" w14:textId="77777777" w:rsidR="007F58F0" w:rsidRDefault="007F58F0" w:rsidP="00C720DB">
      <w:pPr>
        <w:pStyle w:val="Heading2"/>
        <w:spacing w:line="480" w:lineRule="auto"/>
      </w:pPr>
      <w:r>
        <w:t>Conclusion</w:t>
      </w:r>
    </w:p>
    <w:p w14:paraId="3792BE10" w14:textId="5556E9ED" w:rsidR="007F58F0" w:rsidRDefault="007F58F0" w:rsidP="00C720DB">
      <w:pPr>
        <w:pStyle w:val="Topparagraph"/>
        <w:spacing w:line="480" w:lineRule="auto"/>
      </w:pPr>
      <w:r>
        <w:rPr>
          <w:szCs w:val="20"/>
        </w:rPr>
        <w:t>S</w:t>
      </w:r>
      <w:r>
        <w:t>ociology has built evidence that occupation is the most powerful general indicator of life chances, social and material reward and status, available (Connelly et al, 2016</w:t>
      </w:r>
      <w:r w:rsidR="00291220">
        <w:t>a</w:t>
      </w:r>
      <w:r>
        <w:t xml:space="preserve">). Sociological analysis of the youth labour market has focussed on its long-run loss of </w:t>
      </w:r>
      <w:r>
        <w:lastRenderedPageBreak/>
        <w:t xml:space="preserve">jobs </w:t>
      </w:r>
      <w:r>
        <w:rPr>
          <w:shd w:val="clear" w:color="auto" w:fill="FFFFFF"/>
        </w:rPr>
        <w:t xml:space="preserve">(e.g. MacDonald et al, 2005; Crisp and Powell, 2017) </w:t>
      </w:r>
      <w:r>
        <w:t xml:space="preserve">and the growth of ‘precarity’ </w:t>
      </w:r>
      <w:r>
        <w:rPr>
          <w:szCs w:val="20"/>
        </w:rPr>
        <w:t>(e.g. Standing, 2011; Antonucci, 2018)</w:t>
      </w:r>
      <w:r>
        <w:t>. Far less attention has been paid to the parallel issue of occupational position</w:t>
      </w:r>
      <w:r w:rsidR="009A320E">
        <w:t xml:space="preserve"> </w:t>
      </w:r>
      <w:r>
        <w:t xml:space="preserve">and whether there have been measurable shifts in the relative advantage of youth work. The research presented above is a step towards filling this substantial gap in the international literature. </w:t>
      </w:r>
    </w:p>
    <w:p w14:paraId="13924701" w14:textId="77777777" w:rsidR="007F58F0" w:rsidRDefault="007F58F0" w:rsidP="00C720DB">
      <w:pPr>
        <w:pStyle w:val="Paragraph"/>
        <w:spacing w:line="480" w:lineRule="auto"/>
      </w:pPr>
      <w:r>
        <w:t xml:space="preserve">The decade since the great recession has seen changes in patterns of regional inequality in the youth labour market, for men and women in the UK. For young men, there has been a disproportionate loss of less advantaged occupations raising the average occupational position in a number of regions. For women, the opposite trend has occurred; there has been a disproportionate loss of more advantaged occupations, leading to a general drop in the average advantage level. This has led to a shift in levels of interregional inequality in the occupational position of men, because the average trend did not play out in inner-London, leading other regions to ‘catch up’. For women, the loss of more advantaged jobs seems to have been exacerbated in inner-London, leading it to drop back towards the average level. This has reduced interregional inequality, but only as a result of the arguably negative structural adjustments highlighted (i.e. the continued hollowing out of the youth labour market). </w:t>
      </w:r>
    </w:p>
    <w:p w14:paraId="6DBAA702" w14:textId="14193075" w:rsidR="007F58F0" w:rsidRDefault="007F58F0" w:rsidP="00C720DB">
      <w:pPr>
        <w:pStyle w:val="Paragraph"/>
        <w:spacing w:line="480" w:lineRule="auto"/>
      </w:pPr>
      <w:r>
        <w:t xml:space="preserve">This analysis has limitations. The attrition rate of the Labour Force Survey Dataset has risen in the interim between 2005-07 and 2015-17. A disproportionate loss of cases by variables of interest would lead to bias. Although we have used appropriate weights (developed in tandem with UK CENSUS data) to check for reliability (see </w:t>
      </w:r>
      <w:r w:rsidR="00BC1420">
        <w:t>Tables 6 and 7</w:t>
      </w:r>
      <w:r>
        <w:t>). More broadly, t</w:t>
      </w:r>
      <w:r>
        <w:rPr>
          <w:shd w:val="clear" w:color="auto" w:fill="FFFFFF"/>
        </w:rPr>
        <w:t xml:space="preserve">here is an additional concern that youth labour markets have firmly moved towards </w:t>
      </w:r>
      <w:r>
        <w:t xml:space="preserve">temporary, low-skilled and low-waged positions (MacDonald et al, 2001, 2005) – and these are now fundamentally the only choice that many young people have left in the UK. The analysis does not look into the composition of labour market positions e.g. the extent they are secure or insecure. Future research in this area could examine in detail the types of occupation that have been lost to young </w:t>
      </w:r>
      <w:r>
        <w:lastRenderedPageBreak/>
        <w:t xml:space="preserve">people and changes in conditions for those remaining. The argument is made above that ‘place’ is important in transitions to work, reflecting the need for a local labour market to provide opportunity and important regional trends are highlighted. The regional measure used is still a basic operationalisation, highlighting broad aggregate trends. More granular analyses of youth labour markets could be undertaken in future. </w:t>
      </w:r>
    </w:p>
    <w:p w14:paraId="072FC9EA" w14:textId="68C936EF" w:rsidR="00492095" w:rsidRDefault="00C3061E" w:rsidP="00492095">
      <w:pPr>
        <w:pStyle w:val="TableGraphheading"/>
        <w:spacing w:line="480" w:lineRule="auto"/>
      </w:pPr>
      <w:r>
        <w:rPr>
          <w:lang w:val="en-US"/>
        </w:rPr>
        <w:t xml:space="preserve">Table 6: </w:t>
      </w:r>
      <w:r w:rsidR="00307055">
        <w:rPr>
          <w:lang w:val="en-US"/>
        </w:rPr>
        <w:t>Linear regression,</w:t>
      </w:r>
      <w:r w:rsidR="00492095">
        <w:rPr>
          <w:lang w:val="en-US"/>
        </w:rPr>
        <w:t xml:space="preserve"> CAMSIS score of men, weighted using individual level person weights </w:t>
      </w:r>
    </w:p>
    <w:tbl>
      <w:tblPr>
        <w:tblW w:w="8647" w:type="dxa"/>
        <w:tblLayout w:type="fixed"/>
        <w:tblCellMar>
          <w:left w:w="10" w:type="dxa"/>
          <w:right w:w="10" w:type="dxa"/>
        </w:tblCellMar>
        <w:tblLook w:val="04A0" w:firstRow="1" w:lastRow="0" w:firstColumn="1" w:lastColumn="0" w:noHBand="0" w:noVBand="1"/>
      </w:tblPr>
      <w:tblGrid>
        <w:gridCol w:w="2235"/>
        <w:gridCol w:w="173"/>
        <w:gridCol w:w="144"/>
        <w:gridCol w:w="1242"/>
        <w:gridCol w:w="364"/>
        <w:gridCol w:w="486"/>
        <w:gridCol w:w="709"/>
        <w:gridCol w:w="709"/>
        <w:gridCol w:w="396"/>
        <w:gridCol w:w="550"/>
        <w:gridCol w:w="755"/>
        <w:gridCol w:w="884"/>
      </w:tblGrid>
      <w:tr w:rsidR="00492095" w:rsidRPr="00B61A5F" w14:paraId="09BDE7A1" w14:textId="77777777" w:rsidTr="00492095">
        <w:tc>
          <w:tcPr>
            <w:tcW w:w="2235" w:type="dxa"/>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4F61C2F7" w14:textId="6394101B" w:rsidR="00492095" w:rsidRPr="00B61A5F" w:rsidRDefault="00492095">
            <w:pPr>
              <w:widowControl w:val="0"/>
              <w:autoSpaceDE w:val="0"/>
              <w:spacing w:before="20" w:after="20" w:line="480" w:lineRule="auto"/>
              <w:rPr>
                <w:b/>
                <w:bCs/>
                <w:sz w:val="16"/>
                <w:szCs w:val="16"/>
                <w:lang w:val="en-US"/>
              </w:rPr>
            </w:pPr>
            <w:r w:rsidRPr="00B61A5F">
              <w:rPr>
                <w:b/>
                <w:bCs/>
                <w:sz w:val="16"/>
                <w:szCs w:val="16"/>
                <w:lang w:val="en-US"/>
              </w:rPr>
              <w:t xml:space="preserve"> </w:t>
            </w:r>
          </w:p>
        </w:tc>
        <w:tc>
          <w:tcPr>
            <w:tcW w:w="1559" w:type="dxa"/>
            <w:gridSpan w:val="3"/>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74816DF6" w14:textId="77777777" w:rsidR="00492095" w:rsidRPr="00B61A5F" w:rsidRDefault="00492095" w:rsidP="00492095">
            <w:pPr>
              <w:widowControl w:val="0"/>
              <w:autoSpaceDE w:val="0"/>
              <w:spacing w:before="20" w:after="20" w:line="480" w:lineRule="auto"/>
              <w:jc w:val="right"/>
              <w:rPr>
                <w:b/>
                <w:bCs/>
                <w:sz w:val="16"/>
                <w:szCs w:val="16"/>
                <w:lang w:val="en-US"/>
              </w:rPr>
            </w:pPr>
            <w:r w:rsidRPr="00B61A5F">
              <w:rPr>
                <w:b/>
                <w:bCs/>
                <w:sz w:val="16"/>
                <w:szCs w:val="16"/>
                <w:lang w:val="en-US"/>
              </w:rPr>
              <w:t xml:space="preserve"> Coefficient</w:t>
            </w:r>
          </w:p>
        </w:tc>
        <w:tc>
          <w:tcPr>
            <w:tcW w:w="850" w:type="dxa"/>
            <w:gridSpan w:val="2"/>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24646B08" w14:textId="77777777" w:rsidR="00492095" w:rsidRPr="00B61A5F" w:rsidRDefault="00492095" w:rsidP="00492095">
            <w:pPr>
              <w:widowControl w:val="0"/>
              <w:autoSpaceDE w:val="0"/>
              <w:spacing w:before="20" w:after="20" w:line="480" w:lineRule="auto"/>
              <w:jc w:val="center"/>
              <w:rPr>
                <w:b/>
                <w:bCs/>
                <w:sz w:val="16"/>
                <w:szCs w:val="16"/>
              </w:rPr>
            </w:pPr>
            <w:r w:rsidRPr="00B61A5F">
              <w:rPr>
                <w:b/>
                <w:bCs/>
                <w:sz w:val="16"/>
                <w:szCs w:val="16"/>
                <w:lang w:val="en-US"/>
              </w:rPr>
              <w:t>Standard error</w:t>
            </w:r>
          </w:p>
        </w:tc>
        <w:tc>
          <w:tcPr>
            <w:tcW w:w="709" w:type="dxa"/>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3B6AE4B4" w14:textId="77777777" w:rsidR="00492095" w:rsidRPr="00B61A5F" w:rsidRDefault="00492095" w:rsidP="00492095">
            <w:pPr>
              <w:widowControl w:val="0"/>
              <w:autoSpaceDE w:val="0"/>
              <w:spacing w:before="20" w:after="20" w:line="480" w:lineRule="auto"/>
              <w:jc w:val="right"/>
              <w:rPr>
                <w:b/>
                <w:bCs/>
                <w:sz w:val="16"/>
                <w:szCs w:val="16"/>
                <w:lang w:val="en-US"/>
              </w:rPr>
            </w:pPr>
            <w:r w:rsidRPr="00B61A5F">
              <w:rPr>
                <w:b/>
                <w:bCs/>
                <w:sz w:val="16"/>
                <w:szCs w:val="16"/>
                <w:lang w:val="en-US"/>
              </w:rPr>
              <w:t xml:space="preserve"> t-value</w:t>
            </w:r>
          </w:p>
        </w:tc>
        <w:tc>
          <w:tcPr>
            <w:tcW w:w="709" w:type="dxa"/>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0ED49C38" w14:textId="77777777" w:rsidR="00492095" w:rsidRPr="00B61A5F" w:rsidRDefault="00492095" w:rsidP="00492095">
            <w:pPr>
              <w:widowControl w:val="0"/>
              <w:autoSpaceDE w:val="0"/>
              <w:spacing w:before="20" w:after="20" w:line="480" w:lineRule="auto"/>
              <w:jc w:val="right"/>
              <w:rPr>
                <w:b/>
                <w:bCs/>
                <w:sz w:val="16"/>
                <w:szCs w:val="16"/>
                <w:lang w:val="en-US"/>
              </w:rPr>
            </w:pPr>
            <w:r w:rsidRPr="00B61A5F">
              <w:rPr>
                <w:b/>
                <w:bCs/>
                <w:sz w:val="16"/>
                <w:szCs w:val="16"/>
                <w:lang w:val="en-US"/>
              </w:rPr>
              <w:t>p-value</w:t>
            </w:r>
          </w:p>
        </w:tc>
        <w:tc>
          <w:tcPr>
            <w:tcW w:w="946" w:type="dxa"/>
            <w:gridSpan w:val="2"/>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0D79C71F" w14:textId="77777777" w:rsidR="00492095" w:rsidRPr="00B61A5F" w:rsidRDefault="00492095" w:rsidP="00492095">
            <w:pPr>
              <w:autoSpaceDE w:val="0"/>
              <w:spacing w:before="20" w:after="20" w:line="480" w:lineRule="auto"/>
              <w:jc w:val="center"/>
              <w:rPr>
                <w:rFonts w:cs="Calibri"/>
                <w:b/>
                <w:bCs/>
                <w:sz w:val="16"/>
                <w:szCs w:val="16"/>
              </w:rPr>
            </w:pPr>
            <w:r w:rsidRPr="00B61A5F">
              <w:rPr>
                <w:rFonts w:cs="Calibri"/>
                <w:b/>
                <w:bCs/>
                <w:sz w:val="16"/>
                <w:szCs w:val="16"/>
              </w:rPr>
              <w:t>Lower confidence interval</w:t>
            </w:r>
          </w:p>
        </w:tc>
        <w:tc>
          <w:tcPr>
            <w:tcW w:w="755" w:type="dxa"/>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13D89B46" w14:textId="77777777" w:rsidR="00492095" w:rsidRPr="00B61A5F" w:rsidRDefault="00492095" w:rsidP="00492095">
            <w:pPr>
              <w:autoSpaceDE w:val="0"/>
              <w:spacing w:before="20" w:after="20" w:line="480" w:lineRule="auto"/>
              <w:jc w:val="center"/>
              <w:rPr>
                <w:rFonts w:cs="Calibri"/>
                <w:b/>
                <w:bCs/>
                <w:sz w:val="16"/>
                <w:szCs w:val="16"/>
              </w:rPr>
            </w:pPr>
            <w:r w:rsidRPr="00B61A5F">
              <w:rPr>
                <w:rFonts w:cs="Calibri"/>
                <w:b/>
                <w:bCs/>
                <w:sz w:val="16"/>
                <w:szCs w:val="16"/>
              </w:rPr>
              <w:t>Upper confidence interval</w:t>
            </w:r>
          </w:p>
        </w:tc>
        <w:tc>
          <w:tcPr>
            <w:tcW w:w="884" w:type="dxa"/>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77C989F1" w14:textId="77777777" w:rsidR="00492095" w:rsidRPr="00B61A5F" w:rsidRDefault="00492095" w:rsidP="00492095">
            <w:pPr>
              <w:widowControl w:val="0"/>
              <w:autoSpaceDE w:val="0"/>
              <w:spacing w:before="20" w:after="20" w:line="480" w:lineRule="auto"/>
              <w:rPr>
                <w:b/>
                <w:bCs/>
                <w:sz w:val="16"/>
                <w:szCs w:val="16"/>
              </w:rPr>
            </w:pPr>
            <w:r w:rsidRPr="00B61A5F">
              <w:rPr>
                <w:b/>
                <w:bCs/>
                <w:sz w:val="16"/>
                <w:szCs w:val="16"/>
                <w:lang w:val="en-US"/>
              </w:rPr>
              <w:t xml:space="preserve"> Significance</w:t>
            </w:r>
          </w:p>
        </w:tc>
      </w:tr>
      <w:tr w:rsidR="00492095" w:rsidRPr="00B61A5F" w14:paraId="149EE006" w14:textId="77777777" w:rsidTr="00492095">
        <w:tc>
          <w:tcPr>
            <w:tcW w:w="2552" w:type="dxa"/>
            <w:gridSpan w:val="3"/>
            <w:shd w:val="clear" w:color="auto" w:fill="auto"/>
            <w:tcMar>
              <w:top w:w="0" w:type="dxa"/>
              <w:left w:w="108" w:type="dxa"/>
              <w:bottom w:w="0" w:type="dxa"/>
              <w:right w:w="108" w:type="dxa"/>
            </w:tcMar>
          </w:tcPr>
          <w:p w14:paraId="556BAF61"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Rest of Scotland 05-07</w:t>
            </w:r>
          </w:p>
        </w:tc>
        <w:tc>
          <w:tcPr>
            <w:tcW w:w="1242" w:type="dxa"/>
            <w:shd w:val="clear" w:color="auto" w:fill="auto"/>
            <w:tcMar>
              <w:top w:w="0" w:type="dxa"/>
              <w:left w:w="108" w:type="dxa"/>
              <w:bottom w:w="0" w:type="dxa"/>
              <w:right w:w="108" w:type="dxa"/>
            </w:tcMar>
          </w:tcPr>
          <w:p w14:paraId="1F33F64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-6.3</w:t>
            </w:r>
          </w:p>
        </w:tc>
        <w:tc>
          <w:tcPr>
            <w:tcW w:w="850" w:type="dxa"/>
            <w:gridSpan w:val="2"/>
            <w:shd w:val="clear" w:color="auto" w:fill="auto"/>
            <w:tcMar>
              <w:top w:w="0" w:type="dxa"/>
              <w:left w:w="108" w:type="dxa"/>
              <w:bottom w:w="0" w:type="dxa"/>
              <w:right w:w="108" w:type="dxa"/>
            </w:tcMar>
          </w:tcPr>
          <w:p w14:paraId="277CCE8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7A0CC43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-5.2</w:t>
            </w:r>
          </w:p>
        </w:tc>
        <w:tc>
          <w:tcPr>
            <w:tcW w:w="709" w:type="dxa"/>
            <w:shd w:val="clear" w:color="auto" w:fill="auto"/>
            <w:tcMar>
              <w:top w:w="0" w:type="dxa"/>
              <w:left w:w="108" w:type="dxa"/>
              <w:bottom w:w="0" w:type="dxa"/>
              <w:right w:w="108" w:type="dxa"/>
            </w:tcMar>
          </w:tcPr>
          <w:p w14:paraId="56D19A9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4224C73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-8.7</w:t>
            </w:r>
          </w:p>
        </w:tc>
        <w:tc>
          <w:tcPr>
            <w:tcW w:w="755" w:type="dxa"/>
            <w:shd w:val="clear" w:color="auto" w:fill="auto"/>
            <w:tcMar>
              <w:top w:w="0" w:type="dxa"/>
              <w:left w:w="108" w:type="dxa"/>
              <w:bottom w:w="0" w:type="dxa"/>
              <w:right w:w="108" w:type="dxa"/>
            </w:tcMar>
          </w:tcPr>
          <w:p w14:paraId="17FB1E1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-3.9</w:t>
            </w:r>
          </w:p>
        </w:tc>
        <w:tc>
          <w:tcPr>
            <w:tcW w:w="884" w:type="dxa"/>
            <w:shd w:val="clear" w:color="auto" w:fill="auto"/>
            <w:tcMar>
              <w:top w:w="0" w:type="dxa"/>
              <w:left w:w="108" w:type="dxa"/>
              <w:bottom w:w="0" w:type="dxa"/>
              <w:right w:w="108" w:type="dxa"/>
            </w:tcMar>
          </w:tcPr>
          <w:p w14:paraId="17BEFA8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255309C5" w14:textId="77777777" w:rsidTr="00492095">
        <w:tc>
          <w:tcPr>
            <w:tcW w:w="2552" w:type="dxa"/>
            <w:gridSpan w:val="3"/>
            <w:shd w:val="clear" w:color="auto" w:fill="auto"/>
            <w:tcMar>
              <w:top w:w="0" w:type="dxa"/>
              <w:left w:w="108" w:type="dxa"/>
              <w:bottom w:w="0" w:type="dxa"/>
              <w:right w:w="108" w:type="dxa"/>
            </w:tcMar>
          </w:tcPr>
          <w:p w14:paraId="2E04EFC4"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Rest of Scotland 15-17</w:t>
            </w:r>
          </w:p>
        </w:tc>
        <w:tc>
          <w:tcPr>
            <w:tcW w:w="1242" w:type="dxa"/>
            <w:shd w:val="clear" w:color="auto" w:fill="auto"/>
            <w:tcMar>
              <w:top w:w="0" w:type="dxa"/>
              <w:left w:w="108" w:type="dxa"/>
              <w:bottom w:w="0" w:type="dxa"/>
              <w:right w:w="108" w:type="dxa"/>
            </w:tcMar>
          </w:tcPr>
          <w:p w14:paraId="0E6F04C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-6.9</w:t>
            </w:r>
          </w:p>
        </w:tc>
        <w:tc>
          <w:tcPr>
            <w:tcW w:w="850" w:type="dxa"/>
            <w:gridSpan w:val="2"/>
            <w:shd w:val="clear" w:color="auto" w:fill="auto"/>
            <w:tcMar>
              <w:top w:w="0" w:type="dxa"/>
              <w:left w:w="108" w:type="dxa"/>
              <w:bottom w:w="0" w:type="dxa"/>
              <w:right w:w="108" w:type="dxa"/>
            </w:tcMar>
          </w:tcPr>
          <w:p w14:paraId="5417003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1170011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-4.8</w:t>
            </w:r>
          </w:p>
        </w:tc>
        <w:tc>
          <w:tcPr>
            <w:tcW w:w="709" w:type="dxa"/>
            <w:shd w:val="clear" w:color="auto" w:fill="auto"/>
            <w:tcMar>
              <w:top w:w="0" w:type="dxa"/>
              <w:left w:w="108" w:type="dxa"/>
              <w:bottom w:w="0" w:type="dxa"/>
              <w:right w:w="108" w:type="dxa"/>
            </w:tcMar>
          </w:tcPr>
          <w:p w14:paraId="10E7AC2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22C3F5E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-9.7</w:t>
            </w:r>
          </w:p>
        </w:tc>
        <w:tc>
          <w:tcPr>
            <w:tcW w:w="755" w:type="dxa"/>
            <w:shd w:val="clear" w:color="auto" w:fill="auto"/>
            <w:tcMar>
              <w:top w:w="0" w:type="dxa"/>
              <w:left w:w="108" w:type="dxa"/>
              <w:bottom w:w="0" w:type="dxa"/>
              <w:right w:w="108" w:type="dxa"/>
            </w:tcMar>
          </w:tcPr>
          <w:p w14:paraId="52BCD54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-4.1</w:t>
            </w:r>
          </w:p>
        </w:tc>
        <w:tc>
          <w:tcPr>
            <w:tcW w:w="884" w:type="dxa"/>
            <w:shd w:val="clear" w:color="auto" w:fill="auto"/>
            <w:tcMar>
              <w:top w:w="0" w:type="dxa"/>
              <w:left w:w="108" w:type="dxa"/>
              <w:bottom w:w="0" w:type="dxa"/>
              <w:right w:w="108" w:type="dxa"/>
            </w:tcMar>
          </w:tcPr>
          <w:p w14:paraId="314E565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6608038A" w14:textId="77777777" w:rsidTr="00492095">
        <w:tc>
          <w:tcPr>
            <w:tcW w:w="2552" w:type="dxa"/>
            <w:gridSpan w:val="3"/>
            <w:shd w:val="clear" w:color="auto" w:fill="auto"/>
            <w:tcMar>
              <w:top w:w="0" w:type="dxa"/>
              <w:left w:w="108" w:type="dxa"/>
              <w:bottom w:w="0" w:type="dxa"/>
              <w:right w:w="108" w:type="dxa"/>
            </w:tcMar>
          </w:tcPr>
          <w:p w14:paraId="7DAA8CF3"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 xml:space="preserve">Rest of </w:t>
            </w:r>
            <w:proofErr w:type="spellStart"/>
            <w:r w:rsidRPr="00B61A5F">
              <w:rPr>
                <w:sz w:val="16"/>
                <w:szCs w:val="16"/>
                <w:lang w:val="en-US"/>
              </w:rPr>
              <w:t>Yorks</w:t>
            </w:r>
            <w:proofErr w:type="spellEnd"/>
            <w:r w:rsidRPr="00B61A5F">
              <w:rPr>
                <w:sz w:val="16"/>
                <w:szCs w:val="16"/>
                <w:lang w:val="en-US"/>
              </w:rPr>
              <w:t xml:space="preserve"> and Humberside 05-07</w:t>
            </w:r>
          </w:p>
        </w:tc>
        <w:tc>
          <w:tcPr>
            <w:tcW w:w="1242" w:type="dxa"/>
            <w:shd w:val="clear" w:color="auto" w:fill="auto"/>
            <w:tcMar>
              <w:top w:w="0" w:type="dxa"/>
              <w:left w:w="108" w:type="dxa"/>
              <w:bottom w:w="0" w:type="dxa"/>
              <w:right w:w="108" w:type="dxa"/>
            </w:tcMar>
          </w:tcPr>
          <w:p w14:paraId="12EE43E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-5.8</w:t>
            </w:r>
          </w:p>
        </w:tc>
        <w:tc>
          <w:tcPr>
            <w:tcW w:w="850" w:type="dxa"/>
            <w:gridSpan w:val="2"/>
            <w:shd w:val="clear" w:color="auto" w:fill="auto"/>
            <w:tcMar>
              <w:top w:w="0" w:type="dxa"/>
              <w:left w:w="108" w:type="dxa"/>
              <w:bottom w:w="0" w:type="dxa"/>
              <w:right w:w="108" w:type="dxa"/>
            </w:tcMar>
          </w:tcPr>
          <w:p w14:paraId="59B0F2D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7460820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-4.1</w:t>
            </w:r>
          </w:p>
        </w:tc>
        <w:tc>
          <w:tcPr>
            <w:tcW w:w="709" w:type="dxa"/>
            <w:shd w:val="clear" w:color="auto" w:fill="auto"/>
            <w:tcMar>
              <w:top w:w="0" w:type="dxa"/>
              <w:left w:w="108" w:type="dxa"/>
              <w:bottom w:w="0" w:type="dxa"/>
              <w:right w:w="108" w:type="dxa"/>
            </w:tcMar>
          </w:tcPr>
          <w:p w14:paraId="3569770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2A070BD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-8.6</w:t>
            </w:r>
          </w:p>
        </w:tc>
        <w:tc>
          <w:tcPr>
            <w:tcW w:w="755" w:type="dxa"/>
            <w:shd w:val="clear" w:color="auto" w:fill="auto"/>
            <w:tcMar>
              <w:top w:w="0" w:type="dxa"/>
              <w:left w:w="108" w:type="dxa"/>
              <w:bottom w:w="0" w:type="dxa"/>
              <w:right w:w="108" w:type="dxa"/>
            </w:tcMar>
          </w:tcPr>
          <w:p w14:paraId="6B5E5D4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-3.0</w:t>
            </w:r>
          </w:p>
        </w:tc>
        <w:tc>
          <w:tcPr>
            <w:tcW w:w="884" w:type="dxa"/>
            <w:shd w:val="clear" w:color="auto" w:fill="auto"/>
            <w:tcMar>
              <w:top w:w="0" w:type="dxa"/>
              <w:left w:w="108" w:type="dxa"/>
              <w:bottom w:w="0" w:type="dxa"/>
              <w:right w:w="108" w:type="dxa"/>
            </w:tcMar>
          </w:tcPr>
          <w:p w14:paraId="1E2E01C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7C05ECED" w14:textId="77777777" w:rsidTr="00492095">
        <w:tc>
          <w:tcPr>
            <w:tcW w:w="2552" w:type="dxa"/>
            <w:gridSpan w:val="3"/>
            <w:shd w:val="clear" w:color="auto" w:fill="auto"/>
            <w:tcMar>
              <w:top w:w="0" w:type="dxa"/>
              <w:left w:w="108" w:type="dxa"/>
              <w:bottom w:w="0" w:type="dxa"/>
              <w:right w:w="108" w:type="dxa"/>
            </w:tcMar>
          </w:tcPr>
          <w:p w14:paraId="5C7CBED1"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 xml:space="preserve">Rest of </w:t>
            </w:r>
            <w:proofErr w:type="spellStart"/>
            <w:r w:rsidRPr="00B61A5F">
              <w:rPr>
                <w:sz w:val="16"/>
                <w:szCs w:val="16"/>
                <w:lang w:val="en-US"/>
              </w:rPr>
              <w:t>Yorks</w:t>
            </w:r>
            <w:proofErr w:type="spellEnd"/>
            <w:r w:rsidRPr="00B61A5F">
              <w:rPr>
                <w:sz w:val="16"/>
                <w:szCs w:val="16"/>
                <w:lang w:val="en-US"/>
              </w:rPr>
              <w:t xml:space="preserve"> and Humberside 15-17</w:t>
            </w:r>
          </w:p>
        </w:tc>
        <w:tc>
          <w:tcPr>
            <w:tcW w:w="1242" w:type="dxa"/>
            <w:shd w:val="clear" w:color="auto" w:fill="auto"/>
            <w:tcMar>
              <w:top w:w="0" w:type="dxa"/>
              <w:left w:w="108" w:type="dxa"/>
              <w:bottom w:w="0" w:type="dxa"/>
              <w:right w:w="108" w:type="dxa"/>
            </w:tcMar>
          </w:tcPr>
          <w:p w14:paraId="38B1312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-2.8</w:t>
            </w:r>
          </w:p>
        </w:tc>
        <w:tc>
          <w:tcPr>
            <w:tcW w:w="850" w:type="dxa"/>
            <w:gridSpan w:val="2"/>
            <w:shd w:val="clear" w:color="auto" w:fill="auto"/>
            <w:tcMar>
              <w:top w:w="0" w:type="dxa"/>
              <w:left w:w="108" w:type="dxa"/>
              <w:bottom w:w="0" w:type="dxa"/>
              <w:right w:w="108" w:type="dxa"/>
            </w:tcMar>
          </w:tcPr>
          <w:p w14:paraId="00B7FEE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1.5</w:t>
            </w:r>
          </w:p>
        </w:tc>
        <w:tc>
          <w:tcPr>
            <w:tcW w:w="709" w:type="dxa"/>
            <w:shd w:val="clear" w:color="auto" w:fill="auto"/>
            <w:tcMar>
              <w:top w:w="0" w:type="dxa"/>
              <w:left w:w="108" w:type="dxa"/>
              <w:bottom w:w="0" w:type="dxa"/>
              <w:right w:w="108" w:type="dxa"/>
            </w:tcMar>
          </w:tcPr>
          <w:p w14:paraId="2DBB04A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-1.9</w:t>
            </w:r>
          </w:p>
        </w:tc>
        <w:tc>
          <w:tcPr>
            <w:tcW w:w="709" w:type="dxa"/>
            <w:shd w:val="clear" w:color="auto" w:fill="auto"/>
            <w:tcMar>
              <w:top w:w="0" w:type="dxa"/>
              <w:left w:w="108" w:type="dxa"/>
              <w:bottom w:w="0" w:type="dxa"/>
              <w:right w:w="108" w:type="dxa"/>
            </w:tcMar>
          </w:tcPr>
          <w:p w14:paraId="7AADD2C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.053</w:t>
            </w:r>
          </w:p>
        </w:tc>
        <w:tc>
          <w:tcPr>
            <w:tcW w:w="946" w:type="dxa"/>
            <w:gridSpan w:val="2"/>
            <w:shd w:val="clear" w:color="auto" w:fill="auto"/>
            <w:tcMar>
              <w:top w:w="0" w:type="dxa"/>
              <w:left w:w="108" w:type="dxa"/>
              <w:bottom w:w="0" w:type="dxa"/>
              <w:right w:w="108" w:type="dxa"/>
            </w:tcMar>
          </w:tcPr>
          <w:p w14:paraId="797D1C4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-5.6</w:t>
            </w:r>
          </w:p>
        </w:tc>
        <w:tc>
          <w:tcPr>
            <w:tcW w:w="755" w:type="dxa"/>
            <w:shd w:val="clear" w:color="auto" w:fill="auto"/>
            <w:tcMar>
              <w:top w:w="0" w:type="dxa"/>
              <w:left w:w="108" w:type="dxa"/>
              <w:bottom w:w="0" w:type="dxa"/>
              <w:right w:w="108" w:type="dxa"/>
            </w:tcMar>
          </w:tcPr>
          <w:p w14:paraId="4FB21C7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w:t>
            </w:r>
          </w:p>
        </w:tc>
        <w:tc>
          <w:tcPr>
            <w:tcW w:w="884" w:type="dxa"/>
            <w:shd w:val="clear" w:color="auto" w:fill="auto"/>
            <w:tcMar>
              <w:top w:w="0" w:type="dxa"/>
              <w:left w:w="108" w:type="dxa"/>
              <w:bottom w:w="0" w:type="dxa"/>
              <w:right w:w="108" w:type="dxa"/>
            </w:tcMar>
          </w:tcPr>
          <w:p w14:paraId="7EFAF13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3D9AE751" w14:textId="77777777" w:rsidTr="00492095">
        <w:tc>
          <w:tcPr>
            <w:tcW w:w="2552" w:type="dxa"/>
            <w:gridSpan w:val="3"/>
            <w:shd w:val="clear" w:color="auto" w:fill="auto"/>
            <w:tcMar>
              <w:top w:w="0" w:type="dxa"/>
              <w:left w:w="108" w:type="dxa"/>
              <w:bottom w:w="0" w:type="dxa"/>
              <w:right w:w="108" w:type="dxa"/>
            </w:tcMar>
          </w:tcPr>
          <w:p w14:paraId="0A5F47CC"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Northern Ireland 05-07</w:t>
            </w:r>
          </w:p>
        </w:tc>
        <w:tc>
          <w:tcPr>
            <w:tcW w:w="1242" w:type="dxa"/>
            <w:shd w:val="clear" w:color="auto" w:fill="auto"/>
            <w:tcMar>
              <w:top w:w="0" w:type="dxa"/>
              <w:left w:w="108" w:type="dxa"/>
              <w:bottom w:w="0" w:type="dxa"/>
              <w:right w:w="108" w:type="dxa"/>
            </w:tcMar>
          </w:tcPr>
          <w:p w14:paraId="04520EC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-5.3</w:t>
            </w:r>
          </w:p>
        </w:tc>
        <w:tc>
          <w:tcPr>
            <w:tcW w:w="850" w:type="dxa"/>
            <w:gridSpan w:val="2"/>
            <w:shd w:val="clear" w:color="auto" w:fill="auto"/>
            <w:tcMar>
              <w:top w:w="0" w:type="dxa"/>
              <w:left w:w="108" w:type="dxa"/>
              <w:bottom w:w="0" w:type="dxa"/>
              <w:right w:w="108" w:type="dxa"/>
            </w:tcMar>
          </w:tcPr>
          <w:p w14:paraId="5B0E1F4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47D2634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-4.4</w:t>
            </w:r>
          </w:p>
        </w:tc>
        <w:tc>
          <w:tcPr>
            <w:tcW w:w="709" w:type="dxa"/>
            <w:shd w:val="clear" w:color="auto" w:fill="auto"/>
            <w:tcMar>
              <w:top w:w="0" w:type="dxa"/>
              <w:left w:w="108" w:type="dxa"/>
              <w:bottom w:w="0" w:type="dxa"/>
              <w:right w:w="108" w:type="dxa"/>
            </w:tcMar>
          </w:tcPr>
          <w:p w14:paraId="6D3739A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7AAC024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-7.7</w:t>
            </w:r>
          </w:p>
        </w:tc>
        <w:tc>
          <w:tcPr>
            <w:tcW w:w="755" w:type="dxa"/>
            <w:shd w:val="clear" w:color="auto" w:fill="auto"/>
            <w:tcMar>
              <w:top w:w="0" w:type="dxa"/>
              <w:left w:w="108" w:type="dxa"/>
              <w:bottom w:w="0" w:type="dxa"/>
              <w:right w:w="108" w:type="dxa"/>
            </w:tcMar>
          </w:tcPr>
          <w:p w14:paraId="33E1323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-2.9</w:t>
            </w:r>
          </w:p>
        </w:tc>
        <w:tc>
          <w:tcPr>
            <w:tcW w:w="884" w:type="dxa"/>
            <w:shd w:val="clear" w:color="auto" w:fill="auto"/>
            <w:tcMar>
              <w:top w:w="0" w:type="dxa"/>
              <w:left w:w="108" w:type="dxa"/>
              <w:bottom w:w="0" w:type="dxa"/>
              <w:right w:w="108" w:type="dxa"/>
            </w:tcMar>
          </w:tcPr>
          <w:p w14:paraId="614F632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12E7A1EC" w14:textId="77777777" w:rsidTr="00492095">
        <w:tc>
          <w:tcPr>
            <w:tcW w:w="2235" w:type="dxa"/>
            <w:shd w:val="clear" w:color="auto" w:fill="auto"/>
            <w:tcMar>
              <w:top w:w="0" w:type="dxa"/>
              <w:left w:w="108" w:type="dxa"/>
              <w:bottom w:w="0" w:type="dxa"/>
              <w:right w:w="108" w:type="dxa"/>
            </w:tcMar>
          </w:tcPr>
          <w:p w14:paraId="7AA8F1B4"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Northern Ireland 15-17</w:t>
            </w:r>
          </w:p>
        </w:tc>
        <w:tc>
          <w:tcPr>
            <w:tcW w:w="1559" w:type="dxa"/>
            <w:gridSpan w:val="3"/>
            <w:shd w:val="clear" w:color="auto" w:fill="auto"/>
            <w:tcMar>
              <w:top w:w="0" w:type="dxa"/>
              <w:left w:w="108" w:type="dxa"/>
              <w:bottom w:w="0" w:type="dxa"/>
              <w:right w:w="108" w:type="dxa"/>
            </w:tcMar>
          </w:tcPr>
          <w:p w14:paraId="3E4D7A1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-5.2</w:t>
            </w:r>
          </w:p>
        </w:tc>
        <w:tc>
          <w:tcPr>
            <w:tcW w:w="850" w:type="dxa"/>
            <w:gridSpan w:val="2"/>
            <w:shd w:val="clear" w:color="auto" w:fill="auto"/>
            <w:tcMar>
              <w:top w:w="0" w:type="dxa"/>
              <w:left w:w="108" w:type="dxa"/>
              <w:bottom w:w="0" w:type="dxa"/>
              <w:right w:w="108" w:type="dxa"/>
            </w:tcMar>
          </w:tcPr>
          <w:p w14:paraId="3D513C7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708A5E7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-3.8</w:t>
            </w:r>
          </w:p>
        </w:tc>
        <w:tc>
          <w:tcPr>
            <w:tcW w:w="709" w:type="dxa"/>
            <w:shd w:val="clear" w:color="auto" w:fill="auto"/>
            <w:tcMar>
              <w:top w:w="0" w:type="dxa"/>
              <w:left w:w="108" w:type="dxa"/>
              <w:bottom w:w="0" w:type="dxa"/>
              <w:right w:w="108" w:type="dxa"/>
            </w:tcMar>
          </w:tcPr>
          <w:p w14:paraId="07574AB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3AD9DA3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-7.9</w:t>
            </w:r>
          </w:p>
        </w:tc>
        <w:tc>
          <w:tcPr>
            <w:tcW w:w="755" w:type="dxa"/>
            <w:shd w:val="clear" w:color="auto" w:fill="auto"/>
            <w:tcMar>
              <w:top w:w="0" w:type="dxa"/>
              <w:left w:w="108" w:type="dxa"/>
              <w:bottom w:w="0" w:type="dxa"/>
              <w:right w:w="108" w:type="dxa"/>
            </w:tcMar>
          </w:tcPr>
          <w:p w14:paraId="52966A3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-2.5</w:t>
            </w:r>
          </w:p>
        </w:tc>
        <w:tc>
          <w:tcPr>
            <w:tcW w:w="884" w:type="dxa"/>
            <w:shd w:val="clear" w:color="auto" w:fill="auto"/>
            <w:tcMar>
              <w:top w:w="0" w:type="dxa"/>
              <w:left w:w="108" w:type="dxa"/>
              <w:bottom w:w="0" w:type="dxa"/>
              <w:right w:w="108" w:type="dxa"/>
            </w:tcMar>
          </w:tcPr>
          <w:p w14:paraId="6F75BD2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1EF79E77" w14:textId="77777777" w:rsidTr="00492095">
        <w:tc>
          <w:tcPr>
            <w:tcW w:w="2235" w:type="dxa"/>
            <w:shd w:val="clear" w:color="auto" w:fill="auto"/>
            <w:tcMar>
              <w:top w:w="0" w:type="dxa"/>
              <w:left w:w="108" w:type="dxa"/>
              <w:bottom w:w="0" w:type="dxa"/>
              <w:right w:w="108" w:type="dxa"/>
            </w:tcMar>
          </w:tcPr>
          <w:p w14:paraId="5B3B994C"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Tyne and Wear 05-07</w:t>
            </w:r>
          </w:p>
        </w:tc>
        <w:tc>
          <w:tcPr>
            <w:tcW w:w="1559" w:type="dxa"/>
            <w:gridSpan w:val="3"/>
            <w:shd w:val="clear" w:color="auto" w:fill="auto"/>
            <w:tcMar>
              <w:top w:w="0" w:type="dxa"/>
              <w:left w:w="108" w:type="dxa"/>
              <w:bottom w:w="0" w:type="dxa"/>
              <w:right w:w="108" w:type="dxa"/>
            </w:tcMar>
          </w:tcPr>
          <w:p w14:paraId="1874EC2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-5.4</w:t>
            </w:r>
          </w:p>
        </w:tc>
        <w:tc>
          <w:tcPr>
            <w:tcW w:w="850" w:type="dxa"/>
            <w:gridSpan w:val="2"/>
            <w:shd w:val="clear" w:color="auto" w:fill="auto"/>
            <w:tcMar>
              <w:top w:w="0" w:type="dxa"/>
              <w:left w:w="108" w:type="dxa"/>
              <w:bottom w:w="0" w:type="dxa"/>
              <w:right w:w="108" w:type="dxa"/>
            </w:tcMar>
          </w:tcPr>
          <w:p w14:paraId="58944B1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4C1190A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-3.9</w:t>
            </w:r>
          </w:p>
        </w:tc>
        <w:tc>
          <w:tcPr>
            <w:tcW w:w="709" w:type="dxa"/>
            <w:shd w:val="clear" w:color="auto" w:fill="auto"/>
            <w:tcMar>
              <w:top w:w="0" w:type="dxa"/>
              <w:left w:w="108" w:type="dxa"/>
              <w:bottom w:w="0" w:type="dxa"/>
              <w:right w:w="108" w:type="dxa"/>
            </w:tcMar>
          </w:tcPr>
          <w:p w14:paraId="58E7A56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49C0F32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-8.2</w:t>
            </w:r>
          </w:p>
        </w:tc>
        <w:tc>
          <w:tcPr>
            <w:tcW w:w="755" w:type="dxa"/>
            <w:shd w:val="clear" w:color="auto" w:fill="auto"/>
            <w:tcMar>
              <w:top w:w="0" w:type="dxa"/>
              <w:left w:w="108" w:type="dxa"/>
              <w:bottom w:w="0" w:type="dxa"/>
              <w:right w:w="108" w:type="dxa"/>
            </w:tcMar>
          </w:tcPr>
          <w:p w14:paraId="0A3CE26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-2.7</w:t>
            </w:r>
          </w:p>
        </w:tc>
        <w:tc>
          <w:tcPr>
            <w:tcW w:w="884" w:type="dxa"/>
            <w:shd w:val="clear" w:color="auto" w:fill="auto"/>
            <w:tcMar>
              <w:top w:w="0" w:type="dxa"/>
              <w:left w:w="108" w:type="dxa"/>
              <w:bottom w:w="0" w:type="dxa"/>
              <w:right w:w="108" w:type="dxa"/>
            </w:tcMar>
          </w:tcPr>
          <w:p w14:paraId="5CC57A7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1D259066" w14:textId="77777777" w:rsidTr="00492095">
        <w:tc>
          <w:tcPr>
            <w:tcW w:w="2235" w:type="dxa"/>
            <w:shd w:val="clear" w:color="auto" w:fill="auto"/>
            <w:tcMar>
              <w:top w:w="0" w:type="dxa"/>
              <w:left w:w="108" w:type="dxa"/>
              <w:bottom w:w="0" w:type="dxa"/>
              <w:right w:w="108" w:type="dxa"/>
            </w:tcMar>
          </w:tcPr>
          <w:p w14:paraId="1C870B68"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Tyne and Wear 15-17</w:t>
            </w:r>
          </w:p>
        </w:tc>
        <w:tc>
          <w:tcPr>
            <w:tcW w:w="1559" w:type="dxa"/>
            <w:gridSpan w:val="3"/>
            <w:shd w:val="clear" w:color="auto" w:fill="auto"/>
            <w:tcMar>
              <w:top w:w="0" w:type="dxa"/>
              <w:left w:w="108" w:type="dxa"/>
              <w:bottom w:w="0" w:type="dxa"/>
              <w:right w:w="108" w:type="dxa"/>
            </w:tcMar>
          </w:tcPr>
          <w:p w14:paraId="03CD55E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-1.7</w:t>
            </w:r>
          </w:p>
        </w:tc>
        <w:tc>
          <w:tcPr>
            <w:tcW w:w="850" w:type="dxa"/>
            <w:gridSpan w:val="2"/>
            <w:shd w:val="clear" w:color="auto" w:fill="auto"/>
            <w:tcMar>
              <w:top w:w="0" w:type="dxa"/>
              <w:left w:w="108" w:type="dxa"/>
              <w:bottom w:w="0" w:type="dxa"/>
              <w:right w:w="108" w:type="dxa"/>
            </w:tcMar>
          </w:tcPr>
          <w:p w14:paraId="7765061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1.8</w:t>
            </w:r>
          </w:p>
        </w:tc>
        <w:tc>
          <w:tcPr>
            <w:tcW w:w="709" w:type="dxa"/>
            <w:shd w:val="clear" w:color="auto" w:fill="auto"/>
            <w:tcMar>
              <w:top w:w="0" w:type="dxa"/>
              <w:left w:w="108" w:type="dxa"/>
              <w:bottom w:w="0" w:type="dxa"/>
              <w:right w:w="108" w:type="dxa"/>
            </w:tcMar>
          </w:tcPr>
          <w:p w14:paraId="79A84AC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-1.0</w:t>
            </w:r>
          </w:p>
        </w:tc>
        <w:tc>
          <w:tcPr>
            <w:tcW w:w="709" w:type="dxa"/>
            <w:shd w:val="clear" w:color="auto" w:fill="auto"/>
            <w:tcMar>
              <w:top w:w="0" w:type="dxa"/>
              <w:left w:w="108" w:type="dxa"/>
              <w:bottom w:w="0" w:type="dxa"/>
              <w:right w:w="108" w:type="dxa"/>
            </w:tcMar>
          </w:tcPr>
          <w:p w14:paraId="484A39D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.336</w:t>
            </w:r>
          </w:p>
        </w:tc>
        <w:tc>
          <w:tcPr>
            <w:tcW w:w="946" w:type="dxa"/>
            <w:gridSpan w:val="2"/>
            <w:shd w:val="clear" w:color="auto" w:fill="auto"/>
            <w:tcMar>
              <w:top w:w="0" w:type="dxa"/>
              <w:left w:w="108" w:type="dxa"/>
              <w:bottom w:w="0" w:type="dxa"/>
              <w:right w:w="108" w:type="dxa"/>
            </w:tcMar>
          </w:tcPr>
          <w:p w14:paraId="629AD7A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-5.1</w:t>
            </w:r>
          </w:p>
        </w:tc>
        <w:tc>
          <w:tcPr>
            <w:tcW w:w="755" w:type="dxa"/>
            <w:shd w:val="clear" w:color="auto" w:fill="auto"/>
            <w:tcMar>
              <w:top w:w="0" w:type="dxa"/>
              <w:left w:w="108" w:type="dxa"/>
              <w:bottom w:w="0" w:type="dxa"/>
              <w:right w:w="108" w:type="dxa"/>
            </w:tcMar>
          </w:tcPr>
          <w:p w14:paraId="69512CD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1.8</w:t>
            </w:r>
          </w:p>
        </w:tc>
        <w:tc>
          <w:tcPr>
            <w:tcW w:w="884" w:type="dxa"/>
            <w:shd w:val="clear" w:color="auto" w:fill="auto"/>
            <w:tcMar>
              <w:top w:w="0" w:type="dxa"/>
              <w:left w:w="108" w:type="dxa"/>
              <w:bottom w:w="0" w:type="dxa"/>
              <w:right w:w="108" w:type="dxa"/>
            </w:tcMar>
          </w:tcPr>
          <w:p w14:paraId="6A320CE5"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07E4CA09" w14:textId="77777777" w:rsidTr="00492095">
        <w:tc>
          <w:tcPr>
            <w:tcW w:w="2235" w:type="dxa"/>
            <w:shd w:val="clear" w:color="auto" w:fill="auto"/>
            <w:tcMar>
              <w:top w:w="0" w:type="dxa"/>
              <w:left w:w="108" w:type="dxa"/>
              <w:bottom w:w="0" w:type="dxa"/>
              <w:right w:w="108" w:type="dxa"/>
            </w:tcMar>
          </w:tcPr>
          <w:p w14:paraId="45215F6A"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South Yorkshire 05-07</w:t>
            </w:r>
          </w:p>
        </w:tc>
        <w:tc>
          <w:tcPr>
            <w:tcW w:w="1559" w:type="dxa"/>
            <w:gridSpan w:val="3"/>
            <w:shd w:val="clear" w:color="auto" w:fill="auto"/>
            <w:tcMar>
              <w:top w:w="0" w:type="dxa"/>
              <w:left w:w="108" w:type="dxa"/>
              <w:bottom w:w="0" w:type="dxa"/>
              <w:right w:w="108" w:type="dxa"/>
            </w:tcMar>
          </w:tcPr>
          <w:p w14:paraId="2C562E7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-5.4</w:t>
            </w:r>
          </w:p>
        </w:tc>
        <w:tc>
          <w:tcPr>
            <w:tcW w:w="850" w:type="dxa"/>
            <w:gridSpan w:val="2"/>
            <w:shd w:val="clear" w:color="auto" w:fill="auto"/>
            <w:tcMar>
              <w:top w:w="0" w:type="dxa"/>
              <w:left w:w="108" w:type="dxa"/>
              <w:bottom w:w="0" w:type="dxa"/>
              <w:right w:w="108" w:type="dxa"/>
            </w:tcMar>
          </w:tcPr>
          <w:p w14:paraId="0142481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66D4ED5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-4.0</w:t>
            </w:r>
          </w:p>
        </w:tc>
        <w:tc>
          <w:tcPr>
            <w:tcW w:w="709" w:type="dxa"/>
            <w:shd w:val="clear" w:color="auto" w:fill="auto"/>
            <w:tcMar>
              <w:top w:w="0" w:type="dxa"/>
              <w:left w:w="108" w:type="dxa"/>
              <w:bottom w:w="0" w:type="dxa"/>
              <w:right w:w="108" w:type="dxa"/>
            </w:tcMar>
          </w:tcPr>
          <w:p w14:paraId="11A282B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227D96C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-8.0</w:t>
            </w:r>
          </w:p>
        </w:tc>
        <w:tc>
          <w:tcPr>
            <w:tcW w:w="755" w:type="dxa"/>
            <w:shd w:val="clear" w:color="auto" w:fill="auto"/>
            <w:tcMar>
              <w:top w:w="0" w:type="dxa"/>
              <w:left w:w="108" w:type="dxa"/>
              <w:bottom w:w="0" w:type="dxa"/>
              <w:right w:w="108" w:type="dxa"/>
            </w:tcMar>
          </w:tcPr>
          <w:p w14:paraId="470EF4A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-2.8</w:t>
            </w:r>
          </w:p>
        </w:tc>
        <w:tc>
          <w:tcPr>
            <w:tcW w:w="884" w:type="dxa"/>
            <w:shd w:val="clear" w:color="auto" w:fill="auto"/>
            <w:tcMar>
              <w:top w:w="0" w:type="dxa"/>
              <w:left w:w="108" w:type="dxa"/>
              <w:bottom w:w="0" w:type="dxa"/>
              <w:right w:w="108" w:type="dxa"/>
            </w:tcMar>
          </w:tcPr>
          <w:p w14:paraId="23CCEE7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4444294D" w14:textId="77777777" w:rsidTr="00492095">
        <w:tc>
          <w:tcPr>
            <w:tcW w:w="2235" w:type="dxa"/>
            <w:shd w:val="clear" w:color="auto" w:fill="auto"/>
            <w:tcMar>
              <w:top w:w="0" w:type="dxa"/>
              <w:left w:w="108" w:type="dxa"/>
              <w:bottom w:w="0" w:type="dxa"/>
              <w:right w:w="108" w:type="dxa"/>
            </w:tcMar>
          </w:tcPr>
          <w:p w14:paraId="6F277257"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South Yorkshire 15-17</w:t>
            </w:r>
          </w:p>
        </w:tc>
        <w:tc>
          <w:tcPr>
            <w:tcW w:w="1559" w:type="dxa"/>
            <w:gridSpan w:val="3"/>
            <w:shd w:val="clear" w:color="auto" w:fill="auto"/>
            <w:tcMar>
              <w:top w:w="0" w:type="dxa"/>
              <w:left w:w="108" w:type="dxa"/>
              <w:bottom w:w="0" w:type="dxa"/>
              <w:right w:w="108" w:type="dxa"/>
            </w:tcMar>
          </w:tcPr>
          <w:p w14:paraId="575A60D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-2.3</w:t>
            </w:r>
          </w:p>
        </w:tc>
        <w:tc>
          <w:tcPr>
            <w:tcW w:w="850" w:type="dxa"/>
            <w:gridSpan w:val="2"/>
            <w:shd w:val="clear" w:color="auto" w:fill="auto"/>
            <w:tcMar>
              <w:top w:w="0" w:type="dxa"/>
              <w:left w:w="108" w:type="dxa"/>
              <w:bottom w:w="0" w:type="dxa"/>
              <w:right w:w="108" w:type="dxa"/>
            </w:tcMar>
          </w:tcPr>
          <w:p w14:paraId="41425EB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1.7</w:t>
            </w:r>
          </w:p>
        </w:tc>
        <w:tc>
          <w:tcPr>
            <w:tcW w:w="709" w:type="dxa"/>
            <w:shd w:val="clear" w:color="auto" w:fill="auto"/>
            <w:tcMar>
              <w:top w:w="0" w:type="dxa"/>
              <w:left w:w="108" w:type="dxa"/>
              <w:bottom w:w="0" w:type="dxa"/>
              <w:right w:w="108" w:type="dxa"/>
            </w:tcMar>
          </w:tcPr>
          <w:p w14:paraId="2A3966C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7729C71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.170</w:t>
            </w:r>
          </w:p>
        </w:tc>
        <w:tc>
          <w:tcPr>
            <w:tcW w:w="946" w:type="dxa"/>
            <w:gridSpan w:val="2"/>
            <w:shd w:val="clear" w:color="auto" w:fill="auto"/>
            <w:tcMar>
              <w:top w:w="0" w:type="dxa"/>
              <w:left w:w="108" w:type="dxa"/>
              <w:bottom w:w="0" w:type="dxa"/>
              <w:right w:w="108" w:type="dxa"/>
            </w:tcMar>
          </w:tcPr>
          <w:p w14:paraId="18C8EBB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-5.7</w:t>
            </w:r>
          </w:p>
        </w:tc>
        <w:tc>
          <w:tcPr>
            <w:tcW w:w="755" w:type="dxa"/>
            <w:shd w:val="clear" w:color="auto" w:fill="auto"/>
            <w:tcMar>
              <w:top w:w="0" w:type="dxa"/>
              <w:left w:w="108" w:type="dxa"/>
              <w:bottom w:w="0" w:type="dxa"/>
              <w:right w:w="108" w:type="dxa"/>
            </w:tcMar>
          </w:tcPr>
          <w:p w14:paraId="6F08BF0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0.9</w:t>
            </w:r>
          </w:p>
        </w:tc>
        <w:tc>
          <w:tcPr>
            <w:tcW w:w="884" w:type="dxa"/>
            <w:shd w:val="clear" w:color="auto" w:fill="auto"/>
            <w:tcMar>
              <w:top w:w="0" w:type="dxa"/>
              <w:left w:w="108" w:type="dxa"/>
              <w:bottom w:w="0" w:type="dxa"/>
              <w:right w:w="108" w:type="dxa"/>
            </w:tcMar>
          </w:tcPr>
          <w:p w14:paraId="3D962632"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7F87A014" w14:textId="77777777" w:rsidTr="00492095">
        <w:tc>
          <w:tcPr>
            <w:tcW w:w="2235" w:type="dxa"/>
            <w:shd w:val="clear" w:color="auto" w:fill="auto"/>
            <w:tcMar>
              <w:top w:w="0" w:type="dxa"/>
              <w:left w:w="108" w:type="dxa"/>
              <w:bottom w:w="0" w:type="dxa"/>
              <w:right w:w="108" w:type="dxa"/>
            </w:tcMar>
          </w:tcPr>
          <w:p w14:paraId="05F14059"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Wales 05-07</w:t>
            </w:r>
          </w:p>
        </w:tc>
        <w:tc>
          <w:tcPr>
            <w:tcW w:w="1559" w:type="dxa"/>
            <w:gridSpan w:val="3"/>
            <w:shd w:val="clear" w:color="auto" w:fill="auto"/>
            <w:tcMar>
              <w:top w:w="0" w:type="dxa"/>
              <w:left w:w="108" w:type="dxa"/>
              <w:bottom w:w="0" w:type="dxa"/>
              <w:right w:w="108" w:type="dxa"/>
            </w:tcMar>
          </w:tcPr>
          <w:p w14:paraId="133E53D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-4.8</w:t>
            </w:r>
          </w:p>
        </w:tc>
        <w:tc>
          <w:tcPr>
            <w:tcW w:w="850" w:type="dxa"/>
            <w:gridSpan w:val="2"/>
            <w:shd w:val="clear" w:color="auto" w:fill="auto"/>
            <w:tcMar>
              <w:top w:w="0" w:type="dxa"/>
              <w:left w:w="108" w:type="dxa"/>
              <w:bottom w:w="0" w:type="dxa"/>
              <w:right w:w="108" w:type="dxa"/>
            </w:tcMar>
          </w:tcPr>
          <w:p w14:paraId="59238A8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4386C0C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-3.9</w:t>
            </w:r>
          </w:p>
        </w:tc>
        <w:tc>
          <w:tcPr>
            <w:tcW w:w="709" w:type="dxa"/>
            <w:shd w:val="clear" w:color="auto" w:fill="auto"/>
            <w:tcMar>
              <w:top w:w="0" w:type="dxa"/>
              <w:left w:w="108" w:type="dxa"/>
              <w:bottom w:w="0" w:type="dxa"/>
              <w:right w:w="108" w:type="dxa"/>
            </w:tcMar>
          </w:tcPr>
          <w:p w14:paraId="239D5FD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6771952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-7.2</w:t>
            </w:r>
          </w:p>
        </w:tc>
        <w:tc>
          <w:tcPr>
            <w:tcW w:w="755" w:type="dxa"/>
            <w:shd w:val="clear" w:color="auto" w:fill="auto"/>
            <w:tcMar>
              <w:top w:w="0" w:type="dxa"/>
              <w:left w:w="108" w:type="dxa"/>
              <w:bottom w:w="0" w:type="dxa"/>
              <w:right w:w="108" w:type="dxa"/>
            </w:tcMar>
          </w:tcPr>
          <w:p w14:paraId="0B73531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-2.4</w:t>
            </w:r>
          </w:p>
        </w:tc>
        <w:tc>
          <w:tcPr>
            <w:tcW w:w="884" w:type="dxa"/>
            <w:shd w:val="clear" w:color="auto" w:fill="auto"/>
            <w:tcMar>
              <w:top w:w="0" w:type="dxa"/>
              <w:left w:w="108" w:type="dxa"/>
              <w:bottom w:w="0" w:type="dxa"/>
              <w:right w:w="108" w:type="dxa"/>
            </w:tcMar>
          </w:tcPr>
          <w:p w14:paraId="6248022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17BD0D10" w14:textId="77777777" w:rsidTr="00492095">
        <w:tc>
          <w:tcPr>
            <w:tcW w:w="2235" w:type="dxa"/>
            <w:shd w:val="clear" w:color="auto" w:fill="auto"/>
            <w:tcMar>
              <w:top w:w="0" w:type="dxa"/>
              <w:left w:w="108" w:type="dxa"/>
              <w:bottom w:w="0" w:type="dxa"/>
              <w:right w:w="108" w:type="dxa"/>
            </w:tcMar>
          </w:tcPr>
          <w:p w14:paraId="11152085"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Wales 15-17</w:t>
            </w:r>
          </w:p>
        </w:tc>
        <w:tc>
          <w:tcPr>
            <w:tcW w:w="1559" w:type="dxa"/>
            <w:gridSpan w:val="3"/>
            <w:shd w:val="clear" w:color="auto" w:fill="auto"/>
            <w:tcMar>
              <w:top w:w="0" w:type="dxa"/>
              <w:left w:w="108" w:type="dxa"/>
              <w:bottom w:w="0" w:type="dxa"/>
              <w:right w:w="108" w:type="dxa"/>
            </w:tcMar>
          </w:tcPr>
          <w:p w14:paraId="728D4E8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-3.3</w:t>
            </w:r>
          </w:p>
        </w:tc>
        <w:tc>
          <w:tcPr>
            <w:tcW w:w="850" w:type="dxa"/>
            <w:gridSpan w:val="2"/>
            <w:shd w:val="clear" w:color="auto" w:fill="auto"/>
            <w:tcMar>
              <w:top w:w="0" w:type="dxa"/>
              <w:left w:w="108" w:type="dxa"/>
              <w:bottom w:w="0" w:type="dxa"/>
              <w:right w:w="108" w:type="dxa"/>
            </w:tcMar>
          </w:tcPr>
          <w:p w14:paraId="320A846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588765A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-2.5</w:t>
            </w:r>
          </w:p>
        </w:tc>
        <w:tc>
          <w:tcPr>
            <w:tcW w:w="709" w:type="dxa"/>
            <w:shd w:val="clear" w:color="auto" w:fill="auto"/>
            <w:tcMar>
              <w:top w:w="0" w:type="dxa"/>
              <w:left w:w="108" w:type="dxa"/>
              <w:bottom w:w="0" w:type="dxa"/>
              <w:right w:w="108" w:type="dxa"/>
            </w:tcMar>
          </w:tcPr>
          <w:p w14:paraId="5D545F0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.014</w:t>
            </w:r>
          </w:p>
        </w:tc>
        <w:tc>
          <w:tcPr>
            <w:tcW w:w="946" w:type="dxa"/>
            <w:gridSpan w:val="2"/>
            <w:shd w:val="clear" w:color="auto" w:fill="auto"/>
            <w:tcMar>
              <w:top w:w="0" w:type="dxa"/>
              <w:left w:w="108" w:type="dxa"/>
              <w:bottom w:w="0" w:type="dxa"/>
              <w:right w:w="108" w:type="dxa"/>
            </w:tcMar>
          </w:tcPr>
          <w:p w14:paraId="08CEB72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-6.0</w:t>
            </w:r>
          </w:p>
        </w:tc>
        <w:tc>
          <w:tcPr>
            <w:tcW w:w="755" w:type="dxa"/>
            <w:shd w:val="clear" w:color="auto" w:fill="auto"/>
            <w:tcMar>
              <w:top w:w="0" w:type="dxa"/>
              <w:left w:w="108" w:type="dxa"/>
              <w:bottom w:w="0" w:type="dxa"/>
              <w:right w:w="108" w:type="dxa"/>
            </w:tcMar>
          </w:tcPr>
          <w:p w14:paraId="7D55600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-0.7</w:t>
            </w:r>
          </w:p>
        </w:tc>
        <w:tc>
          <w:tcPr>
            <w:tcW w:w="884" w:type="dxa"/>
            <w:shd w:val="clear" w:color="auto" w:fill="auto"/>
            <w:tcMar>
              <w:top w:w="0" w:type="dxa"/>
              <w:left w:w="108" w:type="dxa"/>
              <w:bottom w:w="0" w:type="dxa"/>
              <w:right w:w="108" w:type="dxa"/>
            </w:tcMar>
          </w:tcPr>
          <w:p w14:paraId="4F51FF5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60F8B82C" w14:textId="77777777" w:rsidTr="00492095">
        <w:tc>
          <w:tcPr>
            <w:tcW w:w="2235" w:type="dxa"/>
            <w:shd w:val="clear" w:color="auto" w:fill="auto"/>
            <w:tcMar>
              <w:top w:w="0" w:type="dxa"/>
              <w:left w:w="108" w:type="dxa"/>
              <w:bottom w:w="0" w:type="dxa"/>
              <w:right w:w="108" w:type="dxa"/>
            </w:tcMar>
          </w:tcPr>
          <w:p w14:paraId="4AAAE698"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Merseyside 05-07</w:t>
            </w:r>
          </w:p>
        </w:tc>
        <w:tc>
          <w:tcPr>
            <w:tcW w:w="1559" w:type="dxa"/>
            <w:gridSpan w:val="3"/>
            <w:shd w:val="clear" w:color="auto" w:fill="auto"/>
            <w:tcMar>
              <w:top w:w="0" w:type="dxa"/>
              <w:left w:w="108" w:type="dxa"/>
              <w:bottom w:w="0" w:type="dxa"/>
              <w:right w:w="108" w:type="dxa"/>
            </w:tcMar>
          </w:tcPr>
          <w:p w14:paraId="195D2F8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-4.4</w:t>
            </w:r>
          </w:p>
        </w:tc>
        <w:tc>
          <w:tcPr>
            <w:tcW w:w="850" w:type="dxa"/>
            <w:gridSpan w:val="2"/>
            <w:shd w:val="clear" w:color="auto" w:fill="auto"/>
            <w:tcMar>
              <w:top w:w="0" w:type="dxa"/>
              <w:left w:w="108" w:type="dxa"/>
              <w:bottom w:w="0" w:type="dxa"/>
              <w:right w:w="108" w:type="dxa"/>
            </w:tcMar>
          </w:tcPr>
          <w:p w14:paraId="26F4635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08940E0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-3.1</w:t>
            </w:r>
          </w:p>
        </w:tc>
        <w:tc>
          <w:tcPr>
            <w:tcW w:w="709" w:type="dxa"/>
            <w:shd w:val="clear" w:color="auto" w:fill="auto"/>
            <w:tcMar>
              <w:top w:w="0" w:type="dxa"/>
              <w:left w:w="108" w:type="dxa"/>
              <w:bottom w:w="0" w:type="dxa"/>
              <w:right w:w="108" w:type="dxa"/>
            </w:tcMar>
          </w:tcPr>
          <w:p w14:paraId="32E9C01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.002</w:t>
            </w:r>
          </w:p>
        </w:tc>
        <w:tc>
          <w:tcPr>
            <w:tcW w:w="946" w:type="dxa"/>
            <w:gridSpan w:val="2"/>
            <w:shd w:val="clear" w:color="auto" w:fill="auto"/>
            <w:tcMar>
              <w:top w:w="0" w:type="dxa"/>
              <w:left w:w="108" w:type="dxa"/>
              <w:bottom w:w="0" w:type="dxa"/>
              <w:right w:w="108" w:type="dxa"/>
            </w:tcMar>
          </w:tcPr>
          <w:p w14:paraId="4C7BCF2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-7.2</w:t>
            </w:r>
          </w:p>
        </w:tc>
        <w:tc>
          <w:tcPr>
            <w:tcW w:w="755" w:type="dxa"/>
            <w:shd w:val="clear" w:color="auto" w:fill="auto"/>
            <w:tcMar>
              <w:top w:w="0" w:type="dxa"/>
              <w:left w:w="108" w:type="dxa"/>
              <w:bottom w:w="0" w:type="dxa"/>
              <w:right w:w="108" w:type="dxa"/>
            </w:tcMar>
          </w:tcPr>
          <w:p w14:paraId="44C71B5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-1.6</w:t>
            </w:r>
          </w:p>
        </w:tc>
        <w:tc>
          <w:tcPr>
            <w:tcW w:w="884" w:type="dxa"/>
            <w:shd w:val="clear" w:color="auto" w:fill="auto"/>
            <w:tcMar>
              <w:top w:w="0" w:type="dxa"/>
              <w:left w:w="108" w:type="dxa"/>
              <w:bottom w:w="0" w:type="dxa"/>
              <w:right w:w="108" w:type="dxa"/>
            </w:tcMar>
          </w:tcPr>
          <w:p w14:paraId="257051A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4BC97DCF" w14:textId="77777777" w:rsidTr="00492095">
        <w:tc>
          <w:tcPr>
            <w:tcW w:w="2235" w:type="dxa"/>
            <w:shd w:val="clear" w:color="auto" w:fill="auto"/>
            <w:tcMar>
              <w:top w:w="0" w:type="dxa"/>
              <w:left w:w="108" w:type="dxa"/>
              <w:bottom w:w="0" w:type="dxa"/>
              <w:right w:w="108" w:type="dxa"/>
            </w:tcMar>
          </w:tcPr>
          <w:p w14:paraId="40BE67A5"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Merseyside 15-17</w:t>
            </w:r>
          </w:p>
        </w:tc>
        <w:tc>
          <w:tcPr>
            <w:tcW w:w="1559" w:type="dxa"/>
            <w:gridSpan w:val="3"/>
            <w:shd w:val="clear" w:color="auto" w:fill="auto"/>
            <w:tcMar>
              <w:top w:w="0" w:type="dxa"/>
              <w:left w:w="108" w:type="dxa"/>
              <w:bottom w:w="0" w:type="dxa"/>
              <w:right w:w="108" w:type="dxa"/>
            </w:tcMar>
          </w:tcPr>
          <w:p w14:paraId="639B01D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850" w:type="dxa"/>
            <w:gridSpan w:val="2"/>
            <w:shd w:val="clear" w:color="auto" w:fill="auto"/>
            <w:tcMar>
              <w:top w:w="0" w:type="dxa"/>
              <w:left w:w="108" w:type="dxa"/>
              <w:bottom w:w="0" w:type="dxa"/>
              <w:right w:w="108" w:type="dxa"/>
            </w:tcMar>
          </w:tcPr>
          <w:p w14:paraId="4CA2EB0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1.6</w:t>
            </w:r>
          </w:p>
        </w:tc>
        <w:tc>
          <w:tcPr>
            <w:tcW w:w="709" w:type="dxa"/>
            <w:shd w:val="clear" w:color="auto" w:fill="auto"/>
            <w:tcMar>
              <w:top w:w="0" w:type="dxa"/>
              <w:left w:w="108" w:type="dxa"/>
              <w:bottom w:w="0" w:type="dxa"/>
              <w:right w:w="108" w:type="dxa"/>
            </w:tcMar>
          </w:tcPr>
          <w:p w14:paraId="211F356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-0.9</w:t>
            </w:r>
          </w:p>
        </w:tc>
        <w:tc>
          <w:tcPr>
            <w:tcW w:w="709" w:type="dxa"/>
            <w:shd w:val="clear" w:color="auto" w:fill="auto"/>
            <w:tcMar>
              <w:top w:w="0" w:type="dxa"/>
              <w:left w:w="108" w:type="dxa"/>
              <w:bottom w:w="0" w:type="dxa"/>
              <w:right w:w="108" w:type="dxa"/>
            </w:tcMar>
          </w:tcPr>
          <w:p w14:paraId="45514DD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.389</w:t>
            </w:r>
          </w:p>
        </w:tc>
        <w:tc>
          <w:tcPr>
            <w:tcW w:w="946" w:type="dxa"/>
            <w:gridSpan w:val="2"/>
            <w:shd w:val="clear" w:color="auto" w:fill="auto"/>
            <w:tcMar>
              <w:top w:w="0" w:type="dxa"/>
              <w:left w:w="108" w:type="dxa"/>
              <w:bottom w:w="0" w:type="dxa"/>
              <w:right w:w="108" w:type="dxa"/>
            </w:tcMar>
          </w:tcPr>
          <w:p w14:paraId="5B23461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-4.5</w:t>
            </w:r>
          </w:p>
        </w:tc>
        <w:tc>
          <w:tcPr>
            <w:tcW w:w="755" w:type="dxa"/>
            <w:shd w:val="clear" w:color="auto" w:fill="auto"/>
            <w:tcMar>
              <w:top w:w="0" w:type="dxa"/>
              <w:left w:w="108" w:type="dxa"/>
              <w:bottom w:w="0" w:type="dxa"/>
              <w:right w:w="108" w:type="dxa"/>
            </w:tcMar>
          </w:tcPr>
          <w:p w14:paraId="73456B5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1.7</w:t>
            </w:r>
          </w:p>
        </w:tc>
        <w:tc>
          <w:tcPr>
            <w:tcW w:w="884" w:type="dxa"/>
            <w:shd w:val="clear" w:color="auto" w:fill="auto"/>
            <w:tcMar>
              <w:top w:w="0" w:type="dxa"/>
              <w:left w:w="108" w:type="dxa"/>
              <w:bottom w:w="0" w:type="dxa"/>
              <w:right w:w="108" w:type="dxa"/>
            </w:tcMar>
          </w:tcPr>
          <w:p w14:paraId="4933301C"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35B675F5" w14:textId="77777777" w:rsidTr="00492095">
        <w:tc>
          <w:tcPr>
            <w:tcW w:w="2235" w:type="dxa"/>
            <w:shd w:val="clear" w:color="auto" w:fill="auto"/>
            <w:tcMar>
              <w:top w:w="0" w:type="dxa"/>
              <w:left w:w="108" w:type="dxa"/>
              <w:bottom w:w="0" w:type="dxa"/>
              <w:right w:w="108" w:type="dxa"/>
            </w:tcMar>
          </w:tcPr>
          <w:p w14:paraId="0BEC4DA9"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Rest of West Midlands 05-07</w:t>
            </w:r>
          </w:p>
        </w:tc>
        <w:tc>
          <w:tcPr>
            <w:tcW w:w="1559" w:type="dxa"/>
            <w:gridSpan w:val="3"/>
            <w:shd w:val="clear" w:color="auto" w:fill="auto"/>
            <w:tcMar>
              <w:top w:w="0" w:type="dxa"/>
              <w:left w:w="108" w:type="dxa"/>
              <w:bottom w:w="0" w:type="dxa"/>
              <w:right w:w="108" w:type="dxa"/>
            </w:tcMar>
          </w:tcPr>
          <w:p w14:paraId="036C0F9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-4.4</w:t>
            </w:r>
          </w:p>
        </w:tc>
        <w:tc>
          <w:tcPr>
            <w:tcW w:w="850" w:type="dxa"/>
            <w:gridSpan w:val="2"/>
            <w:shd w:val="clear" w:color="auto" w:fill="auto"/>
            <w:tcMar>
              <w:top w:w="0" w:type="dxa"/>
              <w:left w:w="108" w:type="dxa"/>
              <w:bottom w:w="0" w:type="dxa"/>
              <w:right w:w="108" w:type="dxa"/>
            </w:tcMar>
          </w:tcPr>
          <w:p w14:paraId="639F848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79ABF30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-3.6</w:t>
            </w:r>
          </w:p>
        </w:tc>
        <w:tc>
          <w:tcPr>
            <w:tcW w:w="709" w:type="dxa"/>
            <w:shd w:val="clear" w:color="auto" w:fill="auto"/>
            <w:tcMar>
              <w:top w:w="0" w:type="dxa"/>
              <w:left w:w="108" w:type="dxa"/>
              <w:bottom w:w="0" w:type="dxa"/>
              <w:right w:w="108" w:type="dxa"/>
            </w:tcMar>
          </w:tcPr>
          <w:p w14:paraId="54963D8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22C3986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-6.8</w:t>
            </w:r>
          </w:p>
        </w:tc>
        <w:tc>
          <w:tcPr>
            <w:tcW w:w="755" w:type="dxa"/>
            <w:shd w:val="clear" w:color="auto" w:fill="auto"/>
            <w:tcMar>
              <w:top w:w="0" w:type="dxa"/>
              <w:left w:w="108" w:type="dxa"/>
              <w:bottom w:w="0" w:type="dxa"/>
              <w:right w:w="108" w:type="dxa"/>
            </w:tcMar>
          </w:tcPr>
          <w:p w14:paraId="44BA3C8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-2.0</w:t>
            </w:r>
          </w:p>
        </w:tc>
        <w:tc>
          <w:tcPr>
            <w:tcW w:w="884" w:type="dxa"/>
            <w:shd w:val="clear" w:color="auto" w:fill="auto"/>
            <w:tcMar>
              <w:top w:w="0" w:type="dxa"/>
              <w:left w:w="108" w:type="dxa"/>
              <w:bottom w:w="0" w:type="dxa"/>
              <w:right w:w="108" w:type="dxa"/>
            </w:tcMar>
          </w:tcPr>
          <w:p w14:paraId="37B1A93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17100650" w14:textId="77777777" w:rsidTr="00492095">
        <w:tc>
          <w:tcPr>
            <w:tcW w:w="2235" w:type="dxa"/>
            <w:shd w:val="clear" w:color="auto" w:fill="auto"/>
            <w:tcMar>
              <w:top w:w="0" w:type="dxa"/>
              <w:left w:w="108" w:type="dxa"/>
              <w:bottom w:w="0" w:type="dxa"/>
              <w:right w:w="108" w:type="dxa"/>
            </w:tcMar>
          </w:tcPr>
          <w:p w14:paraId="33D807F4"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Rest of West Midlands 15-17</w:t>
            </w:r>
          </w:p>
        </w:tc>
        <w:tc>
          <w:tcPr>
            <w:tcW w:w="1559" w:type="dxa"/>
            <w:gridSpan w:val="3"/>
            <w:shd w:val="clear" w:color="auto" w:fill="auto"/>
            <w:tcMar>
              <w:top w:w="0" w:type="dxa"/>
              <w:left w:w="108" w:type="dxa"/>
              <w:bottom w:w="0" w:type="dxa"/>
              <w:right w:w="108" w:type="dxa"/>
            </w:tcMar>
          </w:tcPr>
          <w:p w14:paraId="01B5EE3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-3.3</w:t>
            </w:r>
          </w:p>
        </w:tc>
        <w:tc>
          <w:tcPr>
            <w:tcW w:w="850" w:type="dxa"/>
            <w:gridSpan w:val="2"/>
            <w:shd w:val="clear" w:color="auto" w:fill="auto"/>
            <w:tcMar>
              <w:top w:w="0" w:type="dxa"/>
              <w:left w:w="108" w:type="dxa"/>
              <w:bottom w:w="0" w:type="dxa"/>
              <w:right w:w="108" w:type="dxa"/>
            </w:tcMar>
          </w:tcPr>
          <w:p w14:paraId="3B806DE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4904FA0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-2.4</w:t>
            </w:r>
          </w:p>
        </w:tc>
        <w:tc>
          <w:tcPr>
            <w:tcW w:w="709" w:type="dxa"/>
            <w:shd w:val="clear" w:color="auto" w:fill="auto"/>
            <w:tcMar>
              <w:top w:w="0" w:type="dxa"/>
              <w:left w:w="108" w:type="dxa"/>
              <w:bottom w:w="0" w:type="dxa"/>
              <w:right w:w="108" w:type="dxa"/>
            </w:tcMar>
          </w:tcPr>
          <w:p w14:paraId="5EF9D25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.016</w:t>
            </w:r>
          </w:p>
        </w:tc>
        <w:tc>
          <w:tcPr>
            <w:tcW w:w="946" w:type="dxa"/>
            <w:gridSpan w:val="2"/>
            <w:shd w:val="clear" w:color="auto" w:fill="auto"/>
            <w:tcMar>
              <w:top w:w="0" w:type="dxa"/>
              <w:left w:w="108" w:type="dxa"/>
              <w:bottom w:w="0" w:type="dxa"/>
              <w:right w:w="108" w:type="dxa"/>
            </w:tcMar>
          </w:tcPr>
          <w:p w14:paraId="3107129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-6.0</w:t>
            </w:r>
          </w:p>
        </w:tc>
        <w:tc>
          <w:tcPr>
            <w:tcW w:w="755" w:type="dxa"/>
            <w:shd w:val="clear" w:color="auto" w:fill="auto"/>
            <w:tcMar>
              <w:top w:w="0" w:type="dxa"/>
              <w:left w:w="108" w:type="dxa"/>
              <w:bottom w:w="0" w:type="dxa"/>
              <w:right w:w="108" w:type="dxa"/>
            </w:tcMar>
          </w:tcPr>
          <w:p w14:paraId="77622E6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-0.6</w:t>
            </w:r>
          </w:p>
        </w:tc>
        <w:tc>
          <w:tcPr>
            <w:tcW w:w="884" w:type="dxa"/>
            <w:shd w:val="clear" w:color="auto" w:fill="auto"/>
            <w:tcMar>
              <w:top w:w="0" w:type="dxa"/>
              <w:left w:w="108" w:type="dxa"/>
              <w:bottom w:w="0" w:type="dxa"/>
              <w:right w:w="108" w:type="dxa"/>
            </w:tcMar>
          </w:tcPr>
          <w:p w14:paraId="0C9A508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71CEA50F" w14:textId="77777777" w:rsidTr="00492095">
        <w:tc>
          <w:tcPr>
            <w:tcW w:w="2235" w:type="dxa"/>
            <w:shd w:val="clear" w:color="auto" w:fill="auto"/>
            <w:tcMar>
              <w:top w:w="0" w:type="dxa"/>
              <w:left w:w="108" w:type="dxa"/>
              <w:bottom w:w="0" w:type="dxa"/>
              <w:right w:w="108" w:type="dxa"/>
            </w:tcMar>
          </w:tcPr>
          <w:p w14:paraId="5CCEF889"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lastRenderedPageBreak/>
              <w:t>South West 05-07</w:t>
            </w:r>
          </w:p>
        </w:tc>
        <w:tc>
          <w:tcPr>
            <w:tcW w:w="1559" w:type="dxa"/>
            <w:gridSpan w:val="3"/>
            <w:shd w:val="clear" w:color="auto" w:fill="auto"/>
            <w:tcMar>
              <w:top w:w="0" w:type="dxa"/>
              <w:left w:w="108" w:type="dxa"/>
              <w:bottom w:w="0" w:type="dxa"/>
              <w:right w:w="108" w:type="dxa"/>
            </w:tcMar>
          </w:tcPr>
          <w:p w14:paraId="0B2198E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-4.4</w:t>
            </w:r>
          </w:p>
        </w:tc>
        <w:tc>
          <w:tcPr>
            <w:tcW w:w="850" w:type="dxa"/>
            <w:gridSpan w:val="2"/>
            <w:shd w:val="clear" w:color="auto" w:fill="auto"/>
            <w:tcMar>
              <w:top w:w="0" w:type="dxa"/>
              <w:left w:w="108" w:type="dxa"/>
              <w:bottom w:w="0" w:type="dxa"/>
              <w:right w:w="108" w:type="dxa"/>
            </w:tcMar>
          </w:tcPr>
          <w:p w14:paraId="22F4B14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20421AA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-3.9</w:t>
            </w:r>
          </w:p>
        </w:tc>
        <w:tc>
          <w:tcPr>
            <w:tcW w:w="709" w:type="dxa"/>
            <w:shd w:val="clear" w:color="auto" w:fill="auto"/>
            <w:tcMar>
              <w:top w:w="0" w:type="dxa"/>
              <w:left w:w="108" w:type="dxa"/>
              <w:bottom w:w="0" w:type="dxa"/>
              <w:right w:w="108" w:type="dxa"/>
            </w:tcMar>
          </w:tcPr>
          <w:p w14:paraId="2305706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22B6034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-6.7</w:t>
            </w:r>
          </w:p>
        </w:tc>
        <w:tc>
          <w:tcPr>
            <w:tcW w:w="755" w:type="dxa"/>
            <w:shd w:val="clear" w:color="auto" w:fill="auto"/>
            <w:tcMar>
              <w:top w:w="0" w:type="dxa"/>
              <w:left w:w="108" w:type="dxa"/>
              <w:bottom w:w="0" w:type="dxa"/>
              <w:right w:w="108" w:type="dxa"/>
            </w:tcMar>
          </w:tcPr>
          <w:p w14:paraId="3BA9595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-2.2</w:t>
            </w:r>
          </w:p>
        </w:tc>
        <w:tc>
          <w:tcPr>
            <w:tcW w:w="884" w:type="dxa"/>
            <w:shd w:val="clear" w:color="auto" w:fill="auto"/>
            <w:tcMar>
              <w:top w:w="0" w:type="dxa"/>
              <w:left w:w="108" w:type="dxa"/>
              <w:bottom w:w="0" w:type="dxa"/>
              <w:right w:w="108" w:type="dxa"/>
            </w:tcMar>
          </w:tcPr>
          <w:p w14:paraId="6AD4690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34F2BF1D" w14:textId="77777777" w:rsidTr="00492095">
        <w:tc>
          <w:tcPr>
            <w:tcW w:w="2235" w:type="dxa"/>
            <w:shd w:val="clear" w:color="auto" w:fill="auto"/>
            <w:tcMar>
              <w:top w:w="0" w:type="dxa"/>
              <w:left w:w="108" w:type="dxa"/>
              <w:bottom w:w="0" w:type="dxa"/>
              <w:right w:w="108" w:type="dxa"/>
            </w:tcMar>
          </w:tcPr>
          <w:p w14:paraId="1F9F172E"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South West 15-17</w:t>
            </w:r>
          </w:p>
        </w:tc>
        <w:tc>
          <w:tcPr>
            <w:tcW w:w="1559" w:type="dxa"/>
            <w:gridSpan w:val="3"/>
            <w:shd w:val="clear" w:color="auto" w:fill="auto"/>
            <w:tcMar>
              <w:top w:w="0" w:type="dxa"/>
              <w:left w:w="108" w:type="dxa"/>
              <w:bottom w:w="0" w:type="dxa"/>
              <w:right w:w="108" w:type="dxa"/>
            </w:tcMar>
          </w:tcPr>
          <w:p w14:paraId="3548F46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-3.7</w:t>
            </w:r>
          </w:p>
        </w:tc>
        <w:tc>
          <w:tcPr>
            <w:tcW w:w="850" w:type="dxa"/>
            <w:gridSpan w:val="2"/>
            <w:shd w:val="clear" w:color="auto" w:fill="auto"/>
            <w:tcMar>
              <w:top w:w="0" w:type="dxa"/>
              <w:left w:w="108" w:type="dxa"/>
              <w:bottom w:w="0" w:type="dxa"/>
              <w:right w:w="108" w:type="dxa"/>
            </w:tcMar>
          </w:tcPr>
          <w:p w14:paraId="4AD4480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4CDC8BD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-3.1</w:t>
            </w:r>
          </w:p>
        </w:tc>
        <w:tc>
          <w:tcPr>
            <w:tcW w:w="709" w:type="dxa"/>
            <w:shd w:val="clear" w:color="auto" w:fill="auto"/>
            <w:tcMar>
              <w:top w:w="0" w:type="dxa"/>
              <w:left w:w="108" w:type="dxa"/>
              <w:bottom w:w="0" w:type="dxa"/>
              <w:right w:w="108" w:type="dxa"/>
            </w:tcMar>
          </w:tcPr>
          <w:p w14:paraId="43EC7EC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.002</w:t>
            </w:r>
          </w:p>
        </w:tc>
        <w:tc>
          <w:tcPr>
            <w:tcW w:w="946" w:type="dxa"/>
            <w:gridSpan w:val="2"/>
            <w:shd w:val="clear" w:color="auto" w:fill="auto"/>
            <w:tcMar>
              <w:top w:w="0" w:type="dxa"/>
              <w:left w:w="108" w:type="dxa"/>
              <w:bottom w:w="0" w:type="dxa"/>
              <w:right w:w="108" w:type="dxa"/>
            </w:tcMar>
          </w:tcPr>
          <w:p w14:paraId="62C89EC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-6.1</w:t>
            </w:r>
          </w:p>
        </w:tc>
        <w:tc>
          <w:tcPr>
            <w:tcW w:w="755" w:type="dxa"/>
            <w:shd w:val="clear" w:color="auto" w:fill="auto"/>
            <w:tcMar>
              <w:top w:w="0" w:type="dxa"/>
              <w:left w:w="108" w:type="dxa"/>
              <w:bottom w:w="0" w:type="dxa"/>
              <w:right w:w="108" w:type="dxa"/>
            </w:tcMar>
          </w:tcPr>
          <w:p w14:paraId="458086F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884" w:type="dxa"/>
            <w:shd w:val="clear" w:color="auto" w:fill="auto"/>
            <w:tcMar>
              <w:top w:w="0" w:type="dxa"/>
              <w:left w:w="108" w:type="dxa"/>
              <w:bottom w:w="0" w:type="dxa"/>
              <w:right w:w="108" w:type="dxa"/>
            </w:tcMar>
          </w:tcPr>
          <w:p w14:paraId="6EC5CA6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3C2AADD5" w14:textId="77777777" w:rsidTr="00492095">
        <w:tc>
          <w:tcPr>
            <w:tcW w:w="2235" w:type="dxa"/>
            <w:shd w:val="clear" w:color="auto" w:fill="auto"/>
            <w:tcMar>
              <w:top w:w="0" w:type="dxa"/>
              <w:left w:w="108" w:type="dxa"/>
              <w:bottom w:w="0" w:type="dxa"/>
              <w:right w:w="108" w:type="dxa"/>
            </w:tcMar>
          </w:tcPr>
          <w:p w14:paraId="5F9A9260"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East Midlands 05-07</w:t>
            </w:r>
          </w:p>
        </w:tc>
        <w:tc>
          <w:tcPr>
            <w:tcW w:w="1559" w:type="dxa"/>
            <w:gridSpan w:val="3"/>
            <w:shd w:val="clear" w:color="auto" w:fill="auto"/>
            <w:tcMar>
              <w:top w:w="0" w:type="dxa"/>
              <w:left w:w="108" w:type="dxa"/>
              <w:bottom w:w="0" w:type="dxa"/>
              <w:right w:w="108" w:type="dxa"/>
            </w:tcMar>
          </w:tcPr>
          <w:p w14:paraId="47EE5AB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-4.1</w:t>
            </w:r>
          </w:p>
        </w:tc>
        <w:tc>
          <w:tcPr>
            <w:tcW w:w="850" w:type="dxa"/>
            <w:gridSpan w:val="2"/>
            <w:shd w:val="clear" w:color="auto" w:fill="auto"/>
            <w:tcMar>
              <w:top w:w="0" w:type="dxa"/>
              <w:left w:w="108" w:type="dxa"/>
              <w:bottom w:w="0" w:type="dxa"/>
              <w:right w:w="108" w:type="dxa"/>
            </w:tcMar>
          </w:tcPr>
          <w:p w14:paraId="1E1B29A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1.1</w:t>
            </w:r>
          </w:p>
        </w:tc>
        <w:tc>
          <w:tcPr>
            <w:tcW w:w="709" w:type="dxa"/>
            <w:shd w:val="clear" w:color="auto" w:fill="auto"/>
            <w:tcMar>
              <w:top w:w="0" w:type="dxa"/>
              <w:left w:w="108" w:type="dxa"/>
              <w:bottom w:w="0" w:type="dxa"/>
              <w:right w:w="108" w:type="dxa"/>
            </w:tcMar>
          </w:tcPr>
          <w:p w14:paraId="13189E5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-3.6</w:t>
            </w:r>
          </w:p>
        </w:tc>
        <w:tc>
          <w:tcPr>
            <w:tcW w:w="709" w:type="dxa"/>
            <w:shd w:val="clear" w:color="auto" w:fill="auto"/>
            <w:tcMar>
              <w:top w:w="0" w:type="dxa"/>
              <w:left w:w="108" w:type="dxa"/>
              <w:bottom w:w="0" w:type="dxa"/>
              <w:right w:w="108" w:type="dxa"/>
            </w:tcMar>
          </w:tcPr>
          <w:p w14:paraId="32803B5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7C704A9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-6.3</w:t>
            </w:r>
          </w:p>
        </w:tc>
        <w:tc>
          <w:tcPr>
            <w:tcW w:w="755" w:type="dxa"/>
            <w:shd w:val="clear" w:color="auto" w:fill="auto"/>
            <w:tcMar>
              <w:top w:w="0" w:type="dxa"/>
              <w:left w:w="108" w:type="dxa"/>
              <w:bottom w:w="0" w:type="dxa"/>
              <w:right w:w="108" w:type="dxa"/>
            </w:tcMar>
          </w:tcPr>
          <w:p w14:paraId="7AEB987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-1.8</w:t>
            </w:r>
          </w:p>
        </w:tc>
        <w:tc>
          <w:tcPr>
            <w:tcW w:w="884" w:type="dxa"/>
            <w:shd w:val="clear" w:color="auto" w:fill="auto"/>
            <w:tcMar>
              <w:top w:w="0" w:type="dxa"/>
              <w:left w:w="108" w:type="dxa"/>
              <w:bottom w:w="0" w:type="dxa"/>
              <w:right w:w="108" w:type="dxa"/>
            </w:tcMar>
          </w:tcPr>
          <w:p w14:paraId="3B44096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5A27F382" w14:textId="77777777" w:rsidTr="00492095">
        <w:tc>
          <w:tcPr>
            <w:tcW w:w="2235" w:type="dxa"/>
            <w:shd w:val="clear" w:color="auto" w:fill="auto"/>
            <w:tcMar>
              <w:top w:w="0" w:type="dxa"/>
              <w:left w:w="108" w:type="dxa"/>
              <w:bottom w:w="0" w:type="dxa"/>
              <w:right w:w="108" w:type="dxa"/>
            </w:tcMar>
          </w:tcPr>
          <w:p w14:paraId="4C5B9B4C"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East Midlands 15-17</w:t>
            </w:r>
          </w:p>
        </w:tc>
        <w:tc>
          <w:tcPr>
            <w:tcW w:w="1559" w:type="dxa"/>
            <w:gridSpan w:val="3"/>
            <w:shd w:val="clear" w:color="auto" w:fill="auto"/>
            <w:tcMar>
              <w:top w:w="0" w:type="dxa"/>
              <w:left w:w="108" w:type="dxa"/>
              <w:bottom w:w="0" w:type="dxa"/>
              <w:right w:w="108" w:type="dxa"/>
            </w:tcMar>
          </w:tcPr>
          <w:p w14:paraId="7161810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-3.5</w:t>
            </w:r>
          </w:p>
        </w:tc>
        <w:tc>
          <w:tcPr>
            <w:tcW w:w="850" w:type="dxa"/>
            <w:gridSpan w:val="2"/>
            <w:shd w:val="clear" w:color="auto" w:fill="auto"/>
            <w:tcMar>
              <w:top w:w="0" w:type="dxa"/>
              <w:left w:w="108" w:type="dxa"/>
              <w:bottom w:w="0" w:type="dxa"/>
              <w:right w:w="108" w:type="dxa"/>
            </w:tcMar>
          </w:tcPr>
          <w:p w14:paraId="44A0FD1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6F1ADAE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-2.8</w:t>
            </w:r>
          </w:p>
        </w:tc>
        <w:tc>
          <w:tcPr>
            <w:tcW w:w="709" w:type="dxa"/>
            <w:shd w:val="clear" w:color="auto" w:fill="auto"/>
            <w:tcMar>
              <w:top w:w="0" w:type="dxa"/>
              <w:left w:w="108" w:type="dxa"/>
              <w:bottom w:w="0" w:type="dxa"/>
              <w:right w:w="108" w:type="dxa"/>
            </w:tcMar>
          </w:tcPr>
          <w:p w14:paraId="744DF2C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.005</w:t>
            </w:r>
          </w:p>
        </w:tc>
        <w:tc>
          <w:tcPr>
            <w:tcW w:w="946" w:type="dxa"/>
            <w:gridSpan w:val="2"/>
            <w:shd w:val="clear" w:color="auto" w:fill="auto"/>
            <w:tcMar>
              <w:top w:w="0" w:type="dxa"/>
              <w:left w:w="108" w:type="dxa"/>
              <w:bottom w:w="0" w:type="dxa"/>
              <w:right w:w="108" w:type="dxa"/>
            </w:tcMar>
          </w:tcPr>
          <w:p w14:paraId="6D67316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-6.0</w:t>
            </w:r>
          </w:p>
        </w:tc>
        <w:tc>
          <w:tcPr>
            <w:tcW w:w="755" w:type="dxa"/>
            <w:shd w:val="clear" w:color="auto" w:fill="auto"/>
            <w:tcMar>
              <w:top w:w="0" w:type="dxa"/>
              <w:left w:w="108" w:type="dxa"/>
              <w:bottom w:w="0" w:type="dxa"/>
              <w:right w:w="108" w:type="dxa"/>
            </w:tcMar>
          </w:tcPr>
          <w:p w14:paraId="2AE015E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-1.1</w:t>
            </w:r>
          </w:p>
        </w:tc>
        <w:tc>
          <w:tcPr>
            <w:tcW w:w="884" w:type="dxa"/>
            <w:shd w:val="clear" w:color="auto" w:fill="auto"/>
            <w:tcMar>
              <w:top w:w="0" w:type="dxa"/>
              <w:left w:w="108" w:type="dxa"/>
              <w:bottom w:w="0" w:type="dxa"/>
              <w:right w:w="108" w:type="dxa"/>
            </w:tcMar>
          </w:tcPr>
          <w:p w14:paraId="71B57A7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25E4A3E2" w14:textId="77777777" w:rsidTr="00492095">
        <w:tc>
          <w:tcPr>
            <w:tcW w:w="2235" w:type="dxa"/>
            <w:shd w:val="clear" w:color="auto" w:fill="auto"/>
            <w:tcMar>
              <w:top w:w="0" w:type="dxa"/>
              <w:left w:w="108" w:type="dxa"/>
              <w:bottom w:w="0" w:type="dxa"/>
              <w:right w:w="108" w:type="dxa"/>
            </w:tcMar>
          </w:tcPr>
          <w:p w14:paraId="49B598C5"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Greater Manchester 05-07</w:t>
            </w:r>
          </w:p>
        </w:tc>
        <w:tc>
          <w:tcPr>
            <w:tcW w:w="1559" w:type="dxa"/>
            <w:gridSpan w:val="3"/>
            <w:shd w:val="clear" w:color="auto" w:fill="auto"/>
            <w:tcMar>
              <w:top w:w="0" w:type="dxa"/>
              <w:left w:w="108" w:type="dxa"/>
              <w:bottom w:w="0" w:type="dxa"/>
              <w:right w:w="108" w:type="dxa"/>
            </w:tcMar>
          </w:tcPr>
          <w:p w14:paraId="56B28F8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-4.0</w:t>
            </w:r>
          </w:p>
        </w:tc>
        <w:tc>
          <w:tcPr>
            <w:tcW w:w="850" w:type="dxa"/>
            <w:gridSpan w:val="2"/>
            <w:shd w:val="clear" w:color="auto" w:fill="auto"/>
            <w:tcMar>
              <w:top w:w="0" w:type="dxa"/>
              <w:left w:w="108" w:type="dxa"/>
              <w:bottom w:w="0" w:type="dxa"/>
              <w:right w:w="108" w:type="dxa"/>
            </w:tcMar>
          </w:tcPr>
          <w:p w14:paraId="1B39700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058BC70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-3.2</w:t>
            </w:r>
          </w:p>
        </w:tc>
        <w:tc>
          <w:tcPr>
            <w:tcW w:w="709" w:type="dxa"/>
            <w:shd w:val="clear" w:color="auto" w:fill="auto"/>
            <w:tcMar>
              <w:top w:w="0" w:type="dxa"/>
              <w:left w:w="108" w:type="dxa"/>
              <w:bottom w:w="0" w:type="dxa"/>
              <w:right w:w="108" w:type="dxa"/>
            </w:tcMar>
          </w:tcPr>
          <w:p w14:paraId="5E5E8B5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.001</w:t>
            </w:r>
          </w:p>
        </w:tc>
        <w:tc>
          <w:tcPr>
            <w:tcW w:w="946" w:type="dxa"/>
            <w:gridSpan w:val="2"/>
            <w:shd w:val="clear" w:color="auto" w:fill="auto"/>
            <w:tcMar>
              <w:top w:w="0" w:type="dxa"/>
              <w:left w:w="108" w:type="dxa"/>
              <w:bottom w:w="0" w:type="dxa"/>
              <w:right w:w="108" w:type="dxa"/>
            </w:tcMar>
          </w:tcPr>
          <w:p w14:paraId="6C146CD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-6.4</w:t>
            </w:r>
          </w:p>
        </w:tc>
        <w:tc>
          <w:tcPr>
            <w:tcW w:w="755" w:type="dxa"/>
            <w:shd w:val="clear" w:color="auto" w:fill="auto"/>
            <w:tcMar>
              <w:top w:w="0" w:type="dxa"/>
              <w:left w:w="108" w:type="dxa"/>
              <w:bottom w:w="0" w:type="dxa"/>
              <w:right w:w="108" w:type="dxa"/>
            </w:tcMar>
          </w:tcPr>
          <w:p w14:paraId="66A10F1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-1.6</w:t>
            </w:r>
          </w:p>
        </w:tc>
        <w:tc>
          <w:tcPr>
            <w:tcW w:w="884" w:type="dxa"/>
            <w:shd w:val="clear" w:color="auto" w:fill="auto"/>
            <w:tcMar>
              <w:top w:w="0" w:type="dxa"/>
              <w:left w:w="108" w:type="dxa"/>
              <w:bottom w:w="0" w:type="dxa"/>
              <w:right w:w="108" w:type="dxa"/>
            </w:tcMar>
          </w:tcPr>
          <w:p w14:paraId="4BCD814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2A48AA41" w14:textId="77777777" w:rsidTr="00492095">
        <w:tc>
          <w:tcPr>
            <w:tcW w:w="2235" w:type="dxa"/>
            <w:shd w:val="clear" w:color="auto" w:fill="auto"/>
            <w:tcMar>
              <w:top w:w="0" w:type="dxa"/>
              <w:left w:w="108" w:type="dxa"/>
              <w:bottom w:w="0" w:type="dxa"/>
              <w:right w:w="108" w:type="dxa"/>
            </w:tcMar>
          </w:tcPr>
          <w:p w14:paraId="4F6FE5F3"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Greater Manchester 15-17</w:t>
            </w:r>
          </w:p>
        </w:tc>
        <w:tc>
          <w:tcPr>
            <w:tcW w:w="1559" w:type="dxa"/>
            <w:gridSpan w:val="3"/>
            <w:shd w:val="clear" w:color="auto" w:fill="auto"/>
            <w:tcMar>
              <w:top w:w="0" w:type="dxa"/>
              <w:left w:w="108" w:type="dxa"/>
              <w:bottom w:w="0" w:type="dxa"/>
              <w:right w:w="108" w:type="dxa"/>
            </w:tcMar>
          </w:tcPr>
          <w:p w14:paraId="12D574B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-0.4</w:t>
            </w:r>
          </w:p>
        </w:tc>
        <w:tc>
          <w:tcPr>
            <w:tcW w:w="850" w:type="dxa"/>
            <w:gridSpan w:val="2"/>
            <w:shd w:val="clear" w:color="auto" w:fill="auto"/>
            <w:tcMar>
              <w:top w:w="0" w:type="dxa"/>
              <w:left w:w="108" w:type="dxa"/>
              <w:bottom w:w="0" w:type="dxa"/>
              <w:right w:w="108" w:type="dxa"/>
            </w:tcMar>
          </w:tcPr>
          <w:p w14:paraId="21EC723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06E695F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-0.3</w:t>
            </w:r>
          </w:p>
        </w:tc>
        <w:tc>
          <w:tcPr>
            <w:tcW w:w="709" w:type="dxa"/>
            <w:shd w:val="clear" w:color="auto" w:fill="auto"/>
            <w:tcMar>
              <w:top w:w="0" w:type="dxa"/>
              <w:left w:w="108" w:type="dxa"/>
              <w:bottom w:w="0" w:type="dxa"/>
              <w:right w:w="108" w:type="dxa"/>
            </w:tcMar>
          </w:tcPr>
          <w:p w14:paraId="5714642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.805</w:t>
            </w:r>
          </w:p>
        </w:tc>
        <w:tc>
          <w:tcPr>
            <w:tcW w:w="946" w:type="dxa"/>
            <w:gridSpan w:val="2"/>
            <w:shd w:val="clear" w:color="auto" w:fill="auto"/>
            <w:tcMar>
              <w:top w:w="0" w:type="dxa"/>
              <w:left w:w="108" w:type="dxa"/>
              <w:bottom w:w="0" w:type="dxa"/>
              <w:right w:w="108" w:type="dxa"/>
            </w:tcMar>
          </w:tcPr>
          <w:p w14:paraId="4453C95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-3.1</w:t>
            </w:r>
          </w:p>
        </w:tc>
        <w:tc>
          <w:tcPr>
            <w:tcW w:w="755" w:type="dxa"/>
            <w:shd w:val="clear" w:color="auto" w:fill="auto"/>
            <w:tcMar>
              <w:top w:w="0" w:type="dxa"/>
              <w:left w:w="108" w:type="dxa"/>
              <w:bottom w:w="0" w:type="dxa"/>
              <w:right w:w="108" w:type="dxa"/>
            </w:tcMar>
          </w:tcPr>
          <w:p w14:paraId="5D601B3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2.4</w:t>
            </w:r>
          </w:p>
        </w:tc>
        <w:tc>
          <w:tcPr>
            <w:tcW w:w="884" w:type="dxa"/>
            <w:shd w:val="clear" w:color="auto" w:fill="auto"/>
            <w:tcMar>
              <w:top w:w="0" w:type="dxa"/>
              <w:left w:w="108" w:type="dxa"/>
              <w:bottom w:w="0" w:type="dxa"/>
              <w:right w:w="108" w:type="dxa"/>
            </w:tcMar>
          </w:tcPr>
          <w:p w14:paraId="4B021767"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22C4764E" w14:textId="77777777" w:rsidTr="00492095">
        <w:tc>
          <w:tcPr>
            <w:tcW w:w="2235" w:type="dxa"/>
            <w:shd w:val="clear" w:color="auto" w:fill="auto"/>
            <w:tcMar>
              <w:top w:w="0" w:type="dxa"/>
              <w:left w:w="108" w:type="dxa"/>
              <w:bottom w:w="0" w:type="dxa"/>
              <w:right w:w="108" w:type="dxa"/>
            </w:tcMar>
          </w:tcPr>
          <w:p w14:paraId="40B83F4D"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Rest of Northern Region 05-07</w:t>
            </w:r>
          </w:p>
        </w:tc>
        <w:tc>
          <w:tcPr>
            <w:tcW w:w="1559" w:type="dxa"/>
            <w:gridSpan w:val="3"/>
            <w:shd w:val="clear" w:color="auto" w:fill="auto"/>
            <w:tcMar>
              <w:top w:w="0" w:type="dxa"/>
              <w:left w:w="108" w:type="dxa"/>
              <w:bottom w:w="0" w:type="dxa"/>
              <w:right w:w="108" w:type="dxa"/>
            </w:tcMar>
          </w:tcPr>
          <w:p w14:paraId="776155F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-4.1</w:t>
            </w:r>
          </w:p>
        </w:tc>
        <w:tc>
          <w:tcPr>
            <w:tcW w:w="850" w:type="dxa"/>
            <w:gridSpan w:val="2"/>
            <w:shd w:val="clear" w:color="auto" w:fill="auto"/>
            <w:tcMar>
              <w:top w:w="0" w:type="dxa"/>
              <w:left w:w="108" w:type="dxa"/>
              <w:bottom w:w="0" w:type="dxa"/>
              <w:right w:w="108" w:type="dxa"/>
            </w:tcMar>
          </w:tcPr>
          <w:p w14:paraId="6C2B111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4B3C441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-3.0</w:t>
            </w:r>
          </w:p>
        </w:tc>
        <w:tc>
          <w:tcPr>
            <w:tcW w:w="709" w:type="dxa"/>
            <w:shd w:val="clear" w:color="auto" w:fill="auto"/>
            <w:tcMar>
              <w:top w:w="0" w:type="dxa"/>
              <w:left w:w="108" w:type="dxa"/>
              <w:bottom w:w="0" w:type="dxa"/>
              <w:right w:w="108" w:type="dxa"/>
            </w:tcMar>
          </w:tcPr>
          <w:p w14:paraId="620D66B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.003</w:t>
            </w:r>
          </w:p>
        </w:tc>
        <w:tc>
          <w:tcPr>
            <w:tcW w:w="946" w:type="dxa"/>
            <w:gridSpan w:val="2"/>
            <w:shd w:val="clear" w:color="auto" w:fill="auto"/>
            <w:tcMar>
              <w:top w:w="0" w:type="dxa"/>
              <w:left w:w="108" w:type="dxa"/>
              <w:bottom w:w="0" w:type="dxa"/>
              <w:right w:w="108" w:type="dxa"/>
            </w:tcMar>
          </w:tcPr>
          <w:p w14:paraId="37299EE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-6.7</w:t>
            </w:r>
          </w:p>
        </w:tc>
        <w:tc>
          <w:tcPr>
            <w:tcW w:w="755" w:type="dxa"/>
            <w:shd w:val="clear" w:color="auto" w:fill="auto"/>
            <w:tcMar>
              <w:top w:w="0" w:type="dxa"/>
              <w:left w:w="108" w:type="dxa"/>
              <w:bottom w:w="0" w:type="dxa"/>
              <w:right w:w="108" w:type="dxa"/>
            </w:tcMar>
          </w:tcPr>
          <w:p w14:paraId="52C2788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884" w:type="dxa"/>
            <w:shd w:val="clear" w:color="auto" w:fill="auto"/>
            <w:tcMar>
              <w:top w:w="0" w:type="dxa"/>
              <w:left w:w="108" w:type="dxa"/>
              <w:bottom w:w="0" w:type="dxa"/>
              <w:right w:w="108" w:type="dxa"/>
            </w:tcMar>
          </w:tcPr>
          <w:p w14:paraId="0997E1F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2C1BE7DE" w14:textId="77777777" w:rsidTr="00492095">
        <w:tc>
          <w:tcPr>
            <w:tcW w:w="2235" w:type="dxa"/>
            <w:shd w:val="clear" w:color="auto" w:fill="auto"/>
            <w:tcMar>
              <w:top w:w="0" w:type="dxa"/>
              <w:left w:w="108" w:type="dxa"/>
              <w:bottom w:w="0" w:type="dxa"/>
              <w:right w:w="108" w:type="dxa"/>
            </w:tcMar>
          </w:tcPr>
          <w:p w14:paraId="65FB634D"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Rest of Northern Region 15-17</w:t>
            </w:r>
          </w:p>
        </w:tc>
        <w:tc>
          <w:tcPr>
            <w:tcW w:w="1559" w:type="dxa"/>
            <w:gridSpan w:val="3"/>
            <w:shd w:val="clear" w:color="auto" w:fill="auto"/>
            <w:tcMar>
              <w:top w:w="0" w:type="dxa"/>
              <w:left w:w="108" w:type="dxa"/>
              <w:bottom w:w="0" w:type="dxa"/>
              <w:right w:w="108" w:type="dxa"/>
            </w:tcMar>
          </w:tcPr>
          <w:p w14:paraId="781D806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-3.0</w:t>
            </w:r>
          </w:p>
        </w:tc>
        <w:tc>
          <w:tcPr>
            <w:tcW w:w="850" w:type="dxa"/>
            <w:gridSpan w:val="2"/>
            <w:shd w:val="clear" w:color="auto" w:fill="auto"/>
            <w:tcMar>
              <w:top w:w="0" w:type="dxa"/>
              <w:left w:w="108" w:type="dxa"/>
              <w:bottom w:w="0" w:type="dxa"/>
              <w:right w:w="108" w:type="dxa"/>
            </w:tcMar>
          </w:tcPr>
          <w:p w14:paraId="1ED4AE5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1.5</w:t>
            </w:r>
          </w:p>
        </w:tc>
        <w:tc>
          <w:tcPr>
            <w:tcW w:w="709" w:type="dxa"/>
            <w:shd w:val="clear" w:color="auto" w:fill="auto"/>
            <w:tcMar>
              <w:top w:w="0" w:type="dxa"/>
              <w:left w:w="108" w:type="dxa"/>
              <w:bottom w:w="0" w:type="dxa"/>
              <w:right w:w="108" w:type="dxa"/>
            </w:tcMar>
          </w:tcPr>
          <w:p w14:paraId="60300F4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-2.0</w:t>
            </w:r>
          </w:p>
        </w:tc>
        <w:tc>
          <w:tcPr>
            <w:tcW w:w="709" w:type="dxa"/>
            <w:shd w:val="clear" w:color="auto" w:fill="auto"/>
            <w:tcMar>
              <w:top w:w="0" w:type="dxa"/>
              <w:left w:w="108" w:type="dxa"/>
              <w:bottom w:w="0" w:type="dxa"/>
              <w:right w:w="108" w:type="dxa"/>
            </w:tcMar>
          </w:tcPr>
          <w:p w14:paraId="2EC7C77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.047</w:t>
            </w:r>
          </w:p>
        </w:tc>
        <w:tc>
          <w:tcPr>
            <w:tcW w:w="946" w:type="dxa"/>
            <w:gridSpan w:val="2"/>
            <w:shd w:val="clear" w:color="auto" w:fill="auto"/>
            <w:tcMar>
              <w:top w:w="0" w:type="dxa"/>
              <w:left w:w="108" w:type="dxa"/>
              <w:bottom w:w="0" w:type="dxa"/>
              <w:right w:w="108" w:type="dxa"/>
            </w:tcMar>
          </w:tcPr>
          <w:p w14:paraId="413B75B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-6.0</w:t>
            </w:r>
          </w:p>
        </w:tc>
        <w:tc>
          <w:tcPr>
            <w:tcW w:w="755" w:type="dxa"/>
            <w:shd w:val="clear" w:color="auto" w:fill="auto"/>
            <w:tcMar>
              <w:top w:w="0" w:type="dxa"/>
              <w:left w:w="108" w:type="dxa"/>
              <w:bottom w:w="0" w:type="dxa"/>
              <w:right w:w="108" w:type="dxa"/>
            </w:tcMar>
          </w:tcPr>
          <w:p w14:paraId="2120FA9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w:t>
            </w:r>
          </w:p>
        </w:tc>
        <w:tc>
          <w:tcPr>
            <w:tcW w:w="884" w:type="dxa"/>
            <w:shd w:val="clear" w:color="auto" w:fill="auto"/>
            <w:tcMar>
              <w:top w:w="0" w:type="dxa"/>
              <w:left w:w="108" w:type="dxa"/>
              <w:bottom w:w="0" w:type="dxa"/>
              <w:right w:w="108" w:type="dxa"/>
            </w:tcMar>
          </w:tcPr>
          <w:p w14:paraId="093AB41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2217310F" w14:textId="77777777" w:rsidTr="00492095">
        <w:tc>
          <w:tcPr>
            <w:tcW w:w="2235" w:type="dxa"/>
            <w:shd w:val="clear" w:color="auto" w:fill="auto"/>
            <w:tcMar>
              <w:top w:w="0" w:type="dxa"/>
              <w:left w:w="108" w:type="dxa"/>
              <w:bottom w:w="0" w:type="dxa"/>
              <w:right w:w="108" w:type="dxa"/>
            </w:tcMar>
          </w:tcPr>
          <w:p w14:paraId="459AFFBF"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Rest of North West 05-07</w:t>
            </w:r>
          </w:p>
        </w:tc>
        <w:tc>
          <w:tcPr>
            <w:tcW w:w="1559" w:type="dxa"/>
            <w:gridSpan w:val="3"/>
            <w:shd w:val="clear" w:color="auto" w:fill="auto"/>
            <w:tcMar>
              <w:top w:w="0" w:type="dxa"/>
              <w:left w:w="108" w:type="dxa"/>
              <w:bottom w:w="0" w:type="dxa"/>
              <w:right w:w="108" w:type="dxa"/>
            </w:tcMar>
          </w:tcPr>
          <w:p w14:paraId="665222E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-4.1</w:t>
            </w:r>
          </w:p>
        </w:tc>
        <w:tc>
          <w:tcPr>
            <w:tcW w:w="850" w:type="dxa"/>
            <w:gridSpan w:val="2"/>
            <w:shd w:val="clear" w:color="auto" w:fill="auto"/>
            <w:tcMar>
              <w:top w:w="0" w:type="dxa"/>
              <w:left w:w="108" w:type="dxa"/>
              <w:bottom w:w="0" w:type="dxa"/>
              <w:right w:w="108" w:type="dxa"/>
            </w:tcMar>
          </w:tcPr>
          <w:p w14:paraId="7811833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52E458A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-3.3</w:t>
            </w:r>
          </w:p>
        </w:tc>
        <w:tc>
          <w:tcPr>
            <w:tcW w:w="709" w:type="dxa"/>
            <w:shd w:val="clear" w:color="auto" w:fill="auto"/>
            <w:tcMar>
              <w:top w:w="0" w:type="dxa"/>
              <w:left w:w="108" w:type="dxa"/>
              <w:bottom w:w="0" w:type="dxa"/>
              <w:right w:w="108" w:type="dxa"/>
            </w:tcMar>
          </w:tcPr>
          <w:p w14:paraId="1D2AFAE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.001</w:t>
            </w:r>
          </w:p>
        </w:tc>
        <w:tc>
          <w:tcPr>
            <w:tcW w:w="946" w:type="dxa"/>
            <w:gridSpan w:val="2"/>
            <w:shd w:val="clear" w:color="auto" w:fill="auto"/>
            <w:tcMar>
              <w:top w:w="0" w:type="dxa"/>
              <w:left w:w="108" w:type="dxa"/>
              <w:bottom w:w="0" w:type="dxa"/>
              <w:right w:w="108" w:type="dxa"/>
            </w:tcMar>
          </w:tcPr>
          <w:p w14:paraId="14E94FA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-6.6</w:t>
            </w:r>
          </w:p>
        </w:tc>
        <w:tc>
          <w:tcPr>
            <w:tcW w:w="755" w:type="dxa"/>
            <w:shd w:val="clear" w:color="auto" w:fill="auto"/>
            <w:tcMar>
              <w:top w:w="0" w:type="dxa"/>
              <w:left w:w="108" w:type="dxa"/>
              <w:bottom w:w="0" w:type="dxa"/>
              <w:right w:w="108" w:type="dxa"/>
            </w:tcMar>
          </w:tcPr>
          <w:p w14:paraId="55A0C52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-1.6</w:t>
            </w:r>
          </w:p>
        </w:tc>
        <w:tc>
          <w:tcPr>
            <w:tcW w:w="884" w:type="dxa"/>
            <w:shd w:val="clear" w:color="auto" w:fill="auto"/>
            <w:tcMar>
              <w:top w:w="0" w:type="dxa"/>
              <w:left w:w="108" w:type="dxa"/>
              <w:bottom w:w="0" w:type="dxa"/>
              <w:right w:w="108" w:type="dxa"/>
            </w:tcMar>
          </w:tcPr>
          <w:p w14:paraId="13B8581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17BF6FBE" w14:textId="77777777" w:rsidTr="00492095">
        <w:tc>
          <w:tcPr>
            <w:tcW w:w="2235" w:type="dxa"/>
            <w:shd w:val="clear" w:color="auto" w:fill="auto"/>
            <w:tcMar>
              <w:top w:w="0" w:type="dxa"/>
              <w:left w:w="108" w:type="dxa"/>
              <w:bottom w:w="0" w:type="dxa"/>
              <w:right w:w="108" w:type="dxa"/>
            </w:tcMar>
          </w:tcPr>
          <w:p w14:paraId="6EC1DEB8"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Rest of North West 15-17</w:t>
            </w:r>
          </w:p>
        </w:tc>
        <w:tc>
          <w:tcPr>
            <w:tcW w:w="1559" w:type="dxa"/>
            <w:gridSpan w:val="3"/>
            <w:shd w:val="clear" w:color="auto" w:fill="auto"/>
            <w:tcMar>
              <w:top w:w="0" w:type="dxa"/>
              <w:left w:w="108" w:type="dxa"/>
              <w:bottom w:w="0" w:type="dxa"/>
              <w:right w:w="108" w:type="dxa"/>
            </w:tcMar>
          </w:tcPr>
          <w:p w14:paraId="1E8A239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-3.2</w:t>
            </w:r>
          </w:p>
        </w:tc>
        <w:tc>
          <w:tcPr>
            <w:tcW w:w="850" w:type="dxa"/>
            <w:gridSpan w:val="2"/>
            <w:shd w:val="clear" w:color="auto" w:fill="auto"/>
            <w:tcMar>
              <w:top w:w="0" w:type="dxa"/>
              <w:left w:w="108" w:type="dxa"/>
              <w:bottom w:w="0" w:type="dxa"/>
              <w:right w:w="108" w:type="dxa"/>
            </w:tcMar>
          </w:tcPr>
          <w:p w14:paraId="3485381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75C5C66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-2.3</w:t>
            </w:r>
          </w:p>
        </w:tc>
        <w:tc>
          <w:tcPr>
            <w:tcW w:w="709" w:type="dxa"/>
            <w:shd w:val="clear" w:color="auto" w:fill="auto"/>
            <w:tcMar>
              <w:top w:w="0" w:type="dxa"/>
              <w:left w:w="108" w:type="dxa"/>
              <w:bottom w:w="0" w:type="dxa"/>
              <w:right w:w="108" w:type="dxa"/>
            </w:tcMar>
          </w:tcPr>
          <w:p w14:paraId="3F5A88B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.020</w:t>
            </w:r>
          </w:p>
        </w:tc>
        <w:tc>
          <w:tcPr>
            <w:tcW w:w="946" w:type="dxa"/>
            <w:gridSpan w:val="2"/>
            <w:shd w:val="clear" w:color="auto" w:fill="auto"/>
            <w:tcMar>
              <w:top w:w="0" w:type="dxa"/>
              <w:left w:w="108" w:type="dxa"/>
              <w:bottom w:w="0" w:type="dxa"/>
              <w:right w:w="108" w:type="dxa"/>
            </w:tcMar>
          </w:tcPr>
          <w:p w14:paraId="0F3C6A3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-5.9</w:t>
            </w:r>
          </w:p>
        </w:tc>
        <w:tc>
          <w:tcPr>
            <w:tcW w:w="755" w:type="dxa"/>
            <w:shd w:val="clear" w:color="auto" w:fill="auto"/>
            <w:tcMar>
              <w:top w:w="0" w:type="dxa"/>
              <w:left w:w="108" w:type="dxa"/>
              <w:bottom w:w="0" w:type="dxa"/>
              <w:right w:w="108" w:type="dxa"/>
            </w:tcMar>
          </w:tcPr>
          <w:p w14:paraId="1BC48D1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-0.5</w:t>
            </w:r>
          </w:p>
        </w:tc>
        <w:tc>
          <w:tcPr>
            <w:tcW w:w="884" w:type="dxa"/>
            <w:shd w:val="clear" w:color="auto" w:fill="auto"/>
            <w:tcMar>
              <w:top w:w="0" w:type="dxa"/>
              <w:left w:w="108" w:type="dxa"/>
              <w:bottom w:w="0" w:type="dxa"/>
              <w:right w:w="108" w:type="dxa"/>
            </w:tcMar>
          </w:tcPr>
          <w:p w14:paraId="5E665B0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4BD7A9DF" w14:textId="77777777" w:rsidTr="00492095">
        <w:tc>
          <w:tcPr>
            <w:tcW w:w="2235" w:type="dxa"/>
            <w:shd w:val="clear" w:color="auto" w:fill="auto"/>
            <w:tcMar>
              <w:top w:w="0" w:type="dxa"/>
              <w:left w:w="108" w:type="dxa"/>
              <w:bottom w:w="0" w:type="dxa"/>
              <w:right w:w="108" w:type="dxa"/>
            </w:tcMar>
          </w:tcPr>
          <w:p w14:paraId="262E8F16"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East Anglia 05-07</w:t>
            </w:r>
          </w:p>
        </w:tc>
        <w:tc>
          <w:tcPr>
            <w:tcW w:w="1559" w:type="dxa"/>
            <w:gridSpan w:val="3"/>
            <w:shd w:val="clear" w:color="auto" w:fill="auto"/>
            <w:tcMar>
              <w:top w:w="0" w:type="dxa"/>
              <w:left w:w="108" w:type="dxa"/>
              <w:bottom w:w="0" w:type="dxa"/>
              <w:right w:w="108" w:type="dxa"/>
            </w:tcMar>
          </w:tcPr>
          <w:p w14:paraId="6334084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-3.1</w:t>
            </w:r>
          </w:p>
        </w:tc>
        <w:tc>
          <w:tcPr>
            <w:tcW w:w="850" w:type="dxa"/>
            <w:gridSpan w:val="2"/>
            <w:shd w:val="clear" w:color="auto" w:fill="auto"/>
            <w:tcMar>
              <w:top w:w="0" w:type="dxa"/>
              <w:left w:w="108" w:type="dxa"/>
              <w:bottom w:w="0" w:type="dxa"/>
              <w:right w:w="108" w:type="dxa"/>
            </w:tcMar>
          </w:tcPr>
          <w:p w14:paraId="5E2E31A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2D32E34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-2.4</w:t>
            </w:r>
          </w:p>
        </w:tc>
        <w:tc>
          <w:tcPr>
            <w:tcW w:w="709" w:type="dxa"/>
            <w:shd w:val="clear" w:color="auto" w:fill="auto"/>
            <w:tcMar>
              <w:top w:w="0" w:type="dxa"/>
              <w:left w:w="108" w:type="dxa"/>
              <w:bottom w:w="0" w:type="dxa"/>
              <w:right w:w="108" w:type="dxa"/>
            </w:tcMar>
          </w:tcPr>
          <w:p w14:paraId="1445E2F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.015</w:t>
            </w:r>
          </w:p>
        </w:tc>
        <w:tc>
          <w:tcPr>
            <w:tcW w:w="946" w:type="dxa"/>
            <w:gridSpan w:val="2"/>
            <w:shd w:val="clear" w:color="auto" w:fill="auto"/>
            <w:tcMar>
              <w:top w:w="0" w:type="dxa"/>
              <w:left w:w="108" w:type="dxa"/>
              <w:bottom w:w="0" w:type="dxa"/>
              <w:right w:w="108" w:type="dxa"/>
            </w:tcMar>
          </w:tcPr>
          <w:p w14:paraId="58205B0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-5.6</w:t>
            </w:r>
          </w:p>
        </w:tc>
        <w:tc>
          <w:tcPr>
            <w:tcW w:w="755" w:type="dxa"/>
            <w:shd w:val="clear" w:color="auto" w:fill="auto"/>
            <w:tcMar>
              <w:top w:w="0" w:type="dxa"/>
              <w:left w:w="108" w:type="dxa"/>
              <w:bottom w:w="0" w:type="dxa"/>
              <w:right w:w="108" w:type="dxa"/>
            </w:tcMar>
          </w:tcPr>
          <w:p w14:paraId="6C519BD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-0.6</w:t>
            </w:r>
          </w:p>
        </w:tc>
        <w:tc>
          <w:tcPr>
            <w:tcW w:w="884" w:type="dxa"/>
            <w:shd w:val="clear" w:color="auto" w:fill="auto"/>
            <w:tcMar>
              <w:top w:w="0" w:type="dxa"/>
              <w:left w:w="108" w:type="dxa"/>
              <w:bottom w:w="0" w:type="dxa"/>
              <w:right w:w="108" w:type="dxa"/>
            </w:tcMar>
          </w:tcPr>
          <w:p w14:paraId="11D5A2E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4F55BF7C" w14:textId="77777777" w:rsidTr="00492095">
        <w:tc>
          <w:tcPr>
            <w:tcW w:w="2235" w:type="dxa"/>
            <w:shd w:val="clear" w:color="auto" w:fill="auto"/>
            <w:tcMar>
              <w:top w:w="0" w:type="dxa"/>
              <w:left w:w="108" w:type="dxa"/>
              <w:bottom w:w="0" w:type="dxa"/>
              <w:right w:w="108" w:type="dxa"/>
            </w:tcMar>
          </w:tcPr>
          <w:p w14:paraId="2B9CB910"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East Anglia 15-17</w:t>
            </w:r>
          </w:p>
        </w:tc>
        <w:tc>
          <w:tcPr>
            <w:tcW w:w="1559" w:type="dxa"/>
            <w:gridSpan w:val="3"/>
            <w:shd w:val="clear" w:color="auto" w:fill="auto"/>
            <w:tcMar>
              <w:top w:w="0" w:type="dxa"/>
              <w:left w:w="108" w:type="dxa"/>
              <w:bottom w:w="0" w:type="dxa"/>
              <w:right w:w="108" w:type="dxa"/>
            </w:tcMar>
          </w:tcPr>
          <w:p w14:paraId="3674679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-2.8</w:t>
            </w:r>
          </w:p>
        </w:tc>
        <w:tc>
          <w:tcPr>
            <w:tcW w:w="850" w:type="dxa"/>
            <w:gridSpan w:val="2"/>
            <w:shd w:val="clear" w:color="auto" w:fill="auto"/>
            <w:tcMar>
              <w:top w:w="0" w:type="dxa"/>
              <w:left w:w="108" w:type="dxa"/>
              <w:bottom w:w="0" w:type="dxa"/>
              <w:right w:w="108" w:type="dxa"/>
            </w:tcMar>
          </w:tcPr>
          <w:p w14:paraId="2AB7D2D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6920760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-2.1</w:t>
            </w:r>
          </w:p>
        </w:tc>
        <w:tc>
          <w:tcPr>
            <w:tcW w:w="709" w:type="dxa"/>
            <w:shd w:val="clear" w:color="auto" w:fill="auto"/>
            <w:tcMar>
              <w:top w:w="0" w:type="dxa"/>
              <w:left w:w="108" w:type="dxa"/>
              <w:bottom w:w="0" w:type="dxa"/>
              <w:right w:w="108" w:type="dxa"/>
            </w:tcMar>
          </w:tcPr>
          <w:p w14:paraId="1D5C779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.036</w:t>
            </w:r>
          </w:p>
        </w:tc>
        <w:tc>
          <w:tcPr>
            <w:tcW w:w="946" w:type="dxa"/>
            <w:gridSpan w:val="2"/>
            <w:shd w:val="clear" w:color="auto" w:fill="auto"/>
            <w:tcMar>
              <w:top w:w="0" w:type="dxa"/>
              <w:left w:w="108" w:type="dxa"/>
              <w:bottom w:w="0" w:type="dxa"/>
              <w:right w:w="108" w:type="dxa"/>
            </w:tcMar>
          </w:tcPr>
          <w:p w14:paraId="7F6459D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-5.5</w:t>
            </w:r>
          </w:p>
        </w:tc>
        <w:tc>
          <w:tcPr>
            <w:tcW w:w="755" w:type="dxa"/>
            <w:shd w:val="clear" w:color="auto" w:fill="auto"/>
            <w:tcMar>
              <w:top w:w="0" w:type="dxa"/>
              <w:left w:w="108" w:type="dxa"/>
              <w:bottom w:w="0" w:type="dxa"/>
              <w:right w:w="108" w:type="dxa"/>
            </w:tcMar>
          </w:tcPr>
          <w:p w14:paraId="47D71DE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-0.2</w:t>
            </w:r>
          </w:p>
        </w:tc>
        <w:tc>
          <w:tcPr>
            <w:tcW w:w="884" w:type="dxa"/>
            <w:shd w:val="clear" w:color="auto" w:fill="auto"/>
            <w:tcMar>
              <w:top w:w="0" w:type="dxa"/>
              <w:left w:w="108" w:type="dxa"/>
              <w:bottom w:w="0" w:type="dxa"/>
              <w:right w:w="108" w:type="dxa"/>
            </w:tcMar>
          </w:tcPr>
          <w:p w14:paraId="22A281A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383915FE" w14:textId="77777777" w:rsidTr="00492095">
        <w:tc>
          <w:tcPr>
            <w:tcW w:w="2235" w:type="dxa"/>
            <w:shd w:val="clear" w:color="auto" w:fill="auto"/>
            <w:tcMar>
              <w:top w:w="0" w:type="dxa"/>
              <w:left w:w="108" w:type="dxa"/>
              <w:bottom w:w="0" w:type="dxa"/>
              <w:right w:w="108" w:type="dxa"/>
            </w:tcMar>
          </w:tcPr>
          <w:p w14:paraId="279FD8A2"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West Yorkshire 05-07</w:t>
            </w:r>
          </w:p>
        </w:tc>
        <w:tc>
          <w:tcPr>
            <w:tcW w:w="1559" w:type="dxa"/>
            <w:gridSpan w:val="3"/>
            <w:shd w:val="clear" w:color="auto" w:fill="auto"/>
            <w:tcMar>
              <w:top w:w="0" w:type="dxa"/>
              <w:left w:w="108" w:type="dxa"/>
              <w:bottom w:w="0" w:type="dxa"/>
              <w:right w:w="108" w:type="dxa"/>
            </w:tcMar>
          </w:tcPr>
          <w:p w14:paraId="3A46777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-3.2</w:t>
            </w:r>
          </w:p>
        </w:tc>
        <w:tc>
          <w:tcPr>
            <w:tcW w:w="850" w:type="dxa"/>
            <w:gridSpan w:val="2"/>
            <w:shd w:val="clear" w:color="auto" w:fill="auto"/>
            <w:tcMar>
              <w:top w:w="0" w:type="dxa"/>
              <w:left w:w="108" w:type="dxa"/>
              <w:bottom w:w="0" w:type="dxa"/>
              <w:right w:w="108" w:type="dxa"/>
            </w:tcMar>
          </w:tcPr>
          <w:p w14:paraId="3C63294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4332DF4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-2.6</w:t>
            </w:r>
          </w:p>
        </w:tc>
        <w:tc>
          <w:tcPr>
            <w:tcW w:w="709" w:type="dxa"/>
            <w:shd w:val="clear" w:color="auto" w:fill="auto"/>
            <w:tcMar>
              <w:top w:w="0" w:type="dxa"/>
              <w:left w:w="108" w:type="dxa"/>
              <w:bottom w:w="0" w:type="dxa"/>
              <w:right w:w="108" w:type="dxa"/>
            </w:tcMar>
          </w:tcPr>
          <w:p w14:paraId="11ACB53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.010</w:t>
            </w:r>
          </w:p>
        </w:tc>
        <w:tc>
          <w:tcPr>
            <w:tcW w:w="946" w:type="dxa"/>
            <w:gridSpan w:val="2"/>
            <w:shd w:val="clear" w:color="auto" w:fill="auto"/>
            <w:tcMar>
              <w:top w:w="0" w:type="dxa"/>
              <w:left w:w="108" w:type="dxa"/>
              <w:bottom w:w="0" w:type="dxa"/>
              <w:right w:w="108" w:type="dxa"/>
            </w:tcMar>
          </w:tcPr>
          <w:p w14:paraId="29B17DB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-5.6</w:t>
            </w:r>
          </w:p>
        </w:tc>
        <w:tc>
          <w:tcPr>
            <w:tcW w:w="755" w:type="dxa"/>
            <w:shd w:val="clear" w:color="auto" w:fill="auto"/>
            <w:tcMar>
              <w:top w:w="0" w:type="dxa"/>
              <w:left w:w="108" w:type="dxa"/>
              <w:bottom w:w="0" w:type="dxa"/>
              <w:right w:w="108" w:type="dxa"/>
            </w:tcMar>
          </w:tcPr>
          <w:p w14:paraId="1931855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-0.8</w:t>
            </w:r>
          </w:p>
        </w:tc>
        <w:tc>
          <w:tcPr>
            <w:tcW w:w="884" w:type="dxa"/>
            <w:shd w:val="clear" w:color="auto" w:fill="auto"/>
            <w:tcMar>
              <w:top w:w="0" w:type="dxa"/>
              <w:left w:w="108" w:type="dxa"/>
              <w:bottom w:w="0" w:type="dxa"/>
              <w:right w:w="108" w:type="dxa"/>
            </w:tcMar>
          </w:tcPr>
          <w:p w14:paraId="1BD43D1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5DF791E9" w14:textId="77777777" w:rsidTr="00492095">
        <w:tc>
          <w:tcPr>
            <w:tcW w:w="2235" w:type="dxa"/>
            <w:shd w:val="clear" w:color="auto" w:fill="auto"/>
            <w:tcMar>
              <w:top w:w="0" w:type="dxa"/>
              <w:left w:w="108" w:type="dxa"/>
              <w:bottom w:w="0" w:type="dxa"/>
              <w:right w:w="108" w:type="dxa"/>
            </w:tcMar>
          </w:tcPr>
          <w:p w14:paraId="010D7B4F"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West Yorkshire 15-17</w:t>
            </w:r>
          </w:p>
        </w:tc>
        <w:tc>
          <w:tcPr>
            <w:tcW w:w="1559" w:type="dxa"/>
            <w:gridSpan w:val="3"/>
            <w:shd w:val="clear" w:color="auto" w:fill="auto"/>
            <w:tcMar>
              <w:top w:w="0" w:type="dxa"/>
              <w:left w:w="108" w:type="dxa"/>
              <w:bottom w:w="0" w:type="dxa"/>
              <w:right w:w="108" w:type="dxa"/>
            </w:tcMar>
          </w:tcPr>
          <w:p w14:paraId="7D40247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-2.0</w:t>
            </w:r>
          </w:p>
        </w:tc>
        <w:tc>
          <w:tcPr>
            <w:tcW w:w="850" w:type="dxa"/>
            <w:gridSpan w:val="2"/>
            <w:shd w:val="clear" w:color="auto" w:fill="auto"/>
            <w:tcMar>
              <w:top w:w="0" w:type="dxa"/>
              <w:left w:w="108" w:type="dxa"/>
              <w:bottom w:w="0" w:type="dxa"/>
              <w:right w:w="108" w:type="dxa"/>
            </w:tcMar>
          </w:tcPr>
          <w:p w14:paraId="20C4E8B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3D208BE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24A4B59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.175</w:t>
            </w:r>
          </w:p>
        </w:tc>
        <w:tc>
          <w:tcPr>
            <w:tcW w:w="946" w:type="dxa"/>
            <w:gridSpan w:val="2"/>
            <w:shd w:val="clear" w:color="auto" w:fill="auto"/>
            <w:tcMar>
              <w:top w:w="0" w:type="dxa"/>
              <w:left w:w="108" w:type="dxa"/>
              <w:bottom w:w="0" w:type="dxa"/>
              <w:right w:w="108" w:type="dxa"/>
            </w:tcMar>
          </w:tcPr>
          <w:p w14:paraId="5DD798C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-4.8</w:t>
            </w:r>
          </w:p>
        </w:tc>
        <w:tc>
          <w:tcPr>
            <w:tcW w:w="755" w:type="dxa"/>
            <w:shd w:val="clear" w:color="auto" w:fill="auto"/>
            <w:tcMar>
              <w:top w:w="0" w:type="dxa"/>
              <w:left w:w="108" w:type="dxa"/>
              <w:bottom w:w="0" w:type="dxa"/>
              <w:right w:w="108" w:type="dxa"/>
            </w:tcMar>
          </w:tcPr>
          <w:p w14:paraId="330C0CB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0.9</w:t>
            </w:r>
          </w:p>
        </w:tc>
        <w:tc>
          <w:tcPr>
            <w:tcW w:w="884" w:type="dxa"/>
            <w:shd w:val="clear" w:color="auto" w:fill="auto"/>
            <w:tcMar>
              <w:top w:w="0" w:type="dxa"/>
              <w:left w:w="108" w:type="dxa"/>
              <w:bottom w:w="0" w:type="dxa"/>
              <w:right w:w="108" w:type="dxa"/>
            </w:tcMar>
          </w:tcPr>
          <w:p w14:paraId="705091D5"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6D3C8305" w14:textId="77777777" w:rsidTr="00492095">
        <w:tc>
          <w:tcPr>
            <w:tcW w:w="2235" w:type="dxa"/>
            <w:shd w:val="clear" w:color="auto" w:fill="auto"/>
            <w:tcMar>
              <w:top w:w="0" w:type="dxa"/>
              <w:left w:w="108" w:type="dxa"/>
              <w:bottom w:w="0" w:type="dxa"/>
              <w:right w:w="108" w:type="dxa"/>
            </w:tcMar>
          </w:tcPr>
          <w:p w14:paraId="7DA58975"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Strathclyde 05-07</w:t>
            </w:r>
          </w:p>
        </w:tc>
        <w:tc>
          <w:tcPr>
            <w:tcW w:w="1559" w:type="dxa"/>
            <w:gridSpan w:val="3"/>
            <w:shd w:val="clear" w:color="auto" w:fill="auto"/>
            <w:tcMar>
              <w:top w:w="0" w:type="dxa"/>
              <w:left w:w="108" w:type="dxa"/>
              <w:bottom w:w="0" w:type="dxa"/>
              <w:right w:w="108" w:type="dxa"/>
            </w:tcMar>
          </w:tcPr>
          <w:p w14:paraId="52974A5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-2.9</w:t>
            </w:r>
          </w:p>
        </w:tc>
        <w:tc>
          <w:tcPr>
            <w:tcW w:w="850" w:type="dxa"/>
            <w:gridSpan w:val="2"/>
            <w:shd w:val="clear" w:color="auto" w:fill="auto"/>
            <w:tcMar>
              <w:top w:w="0" w:type="dxa"/>
              <w:left w:w="108" w:type="dxa"/>
              <w:bottom w:w="0" w:type="dxa"/>
              <w:right w:w="108" w:type="dxa"/>
            </w:tcMar>
          </w:tcPr>
          <w:p w14:paraId="110B906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03AF53A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-2.2</w:t>
            </w:r>
          </w:p>
        </w:tc>
        <w:tc>
          <w:tcPr>
            <w:tcW w:w="709" w:type="dxa"/>
            <w:shd w:val="clear" w:color="auto" w:fill="auto"/>
            <w:tcMar>
              <w:top w:w="0" w:type="dxa"/>
              <w:left w:w="108" w:type="dxa"/>
              <w:bottom w:w="0" w:type="dxa"/>
              <w:right w:w="108" w:type="dxa"/>
            </w:tcMar>
          </w:tcPr>
          <w:p w14:paraId="7828E2C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.027</w:t>
            </w:r>
          </w:p>
        </w:tc>
        <w:tc>
          <w:tcPr>
            <w:tcW w:w="946" w:type="dxa"/>
            <w:gridSpan w:val="2"/>
            <w:shd w:val="clear" w:color="auto" w:fill="auto"/>
            <w:tcMar>
              <w:top w:w="0" w:type="dxa"/>
              <w:left w:w="108" w:type="dxa"/>
              <w:bottom w:w="0" w:type="dxa"/>
              <w:right w:w="108" w:type="dxa"/>
            </w:tcMar>
          </w:tcPr>
          <w:p w14:paraId="5391574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-5.5</w:t>
            </w:r>
          </w:p>
        </w:tc>
        <w:tc>
          <w:tcPr>
            <w:tcW w:w="755" w:type="dxa"/>
            <w:shd w:val="clear" w:color="auto" w:fill="auto"/>
            <w:tcMar>
              <w:top w:w="0" w:type="dxa"/>
              <w:left w:w="108" w:type="dxa"/>
              <w:bottom w:w="0" w:type="dxa"/>
              <w:right w:w="108" w:type="dxa"/>
            </w:tcMar>
          </w:tcPr>
          <w:p w14:paraId="09CDBD8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-0.3</w:t>
            </w:r>
          </w:p>
        </w:tc>
        <w:tc>
          <w:tcPr>
            <w:tcW w:w="884" w:type="dxa"/>
            <w:shd w:val="clear" w:color="auto" w:fill="auto"/>
            <w:tcMar>
              <w:top w:w="0" w:type="dxa"/>
              <w:left w:w="108" w:type="dxa"/>
              <w:bottom w:w="0" w:type="dxa"/>
              <w:right w:w="108" w:type="dxa"/>
            </w:tcMar>
          </w:tcPr>
          <w:p w14:paraId="34EC6DC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530950BA" w14:textId="77777777" w:rsidTr="00492095">
        <w:tc>
          <w:tcPr>
            <w:tcW w:w="2235" w:type="dxa"/>
            <w:shd w:val="clear" w:color="auto" w:fill="auto"/>
            <w:tcMar>
              <w:top w:w="0" w:type="dxa"/>
              <w:left w:w="108" w:type="dxa"/>
              <w:bottom w:w="0" w:type="dxa"/>
              <w:right w:w="108" w:type="dxa"/>
            </w:tcMar>
          </w:tcPr>
          <w:p w14:paraId="457B5033"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Strathclyde 15-17</w:t>
            </w:r>
          </w:p>
        </w:tc>
        <w:tc>
          <w:tcPr>
            <w:tcW w:w="1559" w:type="dxa"/>
            <w:gridSpan w:val="3"/>
            <w:shd w:val="clear" w:color="auto" w:fill="auto"/>
            <w:tcMar>
              <w:top w:w="0" w:type="dxa"/>
              <w:left w:w="108" w:type="dxa"/>
              <w:bottom w:w="0" w:type="dxa"/>
              <w:right w:w="108" w:type="dxa"/>
            </w:tcMar>
          </w:tcPr>
          <w:p w14:paraId="26C0984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-2.3</w:t>
            </w:r>
          </w:p>
        </w:tc>
        <w:tc>
          <w:tcPr>
            <w:tcW w:w="850" w:type="dxa"/>
            <w:gridSpan w:val="2"/>
            <w:shd w:val="clear" w:color="auto" w:fill="auto"/>
            <w:tcMar>
              <w:top w:w="0" w:type="dxa"/>
              <w:left w:w="108" w:type="dxa"/>
              <w:bottom w:w="0" w:type="dxa"/>
              <w:right w:w="108" w:type="dxa"/>
            </w:tcMar>
          </w:tcPr>
          <w:p w14:paraId="459DECC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5690543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-1.6</w:t>
            </w:r>
          </w:p>
        </w:tc>
        <w:tc>
          <w:tcPr>
            <w:tcW w:w="709" w:type="dxa"/>
            <w:shd w:val="clear" w:color="auto" w:fill="auto"/>
            <w:tcMar>
              <w:top w:w="0" w:type="dxa"/>
              <w:left w:w="108" w:type="dxa"/>
              <w:bottom w:w="0" w:type="dxa"/>
              <w:right w:w="108" w:type="dxa"/>
            </w:tcMar>
          </w:tcPr>
          <w:p w14:paraId="79FCCE3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.104</w:t>
            </w:r>
          </w:p>
        </w:tc>
        <w:tc>
          <w:tcPr>
            <w:tcW w:w="946" w:type="dxa"/>
            <w:gridSpan w:val="2"/>
            <w:shd w:val="clear" w:color="auto" w:fill="auto"/>
            <w:tcMar>
              <w:top w:w="0" w:type="dxa"/>
              <w:left w:w="108" w:type="dxa"/>
              <w:bottom w:w="0" w:type="dxa"/>
              <w:right w:w="108" w:type="dxa"/>
            </w:tcMar>
          </w:tcPr>
          <w:p w14:paraId="727F682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-5.1</w:t>
            </w:r>
          </w:p>
        </w:tc>
        <w:tc>
          <w:tcPr>
            <w:tcW w:w="755" w:type="dxa"/>
            <w:shd w:val="clear" w:color="auto" w:fill="auto"/>
            <w:tcMar>
              <w:top w:w="0" w:type="dxa"/>
              <w:left w:w="108" w:type="dxa"/>
              <w:bottom w:w="0" w:type="dxa"/>
              <w:right w:w="108" w:type="dxa"/>
            </w:tcMar>
          </w:tcPr>
          <w:p w14:paraId="1CCB49C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0.5</w:t>
            </w:r>
          </w:p>
        </w:tc>
        <w:tc>
          <w:tcPr>
            <w:tcW w:w="884" w:type="dxa"/>
            <w:shd w:val="clear" w:color="auto" w:fill="auto"/>
            <w:tcMar>
              <w:top w:w="0" w:type="dxa"/>
              <w:left w:w="108" w:type="dxa"/>
              <w:bottom w:w="0" w:type="dxa"/>
              <w:right w:w="108" w:type="dxa"/>
            </w:tcMar>
          </w:tcPr>
          <w:p w14:paraId="3DD943C2"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2819FE6C" w14:textId="77777777" w:rsidTr="00492095">
        <w:tc>
          <w:tcPr>
            <w:tcW w:w="2235" w:type="dxa"/>
            <w:shd w:val="clear" w:color="auto" w:fill="auto"/>
            <w:tcMar>
              <w:top w:w="0" w:type="dxa"/>
              <w:left w:w="108" w:type="dxa"/>
              <w:bottom w:w="0" w:type="dxa"/>
              <w:right w:w="108" w:type="dxa"/>
            </w:tcMar>
          </w:tcPr>
          <w:p w14:paraId="276AD4F3"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Rest of South East 05-07</w:t>
            </w:r>
          </w:p>
        </w:tc>
        <w:tc>
          <w:tcPr>
            <w:tcW w:w="1559" w:type="dxa"/>
            <w:gridSpan w:val="3"/>
            <w:shd w:val="clear" w:color="auto" w:fill="auto"/>
            <w:tcMar>
              <w:top w:w="0" w:type="dxa"/>
              <w:left w:w="108" w:type="dxa"/>
              <w:bottom w:w="0" w:type="dxa"/>
              <w:right w:w="108" w:type="dxa"/>
            </w:tcMar>
          </w:tcPr>
          <w:p w14:paraId="48783EE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-1.9</w:t>
            </w:r>
          </w:p>
        </w:tc>
        <w:tc>
          <w:tcPr>
            <w:tcW w:w="850" w:type="dxa"/>
            <w:gridSpan w:val="2"/>
            <w:shd w:val="clear" w:color="auto" w:fill="auto"/>
            <w:tcMar>
              <w:top w:w="0" w:type="dxa"/>
              <w:left w:w="108" w:type="dxa"/>
              <w:bottom w:w="0" w:type="dxa"/>
              <w:right w:w="108" w:type="dxa"/>
            </w:tcMar>
          </w:tcPr>
          <w:p w14:paraId="4811E87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1.1</w:t>
            </w:r>
          </w:p>
        </w:tc>
        <w:tc>
          <w:tcPr>
            <w:tcW w:w="709" w:type="dxa"/>
            <w:shd w:val="clear" w:color="auto" w:fill="auto"/>
            <w:tcMar>
              <w:top w:w="0" w:type="dxa"/>
              <w:left w:w="108" w:type="dxa"/>
              <w:bottom w:w="0" w:type="dxa"/>
              <w:right w:w="108" w:type="dxa"/>
            </w:tcMar>
          </w:tcPr>
          <w:p w14:paraId="721071E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-1.8</w:t>
            </w:r>
          </w:p>
        </w:tc>
        <w:tc>
          <w:tcPr>
            <w:tcW w:w="709" w:type="dxa"/>
            <w:shd w:val="clear" w:color="auto" w:fill="auto"/>
            <w:tcMar>
              <w:top w:w="0" w:type="dxa"/>
              <w:left w:w="108" w:type="dxa"/>
              <w:bottom w:w="0" w:type="dxa"/>
              <w:right w:w="108" w:type="dxa"/>
            </w:tcMar>
          </w:tcPr>
          <w:p w14:paraId="7BED8B3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.080</w:t>
            </w:r>
          </w:p>
        </w:tc>
        <w:tc>
          <w:tcPr>
            <w:tcW w:w="946" w:type="dxa"/>
            <w:gridSpan w:val="2"/>
            <w:shd w:val="clear" w:color="auto" w:fill="auto"/>
            <w:tcMar>
              <w:top w:w="0" w:type="dxa"/>
              <w:left w:w="108" w:type="dxa"/>
              <w:bottom w:w="0" w:type="dxa"/>
              <w:right w:w="108" w:type="dxa"/>
            </w:tcMar>
          </w:tcPr>
          <w:p w14:paraId="6303C6E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-4.0</w:t>
            </w:r>
          </w:p>
        </w:tc>
        <w:tc>
          <w:tcPr>
            <w:tcW w:w="755" w:type="dxa"/>
            <w:shd w:val="clear" w:color="auto" w:fill="auto"/>
            <w:tcMar>
              <w:top w:w="0" w:type="dxa"/>
              <w:left w:w="108" w:type="dxa"/>
              <w:bottom w:w="0" w:type="dxa"/>
              <w:right w:w="108" w:type="dxa"/>
            </w:tcMar>
          </w:tcPr>
          <w:p w14:paraId="22F17B3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0.2</w:t>
            </w:r>
          </w:p>
        </w:tc>
        <w:tc>
          <w:tcPr>
            <w:tcW w:w="884" w:type="dxa"/>
            <w:shd w:val="clear" w:color="auto" w:fill="auto"/>
            <w:tcMar>
              <w:top w:w="0" w:type="dxa"/>
              <w:left w:w="108" w:type="dxa"/>
              <w:bottom w:w="0" w:type="dxa"/>
              <w:right w:w="108" w:type="dxa"/>
            </w:tcMar>
          </w:tcPr>
          <w:p w14:paraId="251169F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0A39CA95" w14:textId="77777777" w:rsidTr="00492095">
        <w:tc>
          <w:tcPr>
            <w:tcW w:w="2235" w:type="dxa"/>
            <w:shd w:val="clear" w:color="auto" w:fill="auto"/>
            <w:tcMar>
              <w:top w:w="0" w:type="dxa"/>
              <w:left w:w="108" w:type="dxa"/>
              <w:bottom w:w="0" w:type="dxa"/>
              <w:right w:w="108" w:type="dxa"/>
            </w:tcMar>
          </w:tcPr>
          <w:p w14:paraId="08422DBC"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Rest of South East 15-17</w:t>
            </w:r>
          </w:p>
        </w:tc>
        <w:tc>
          <w:tcPr>
            <w:tcW w:w="1559" w:type="dxa"/>
            <w:gridSpan w:val="3"/>
            <w:shd w:val="clear" w:color="auto" w:fill="auto"/>
            <w:tcMar>
              <w:top w:w="0" w:type="dxa"/>
              <w:left w:w="108" w:type="dxa"/>
              <w:bottom w:w="0" w:type="dxa"/>
              <w:right w:w="108" w:type="dxa"/>
            </w:tcMar>
          </w:tcPr>
          <w:p w14:paraId="6DE1371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-0.8</w:t>
            </w:r>
          </w:p>
        </w:tc>
        <w:tc>
          <w:tcPr>
            <w:tcW w:w="850" w:type="dxa"/>
            <w:gridSpan w:val="2"/>
            <w:shd w:val="clear" w:color="auto" w:fill="auto"/>
            <w:tcMar>
              <w:top w:w="0" w:type="dxa"/>
              <w:left w:w="108" w:type="dxa"/>
              <w:bottom w:w="0" w:type="dxa"/>
              <w:right w:w="108" w:type="dxa"/>
            </w:tcMar>
          </w:tcPr>
          <w:p w14:paraId="740C987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1.1</w:t>
            </w:r>
          </w:p>
        </w:tc>
        <w:tc>
          <w:tcPr>
            <w:tcW w:w="709" w:type="dxa"/>
            <w:shd w:val="clear" w:color="auto" w:fill="auto"/>
            <w:tcMar>
              <w:top w:w="0" w:type="dxa"/>
              <w:left w:w="108" w:type="dxa"/>
              <w:bottom w:w="0" w:type="dxa"/>
              <w:right w:w="108" w:type="dxa"/>
            </w:tcMar>
          </w:tcPr>
          <w:p w14:paraId="224134B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-0.7</w:t>
            </w:r>
          </w:p>
        </w:tc>
        <w:tc>
          <w:tcPr>
            <w:tcW w:w="709" w:type="dxa"/>
            <w:shd w:val="clear" w:color="auto" w:fill="auto"/>
            <w:tcMar>
              <w:top w:w="0" w:type="dxa"/>
              <w:left w:w="108" w:type="dxa"/>
              <w:bottom w:w="0" w:type="dxa"/>
              <w:right w:w="108" w:type="dxa"/>
            </w:tcMar>
          </w:tcPr>
          <w:p w14:paraId="3A91231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.467</w:t>
            </w:r>
          </w:p>
        </w:tc>
        <w:tc>
          <w:tcPr>
            <w:tcW w:w="946" w:type="dxa"/>
            <w:gridSpan w:val="2"/>
            <w:shd w:val="clear" w:color="auto" w:fill="auto"/>
            <w:tcMar>
              <w:top w:w="0" w:type="dxa"/>
              <w:left w:w="108" w:type="dxa"/>
              <w:bottom w:w="0" w:type="dxa"/>
              <w:right w:w="108" w:type="dxa"/>
            </w:tcMar>
          </w:tcPr>
          <w:p w14:paraId="6CFBB01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-3.0</w:t>
            </w:r>
          </w:p>
        </w:tc>
        <w:tc>
          <w:tcPr>
            <w:tcW w:w="755" w:type="dxa"/>
            <w:shd w:val="clear" w:color="auto" w:fill="auto"/>
            <w:tcMar>
              <w:top w:w="0" w:type="dxa"/>
              <w:left w:w="108" w:type="dxa"/>
              <w:bottom w:w="0" w:type="dxa"/>
              <w:right w:w="108" w:type="dxa"/>
            </w:tcMar>
          </w:tcPr>
          <w:p w14:paraId="0E9F964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w:t>
            </w:r>
          </w:p>
        </w:tc>
        <w:tc>
          <w:tcPr>
            <w:tcW w:w="884" w:type="dxa"/>
            <w:shd w:val="clear" w:color="auto" w:fill="auto"/>
            <w:tcMar>
              <w:top w:w="0" w:type="dxa"/>
              <w:left w:w="108" w:type="dxa"/>
              <w:bottom w:w="0" w:type="dxa"/>
              <w:right w:w="108" w:type="dxa"/>
            </w:tcMar>
          </w:tcPr>
          <w:p w14:paraId="1B544077"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707EC4F0" w14:textId="77777777" w:rsidTr="00492095">
        <w:tc>
          <w:tcPr>
            <w:tcW w:w="2235" w:type="dxa"/>
            <w:shd w:val="clear" w:color="auto" w:fill="auto"/>
            <w:tcMar>
              <w:top w:w="0" w:type="dxa"/>
              <w:left w:w="108" w:type="dxa"/>
              <w:bottom w:w="0" w:type="dxa"/>
              <w:right w:w="108" w:type="dxa"/>
            </w:tcMar>
          </w:tcPr>
          <w:p w14:paraId="661D7631"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West Midlands 05-07</w:t>
            </w:r>
          </w:p>
        </w:tc>
        <w:tc>
          <w:tcPr>
            <w:tcW w:w="1559" w:type="dxa"/>
            <w:gridSpan w:val="3"/>
            <w:shd w:val="clear" w:color="auto" w:fill="auto"/>
            <w:tcMar>
              <w:top w:w="0" w:type="dxa"/>
              <w:left w:w="108" w:type="dxa"/>
              <w:bottom w:w="0" w:type="dxa"/>
              <w:right w:w="108" w:type="dxa"/>
            </w:tcMar>
          </w:tcPr>
          <w:p w14:paraId="134C1B4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-2.0</w:t>
            </w:r>
          </w:p>
        </w:tc>
        <w:tc>
          <w:tcPr>
            <w:tcW w:w="850" w:type="dxa"/>
            <w:gridSpan w:val="2"/>
            <w:shd w:val="clear" w:color="auto" w:fill="auto"/>
            <w:tcMar>
              <w:top w:w="0" w:type="dxa"/>
              <w:left w:w="108" w:type="dxa"/>
              <w:bottom w:w="0" w:type="dxa"/>
              <w:right w:w="108" w:type="dxa"/>
            </w:tcMar>
          </w:tcPr>
          <w:p w14:paraId="69BE643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481705B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-1.6</w:t>
            </w:r>
          </w:p>
        </w:tc>
        <w:tc>
          <w:tcPr>
            <w:tcW w:w="709" w:type="dxa"/>
            <w:shd w:val="clear" w:color="auto" w:fill="auto"/>
            <w:tcMar>
              <w:top w:w="0" w:type="dxa"/>
              <w:left w:w="108" w:type="dxa"/>
              <w:bottom w:w="0" w:type="dxa"/>
              <w:right w:w="108" w:type="dxa"/>
            </w:tcMar>
          </w:tcPr>
          <w:p w14:paraId="3642393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.118</w:t>
            </w:r>
          </w:p>
        </w:tc>
        <w:tc>
          <w:tcPr>
            <w:tcW w:w="946" w:type="dxa"/>
            <w:gridSpan w:val="2"/>
            <w:shd w:val="clear" w:color="auto" w:fill="auto"/>
            <w:tcMar>
              <w:top w:w="0" w:type="dxa"/>
              <w:left w:w="108" w:type="dxa"/>
              <w:bottom w:w="0" w:type="dxa"/>
              <w:right w:w="108" w:type="dxa"/>
            </w:tcMar>
          </w:tcPr>
          <w:p w14:paraId="259A75C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-4.6</w:t>
            </w:r>
          </w:p>
        </w:tc>
        <w:tc>
          <w:tcPr>
            <w:tcW w:w="755" w:type="dxa"/>
            <w:shd w:val="clear" w:color="auto" w:fill="auto"/>
            <w:tcMar>
              <w:top w:w="0" w:type="dxa"/>
              <w:left w:w="108" w:type="dxa"/>
              <w:bottom w:w="0" w:type="dxa"/>
              <w:right w:w="108" w:type="dxa"/>
            </w:tcMar>
          </w:tcPr>
          <w:p w14:paraId="31A5625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0.5</w:t>
            </w:r>
          </w:p>
        </w:tc>
        <w:tc>
          <w:tcPr>
            <w:tcW w:w="884" w:type="dxa"/>
            <w:shd w:val="clear" w:color="auto" w:fill="auto"/>
            <w:tcMar>
              <w:top w:w="0" w:type="dxa"/>
              <w:left w:w="108" w:type="dxa"/>
              <w:bottom w:w="0" w:type="dxa"/>
              <w:right w:w="108" w:type="dxa"/>
            </w:tcMar>
          </w:tcPr>
          <w:p w14:paraId="30BA2734"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2E2BE01D" w14:textId="77777777" w:rsidTr="00492095">
        <w:tc>
          <w:tcPr>
            <w:tcW w:w="2235" w:type="dxa"/>
            <w:shd w:val="clear" w:color="auto" w:fill="auto"/>
            <w:tcMar>
              <w:top w:w="0" w:type="dxa"/>
              <w:left w:w="108" w:type="dxa"/>
              <w:bottom w:w="0" w:type="dxa"/>
              <w:right w:w="108" w:type="dxa"/>
            </w:tcMar>
          </w:tcPr>
          <w:p w14:paraId="4A561D3A"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West Midlands 15-17</w:t>
            </w:r>
          </w:p>
        </w:tc>
        <w:tc>
          <w:tcPr>
            <w:tcW w:w="1559" w:type="dxa"/>
            <w:gridSpan w:val="3"/>
            <w:shd w:val="clear" w:color="auto" w:fill="auto"/>
            <w:tcMar>
              <w:top w:w="0" w:type="dxa"/>
              <w:left w:w="108" w:type="dxa"/>
              <w:bottom w:w="0" w:type="dxa"/>
              <w:right w:w="108" w:type="dxa"/>
            </w:tcMar>
          </w:tcPr>
          <w:p w14:paraId="64AC259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-2.3</w:t>
            </w:r>
          </w:p>
        </w:tc>
        <w:tc>
          <w:tcPr>
            <w:tcW w:w="850" w:type="dxa"/>
            <w:gridSpan w:val="2"/>
            <w:shd w:val="clear" w:color="auto" w:fill="auto"/>
            <w:tcMar>
              <w:top w:w="0" w:type="dxa"/>
              <w:left w:w="108" w:type="dxa"/>
              <w:bottom w:w="0" w:type="dxa"/>
              <w:right w:w="108" w:type="dxa"/>
            </w:tcMar>
          </w:tcPr>
          <w:p w14:paraId="3B2B04C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1.5</w:t>
            </w:r>
          </w:p>
        </w:tc>
        <w:tc>
          <w:tcPr>
            <w:tcW w:w="709" w:type="dxa"/>
            <w:shd w:val="clear" w:color="auto" w:fill="auto"/>
            <w:tcMar>
              <w:top w:w="0" w:type="dxa"/>
              <w:left w:w="108" w:type="dxa"/>
              <w:bottom w:w="0" w:type="dxa"/>
              <w:right w:w="108" w:type="dxa"/>
            </w:tcMar>
          </w:tcPr>
          <w:p w14:paraId="7C63D20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-1.5</w:t>
            </w:r>
          </w:p>
        </w:tc>
        <w:tc>
          <w:tcPr>
            <w:tcW w:w="709" w:type="dxa"/>
            <w:shd w:val="clear" w:color="auto" w:fill="auto"/>
            <w:tcMar>
              <w:top w:w="0" w:type="dxa"/>
              <w:left w:w="108" w:type="dxa"/>
              <w:bottom w:w="0" w:type="dxa"/>
              <w:right w:w="108" w:type="dxa"/>
            </w:tcMar>
          </w:tcPr>
          <w:p w14:paraId="1C7C970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.122</w:t>
            </w:r>
          </w:p>
        </w:tc>
        <w:tc>
          <w:tcPr>
            <w:tcW w:w="946" w:type="dxa"/>
            <w:gridSpan w:val="2"/>
            <w:shd w:val="clear" w:color="auto" w:fill="auto"/>
            <w:tcMar>
              <w:top w:w="0" w:type="dxa"/>
              <w:left w:w="108" w:type="dxa"/>
              <w:bottom w:w="0" w:type="dxa"/>
              <w:right w:w="108" w:type="dxa"/>
            </w:tcMar>
          </w:tcPr>
          <w:p w14:paraId="72B9DA0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-5.2</w:t>
            </w:r>
          </w:p>
        </w:tc>
        <w:tc>
          <w:tcPr>
            <w:tcW w:w="755" w:type="dxa"/>
            <w:shd w:val="clear" w:color="auto" w:fill="auto"/>
            <w:tcMar>
              <w:top w:w="0" w:type="dxa"/>
              <w:left w:w="108" w:type="dxa"/>
              <w:bottom w:w="0" w:type="dxa"/>
              <w:right w:w="108" w:type="dxa"/>
            </w:tcMar>
          </w:tcPr>
          <w:p w14:paraId="5EED2DA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0.6</w:t>
            </w:r>
          </w:p>
        </w:tc>
        <w:tc>
          <w:tcPr>
            <w:tcW w:w="884" w:type="dxa"/>
            <w:shd w:val="clear" w:color="auto" w:fill="auto"/>
            <w:tcMar>
              <w:top w:w="0" w:type="dxa"/>
              <w:left w:w="108" w:type="dxa"/>
              <w:bottom w:w="0" w:type="dxa"/>
              <w:right w:w="108" w:type="dxa"/>
            </w:tcMar>
          </w:tcPr>
          <w:p w14:paraId="4BFC6E9A"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506912BA" w14:textId="77777777" w:rsidTr="00492095">
        <w:tc>
          <w:tcPr>
            <w:tcW w:w="2235" w:type="dxa"/>
            <w:shd w:val="clear" w:color="auto" w:fill="auto"/>
            <w:tcMar>
              <w:top w:w="0" w:type="dxa"/>
              <w:left w:w="108" w:type="dxa"/>
              <w:bottom w:w="0" w:type="dxa"/>
              <w:right w:w="108" w:type="dxa"/>
            </w:tcMar>
          </w:tcPr>
          <w:p w14:paraId="64418E07"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Outer London 05-07</w:t>
            </w:r>
          </w:p>
        </w:tc>
        <w:tc>
          <w:tcPr>
            <w:tcW w:w="1559" w:type="dxa"/>
            <w:gridSpan w:val="3"/>
            <w:shd w:val="clear" w:color="auto" w:fill="auto"/>
            <w:tcMar>
              <w:top w:w="0" w:type="dxa"/>
              <w:left w:w="108" w:type="dxa"/>
              <w:bottom w:w="0" w:type="dxa"/>
              <w:right w:w="108" w:type="dxa"/>
            </w:tcMar>
          </w:tcPr>
          <w:p w14:paraId="41F2860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-0.1</w:t>
            </w:r>
          </w:p>
        </w:tc>
        <w:tc>
          <w:tcPr>
            <w:tcW w:w="850" w:type="dxa"/>
            <w:gridSpan w:val="2"/>
            <w:shd w:val="clear" w:color="auto" w:fill="auto"/>
            <w:tcMar>
              <w:top w:w="0" w:type="dxa"/>
              <w:left w:w="108" w:type="dxa"/>
              <w:bottom w:w="0" w:type="dxa"/>
              <w:right w:w="108" w:type="dxa"/>
            </w:tcMar>
          </w:tcPr>
          <w:p w14:paraId="100D5C9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6BA5EBB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w:t>
            </w:r>
          </w:p>
        </w:tc>
        <w:tc>
          <w:tcPr>
            <w:tcW w:w="709" w:type="dxa"/>
            <w:shd w:val="clear" w:color="auto" w:fill="auto"/>
            <w:tcMar>
              <w:top w:w="0" w:type="dxa"/>
              <w:left w:w="108" w:type="dxa"/>
              <w:bottom w:w="0" w:type="dxa"/>
              <w:right w:w="108" w:type="dxa"/>
            </w:tcMar>
          </w:tcPr>
          <w:p w14:paraId="5750A3A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.966</w:t>
            </w:r>
          </w:p>
        </w:tc>
        <w:tc>
          <w:tcPr>
            <w:tcW w:w="946" w:type="dxa"/>
            <w:gridSpan w:val="2"/>
            <w:shd w:val="clear" w:color="auto" w:fill="auto"/>
            <w:tcMar>
              <w:top w:w="0" w:type="dxa"/>
              <w:left w:w="108" w:type="dxa"/>
              <w:bottom w:w="0" w:type="dxa"/>
              <w:right w:w="108" w:type="dxa"/>
            </w:tcMar>
          </w:tcPr>
          <w:p w14:paraId="4BA3CF6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-2.4</w:t>
            </w:r>
          </w:p>
        </w:tc>
        <w:tc>
          <w:tcPr>
            <w:tcW w:w="755" w:type="dxa"/>
            <w:shd w:val="clear" w:color="auto" w:fill="auto"/>
            <w:tcMar>
              <w:top w:w="0" w:type="dxa"/>
              <w:left w:w="108" w:type="dxa"/>
              <w:bottom w:w="0" w:type="dxa"/>
              <w:right w:w="108" w:type="dxa"/>
            </w:tcMar>
          </w:tcPr>
          <w:p w14:paraId="6657AA8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2.3</w:t>
            </w:r>
          </w:p>
        </w:tc>
        <w:tc>
          <w:tcPr>
            <w:tcW w:w="884" w:type="dxa"/>
            <w:shd w:val="clear" w:color="auto" w:fill="auto"/>
            <w:tcMar>
              <w:top w:w="0" w:type="dxa"/>
              <w:left w:w="108" w:type="dxa"/>
              <w:bottom w:w="0" w:type="dxa"/>
              <w:right w:w="108" w:type="dxa"/>
            </w:tcMar>
          </w:tcPr>
          <w:p w14:paraId="4C360BA2"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2E62080F" w14:textId="77777777" w:rsidTr="00492095">
        <w:tc>
          <w:tcPr>
            <w:tcW w:w="2235" w:type="dxa"/>
            <w:shd w:val="clear" w:color="auto" w:fill="auto"/>
            <w:tcMar>
              <w:top w:w="0" w:type="dxa"/>
              <w:left w:w="108" w:type="dxa"/>
              <w:bottom w:w="0" w:type="dxa"/>
              <w:right w:w="108" w:type="dxa"/>
            </w:tcMar>
          </w:tcPr>
          <w:p w14:paraId="6A005158"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Outer London 15-17</w:t>
            </w:r>
          </w:p>
        </w:tc>
        <w:tc>
          <w:tcPr>
            <w:tcW w:w="1559" w:type="dxa"/>
            <w:gridSpan w:val="3"/>
            <w:shd w:val="clear" w:color="auto" w:fill="auto"/>
            <w:tcMar>
              <w:top w:w="0" w:type="dxa"/>
              <w:left w:w="108" w:type="dxa"/>
              <w:bottom w:w="0" w:type="dxa"/>
              <w:right w:w="108" w:type="dxa"/>
            </w:tcMar>
          </w:tcPr>
          <w:p w14:paraId="293D8CC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-1.7</w:t>
            </w:r>
          </w:p>
        </w:tc>
        <w:tc>
          <w:tcPr>
            <w:tcW w:w="850" w:type="dxa"/>
            <w:gridSpan w:val="2"/>
            <w:shd w:val="clear" w:color="auto" w:fill="auto"/>
            <w:tcMar>
              <w:top w:w="0" w:type="dxa"/>
              <w:left w:w="108" w:type="dxa"/>
              <w:bottom w:w="0" w:type="dxa"/>
              <w:right w:w="108" w:type="dxa"/>
            </w:tcMar>
          </w:tcPr>
          <w:p w14:paraId="394DEEF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7DD5DA5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1027110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.192</w:t>
            </w:r>
          </w:p>
        </w:tc>
        <w:tc>
          <w:tcPr>
            <w:tcW w:w="946" w:type="dxa"/>
            <w:gridSpan w:val="2"/>
            <w:shd w:val="clear" w:color="auto" w:fill="auto"/>
            <w:tcMar>
              <w:top w:w="0" w:type="dxa"/>
              <w:left w:w="108" w:type="dxa"/>
              <w:bottom w:w="0" w:type="dxa"/>
              <w:right w:w="108" w:type="dxa"/>
            </w:tcMar>
          </w:tcPr>
          <w:p w14:paraId="45C615E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-4.2</w:t>
            </w:r>
          </w:p>
        </w:tc>
        <w:tc>
          <w:tcPr>
            <w:tcW w:w="755" w:type="dxa"/>
            <w:shd w:val="clear" w:color="auto" w:fill="auto"/>
            <w:tcMar>
              <w:top w:w="0" w:type="dxa"/>
              <w:left w:w="108" w:type="dxa"/>
              <w:bottom w:w="0" w:type="dxa"/>
              <w:right w:w="108" w:type="dxa"/>
            </w:tcMar>
          </w:tcPr>
          <w:p w14:paraId="5B426A1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0.9</w:t>
            </w:r>
          </w:p>
        </w:tc>
        <w:tc>
          <w:tcPr>
            <w:tcW w:w="884" w:type="dxa"/>
            <w:shd w:val="clear" w:color="auto" w:fill="auto"/>
            <w:tcMar>
              <w:top w:w="0" w:type="dxa"/>
              <w:left w:w="108" w:type="dxa"/>
              <w:bottom w:w="0" w:type="dxa"/>
              <w:right w:w="108" w:type="dxa"/>
            </w:tcMar>
          </w:tcPr>
          <w:p w14:paraId="1DED299C"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4027725B" w14:textId="77777777" w:rsidTr="00492095">
        <w:tc>
          <w:tcPr>
            <w:tcW w:w="2235" w:type="dxa"/>
            <w:shd w:val="clear" w:color="auto" w:fill="auto"/>
            <w:tcMar>
              <w:top w:w="0" w:type="dxa"/>
              <w:left w:w="108" w:type="dxa"/>
              <w:bottom w:w="0" w:type="dxa"/>
              <w:right w:w="108" w:type="dxa"/>
            </w:tcMar>
          </w:tcPr>
          <w:p w14:paraId="01DBFEBF"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Inner London 05-07</w:t>
            </w:r>
          </w:p>
        </w:tc>
        <w:tc>
          <w:tcPr>
            <w:tcW w:w="1559" w:type="dxa"/>
            <w:gridSpan w:val="3"/>
            <w:shd w:val="clear" w:color="auto" w:fill="auto"/>
            <w:tcMar>
              <w:top w:w="0" w:type="dxa"/>
              <w:left w:w="108" w:type="dxa"/>
              <w:bottom w:w="0" w:type="dxa"/>
              <w:right w:w="108" w:type="dxa"/>
            </w:tcMar>
          </w:tcPr>
          <w:p w14:paraId="6FC889F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850" w:type="dxa"/>
            <w:gridSpan w:val="2"/>
            <w:shd w:val="clear" w:color="auto" w:fill="auto"/>
            <w:tcMar>
              <w:top w:w="0" w:type="dxa"/>
              <w:left w:w="108" w:type="dxa"/>
              <w:bottom w:w="0" w:type="dxa"/>
              <w:right w:w="108" w:type="dxa"/>
            </w:tcMar>
          </w:tcPr>
          <w:p w14:paraId="7B6121B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709" w:type="dxa"/>
            <w:shd w:val="clear" w:color="auto" w:fill="auto"/>
            <w:tcMar>
              <w:top w:w="0" w:type="dxa"/>
              <w:left w:w="108" w:type="dxa"/>
              <w:bottom w:w="0" w:type="dxa"/>
              <w:right w:w="108" w:type="dxa"/>
            </w:tcMar>
          </w:tcPr>
          <w:p w14:paraId="5856822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709" w:type="dxa"/>
            <w:shd w:val="clear" w:color="auto" w:fill="auto"/>
            <w:tcMar>
              <w:top w:w="0" w:type="dxa"/>
              <w:left w:w="108" w:type="dxa"/>
              <w:bottom w:w="0" w:type="dxa"/>
              <w:right w:w="108" w:type="dxa"/>
            </w:tcMar>
          </w:tcPr>
          <w:p w14:paraId="09CBFFF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946" w:type="dxa"/>
            <w:gridSpan w:val="2"/>
            <w:shd w:val="clear" w:color="auto" w:fill="auto"/>
            <w:tcMar>
              <w:top w:w="0" w:type="dxa"/>
              <w:left w:w="108" w:type="dxa"/>
              <w:bottom w:w="0" w:type="dxa"/>
              <w:right w:w="108" w:type="dxa"/>
            </w:tcMar>
          </w:tcPr>
          <w:p w14:paraId="722677F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755" w:type="dxa"/>
            <w:shd w:val="clear" w:color="auto" w:fill="auto"/>
            <w:tcMar>
              <w:top w:w="0" w:type="dxa"/>
              <w:left w:w="108" w:type="dxa"/>
              <w:bottom w:w="0" w:type="dxa"/>
              <w:right w:w="108" w:type="dxa"/>
            </w:tcMar>
          </w:tcPr>
          <w:p w14:paraId="48D65B5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884" w:type="dxa"/>
            <w:shd w:val="clear" w:color="auto" w:fill="auto"/>
            <w:tcMar>
              <w:top w:w="0" w:type="dxa"/>
              <w:left w:w="108" w:type="dxa"/>
              <w:bottom w:w="0" w:type="dxa"/>
              <w:right w:w="108" w:type="dxa"/>
            </w:tcMar>
          </w:tcPr>
          <w:p w14:paraId="627BBDA6"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7DE3D465" w14:textId="77777777" w:rsidTr="00492095">
        <w:tc>
          <w:tcPr>
            <w:tcW w:w="2235" w:type="dxa"/>
            <w:shd w:val="clear" w:color="auto" w:fill="auto"/>
            <w:tcMar>
              <w:top w:w="0" w:type="dxa"/>
              <w:left w:w="108" w:type="dxa"/>
              <w:bottom w:w="0" w:type="dxa"/>
              <w:right w:w="108" w:type="dxa"/>
            </w:tcMar>
          </w:tcPr>
          <w:p w14:paraId="445AD9DC"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Inner London 15-17</w:t>
            </w:r>
          </w:p>
        </w:tc>
        <w:tc>
          <w:tcPr>
            <w:tcW w:w="1559" w:type="dxa"/>
            <w:gridSpan w:val="3"/>
            <w:shd w:val="clear" w:color="auto" w:fill="auto"/>
            <w:tcMar>
              <w:top w:w="0" w:type="dxa"/>
              <w:left w:w="108" w:type="dxa"/>
              <w:bottom w:w="0" w:type="dxa"/>
              <w:right w:w="108" w:type="dxa"/>
            </w:tcMar>
          </w:tcPr>
          <w:p w14:paraId="6C64ADB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0.2</w:t>
            </w:r>
          </w:p>
        </w:tc>
        <w:tc>
          <w:tcPr>
            <w:tcW w:w="850" w:type="dxa"/>
            <w:gridSpan w:val="2"/>
            <w:shd w:val="clear" w:color="auto" w:fill="auto"/>
            <w:tcMar>
              <w:top w:w="0" w:type="dxa"/>
              <w:left w:w="108" w:type="dxa"/>
              <w:bottom w:w="0" w:type="dxa"/>
              <w:right w:w="108" w:type="dxa"/>
            </w:tcMar>
          </w:tcPr>
          <w:p w14:paraId="6D69AC7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1.6</w:t>
            </w:r>
          </w:p>
        </w:tc>
        <w:tc>
          <w:tcPr>
            <w:tcW w:w="709" w:type="dxa"/>
            <w:shd w:val="clear" w:color="auto" w:fill="auto"/>
            <w:tcMar>
              <w:top w:w="0" w:type="dxa"/>
              <w:left w:w="108" w:type="dxa"/>
              <w:bottom w:w="0" w:type="dxa"/>
              <w:right w:w="108" w:type="dxa"/>
            </w:tcMar>
          </w:tcPr>
          <w:p w14:paraId="0A0AEAE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0.1</w:t>
            </w:r>
          </w:p>
        </w:tc>
        <w:tc>
          <w:tcPr>
            <w:tcW w:w="709" w:type="dxa"/>
            <w:shd w:val="clear" w:color="auto" w:fill="auto"/>
            <w:tcMar>
              <w:top w:w="0" w:type="dxa"/>
              <w:left w:w="108" w:type="dxa"/>
              <w:bottom w:w="0" w:type="dxa"/>
              <w:right w:w="108" w:type="dxa"/>
            </w:tcMar>
          </w:tcPr>
          <w:p w14:paraId="5FE1D83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.886</w:t>
            </w:r>
          </w:p>
        </w:tc>
        <w:tc>
          <w:tcPr>
            <w:tcW w:w="946" w:type="dxa"/>
            <w:gridSpan w:val="2"/>
            <w:shd w:val="clear" w:color="auto" w:fill="auto"/>
            <w:tcMar>
              <w:top w:w="0" w:type="dxa"/>
              <w:left w:w="108" w:type="dxa"/>
              <w:bottom w:w="0" w:type="dxa"/>
              <w:right w:w="108" w:type="dxa"/>
            </w:tcMar>
          </w:tcPr>
          <w:p w14:paraId="76306FF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-2.9</w:t>
            </w:r>
          </w:p>
        </w:tc>
        <w:tc>
          <w:tcPr>
            <w:tcW w:w="755" w:type="dxa"/>
            <w:shd w:val="clear" w:color="auto" w:fill="auto"/>
            <w:tcMar>
              <w:top w:w="0" w:type="dxa"/>
              <w:left w:w="108" w:type="dxa"/>
              <w:bottom w:w="0" w:type="dxa"/>
              <w:right w:w="108" w:type="dxa"/>
            </w:tcMar>
          </w:tcPr>
          <w:p w14:paraId="3B4493E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3.3</w:t>
            </w:r>
          </w:p>
        </w:tc>
        <w:tc>
          <w:tcPr>
            <w:tcW w:w="884" w:type="dxa"/>
            <w:shd w:val="clear" w:color="auto" w:fill="auto"/>
            <w:tcMar>
              <w:top w:w="0" w:type="dxa"/>
              <w:left w:w="108" w:type="dxa"/>
              <w:bottom w:w="0" w:type="dxa"/>
              <w:right w:w="108" w:type="dxa"/>
            </w:tcMar>
          </w:tcPr>
          <w:p w14:paraId="50EBB74D"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4AF61E73" w14:textId="77777777" w:rsidTr="00492095">
        <w:tc>
          <w:tcPr>
            <w:tcW w:w="2235" w:type="dxa"/>
            <w:shd w:val="clear" w:color="auto" w:fill="auto"/>
            <w:tcMar>
              <w:top w:w="0" w:type="dxa"/>
              <w:left w:w="108" w:type="dxa"/>
              <w:bottom w:w="0" w:type="dxa"/>
              <w:right w:w="108" w:type="dxa"/>
            </w:tcMar>
          </w:tcPr>
          <w:p w14:paraId="28581536"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 xml:space="preserve"> 18</w:t>
            </w:r>
          </w:p>
        </w:tc>
        <w:tc>
          <w:tcPr>
            <w:tcW w:w="1559" w:type="dxa"/>
            <w:gridSpan w:val="3"/>
            <w:shd w:val="clear" w:color="auto" w:fill="auto"/>
            <w:tcMar>
              <w:top w:w="0" w:type="dxa"/>
              <w:left w:w="108" w:type="dxa"/>
              <w:bottom w:w="0" w:type="dxa"/>
              <w:right w:w="108" w:type="dxa"/>
            </w:tcMar>
          </w:tcPr>
          <w:p w14:paraId="56328F7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850" w:type="dxa"/>
            <w:gridSpan w:val="2"/>
            <w:shd w:val="clear" w:color="auto" w:fill="auto"/>
            <w:tcMar>
              <w:top w:w="0" w:type="dxa"/>
              <w:left w:w="108" w:type="dxa"/>
              <w:bottom w:w="0" w:type="dxa"/>
              <w:right w:w="108" w:type="dxa"/>
            </w:tcMar>
          </w:tcPr>
          <w:p w14:paraId="6CB6695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709" w:type="dxa"/>
            <w:shd w:val="clear" w:color="auto" w:fill="auto"/>
            <w:tcMar>
              <w:top w:w="0" w:type="dxa"/>
              <w:left w:w="108" w:type="dxa"/>
              <w:bottom w:w="0" w:type="dxa"/>
              <w:right w:w="108" w:type="dxa"/>
            </w:tcMar>
          </w:tcPr>
          <w:p w14:paraId="2CF4601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709" w:type="dxa"/>
            <w:shd w:val="clear" w:color="auto" w:fill="auto"/>
            <w:tcMar>
              <w:top w:w="0" w:type="dxa"/>
              <w:left w:w="108" w:type="dxa"/>
              <w:bottom w:w="0" w:type="dxa"/>
              <w:right w:w="108" w:type="dxa"/>
            </w:tcMar>
          </w:tcPr>
          <w:p w14:paraId="3617F7D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946" w:type="dxa"/>
            <w:gridSpan w:val="2"/>
            <w:shd w:val="clear" w:color="auto" w:fill="auto"/>
            <w:tcMar>
              <w:top w:w="0" w:type="dxa"/>
              <w:left w:w="108" w:type="dxa"/>
              <w:bottom w:w="0" w:type="dxa"/>
              <w:right w:w="108" w:type="dxa"/>
            </w:tcMar>
          </w:tcPr>
          <w:p w14:paraId="508C2C5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755" w:type="dxa"/>
            <w:shd w:val="clear" w:color="auto" w:fill="auto"/>
            <w:tcMar>
              <w:top w:w="0" w:type="dxa"/>
              <w:left w:w="108" w:type="dxa"/>
              <w:bottom w:w="0" w:type="dxa"/>
              <w:right w:w="108" w:type="dxa"/>
            </w:tcMar>
          </w:tcPr>
          <w:p w14:paraId="2C8D6CF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884" w:type="dxa"/>
            <w:shd w:val="clear" w:color="auto" w:fill="auto"/>
            <w:tcMar>
              <w:top w:w="0" w:type="dxa"/>
              <w:left w:w="108" w:type="dxa"/>
              <w:bottom w:w="0" w:type="dxa"/>
              <w:right w:w="108" w:type="dxa"/>
            </w:tcMar>
          </w:tcPr>
          <w:p w14:paraId="4899AFB2"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1F03EF6A" w14:textId="77777777" w:rsidTr="00492095">
        <w:tc>
          <w:tcPr>
            <w:tcW w:w="2235" w:type="dxa"/>
            <w:shd w:val="clear" w:color="auto" w:fill="auto"/>
            <w:tcMar>
              <w:top w:w="0" w:type="dxa"/>
              <w:left w:w="108" w:type="dxa"/>
              <w:bottom w:w="0" w:type="dxa"/>
              <w:right w:w="108" w:type="dxa"/>
            </w:tcMar>
          </w:tcPr>
          <w:p w14:paraId="5EFAF300"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 xml:space="preserve"> 19</w:t>
            </w:r>
          </w:p>
        </w:tc>
        <w:tc>
          <w:tcPr>
            <w:tcW w:w="1559" w:type="dxa"/>
            <w:gridSpan w:val="3"/>
            <w:shd w:val="clear" w:color="auto" w:fill="auto"/>
            <w:tcMar>
              <w:top w:w="0" w:type="dxa"/>
              <w:left w:w="108" w:type="dxa"/>
              <w:bottom w:w="0" w:type="dxa"/>
              <w:right w:w="108" w:type="dxa"/>
            </w:tcMar>
          </w:tcPr>
          <w:p w14:paraId="5C491CF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0.6</w:t>
            </w:r>
          </w:p>
        </w:tc>
        <w:tc>
          <w:tcPr>
            <w:tcW w:w="850" w:type="dxa"/>
            <w:gridSpan w:val="2"/>
            <w:shd w:val="clear" w:color="auto" w:fill="auto"/>
            <w:tcMar>
              <w:top w:w="0" w:type="dxa"/>
              <w:left w:w="108" w:type="dxa"/>
              <w:bottom w:w="0" w:type="dxa"/>
              <w:right w:w="108" w:type="dxa"/>
            </w:tcMar>
          </w:tcPr>
          <w:p w14:paraId="7BE8308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0.5</w:t>
            </w:r>
          </w:p>
        </w:tc>
        <w:tc>
          <w:tcPr>
            <w:tcW w:w="709" w:type="dxa"/>
            <w:shd w:val="clear" w:color="auto" w:fill="auto"/>
            <w:tcMar>
              <w:top w:w="0" w:type="dxa"/>
              <w:left w:w="108" w:type="dxa"/>
              <w:bottom w:w="0" w:type="dxa"/>
              <w:right w:w="108" w:type="dxa"/>
            </w:tcMar>
          </w:tcPr>
          <w:p w14:paraId="15998E5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3EF78D5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.242</w:t>
            </w:r>
          </w:p>
        </w:tc>
        <w:tc>
          <w:tcPr>
            <w:tcW w:w="946" w:type="dxa"/>
            <w:gridSpan w:val="2"/>
            <w:shd w:val="clear" w:color="auto" w:fill="auto"/>
            <w:tcMar>
              <w:top w:w="0" w:type="dxa"/>
              <w:left w:w="108" w:type="dxa"/>
              <w:bottom w:w="0" w:type="dxa"/>
              <w:right w:w="108" w:type="dxa"/>
            </w:tcMar>
          </w:tcPr>
          <w:p w14:paraId="39F5BFE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-0.4</w:t>
            </w:r>
          </w:p>
        </w:tc>
        <w:tc>
          <w:tcPr>
            <w:tcW w:w="755" w:type="dxa"/>
            <w:shd w:val="clear" w:color="auto" w:fill="auto"/>
            <w:tcMar>
              <w:top w:w="0" w:type="dxa"/>
              <w:left w:w="108" w:type="dxa"/>
              <w:bottom w:w="0" w:type="dxa"/>
              <w:right w:w="108" w:type="dxa"/>
            </w:tcMar>
          </w:tcPr>
          <w:p w14:paraId="23D012C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1.7</w:t>
            </w:r>
          </w:p>
        </w:tc>
        <w:tc>
          <w:tcPr>
            <w:tcW w:w="884" w:type="dxa"/>
            <w:shd w:val="clear" w:color="auto" w:fill="auto"/>
            <w:tcMar>
              <w:top w:w="0" w:type="dxa"/>
              <w:left w:w="108" w:type="dxa"/>
              <w:bottom w:w="0" w:type="dxa"/>
              <w:right w:w="108" w:type="dxa"/>
            </w:tcMar>
          </w:tcPr>
          <w:p w14:paraId="006E356B"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54E3A0C9" w14:textId="77777777" w:rsidTr="00492095">
        <w:tc>
          <w:tcPr>
            <w:tcW w:w="2235" w:type="dxa"/>
            <w:shd w:val="clear" w:color="auto" w:fill="auto"/>
            <w:tcMar>
              <w:top w:w="0" w:type="dxa"/>
              <w:left w:w="108" w:type="dxa"/>
              <w:bottom w:w="0" w:type="dxa"/>
              <w:right w:w="108" w:type="dxa"/>
            </w:tcMar>
          </w:tcPr>
          <w:p w14:paraId="7504690F"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 xml:space="preserve"> 20</w:t>
            </w:r>
          </w:p>
        </w:tc>
        <w:tc>
          <w:tcPr>
            <w:tcW w:w="1559" w:type="dxa"/>
            <w:gridSpan w:val="3"/>
            <w:shd w:val="clear" w:color="auto" w:fill="auto"/>
            <w:tcMar>
              <w:top w:w="0" w:type="dxa"/>
              <w:left w:w="108" w:type="dxa"/>
              <w:bottom w:w="0" w:type="dxa"/>
              <w:right w:w="108" w:type="dxa"/>
            </w:tcMar>
          </w:tcPr>
          <w:p w14:paraId="453F489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1.0</w:t>
            </w:r>
          </w:p>
        </w:tc>
        <w:tc>
          <w:tcPr>
            <w:tcW w:w="850" w:type="dxa"/>
            <w:gridSpan w:val="2"/>
            <w:shd w:val="clear" w:color="auto" w:fill="auto"/>
            <w:tcMar>
              <w:top w:w="0" w:type="dxa"/>
              <w:left w:w="108" w:type="dxa"/>
              <w:bottom w:w="0" w:type="dxa"/>
              <w:right w:w="108" w:type="dxa"/>
            </w:tcMar>
          </w:tcPr>
          <w:p w14:paraId="27D0ACE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0.5</w:t>
            </w:r>
          </w:p>
        </w:tc>
        <w:tc>
          <w:tcPr>
            <w:tcW w:w="709" w:type="dxa"/>
            <w:shd w:val="clear" w:color="auto" w:fill="auto"/>
            <w:tcMar>
              <w:top w:w="0" w:type="dxa"/>
              <w:left w:w="108" w:type="dxa"/>
              <w:bottom w:w="0" w:type="dxa"/>
              <w:right w:w="108" w:type="dxa"/>
            </w:tcMar>
          </w:tcPr>
          <w:p w14:paraId="0B8546C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2.0</w:t>
            </w:r>
          </w:p>
        </w:tc>
        <w:tc>
          <w:tcPr>
            <w:tcW w:w="709" w:type="dxa"/>
            <w:shd w:val="clear" w:color="auto" w:fill="auto"/>
            <w:tcMar>
              <w:top w:w="0" w:type="dxa"/>
              <w:left w:w="108" w:type="dxa"/>
              <w:bottom w:w="0" w:type="dxa"/>
              <w:right w:w="108" w:type="dxa"/>
            </w:tcMar>
          </w:tcPr>
          <w:p w14:paraId="12F7F5C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.059</w:t>
            </w:r>
          </w:p>
        </w:tc>
        <w:tc>
          <w:tcPr>
            <w:tcW w:w="946" w:type="dxa"/>
            <w:gridSpan w:val="2"/>
            <w:shd w:val="clear" w:color="auto" w:fill="auto"/>
            <w:tcMar>
              <w:top w:w="0" w:type="dxa"/>
              <w:left w:w="108" w:type="dxa"/>
              <w:bottom w:w="0" w:type="dxa"/>
              <w:right w:w="108" w:type="dxa"/>
            </w:tcMar>
          </w:tcPr>
          <w:p w14:paraId="4D9C14A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w:t>
            </w:r>
          </w:p>
        </w:tc>
        <w:tc>
          <w:tcPr>
            <w:tcW w:w="755" w:type="dxa"/>
            <w:shd w:val="clear" w:color="auto" w:fill="auto"/>
            <w:tcMar>
              <w:top w:w="0" w:type="dxa"/>
              <w:left w:w="108" w:type="dxa"/>
              <w:bottom w:w="0" w:type="dxa"/>
              <w:right w:w="108" w:type="dxa"/>
            </w:tcMar>
          </w:tcPr>
          <w:p w14:paraId="77D12A3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2.1</w:t>
            </w:r>
          </w:p>
        </w:tc>
        <w:tc>
          <w:tcPr>
            <w:tcW w:w="884" w:type="dxa"/>
            <w:shd w:val="clear" w:color="auto" w:fill="auto"/>
            <w:tcMar>
              <w:top w:w="0" w:type="dxa"/>
              <w:left w:w="108" w:type="dxa"/>
              <w:bottom w:w="0" w:type="dxa"/>
              <w:right w:w="108" w:type="dxa"/>
            </w:tcMar>
          </w:tcPr>
          <w:p w14:paraId="2E4CD71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529DFDAF" w14:textId="77777777" w:rsidTr="00492095">
        <w:tc>
          <w:tcPr>
            <w:tcW w:w="2235" w:type="dxa"/>
            <w:shd w:val="clear" w:color="auto" w:fill="auto"/>
            <w:tcMar>
              <w:top w:w="0" w:type="dxa"/>
              <w:left w:w="108" w:type="dxa"/>
              <w:bottom w:w="0" w:type="dxa"/>
              <w:right w:w="108" w:type="dxa"/>
            </w:tcMar>
          </w:tcPr>
          <w:p w14:paraId="3B9C114B"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 xml:space="preserve"> 21</w:t>
            </w:r>
          </w:p>
        </w:tc>
        <w:tc>
          <w:tcPr>
            <w:tcW w:w="1559" w:type="dxa"/>
            <w:gridSpan w:val="3"/>
            <w:shd w:val="clear" w:color="auto" w:fill="auto"/>
            <w:tcMar>
              <w:top w:w="0" w:type="dxa"/>
              <w:left w:w="108" w:type="dxa"/>
              <w:bottom w:w="0" w:type="dxa"/>
              <w:right w:w="108" w:type="dxa"/>
            </w:tcMar>
          </w:tcPr>
          <w:p w14:paraId="6D502EA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w:t>
            </w:r>
          </w:p>
        </w:tc>
        <w:tc>
          <w:tcPr>
            <w:tcW w:w="850" w:type="dxa"/>
            <w:gridSpan w:val="2"/>
            <w:shd w:val="clear" w:color="auto" w:fill="auto"/>
            <w:tcMar>
              <w:top w:w="0" w:type="dxa"/>
              <w:left w:w="108" w:type="dxa"/>
              <w:bottom w:w="0" w:type="dxa"/>
              <w:right w:w="108" w:type="dxa"/>
            </w:tcMar>
          </w:tcPr>
          <w:p w14:paraId="381AB6A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0.5</w:t>
            </w:r>
          </w:p>
        </w:tc>
        <w:tc>
          <w:tcPr>
            <w:tcW w:w="709" w:type="dxa"/>
            <w:shd w:val="clear" w:color="auto" w:fill="auto"/>
            <w:tcMar>
              <w:top w:w="0" w:type="dxa"/>
              <w:left w:w="108" w:type="dxa"/>
              <w:bottom w:w="0" w:type="dxa"/>
              <w:right w:w="108" w:type="dxa"/>
            </w:tcMar>
          </w:tcPr>
          <w:p w14:paraId="73DDF36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2.4</w:t>
            </w:r>
          </w:p>
        </w:tc>
        <w:tc>
          <w:tcPr>
            <w:tcW w:w="709" w:type="dxa"/>
            <w:shd w:val="clear" w:color="auto" w:fill="auto"/>
            <w:tcMar>
              <w:top w:w="0" w:type="dxa"/>
              <w:left w:w="108" w:type="dxa"/>
              <w:bottom w:w="0" w:type="dxa"/>
              <w:right w:w="108" w:type="dxa"/>
            </w:tcMar>
          </w:tcPr>
          <w:p w14:paraId="24D0260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.016</w:t>
            </w:r>
          </w:p>
        </w:tc>
        <w:tc>
          <w:tcPr>
            <w:tcW w:w="946" w:type="dxa"/>
            <w:gridSpan w:val="2"/>
            <w:shd w:val="clear" w:color="auto" w:fill="auto"/>
            <w:tcMar>
              <w:top w:w="0" w:type="dxa"/>
              <w:left w:w="108" w:type="dxa"/>
              <w:bottom w:w="0" w:type="dxa"/>
              <w:right w:w="108" w:type="dxa"/>
            </w:tcMar>
          </w:tcPr>
          <w:p w14:paraId="6050234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0.2</w:t>
            </w:r>
          </w:p>
        </w:tc>
        <w:tc>
          <w:tcPr>
            <w:tcW w:w="755" w:type="dxa"/>
            <w:shd w:val="clear" w:color="auto" w:fill="auto"/>
            <w:tcMar>
              <w:top w:w="0" w:type="dxa"/>
              <w:left w:w="108" w:type="dxa"/>
              <w:bottom w:w="0" w:type="dxa"/>
              <w:right w:w="108" w:type="dxa"/>
            </w:tcMar>
          </w:tcPr>
          <w:p w14:paraId="7D6625D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2.3</w:t>
            </w:r>
          </w:p>
        </w:tc>
        <w:tc>
          <w:tcPr>
            <w:tcW w:w="884" w:type="dxa"/>
            <w:shd w:val="clear" w:color="auto" w:fill="auto"/>
            <w:tcMar>
              <w:top w:w="0" w:type="dxa"/>
              <w:left w:w="108" w:type="dxa"/>
              <w:bottom w:w="0" w:type="dxa"/>
              <w:right w:w="108" w:type="dxa"/>
            </w:tcMar>
          </w:tcPr>
          <w:p w14:paraId="52C7B60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1223B7A2" w14:textId="77777777" w:rsidTr="00492095">
        <w:tc>
          <w:tcPr>
            <w:tcW w:w="2235" w:type="dxa"/>
            <w:shd w:val="clear" w:color="auto" w:fill="auto"/>
            <w:tcMar>
              <w:top w:w="0" w:type="dxa"/>
              <w:left w:w="108" w:type="dxa"/>
              <w:bottom w:w="0" w:type="dxa"/>
              <w:right w:w="108" w:type="dxa"/>
            </w:tcMar>
          </w:tcPr>
          <w:p w14:paraId="1219FAB1"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lastRenderedPageBreak/>
              <w:t xml:space="preserve"> 22</w:t>
            </w:r>
          </w:p>
        </w:tc>
        <w:tc>
          <w:tcPr>
            <w:tcW w:w="1559" w:type="dxa"/>
            <w:gridSpan w:val="3"/>
            <w:shd w:val="clear" w:color="auto" w:fill="auto"/>
            <w:tcMar>
              <w:top w:w="0" w:type="dxa"/>
              <w:left w:w="108" w:type="dxa"/>
              <w:bottom w:w="0" w:type="dxa"/>
              <w:right w:w="108" w:type="dxa"/>
            </w:tcMar>
          </w:tcPr>
          <w:p w14:paraId="09B3232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0.9</w:t>
            </w:r>
          </w:p>
        </w:tc>
        <w:tc>
          <w:tcPr>
            <w:tcW w:w="850" w:type="dxa"/>
            <w:gridSpan w:val="2"/>
            <w:shd w:val="clear" w:color="auto" w:fill="auto"/>
            <w:tcMar>
              <w:top w:w="0" w:type="dxa"/>
              <w:left w:w="108" w:type="dxa"/>
              <w:bottom w:w="0" w:type="dxa"/>
              <w:right w:w="108" w:type="dxa"/>
            </w:tcMar>
          </w:tcPr>
          <w:p w14:paraId="38587A9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0.5</w:t>
            </w:r>
          </w:p>
        </w:tc>
        <w:tc>
          <w:tcPr>
            <w:tcW w:w="709" w:type="dxa"/>
            <w:shd w:val="clear" w:color="auto" w:fill="auto"/>
            <w:tcMar>
              <w:top w:w="0" w:type="dxa"/>
              <w:left w:w="108" w:type="dxa"/>
              <w:bottom w:w="0" w:type="dxa"/>
              <w:right w:w="108" w:type="dxa"/>
            </w:tcMar>
          </w:tcPr>
          <w:p w14:paraId="3564C50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1.8</w:t>
            </w:r>
          </w:p>
        </w:tc>
        <w:tc>
          <w:tcPr>
            <w:tcW w:w="709" w:type="dxa"/>
            <w:shd w:val="clear" w:color="auto" w:fill="auto"/>
            <w:tcMar>
              <w:top w:w="0" w:type="dxa"/>
              <w:left w:w="108" w:type="dxa"/>
              <w:bottom w:w="0" w:type="dxa"/>
              <w:right w:w="108" w:type="dxa"/>
            </w:tcMar>
          </w:tcPr>
          <w:p w14:paraId="75E6ADB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.074</w:t>
            </w:r>
          </w:p>
        </w:tc>
        <w:tc>
          <w:tcPr>
            <w:tcW w:w="946" w:type="dxa"/>
            <w:gridSpan w:val="2"/>
            <w:shd w:val="clear" w:color="auto" w:fill="auto"/>
            <w:tcMar>
              <w:top w:w="0" w:type="dxa"/>
              <w:left w:w="108" w:type="dxa"/>
              <w:bottom w:w="0" w:type="dxa"/>
              <w:right w:w="108" w:type="dxa"/>
            </w:tcMar>
          </w:tcPr>
          <w:p w14:paraId="2DA4784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w:t>
            </w:r>
          </w:p>
        </w:tc>
        <w:tc>
          <w:tcPr>
            <w:tcW w:w="755" w:type="dxa"/>
            <w:shd w:val="clear" w:color="auto" w:fill="auto"/>
            <w:tcMar>
              <w:top w:w="0" w:type="dxa"/>
              <w:left w:w="108" w:type="dxa"/>
              <w:bottom w:w="0" w:type="dxa"/>
              <w:right w:w="108" w:type="dxa"/>
            </w:tcMar>
          </w:tcPr>
          <w:p w14:paraId="19A78B1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1.9</w:t>
            </w:r>
          </w:p>
        </w:tc>
        <w:tc>
          <w:tcPr>
            <w:tcW w:w="884" w:type="dxa"/>
            <w:shd w:val="clear" w:color="auto" w:fill="auto"/>
            <w:tcMar>
              <w:top w:w="0" w:type="dxa"/>
              <w:left w:w="108" w:type="dxa"/>
              <w:bottom w:w="0" w:type="dxa"/>
              <w:right w:w="108" w:type="dxa"/>
            </w:tcMar>
          </w:tcPr>
          <w:p w14:paraId="4B90EEB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08B4AB66" w14:textId="77777777" w:rsidTr="00492095">
        <w:tc>
          <w:tcPr>
            <w:tcW w:w="2235" w:type="dxa"/>
            <w:shd w:val="clear" w:color="auto" w:fill="auto"/>
            <w:tcMar>
              <w:top w:w="0" w:type="dxa"/>
              <w:left w:w="108" w:type="dxa"/>
              <w:bottom w:w="0" w:type="dxa"/>
              <w:right w:w="108" w:type="dxa"/>
            </w:tcMar>
          </w:tcPr>
          <w:p w14:paraId="7F4875B3"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 xml:space="preserve"> 23</w:t>
            </w:r>
          </w:p>
        </w:tc>
        <w:tc>
          <w:tcPr>
            <w:tcW w:w="1559" w:type="dxa"/>
            <w:gridSpan w:val="3"/>
            <w:shd w:val="clear" w:color="auto" w:fill="auto"/>
            <w:tcMar>
              <w:top w:w="0" w:type="dxa"/>
              <w:left w:w="108" w:type="dxa"/>
              <w:bottom w:w="0" w:type="dxa"/>
              <w:right w:w="108" w:type="dxa"/>
            </w:tcMar>
          </w:tcPr>
          <w:p w14:paraId="19D8488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1.7</w:t>
            </w:r>
          </w:p>
        </w:tc>
        <w:tc>
          <w:tcPr>
            <w:tcW w:w="850" w:type="dxa"/>
            <w:gridSpan w:val="2"/>
            <w:shd w:val="clear" w:color="auto" w:fill="auto"/>
            <w:tcMar>
              <w:top w:w="0" w:type="dxa"/>
              <w:left w:w="108" w:type="dxa"/>
              <w:bottom w:w="0" w:type="dxa"/>
              <w:right w:w="108" w:type="dxa"/>
            </w:tcMar>
          </w:tcPr>
          <w:p w14:paraId="1963C15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0.5</w:t>
            </w:r>
          </w:p>
        </w:tc>
        <w:tc>
          <w:tcPr>
            <w:tcW w:w="709" w:type="dxa"/>
            <w:shd w:val="clear" w:color="auto" w:fill="auto"/>
            <w:tcMar>
              <w:top w:w="0" w:type="dxa"/>
              <w:left w:w="108" w:type="dxa"/>
              <w:bottom w:w="0" w:type="dxa"/>
              <w:right w:w="108" w:type="dxa"/>
            </w:tcMar>
          </w:tcPr>
          <w:p w14:paraId="22FD972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3.4</w:t>
            </w:r>
          </w:p>
        </w:tc>
        <w:tc>
          <w:tcPr>
            <w:tcW w:w="709" w:type="dxa"/>
            <w:shd w:val="clear" w:color="auto" w:fill="auto"/>
            <w:tcMar>
              <w:top w:w="0" w:type="dxa"/>
              <w:left w:w="108" w:type="dxa"/>
              <w:bottom w:w="0" w:type="dxa"/>
              <w:right w:w="108" w:type="dxa"/>
            </w:tcMar>
          </w:tcPr>
          <w:p w14:paraId="759B830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.001</w:t>
            </w:r>
          </w:p>
        </w:tc>
        <w:tc>
          <w:tcPr>
            <w:tcW w:w="946" w:type="dxa"/>
            <w:gridSpan w:val="2"/>
            <w:shd w:val="clear" w:color="auto" w:fill="auto"/>
            <w:tcMar>
              <w:top w:w="0" w:type="dxa"/>
              <w:left w:w="108" w:type="dxa"/>
              <w:bottom w:w="0" w:type="dxa"/>
              <w:right w:w="108" w:type="dxa"/>
            </w:tcMar>
          </w:tcPr>
          <w:p w14:paraId="69FDE28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0.7</w:t>
            </w:r>
          </w:p>
        </w:tc>
        <w:tc>
          <w:tcPr>
            <w:tcW w:w="755" w:type="dxa"/>
            <w:shd w:val="clear" w:color="auto" w:fill="auto"/>
            <w:tcMar>
              <w:top w:w="0" w:type="dxa"/>
              <w:left w:w="108" w:type="dxa"/>
              <w:bottom w:w="0" w:type="dxa"/>
              <w:right w:w="108" w:type="dxa"/>
            </w:tcMar>
          </w:tcPr>
          <w:p w14:paraId="4BE7559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2.7</w:t>
            </w:r>
          </w:p>
        </w:tc>
        <w:tc>
          <w:tcPr>
            <w:tcW w:w="884" w:type="dxa"/>
            <w:shd w:val="clear" w:color="auto" w:fill="auto"/>
            <w:tcMar>
              <w:top w:w="0" w:type="dxa"/>
              <w:left w:w="108" w:type="dxa"/>
              <w:bottom w:w="0" w:type="dxa"/>
              <w:right w:w="108" w:type="dxa"/>
            </w:tcMar>
          </w:tcPr>
          <w:p w14:paraId="04CB5CD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689499BF" w14:textId="77777777" w:rsidTr="00492095">
        <w:tc>
          <w:tcPr>
            <w:tcW w:w="2235" w:type="dxa"/>
            <w:shd w:val="clear" w:color="auto" w:fill="auto"/>
            <w:tcMar>
              <w:top w:w="0" w:type="dxa"/>
              <w:left w:w="108" w:type="dxa"/>
              <w:bottom w:w="0" w:type="dxa"/>
              <w:right w:w="108" w:type="dxa"/>
            </w:tcMar>
          </w:tcPr>
          <w:p w14:paraId="162029FF"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 xml:space="preserve"> 24</w:t>
            </w:r>
          </w:p>
        </w:tc>
        <w:tc>
          <w:tcPr>
            <w:tcW w:w="1559" w:type="dxa"/>
            <w:gridSpan w:val="3"/>
            <w:shd w:val="clear" w:color="auto" w:fill="auto"/>
            <w:tcMar>
              <w:top w:w="0" w:type="dxa"/>
              <w:left w:w="108" w:type="dxa"/>
              <w:bottom w:w="0" w:type="dxa"/>
              <w:right w:w="108" w:type="dxa"/>
            </w:tcMar>
          </w:tcPr>
          <w:p w14:paraId="6AF7C91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2.2</w:t>
            </w:r>
          </w:p>
        </w:tc>
        <w:tc>
          <w:tcPr>
            <w:tcW w:w="850" w:type="dxa"/>
            <w:gridSpan w:val="2"/>
            <w:shd w:val="clear" w:color="auto" w:fill="auto"/>
            <w:tcMar>
              <w:top w:w="0" w:type="dxa"/>
              <w:left w:w="108" w:type="dxa"/>
              <w:bottom w:w="0" w:type="dxa"/>
              <w:right w:w="108" w:type="dxa"/>
            </w:tcMar>
          </w:tcPr>
          <w:p w14:paraId="3EEB678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0.5</w:t>
            </w:r>
          </w:p>
        </w:tc>
        <w:tc>
          <w:tcPr>
            <w:tcW w:w="709" w:type="dxa"/>
            <w:shd w:val="clear" w:color="auto" w:fill="auto"/>
            <w:tcMar>
              <w:top w:w="0" w:type="dxa"/>
              <w:left w:w="108" w:type="dxa"/>
              <w:bottom w:w="0" w:type="dxa"/>
              <w:right w:w="108" w:type="dxa"/>
            </w:tcMar>
          </w:tcPr>
          <w:p w14:paraId="67F07C8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4.4</w:t>
            </w:r>
          </w:p>
        </w:tc>
        <w:tc>
          <w:tcPr>
            <w:tcW w:w="709" w:type="dxa"/>
            <w:shd w:val="clear" w:color="auto" w:fill="auto"/>
            <w:tcMar>
              <w:top w:w="0" w:type="dxa"/>
              <w:left w:w="108" w:type="dxa"/>
              <w:bottom w:w="0" w:type="dxa"/>
              <w:right w:w="108" w:type="dxa"/>
            </w:tcMar>
          </w:tcPr>
          <w:p w14:paraId="0FE69EB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1D6296A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w:t>
            </w:r>
          </w:p>
        </w:tc>
        <w:tc>
          <w:tcPr>
            <w:tcW w:w="755" w:type="dxa"/>
            <w:shd w:val="clear" w:color="auto" w:fill="auto"/>
            <w:tcMar>
              <w:top w:w="0" w:type="dxa"/>
              <w:left w:w="108" w:type="dxa"/>
              <w:bottom w:w="0" w:type="dxa"/>
              <w:right w:w="108" w:type="dxa"/>
            </w:tcMar>
          </w:tcPr>
          <w:p w14:paraId="6A39B6B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3.2</w:t>
            </w:r>
          </w:p>
        </w:tc>
        <w:tc>
          <w:tcPr>
            <w:tcW w:w="884" w:type="dxa"/>
            <w:shd w:val="clear" w:color="auto" w:fill="auto"/>
            <w:tcMar>
              <w:top w:w="0" w:type="dxa"/>
              <w:left w:w="108" w:type="dxa"/>
              <w:bottom w:w="0" w:type="dxa"/>
              <w:right w:w="108" w:type="dxa"/>
            </w:tcMar>
          </w:tcPr>
          <w:p w14:paraId="4324747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55901850" w14:textId="77777777" w:rsidTr="00492095">
        <w:tc>
          <w:tcPr>
            <w:tcW w:w="2235" w:type="dxa"/>
            <w:shd w:val="clear" w:color="auto" w:fill="auto"/>
            <w:tcMar>
              <w:top w:w="0" w:type="dxa"/>
              <w:left w:w="108" w:type="dxa"/>
              <w:bottom w:w="0" w:type="dxa"/>
              <w:right w:w="108" w:type="dxa"/>
            </w:tcMar>
          </w:tcPr>
          <w:p w14:paraId="27DB2E26" w14:textId="77777777" w:rsidR="00492095" w:rsidRPr="00B61A5F" w:rsidRDefault="00492095" w:rsidP="00492095">
            <w:pPr>
              <w:autoSpaceDE w:val="0"/>
              <w:spacing w:before="20" w:after="20" w:line="480" w:lineRule="auto"/>
              <w:rPr>
                <w:sz w:val="16"/>
                <w:szCs w:val="16"/>
              </w:rPr>
            </w:pPr>
            <w:r w:rsidRPr="00B61A5F">
              <w:rPr>
                <w:color w:val="444444"/>
                <w:sz w:val="16"/>
                <w:szCs w:val="16"/>
                <w:shd w:val="clear" w:color="auto" w:fill="FFFFFF"/>
              </w:rPr>
              <w:t>Degree</w:t>
            </w:r>
          </w:p>
        </w:tc>
        <w:tc>
          <w:tcPr>
            <w:tcW w:w="1559" w:type="dxa"/>
            <w:gridSpan w:val="3"/>
            <w:shd w:val="clear" w:color="auto" w:fill="auto"/>
            <w:tcMar>
              <w:top w:w="0" w:type="dxa"/>
              <w:left w:w="108" w:type="dxa"/>
              <w:bottom w:w="0" w:type="dxa"/>
              <w:right w:w="108" w:type="dxa"/>
            </w:tcMar>
          </w:tcPr>
          <w:p w14:paraId="1E8621A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850" w:type="dxa"/>
            <w:gridSpan w:val="2"/>
            <w:shd w:val="clear" w:color="auto" w:fill="auto"/>
            <w:tcMar>
              <w:top w:w="0" w:type="dxa"/>
              <w:left w:w="108" w:type="dxa"/>
              <w:bottom w:w="0" w:type="dxa"/>
              <w:right w:w="108" w:type="dxa"/>
            </w:tcMar>
          </w:tcPr>
          <w:p w14:paraId="1AC5BFD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709" w:type="dxa"/>
            <w:shd w:val="clear" w:color="auto" w:fill="auto"/>
            <w:tcMar>
              <w:top w:w="0" w:type="dxa"/>
              <w:left w:w="108" w:type="dxa"/>
              <w:bottom w:w="0" w:type="dxa"/>
              <w:right w:w="108" w:type="dxa"/>
            </w:tcMar>
          </w:tcPr>
          <w:p w14:paraId="2F5D491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709" w:type="dxa"/>
            <w:shd w:val="clear" w:color="auto" w:fill="auto"/>
            <w:tcMar>
              <w:top w:w="0" w:type="dxa"/>
              <w:left w:w="108" w:type="dxa"/>
              <w:bottom w:w="0" w:type="dxa"/>
              <w:right w:w="108" w:type="dxa"/>
            </w:tcMar>
          </w:tcPr>
          <w:p w14:paraId="28CAA53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946" w:type="dxa"/>
            <w:gridSpan w:val="2"/>
            <w:shd w:val="clear" w:color="auto" w:fill="auto"/>
            <w:tcMar>
              <w:top w:w="0" w:type="dxa"/>
              <w:left w:w="108" w:type="dxa"/>
              <w:bottom w:w="0" w:type="dxa"/>
              <w:right w:w="108" w:type="dxa"/>
            </w:tcMar>
          </w:tcPr>
          <w:p w14:paraId="01320ED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755" w:type="dxa"/>
            <w:shd w:val="clear" w:color="auto" w:fill="auto"/>
            <w:tcMar>
              <w:top w:w="0" w:type="dxa"/>
              <w:left w:w="108" w:type="dxa"/>
              <w:bottom w:w="0" w:type="dxa"/>
              <w:right w:w="108" w:type="dxa"/>
            </w:tcMar>
          </w:tcPr>
          <w:p w14:paraId="78704DB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c>
          <w:tcPr>
            <w:tcW w:w="884" w:type="dxa"/>
            <w:shd w:val="clear" w:color="auto" w:fill="auto"/>
            <w:tcMar>
              <w:top w:w="0" w:type="dxa"/>
              <w:left w:w="108" w:type="dxa"/>
              <w:bottom w:w="0" w:type="dxa"/>
              <w:right w:w="108" w:type="dxa"/>
            </w:tcMar>
          </w:tcPr>
          <w:p w14:paraId="0761FF69"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57743450" w14:textId="77777777" w:rsidTr="00492095">
        <w:tc>
          <w:tcPr>
            <w:tcW w:w="2235" w:type="dxa"/>
            <w:shd w:val="clear" w:color="auto" w:fill="auto"/>
            <w:tcMar>
              <w:top w:w="0" w:type="dxa"/>
              <w:left w:w="108" w:type="dxa"/>
              <w:bottom w:w="0" w:type="dxa"/>
              <w:right w:w="108" w:type="dxa"/>
            </w:tcMar>
          </w:tcPr>
          <w:p w14:paraId="1401A59C" w14:textId="77777777" w:rsidR="00492095" w:rsidRPr="00B61A5F" w:rsidRDefault="00492095" w:rsidP="00492095">
            <w:pPr>
              <w:autoSpaceDE w:val="0"/>
              <w:spacing w:before="20" w:after="20" w:line="480" w:lineRule="auto"/>
              <w:rPr>
                <w:sz w:val="16"/>
                <w:szCs w:val="16"/>
              </w:rPr>
            </w:pPr>
            <w:r w:rsidRPr="00B61A5F">
              <w:rPr>
                <w:color w:val="444444"/>
                <w:sz w:val="16"/>
                <w:szCs w:val="16"/>
                <w:shd w:val="clear" w:color="auto" w:fill="FFFFFF"/>
              </w:rPr>
              <w:t>Higher education level</w:t>
            </w:r>
          </w:p>
        </w:tc>
        <w:tc>
          <w:tcPr>
            <w:tcW w:w="1559" w:type="dxa"/>
            <w:gridSpan w:val="3"/>
            <w:shd w:val="clear" w:color="auto" w:fill="auto"/>
            <w:tcMar>
              <w:top w:w="0" w:type="dxa"/>
              <w:left w:w="108" w:type="dxa"/>
              <w:bottom w:w="0" w:type="dxa"/>
              <w:right w:w="108" w:type="dxa"/>
            </w:tcMar>
          </w:tcPr>
          <w:p w14:paraId="1E3AFE6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-9.7</w:t>
            </w:r>
          </w:p>
        </w:tc>
        <w:tc>
          <w:tcPr>
            <w:tcW w:w="850" w:type="dxa"/>
            <w:gridSpan w:val="2"/>
            <w:shd w:val="clear" w:color="auto" w:fill="auto"/>
            <w:tcMar>
              <w:top w:w="0" w:type="dxa"/>
              <w:left w:w="108" w:type="dxa"/>
              <w:bottom w:w="0" w:type="dxa"/>
              <w:right w:w="108" w:type="dxa"/>
            </w:tcMar>
          </w:tcPr>
          <w:p w14:paraId="583EA01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0.7</w:t>
            </w:r>
          </w:p>
        </w:tc>
        <w:tc>
          <w:tcPr>
            <w:tcW w:w="709" w:type="dxa"/>
            <w:shd w:val="clear" w:color="auto" w:fill="auto"/>
            <w:tcMar>
              <w:top w:w="0" w:type="dxa"/>
              <w:left w:w="108" w:type="dxa"/>
              <w:bottom w:w="0" w:type="dxa"/>
              <w:right w:w="108" w:type="dxa"/>
            </w:tcMar>
          </w:tcPr>
          <w:p w14:paraId="75916B8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66D7D31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00CA15A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-11.1</w:t>
            </w:r>
          </w:p>
        </w:tc>
        <w:tc>
          <w:tcPr>
            <w:tcW w:w="755" w:type="dxa"/>
            <w:shd w:val="clear" w:color="auto" w:fill="auto"/>
            <w:tcMar>
              <w:top w:w="0" w:type="dxa"/>
              <w:left w:w="108" w:type="dxa"/>
              <w:bottom w:w="0" w:type="dxa"/>
              <w:right w:w="108" w:type="dxa"/>
            </w:tcMar>
          </w:tcPr>
          <w:p w14:paraId="63ADDB5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-8.3</w:t>
            </w:r>
          </w:p>
        </w:tc>
        <w:tc>
          <w:tcPr>
            <w:tcW w:w="884" w:type="dxa"/>
            <w:shd w:val="clear" w:color="auto" w:fill="auto"/>
            <w:tcMar>
              <w:top w:w="0" w:type="dxa"/>
              <w:left w:w="108" w:type="dxa"/>
              <w:bottom w:w="0" w:type="dxa"/>
              <w:right w:w="108" w:type="dxa"/>
            </w:tcMar>
          </w:tcPr>
          <w:p w14:paraId="1FC4AED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16D92B0C" w14:textId="77777777" w:rsidTr="00492095">
        <w:tc>
          <w:tcPr>
            <w:tcW w:w="2235" w:type="dxa"/>
            <w:shd w:val="clear" w:color="auto" w:fill="auto"/>
            <w:tcMar>
              <w:top w:w="0" w:type="dxa"/>
              <w:left w:w="108" w:type="dxa"/>
              <w:bottom w:w="0" w:type="dxa"/>
              <w:right w:w="108" w:type="dxa"/>
            </w:tcMar>
          </w:tcPr>
          <w:p w14:paraId="2007C279" w14:textId="77777777" w:rsidR="00492095" w:rsidRPr="00B61A5F" w:rsidRDefault="00492095" w:rsidP="00492095">
            <w:pPr>
              <w:autoSpaceDE w:val="0"/>
              <w:spacing w:before="20" w:after="20" w:line="480" w:lineRule="auto"/>
              <w:rPr>
                <w:sz w:val="16"/>
                <w:szCs w:val="16"/>
              </w:rPr>
            </w:pPr>
            <w:r w:rsidRPr="00B61A5F">
              <w:rPr>
                <w:color w:val="444444"/>
                <w:sz w:val="16"/>
                <w:szCs w:val="16"/>
                <w:shd w:val="clear" w:color="auto" w:fill="FFFFFF"/>
              </w:rPr>
              <w:t>GCE/A-level or equivalent</w:t>
            </w:r>
          </w:p>
        </w:tc>
        <w:tc>
          <w:tcPr>
            <w:tcW w:w="1559" w:type="dxa"/>
            <w:gridSpan w:val="3"/>
            <w:shd w:val="clear" w:color="auto" w:fill="auto"/>
            <w:tcMar>
              <w:top w:w="0" w:type="dxa"/>
              <w:left w:w="108" w:type="dxa"/>
              <w:bottom w:w="0" w:type="dxa"/>
              <w:right w:w="108" w:type="dxa"/>
            </w:tcMar>
          </w:tcPr>
          <w:p w14:paraId="64BC5487"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-11.8</w:t>
            </w:r>
          </w:p>
        </w:tc>
        <w:tc>
          <w:tcPr>
            <w:tcW w:w="850" w:type="dxa"/>
            <w:gridSpan w:val="2"/>
            <w:shd w:val="clear" w:color="auto" w:fill="auto"/>
            <w:tcMar>
              <w:top w:w="0" w:type="dxa"/>
              <w:left w:w="108" w:type="dxa"/>
              <w:bottom w:w="0" w:type="dxa"/>
              <w:right w:w="108" w:type="dxa"/>
            </w:tcMar>
          </w:tcPr>
          <w:p w14:paraId="28039E34"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0.4</w:t>
            </w:r>
          </w:p>
        </w:tc>
        <w:tc>
          <w:tcPr>
            <w:tcW w:w="709" w:type="dxa"/>
            <w:shd w:val="clear" w:color="auto" w:fill="auto"/>
            <w:tcMar>
              <w:top w:w="0" w:type="dxa"/>
              <w:left w:w="108" w:type="dxa"/>
              <w:bottom w:w="0" w:type="dxa"/>
              <w:right w:w="108" w:type="dxa"/>
            </w:tcMar>
          </w:tcPr>
          <w:p w14:paraId="2DD8FE9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-27</w:t>
            </w:r>
          </w:p>
        </w:tc>
        <w:tc>
          <w:tcPr>
            <w:tcW w:w="709" w:type="dxa"/>
            <w:shd w:val="clear" w:color="auto" w:fill="auto"/>
            <w:tcMar>
              <w:top w:w="0" w:type="dxa"/>
              <w:left w:w="108" w:type="dxa"/>
              <w:bottom w:w="0" w:type="dxa"/>
              <w:right w:w="108" w:type="dxa"/>
            </w:tcMar>
          </w:tcPr>
          <w:p w14:paraId="78ABCE8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7220066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-12.7</w:t>
            </w:r>
          </w:p>
        </w:tc>
        <w:tc>
          <w:tcPr>
            <w:tcW w:w="755" w:type="dxa"/>
            <w:shd w:val="clear" w:color="auto" w:fill="auto"/>
            <w:tcMar>
              <w:top w:w="0" w:type="dxa"/>
              <w:left w:w="108" w:type="dxa"/>
              <w:bottom w:w="0" w:type="dxa"/>
              <w:right w:w="108" w:type="dxa"/>
            </w:tcMar>
          </w:tcPr>
          <w:p w14:paraId="51A2C87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-11.0</w:t>
            </w:r>
          </w:p>
        </w:tc>
        <w:tc>
          <w:tcPr>
            <w:tcW w:w="884" w:type="dxa"/>
            <w:shd w:val="clear" w:color="auto" w:fill="auto"/>
            <w:tcMar>
              <w:top w:w="0" w:type="dxa"/>
              <w:left w:w="108" w:type="dxa"/>
              <w:bottom w:w="0" w:type="dxa"/>
              <w:right w:w="108" w:type="dxa"/>
            </w:tcMar>
          </w:tcPr>
          <w:p w14:paraId="6CF1E48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45C69151" w14:textId="77777777" w:rsidTr="00492095">
        <w:tc>
          <w:tcPr>
            <w:tcW w:w="2235" w:type="dxa"/>
            <w:shd w:val="clear" w:color="auto" w:fill="auto"/>
            <w:tcMar>
              <w:top w:w="0" w:type="dxa"/>
              <w:left w:w="108" w:type="dxa"/>
              <w:bottom w:w="0" w:type="dxa"/>
              <w:right w:w="108" w:type="dxa"/>
            </w:tcMar>
          </w:tcPr>
          <w:p w14:paraId="245525BB" w14:textId="77777777" w:rsidR="00492095" w:rsidRPr="00B61A5F" w:rsidRDefault="00492095" w:rsidP="00492095">
            <w:pPr>
              <w:autoSpaceDE w:val="0"/>
              <w:spacing w:before="20" w:after="20" w:line="480" w:lineRule="auto"/>
              <w:rPr>
                <w:sz w:val="16"/>
                <w:szCs w:val="16"/>
              </w:rPr>
            </w:pPr>
            <w:r w:rsidRPr="00B61A5F">
              <w:rPr>
                <w:color w:val="444444"/>
                <w:sz w:val="16"/>
                <w:szCs w:val="16"/>
                <w:shd w:val="clear" w:color="auto" w:fill="FFFFFF"/>
              </w:rPr>
              <w:t>GCSE A*-C level or equivalent</w:t>
            </w:r>
          </w:p>
        </w:tc>
        <w:tc>
          <w:tcPr>
            <w:tcW w:w="1559" w:type="dxa"/>
            <w:gridSpan w:val="3"/>
            <w:shd w:val="clear" w:color="auto" w:fill="auto"/>
            <w:tcMar>
              <w:top w:w="0" w:type="dxa"/>
              <w:left w:w="108" w:type="dxa"/>
              <w:bottom w:w="0" w:type="dxa"/>
              <w:right w:w="108" w:type="dxa"/>
            </w:tcMar>
          </w:tcPr>
          <w:p w14:paraId="71953D8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-15.7</w:t>
            </w:r>
          </w:p>
        </w:tc>
        <w:tc>
          <w:tcPr>
            <w:tcW w:w="850" w:type="dxa"/>
            <w:gridSpan w:val="2"/>
            <w:shd w:val="clear" w:color="auto" w:fill="auto"/>
            <w:tcMar>
              <w:top w:w="0" w:type="dxa"/>
              <w:left w:w="108" w:type="dxa"/>
              <w:bottom w:w="0" w:type="dxa"/>
              <w:right w:w="108" w:type="dxa"/>
            </w:tcMar>
          </w:tcPr>
          <w:p w14:paraId="0565CED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0.5</w:t>
            </w:r>
          </w:p>
        </w:tc>
        <w:tc>
          <w:tcPr>
            <w:tcW w:w="709" w:type="dxa"/>
            <w:shd w:val="clear" w:color="auto" w:fill="auto"/>
            <w:tcMar>
              <w:top w:w="0" w:type="dxa"/>
              <w:left w:w="108" w:type="dxa"/>
              <w:bottom w:w="0" w:type="dxa"/>
              <w:right w:w="108" w:type="dxa"/>
            </w:tcMar>
          </w:tcPr>
          <w:p w14:paraId="2DBCD88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-35</w:t>
            </w:r>
          </w:p>
        </w:tc>
        <w:tc>
          <w:tcPr>
            <w:tcW w:w="709" w:type="dxa"/>
            <w:shd w:val="clear" w:color="auto" w:fill="auto"/>
            <w:tcMar>
              <w:top w:w="0" w:type="dxa"/>
              <w:left w:w="108" w:type="dxa"/>
              <w:bottom w:w="0" w:type="dxa"/>
              <w:right w:w="108" w:type="dxa"/>
            </w:tcMar>
          </w:tcPr>
          <w:p w14:paraId="40CADB3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41491E6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-16.6</w:t>
            </w:r>
          </w:p>
        </w:tc>
        <w:tc>
          <w:tcPr>
            <w:tcW w:w="755" w:type="dxa"/>
            <w:shd w:val="clear" w:color="auto" w:fill="auto"/>
            <w:tcMar>
              <w:top w:w="0" w:type="dxa"/>
              <w:left w:w="108" w:type="dxa"/>
              <w:bottom w:w="0" w:type="dxa"/>
              <w:right w:w="108" w:type="dxa"/>
            </w:tcMar>
          </w:tcPr>
          <w:p w14:paraId="2D20498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-14.8</w:t>
            </w:r>
          </w:p>
        </w:tc>
        <w:tc>
          <w:tcPr>
            <w:tcW w:w="884" w:type="dxa"/>
            <w:shd w:val="clear" w:color="auto" w:fill="auto"/>
            <w:tcMar>
              <w:top w:w="0" w:type="dxa"/>
              <w:left w:w="108" w:type="dxa"/>
              <w:bottom w:w="0" w:type="dxa"/>
              <w:right w:w="108" w:type="dxa"/>
            </w:tcMar>
          </w:tcPr>
          <w:p w14:paraId="4AB2BB4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4155AF14" w14:textId="77777777" w:rsidTr="00492095">
        <w:tc>
          <w:tcPr>
            <w:tcW w:w="2235" w:type="dxa"/>
            <w:shd w:val="clear" w:color="auto" w:fill="auto"/>
            <w:tcMar>
              <w:top w:w="0" w:type="dxa"/>
              <w:left w:w="108" w:type="dxa"/>
              <w:bottom w:w="0" w:type="dxa"/>
              <w:right w:w="108" w:type="dxa"/>
            </w:tcMar>
          </w:tcPr>
          <w:p w14:paraId="6DC1AF0F" w14:textId="77777777" w:rsidR="00492095" w:rsidRPr="00B61A5F" w:rsidRDefault="00492095" w:rsidP="00492095">
            <w:pPr>
              <w:autoSpaceDE w:val="0"/>
              <w:spacing w:before="20" w:after="20" w:line="480" w:lineRule="auto"/>
              <w:rPr>
                <w:sz w:val="16"/>
                <w:szCs w:val="16"/>
              </w:rPr>
            </w:pPr>
            <w:r w:rsidRPr="00B61A5F">
              <w:rPr>
                <w:color w:val="444444"/>
                <w:sz w:val="16"/>
                <w:szCs w:val="16"/>
                <w:shd w:val="clear" w:color="auto" w:fill="FFFFFF"/>
              </w:rPr>
              <w:t>Other qualifications</w:t>
            </w:r>
          </w:p>
        </w:tc>
        <w:tc>
          <w:tcPr>
            <w:tcW w:w="1559" w:type="dxa"/>
            <w:gridSpan w:val="3"/>
            <w:shd w:val="clear" w:color="auto" w:fill="auto"/>
            <w:tcMar>
              <w:top w:w="0" w:type="dxa"/>
              <w:left w:w="108" w:type="dxa"/>
              <w:bottom w:w="0" w:type="dxa"/>
              <w:right w:w="108" w:type="dxa"/>
            </w:tcMar>
          </w:tcPr>
          <w:p w14:paraId="3A65BC1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-19.9</w:t>
            </w:r>
          </w:p>
        </w:tc>
        <w:tc>
          <w:tcPr>
            <w:tcW w:w="850" w:type="dxa"/>
            <w:gridSpan w:val="2"/>
            <w:shd w:val="clear" w:color="auto" w:fill="auto"/>
            <w:tcMar>
              <w:top w:w="0" w:type="dxa"/>
              <w:left w:w="108" w:type="dxa"/>
              <w:bottom w:w="0" w:type="dxa"/>
              <w:right w:w="108" w:type="dxa"/>
            </w:tcMar>
          </w:tcPr>
          <w:p w14:paraId="6BEDE96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0.5</w:t>
            </w:r>
          </w:p>
        </w:tc>
        <w:tc>
          <w:tcPr>
            <w:tcW w:w="709" w:type="dxa"/>
            <w:shd w:val="clear" w:color="auto" w:fill="auto"/>
            <w:tcMar>
              <w:top w:w="0" w:type="dxa"/>
              <w:left w:w="108" w:type="dxa"/>
              <w:bottom w:w="0" w:type="dxa"/>
              <w:right w:w="108" w:type="dxa"/>
            </w:tcMar>
          </w:tcPr>
          <w:p w14:paraId="21207BA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-38</w:t>
            </w:r>
          </w:p>
        </w:tc>
        <w:tc>
          <w:tcPr>
            <w:tcW w:w="709" w:type="dxa"/>
            <w:shd w:val="clear" w:color="auto" w:fill="auto"/>
            <w:tcMar>
              <w:top w:w="0" w:type="dxa"/>
              <w:left w:w="108" w:type="dxa"/>
              <w:bottom w:w="0" w:type="dxa"/>
              <w:right w:w="108" w:type="dxa"/>
            </w:tcMar>
          </w:tcPr>
          <w:p w14:paraId="763457C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5117A01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-21.0</w:t>
            </w:r>
          </w:p>
        </w:tc>
        <w:tc>
          <w:tcPr>
            <w:tcW w:w="755" w:type="dxa"/>
            <w:shd w:val="clear" w:color="auto" w:fill="auto"/>
            <w:tcMar>
              <w:top w:w="0" w:type="dxa"/>
              <w:left w:w="108" w:type="dxa"/>
              <w:bottom w:w="0" w:type="dxa"/>
              <w:right w:w="108" w:type="dxa"/>
            </w:tcMar>
          </w:tcPr>
          <w:p w14:paraId="1266757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-18.9</w:t>
            </w:r>
          </w:p>
        </w:tc>
        <w:tc>
          <w:tcPr>
            <w:tcW w:w="884" w:type="dxa"/>
            <w:shd w:val="clear" w:color="auto" w:fill="auto"/>
            <w:tcMar>
              <w:top w:w="0" w:type="dxa"/>
              <w:left w:w="108" w:type="dxa"/>
              <w:bottom w:w="0" w:type="dxa"/>
              <w:right w:w="108" w:type="dxa"/>
            </w:tcMar>
          </w:tcPr>
          <w:p w14:paraId="7FB4420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0E654CD2" w14:textId="77777777" w:rsidTr="00492095">
        <w:tc>
          <w:tcPr>
            <w:tcW w:w="2235" w:type="dxa"/>
            <w:shd w:val="clear" w:color="auto" w:fill="auto"/>
            <w:tcMar>
              <w:top w:w="0" w:type="dxa"/>
              <w:left w:w="108" w:type="dxa"/>
              <w:bottom w:w="0" w:type="dxa"/>
              <w:right w:w="108" w:type="dxa"/>
            </w:tcMar>
          </w:tcPr>
          <w:p w14:paraId="0F2A7673" w14:textId="77777777" w:rsidR="00492095" w:rsidRPr="00B61A5F" w:rsidRDefault="00492095" w:rsidP="00492095">
            <w:pPr>
              <w:autoSpaceDE w:val="0"/>
              <w:spacing w:before="20" w:after="20" w:line="480" w:lineRule="auto"/>
              <w:rPr>
                <w:sz w:val="16"/>
                <w:szCs w:val="16"/>
              </w:rPr>
            </w:pPr>
            <w:r w:rsidRPr="00B61A5F">
              <w:rPr>
                <w:color w:val="444444"/>
                <w:sz w:val="16"/>
                <w:szCs w:val="16"/>
                <w:shd w:val="clear" w:color="auto" w:fill="FFFFFF"/>
              </w:rPr>
              <w:t>No qualifications</w:t>
            </w:r>
          </w:p>
        </w:tc>
        <w:tc>
          <w:tcPr>
            <w:tcW w:w="1559" w:type="dxa"/>
            <w:gridSpan w:val="3"/>
            <w:shd w:val="clear" w:color="auto" w:fill="auto"/>
            <w:tcMar>
              <w:top w:w="0" w:type="dxa"/>
              <w:left w:w="108" w:type="dxa"/>
              <w:bottom w:w="0" w:type="dxa"/>
              <w:right w:w="108" w:type="dxa"/>
            </w:tcMar>
          </w:tcPr>
          <w:p w14:paraId="6B0EC7A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-21.4</w:t>
            </w:r>
          </w:p>
        </w:tc>
        <w:tc>
          <w:tcPr>
            <w:tcW w:w="850" w:type="dxa"/>
            <w:gridSpan w:val="2"/>
            <w:shd w:val="clear" w:color="auto" w:fill="auto"/>
            <w:tcMar>
              <w:top w:w="0" w:type="dxa"/>
              <w:left w:w="108" w:type="dxa"/>
              <w:bottom w:w="0" w:type="dxa"/>
              <w:right w:w="108" w:type="dxa"/>
            </w:tcMar>
          </w:tcPr>
          <w:p w14:paraId="310D71F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0.5</w:t>
            </w:r>
          </w:p>
        </w:tc>
        <w:tc>
          <w:tcPr>
            <w:tcW w:w="709" w:type="dxa"/>
            <w:shd w:val="clear" w:color="auto" w:fill="auto"/>
            <w:tcMar>
              <w:top w:w="0" w:type="dxa"/>
              <w:left w:w="108" w:type="dxa"/>
              <w:bottom w:w="0" w:type="dxa"/>
              <w:right w:w="108" w:type="dxa"/>
            </w:tcMar>
          </w:tcPr>
          <w:p w14:paraId="6BDAAC2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-40</w:t>
            </w:r>
          </w:p>
        </w:tc>
        <w:tc>
          <w:tcPr>
            <w:tcW w:w="709" w:type="dxa"/>
            <w:shd w:val="clear" w:color="auto" w:fill="auto"/>
            <w:tcMar>
              <w:top w:w="0" w:type="dxa"/>
              <w:left w:w="108" w:type="dxa"/>
              <w:bottom w:w="0" w:type="dxa"/>
              <w:right w:w="108" w:type="dxa"/>
            </w:tcMar>
          </w:tcPr>
          <w:p w14:paraId="3F0C668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59C65921"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-22.4</w:t>
            </w:r>
          </w:p>
        </w:tc>
        <w:tc>
          <w:tcPr>
            <w:tcW w:w="755" w:type="dxa"/>
            <w:shd w:val="clear" w:color="auto" w:fill="auto"/>
            <w:tcMar>
              <w:top w:w="0" w:type="dxa"/>
              <w:left w:w="108" w:type="dxa"/>
              <w:bottom w:w="0" w:type="dxa"/>
              <w:right w:w="108" w:type="dxa"/>
            </w:tcMar>
          </w:tcPr>
          <w:p w14:paraId="29562C2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-20.3</w:t>
            </w:r>
          </w:p>
        </w:tc>
        <w:tc>
          <w:tcPr>
            <w:tcW w:w="884" w:type="dxa"/>
            <w:shd w:val="clear" w:color="auto" w:fill="auto"/>
            <w:tcMar>
              <w:top w:w="0" w:type="dxa"/>
              <w:left w:w="108" w:type="dxa"/>
              <w:bottom w:w="0" w:type="dxa"/>
              <w:right w:w="108" w:type="dxa"/>
            </w:tcMar>
          </w:tcPr>
          <w:p w14:paraId="69E8432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69F598AE" w14:textId="77777777" w:rsidTr="00492095">
        <w:tc>
          <w:tcPr>
            <w:tcW w:w="2235" w:type="dxa"/>
            <w:shd w:val="clear" w:color="auto" w:fill="auto"/>
            <w:tcMar>
              <w:top w:w="0" w:type="dxa"/>
              <w:left w:w="108" w:type="dxa"/>
              <w:bottom w:w="0" w:type="dxa"/>
              <w:right w:w="108" w:type="dxa"/>
            </w:tcMar>
          </w:tcPr>
          <w:p w14:paraId="5F40CE5B" w14:textId="77777777" w:rsidR="00492095" w:rsidRPr="00B61A5F" w:rsidRDefault="00492095" w:rsidP="00492095">
            <w:pPr>
              <w:autoSpaceDE w:val="0"/>
              <w:spacing w:before="20" w:after="20" w:line="480" w:lineRule="auto"/>
              <w:rPr>
                <w:sz w:val="16"/>
                <w:szCs w:val="16"/>
              </w:rPr>
            </w:pPr>
            <w:r w:rsidRPr="00B61A5F">
              <w:rPr>
                <w:color w:val="444444"/>
                <w:sz w:val="16"/>
                <w:szCs w:val="16"/>
                <w:shd w:val="clear" w:color="auto" w:fill="FFFFFF"/>
              </w:rPr>
              <w:t>Don’t know</w:t>
            </w:r>
          </w:p>
        </w:tc>
        <w:tc>
          <w:tcPr>
            <w:tcW w:w="1559" w:type="dxa"/>
            <w:gridSpan w:val="3"/>
            <w:shd w:val="clear" w:color="auto" w:fill="auto"/>
            <w:tcMar>
              <w:top w:w="0" w:type="dxa"/>
              <w:left w:w="108" w:type="dxa"/>
              <w:bottom w:w="0" w:type="dxa"/>
              <w:right w:w="108" w:type="dxa"/>
            </w:tcMar>
          </w:tcPr>
          <w:p w14:paraId="5439707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-16.4</w:t>
            </w:r>
          </w:p>
        </w:tc>
        <w:tc>
          <w:tcPr>
            <w:tcW w:w="850" w:type="dxa"/>
            <w:gridSpan w:val="2"/>
            <w:shd w:val="clear" w:color="auto" w:fill="auto"/>
            <w:tcMar>
              <w:top w:w="0" w:type="dxa"/>
              <w:left w:w="108" w:type="dxa"/>
              <w:bottom w:w="0" w:type="dxa"/>
              <w:right w:w="108" w:type="dxa"/>
            </w:tcMar>
          </w:tcPr>
          <w:p w14:paraId="3A9D8025"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0.9</w:t>
            </w:r>
          </w:p>
        </w:tc>
        <w:tc>
          <w:tcPr>
            <w:tcW w:w="709" w:type="dxa"/>
            <w:shd w:val="clear" w:color="auto" w:fill="auto"/>
            <w:tcMar>
              <w:top w:w="0" w:type="dxa"/>
              <w:left w:w="108" w:type="dxa"/>
              <w:bottom w:w="0" w:type="dxa"/>
              <w:right w:w="108" w:type="dxa"/>
            </w:tcMar>
          </w:tcPr>
          <w:p w14:paraId="4749D44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-18</w:t>
            </w:r>
          </w:p>
        </w:tc>
        <w:tc>
          <w:tcPr>
            <w:tcW w:w="709" w:type="dxa"/>
            <w:shd w:val="clear" w:color="auto" w:fill="auto"/>
            <w:tcMar>
              <w:top w:w="0" w:type="dxa"/>
              <w:left w:w="108" w:type="dxa"/>
              <w:bottom w:w="0" w:type="dxa"/>
              <w:right w:w="108" w:type="dxa"/>
            </w:tcMar>
          </w:tcPr>
          <w:p w14:paraId="76614A2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0D67D53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-18.2</w:t>
            </w:r>
          </w:p>
        </w:tc>
        <w:tc>
          <w:tcPr>
            <w:tcW w:w="755" w:type="dxa"/>
            <w:shd w:val="clear" w:color="auto" w:fill="auto"/>
            <w:tcMar>
              <w:top w:w="0" w:type="dxa"/>
              <w:left w:w="108" w:type="dxa"/>
              <w:bottom w:w="0" w:type="dxa"/>
              <w:right w:w="108" w:type="dxa"/>
            </w:tcMar>
          </w:tcPr>
          <w:p w14:paraId="636BD82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-14.6</w:t>
            </w:r>
          </w:p>
        </w:tc>
        <w:tc>
          <w:tcPr>
            <w:tcW w:w="884" w:type="dxa"/>
            <w:shd w:val="clear" w:color="auto" w:fill="auto"/>
            <w:tcMar>
              <w:top w:w="0" w:type="dxa"/>
              <w:left w:w="108" w:type="dxa"/>
              <w:bottom w:w="0" w:type="dxa"/>
              <w:right w:w="108" w:type="dxa"/>
            </w:tcMar>
          </w:tcPr>
          <w:p w14:paraId="3B4F3D7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33F7BA4B" w14:textId="77777777" w:rsidTr="00492095">
        <w:tc>
          <w:tcPr>
            <w:tcW w:w="2235" w:type="dxa"/>
            <w:shd w:val="clear" w:color="auto" w:fill="auto"/>
            <w:tcMar>
              <w:top w:w="0" w:type="dxa"/>
              <w:left w:w="108" w:type="dxa"/>
              <w:bottom w:w="0" w:type="dxa"/>
              <w:right w:w="108" w:type="dxa"/>
            </w:tcMar>
          </w:tcPr>
          <w:p w14:paraId="0DEF29A0"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Constant</w:t>
            </w:r>
          </w:p>
        </w:tc>
        <w:tc>
          <w:tcPr>
            <w:tcW w:w="1559" w:type="dxa"/>
            <w:gridSpan w:val="3"/>
            <w:shd w:val="clear" w:color="auto" w:fill="auto"/>
            <w:tcMar>
              <w:top w:w="0" w:type="dxa"/>
              <w:left w:w="108" w:type="dxa"/>
              <w:bottom w:w="0" w:type="dxa"/>
              <w:right w:w="108" w:type="dxa"/>
            </w:tcMar>
          </w:tcPr>
          <w:p w14:paraId="2B1C8D8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61.6</w:t>
            </w:r>
          </w:p>
        </w:tc>
        <w:tc>
          <w:tcPr>
            <w:tcW w:w="850" w:type="dxa"/>
            <w:gridSpan w:val="2"/>
            <w:shd w:val="clear" w:color="auto" w:fill="auto"/>
            <w:tcMar>
              <w:top w:w="0" w:type="dxa"/>
              <w:left w:w="108" w:type="dxa"/>
              <w:bottom w:w="0" w:type="dxa"/>
              <w:right w:w="108" w:type="dxa"/>
            </w:tcMar>
          </w:tcPr>
          <w:p w14:paraId="016D786A"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1.1</w:t>
            </w:r>
          </w:p>
        </w:tc>
        <w:tc>
          <w:tcPr>
            <w:tcW w:w="709" w:type="dxa"/>
            <w:shd w:val="clear" w:color="auto" w:fill="auto"/>
            <w:tcMar>
              <w:top w:w="0" w:type="dxa"/>
              <w:left w:w="108" w:type="dxa"/>
              <w:bottom w:w="0" w:type="dxa"/>
              <w:right w:w="108" w:type="dxa"/>
            </w:tcMar>
          </w:tcPr>
          <w:p w14:paraId="5FB13939"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54</w:t>
            </w:r>
          </w:p>
        </w:tc>
        <w:tc>
          <w:tcPr>
            <w:tcW w:w="709" w:type="dxa"/>
            <w:shd w:val="clear" w:color="auto" w:fill="auto"/>
            <w:tcMar>
              <w:top w:w="0" w:type="dxa"/>
              <w:left w:w="108" w:type="dxa"/>
              <w:bottom w:w="0" w:type="dxa"/>
              <w:right w:w="108" w:type="dxa"/>
            </w:tcMar>
          </w:tcPr>
          <w:p w14:paraId="2CED1AD3"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946" w:type="dxa"/>
            <w:gridSpan w:val="2"/>
            <w:shd w:val="clear" w:color="auto" w:fill="auto"/>
            <w:tcMar>
              <w:top w:w="0" w:type="dxa"/>
              <w:left w:w="108" w:type="dxa"/>
              <w:bottom w:w="0" w:type="dxa"/>
              <w:right w:w="108" w:type="dxa"/>
            </w:tcMar>
          </w:tcPr>
          <w:p w14:paraId="1F2ACACD"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59.4</w:t>
            </w:r>
          </w:p>
        </w:tc>
        <w:tc>
          <w:tcPr>
            <w:tcW w:w="755" w:type="dxa"/>
            <w:shd w:val="clear" w:color="auto" w:fill="auto"/>
            <w:tcMar>
              <w:top w:w="0" w:type="dxa"/>
              <w:left w:w="108" w:type="dxa"/>
              <w:bottom w:w="0" w:type="dxa"/>
              <w:right w:w="108" w:type="dxa"/>
            </w:tcMar>
          </w:tcPr>
          <w:p w14:paraId="47B2CC26"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63.8</w:t>
            </w:r>
          </w:p>
        </w:tc>
        <w:tc>
          <w:tcPr>
            <w:tcW w:w="884" w:type="dxa"/>
            <w:shd w:val="clear" w:color="auto" w:fill="auto"/>
            <w:tcMar>
              <w:top w:w="0" w:type="dxa"/>
              <w:left w:w="108" w:type="dxa"/>
              <w:bottom w:w="0" w:type="dxa"/>
              <w:right w:w="108" w:type="dxa"/>
            </w:tcMar>
          </w:tcPr>
          <w:p w14:paraId="314EB80E"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w:t>
            </w:r>
          </w:p>
        </w:tc>
      </w:tr>
      <w:tr w:rsidR="00492095" w:rsidRPr="00B61A5F" w14:paraId="7AF7063A" w14:textId="77777777" w:rsidTr="00492095">
        <w:tc>
          <w:tcPr>
            <w:tcW w:w="8647" w:type="dxa"/>
            <w:gridSpan w:val="12"/>
            <w:tcBorders>
              <w:bottom w:val="single" w:sz="4" w:space="0" w:color="000000"/>
            </w:tcBorders>
            <w:shd w:val="clear" w:color="auto" w:fill="auto"/>
            <w:tcMar>
              <w:top w:w="0" w:type="dxa"/>
              <w:left w:w="108" w:type="dxa"/>
              <w:bottom w:w="0" w:type="dxa"/>
              <w:right w:w="108" w:type="dxa"/>
            </w:tcMar>
          </w:tcPr>
          <w:p w14:paraId="41B2947B" w14:textId="77777777" w:rsidR="00492095" w:rsidRPr="00B61A5F" w:rsidRDefault="00492095" w:rsidP="00492095">
            <w:pPr>
              <w:widowControl w:val="0"/>
              <w:autoSpaceDE w:val="0"/>
              <w:spacing w:before="20" w:after="20" w:line="480" w:lineRule="auto"/>
              <w:rPr>
                <w:sz w:val="16"/>
                <w:szCs w:val="16"/>
                <w:lang w:val="en-US"/>
              </w:rPr>
            </w:pPr>
          </w:p>
        </w:tc>
      </w:tr>
      <w:tr w:rsidR="00492095" w:rsidRPr="00B61A5F" w14:paraId="5F7D135F" w14:textId="77777777" w:rsidTr="00492095">
        <w:tc>
          <w:tcPr>
            <w:tcW w:w="2408" w:type="dxa"/>
            <w:gridSpan w:val="2"/>
            <w:shd w:val="clear" w:color="auto" w:fill="auto"/>
            <w:tcMar>
              <w:top w:w="0" w:type="dxa"/>
              <w:left w:w="108" w:type="dxa"/>
              <w:bottom w:w="0" w:type="dxa"/>
              <w:right w:w="108" w:type="dxa"/>
            </w:tcMar>
          </w:tcPr>
          <w:p w14:paraId="71B6CD36"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Mean dependent var</w:t>
            </w:r>
          </w:p>
        </w:tc>
        <w:tc>
          <w:tcPr>
            <w:tcW w:w="1750" w:type="dxa"/>
            <w:gridSpan w:val="3"/>
            <w:shd w:val="clear" w:color="auto" w:fill="auto"/>
            <w:tcMar>
              <w:top w:w="0" w:type="dxa"/>
              <w:left w:w="108" w:type="dxa"/>
              <w:bottom w:w="0" w:type="dxa"/>
              <w:right w:w="108" w:type="dxa"/>
            </w:tcMar>
          </w:tcPr>
          <w:p w14:paraId="0CEB916C"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47.1</w:t>
            </w:r>
          </w:p>
        </w:tc>
        <w:tc>
          <w:tcPr>
            <w:tcW w:w="2300" w:type="dxa"/>
            <w:gridSpan w:val="4"/>
            <w:shd w:val="clear" w:color="auto" w:fill="auto"/>
            <w:tcMar>
              <w:top w:w="0" w:type="dxa"/>
              <w:left w:w="108" w:type="dxa"/>
              <w:bottom w:w="0" w:type="dxa"/>
              <w:right w:w="108" w:type="dxa"/>
            </w:tcMar>
          </w:tcPr>
          <w:p w14:paraId="44369900"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 xml:space="preserve">SD dependent var </w:t>
            </w:r>
          </w:p>
        </w:tc>
        <w:tc>
          <w:tcPr>
            <w:tcW w:w="1305" w:type="dxa"/>
            <w:gridSpan w:val="2"/>
            <w:shd w:val="clear" w:color="auto" w:fill="auto"/>
            <w:tcMar>
              <w:top w:w="0" w:type="dxa"/>
              <w:left w:w="108" w:type="dxa"/>
              <w:bottom w:w="0" w:type="dxa"/>
              <w:right w:w="108" w:type="dxa"/>
            </w:tcMar>
          </w:tcPr>
          <w:p w14:paraId="7D987AC0"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13.2</w:t>
            </w:r>
          </w:p>
        </w:tc>
        <w:tc>
          <w:tcPr>
            <w:tcW w:w="884" w:type="dxa"/>
            <w:shd w:val="clear" w:color="auto" w:fill="auto"/>
            <w:tcMar>
              <w:top w:w="0" w:type="dxa"/>
              <w:left w:w="10" w:type="dxa"/>
              <w:bottom w:w="0" w:type="dxa"/>
              <w:right w:w="10" w:type="dxa"/>
            </w:tcMar>
          </w:tcPr>
          <w:p w14:paraId="5DAA0B37"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13840F4E" w14:textId="77777777" w:rsidTr="00492095">
        <w:tc>
          <w:tcPr>
            <w:tcW w:w="2408" w:type="dxa"/>
            <w:gridSpan w:val="2"/>
            <w:shd w:val="clear" w:color="auto" w:fill="auto"/>
            <w:tcMar>
              <w:top w:w="0" w:type="dxa"/>
              <w:left w:w="108" w:type="dxa"/>
              <w:bottom w:w="0" w:type="dxa"/>
              <w:right w:w="108" w:type="dxa"/>
            </w:tcMar>
          </w:tcPr>
          <w:p w14:paraId="5C5D0DE9"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 xml:space="preserve">R-squared </w:t>
            </w:r>
          </w:p>
        </w:tc>
        <w:tc>
          <w:tcPr>
            <w:tcW w:w="1750" w:type="dxa"/>
            <w:gridSpan w:val="3"/>
            <w:shd w:val="clear" w:color="auto" w:fill="auto"/>
            <w:tcMar>
              <w:top w:w="0" w:type="dxa"/>
              <w:left w:w="108" w:type="dxa"/>
              <w:bottom w:w="0" w:type="dxa"/>
              <w:right w:w="108" w:type="dxa"/>
            </w:tcMar>
          </w:tcPr>
          <w:p w14:paraId="78EB7AC8"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0.26</w:t>
            </w:r>
          </w:p>
        </w:tc>
        <w:tc>
          <w:tcPr>
            <w:tcW w:w="2300" w:type="dxa"/>
            <w:gridSpan w:val="4"/>
            <w:shd w:val="clear" w:color="auto" w:fill="auto"/>
            <w:tcMar>
              <w:top w:w="0" w:type="dxa"/>
              <w:left w:w="108" w:type="dxa"/>
              <w:bottom w:w="0" w:type="dxa"/>
              <w:right w:w="108" w:type="dxa"/>
            </w:tcMar>
          </w:tcPr>
          <w:p w14:paraId="7CD2545F"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 xml:space="preserve">Number of </w:t>
            </w:r>
            <w:proofErr w:type="spellStart"/>
            <w:r w:rsidRPr="00B61A5F">
              <w:rPr>
                <w:sz w:val="16"/>
                <w:szCs w:val="16"/>
                <w:lang w:val="en-US"/>
              </w:rPr>
              <w:t>obs</w:t>
            </w:r>
            <w:proofErr w:type="spellEnd"/>
            <w:r w:rsidRPr="00B61A5F">
              <w:rPr>
                <w:sz w:val="16"/>
                <w:szCs w:val="16"/>
                <w:lang w:val="en-US"/>
              </w:rPr>
              <w:t xml:space="preserve">  </w:t>
            </w:r>
          </w:p>
        </w:tc>
        <w:tc>
          <w:tcPr>
            <w:tcW w:w="1305" w:type="dxa"/>
            <w:gridSpan w:val="2"/>
            <w:shd w:val="clear" w:color="auto" w:fill="auto"/>
            <w:tcMar>
              <w:top w:w="0" w:type="dxa"/>
              <w:left w:w="108" w:type="dxa"/>
              <w:bottom w:w="0" w:type="dxa"/>
              <w:right w:w="108" w:type="dxa"/>
            </w:tcMar>
          </w:tcPr>
          <w:p w14:paraId="2BFBBB52"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9447</w:t>
            </w:r>
          </w:p>
        </w:tc>
        <w:tc>
          <w:tcPr>
            <w:tcW w:w="884" w:type="dxa"/>
            <w:shd w:val="clear" w:color="auto" w:fill="auto"/>
            <w:tcMar>
              <w:top w:w="0" w:type="dxa"/>
              <w:left w:w="10" w:type="dxa"/>
              <w:bottom w:w="0" w:type="dxa"/>
              <w:right w:w="10" w:type="dxa"/>
            </w:tcMar>
          </w:tcPr>
          <w:p w14:paraId="734E0789"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2C53F0CF" w14:textId="77777777" w:rsidTr="00492095">
        <w:tc>
          <w:tcPr>
            <w:tcW w:w="2408" w:type="dxa"/>
            <w:gridSpan w:val="2"/>
            <w:shd w:val="clear" w:color="auto" w:fill="auto"/>
            <w:tcMar>
              <w:top w:w="0" w:type="dxa"/>
              <w:left w:w="108" w:type="dxa"/>
              <w:bottom w:w="0" w:type="dxa"/>
              <w:right w:w="108" w:type="dxa"/>
            </w:tcMar>
          </w:tcPr>
          <w:p w14:paraId="4C4BD29E"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 xml:space="preserve">F-test  </w:t>
            </w:r>
          </w:p>
        </w:tc>
        <w:tc>
          <w:tcPr>
            <w:tcW w:w="1750" w:type="dxa"/>
            <w:gridSpan w:val="3"/>
            <w:shd w:val="clear" w:color="auto" w:fill="auto"/>
            <w:tcMar>
              <w:top w:w="0" w:type="dxa"/>
              <w:left w:w="108" w:type="dxa"/>
              <w:bottom w:w="0" w:type="dxa"/>
              <w:right w:w="108" w:type="dxa"/>
            </w:tcMar>
          </w:tcPr>
          <w:p w14:paraId="13DBC27B"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58.2</w:t>
            </w:r>
          </w:p>
        </w:tc>
        <w:tc>
          <w:tcPr>
            <w:tcW w:w="2300" w:type="dxa"/>
            <w:gridSpan w:val="4"/>
            <w:shd w:val="clear" w:color="auto" w:fill="auto"/>
            <w:tcMar>
              <w:top w:w="0" w:type="dxa"/>
              <w:left w:w="108" w:type="dxa"/>
              <w:bottom w:w="0" w:type="dxa"/>
              <w:right w:w="108" w:type="dxa"/>
            </w:tcMar>
          </w:tcPr>
          <w:p w14:paraId="70C09C4E" w14:textId="77777777" w:rsidR="00492095" w:rsidRPr="00B61A5F" w:rsidRDefault="00492095" w:rsidP="00492095">
            <w:pPr>
              <w:widowControl w:val="0"/>
              <w:autoSpaceDE w:val="0"/>
              <w:spacing w:before="20" w:after="20" w:line="480" w:lineRule="auto"/>
              <w:rPr>
                <w:sz w:val="16"/>
                <w:szCs w:val="16"/>
                <w:lang w:val="en-US"/>
              </w:rPr>
            </w:pPr>
            <w:r w:rsidRPr="00B61A5F">
              <w:rPr>
                <w:sz w:val="16"/>
                <w:szCs w:val="16"/>
                <w:lang w:val="en-US"/>
              </w:rPr>
              <w:t xml:space="preserve">Prob &gt; F </w:t>
            </w:r>
          </w:p>
        </w:tc>
        <w:tc>
          <w:tcPr>
            <w:tcW w:w="1305" w:type="dxa"/>
            <w:gridSpan w:val="2"/>
            <w:shd w:val="clear" w:color="auto" w:fill="auto"/>
            <w:tcMar>
              <w:top w:w="0" w:type="dxa"/>
              <w:left w:w="108" w:type="dxa"/>
              <w:bottom w:w="0" w:type="dxa"/>
              <w:right w:w="108" w:type="dxa"/>
            </w:tcMar>
          </w:tcPr>
          <w:p w14:paraId="2839624F" w14:textId="77777777" w:rsidR="00492095" w:rsidRPr="00B61A5F" w:rsidRDefault="00492095" w:rsidP="00492095">
            <w:pPr>
              <w:widowControl w:val="0"/>
              <w:autoSpaceDE w:val="0"/>
              <w:spacing w:before="20" w:after="20" w:line="480" w:lineRule="auto"/>
              <w:jc w:val="right"/>
              <w:rPr>
                <w:sz w:val="16"/>
                <w:szCs w:val="16"/>
                <w:lang w:val="en-US"/>
              </w:rPr>
            </w:pPr>
            <w:r w:rsidRPr="00B61A5F">
              <w:rPr>
                <w:sz w:val="16"/>
                <w:szCs w:val="16"/>
                <w:lang w:val="en-US"/>
              </w:rPr>
              <w:t>.000</w:t>
            </w:r>
          </w:p>
        </w:tc>
        <w:tc>
          <w:tcPr>
            <w:tcW w:w="884" w:type="dxa"/>
            <w:shd w:val="clear" w:color="auto" w:fill="auto"/>
            <w:tcMar>
              <w:top w:w="0" w:type="dxa"/>
              <w:left w:w="10" w:type="dxa"/>
              <w:bottom w:w="0" w:type="dxa"/>
              <w:right w:w="10" w:type="dxa"/>
            </w:tcMar>
          </w:tcPr>
          <w:p w14:paraId="3C7D41D9" w14:textId="77777777" w:rsidR="00492095" w:rsidRPr="00B61A5F" w:rsidRDefault="00492095" w:rsidP="00492095">
            <w:pPr>
              <w:widowControl w:val="0"/>
              <w:autoSpaceDE w:val="0"/>
              <w:spacing w:before="20" w:after="20" w:line="480" w:lineRule="auto"/>
              <w:jc w:val="right"/>
              <w:rPr>
                <w:sz w:val="16"/>
                <w:szCs w:val="16"/>
                <w:lang w:val="en-US"/>
              </w:rPr>
            </w:pPr>
          </w:p>
        </w:tc>
      </w:tr>
      <w:tr w:rsidR="00492095" w:rsidRPr="00B61A5F" w14:paraId="500528C6" w14:textId="77777777" w:rsidTr="00492095">
        <w:tc>
          <w:tcPr>
            <w:tcW w:w="8647" w:type="dxa"/>
            <w:gridSpan w:val="12"/>
            <w:tcBorders>
              <w:bottom w:val="single" w:sz="12" w:space="0" w:color="000000"/>
            </w:tcBorders>
            <w:shd w:val="clear" w:color="auto" w:fill="auto"/>
            <w:tcMar>
              <w:top w:w="0" w:type="dxa"/>
              <w:left w:w="108" w:type="dxa"/>
              <w:bottom w:w="0" w:type="dxa"/>
              <w:right w:w="108" w:type="dxa"/>
            </w:tcMar>
          </w:tcPr>
          <w:p w14:paraId="2B49F9E9" w14:textId="77777777" w:rsidR="00492095" w:rsidRPr="00B61A5F" w:rsidRDefault="00492095" w:rsidP="00492095">
            <w:pPr>
              <w:widowControl w:val="0"/>
              <w:autoSpaceDE w:val="0"/>
              <w:spacing w:before="20" w:after="20" w:line="480" w:lineRule="auto"/>
              <w:rPr>
                <w:sz w:val="16"/>
                <w:szCs w:val="16"/>
                <w:lang w:val="en-US"/>
              </w:rPr>
            </w:pPr>
          </w:p>
        </w:tc>
      </w:tr>
    </w:tbl>
    <w:p w14:paraId="7C2F4AEE" w14:textId="2459A1E5" w:rsidR="007920C0" w:rsidRPr="00FD2E7D" w:rsidRDefault="007920C0" w:rsidP="00FD2E7D">
      <w:pPr>
        <w:pStyle w:val="TableGraphSource"/>
        <w:spacing w:line="480" w:lineRule="auto"/>
        <w:rPr>
          <w:i/>
          <w:lang w:val="en-US"/>
        </w:rPr>
      </w:pPr>
      <w:r w:rsidRPr="00C83467">
        <w:rPr>
          <w:lang w:val="en-US"/>
        </w:rPr>
        <w:t>Note:</w:t>
      </w:r>
      <w:r w:rsidRPr="00A765E0">
        <w:rPr>
          <w:b/>
          <w:lang w:val="en-US"/>
        </w:rPr>
        <w:t xml:space="preserve"> </w:t>
      </w:r>
      <w:r w:rsidR="00753F3D" w:rsidRPr="00B61A5F">
        <w:rPr>
          <w:i/>
          <w:lang w:val="en-US"/>
        </w:rPr>
        <w:t>*** p&lt;0.01, ** p&lt;0.05, * p&lt;0.1</w:t>
      </w:r>
      <w:r w:rsidR="00753F3D">
        <w:rPr>
          <w:i/>
          <w:lang w:val="en-US"/>
        </w:rPr>
        <w:t xml:space="preserve"> </w:t>
      </w:r>
      <w:r w:rsidR="00492095" w:rsidRPr="00B61A5F">
        <w:rPr>
          <w:lang w:val="en-US"/>
        </w:rPr>
        <w:t xml:space="preserve">Source: </w:t>
      </w:r>
      <w:proofErr w:type="spellStart"/>
      <w:r w:rsidR="00492095" w:rsidRPr="00B61A5F">
        <w:rPr>
          <w:lang w:val="en-US"/>
        </w:rPr>
        <w:t>Labour</w:t>
      </w:r>
      <w:proofErr w:type="spellEnd"/>
      <w:r w:rsidR="00492095" w:rsidRPr="00B61A5F">
        <w:rPr>
          <w:lang w:val="en-US"/>
        </w:rPr>
        <w:t xml:space="preserve"> Force Survey, </w:t>
      </w:r>
      <w:r w:rsidR="00492095" w:rsidRPr="00B61A5F">
        <w:rPr>
          <w:rFonts w:cs="Calibri"/>
          <w:lang w:val="en-US"/>
        </w:rPr>
        <w:t>pooled quarterly datasets 05-07, 15-17,</w:t>
      </w:r>
      <w:r w:rsidR="00753F3D">
        <w:rPr>
          <w:rFonts w:cs="Calibri"/>
        </w:rPr>
        <w:t xml:space="preserve"> </w:t>
      </w:r>
      <w:r w:rsidRPr="00C83467">
        <w:rPr>
          <w:lang w:val="en-US"/>
        </w:rPr>
        <w:t>CAMSIS score of men, applying LFS individual level person weights, controlling region, age and educational attainment</w:t>
      </w:r>
      <w:r w:rsidRPr="00FD2E7D">
        <w:rPr>
          <w:b/>
          <w:lang w:val="en-US"/>
        </w:rPr>
        <w:t xml:space="preserve"> </w:t>
      </w:r>
    </w:p>
    <w:p w14:paraId="14E66B0E" w14:textId="66A5A81D" w:rsidR="007920C0" w:rsidRDefault="007920C0" w:rsidP="00492095">
      <w:pPr>
        <w:pStyle w:val="TableGraphSource"/>
        <w:spacing w:line="480" w:lineRule="auto"/>
        <w:rPr>
          <w:rFonts w:ascii="Garamond" w:hAnsi="Garamond"/>
          <w:b/>
          <w:bCs/>
          <w:szCs w:val="20"/>
          <w:lang w:val="en-US"/>
        </w:rPr>
      </w:pPr>
    </w:p>
    <w:p w14:paraId="458CFD9E" w14:textId="5178347B" w:rsidR="00492095" w:rsidRDefault="00C3061E" w:rsidP="00492095">
      <w:pPr>
        <w:pStyle w:val="TableGraphheading"/>
        <w:spacing w:line="480" w:lineRule="auto"/>
      </w:pPr>
      <w:r>
        <w:rPr>
          <w:lang w:val="en-US"/>
        </w:rPr>
        <w:t>Table 7: Linear regression,</w:t>
      </w:r>
      <w:r w:rsidR="00492095">
        <w:rPr>
          <w:lang w:val="en-US"/>
        </w:rPr>
        <w:t xml:space="preserve"> CAMSIS score of women, weighted using individual level person weights </w:t>
      </w:r>
    </w:p>
    <w:tbl>
      <w:tblPr>
        <w:tblW w:w="8364" w:type="dxa"/>
        <w:tblLayout w:type="fixed"/>
        <w:tblCellMar>
          <w:left w:w="10" w:type="dxa"/>
          <w:right w:w="10" w:type="dxa"/>
        </w:tblCellMar>
        <w:tblLook w:val="04A0" w:firstRow="1" w:lastRow="0" w:firstColumn="1" w:lastColumn="0" w:noHBand="0" w:noVBand="1"/>
      </w:tblPr>
      <w:tblGrid>
        <w:gridCol w:w="2408"/>
        <w:gridCol w:w="286"/>
        <w:gridCol w:w="958"/>
        <w:gridCol w:w="506"/>
        <w:gridCol w:w="203"/>
        <w:gridCol w:w="709"/>
        <w:gridCol w:w="738"/>
        <w:gridCol w:w="650"/>
        <w:gridCol w:w="171"/>
        <w:gridCol w:w="850"/>
        <w:gridCol w:w="885"/>
      </w:tblGrid>
      <w:tr w:rsidR="00492095" w:rsidRPr="00B61A5F" w14:paraId="4BD8E31F" w14:textId="77777777" w:rsidTr="00492095">
        <w:tc>
          <w:tcPr>
            <w:tcW w:w="2694" w:type="dxa"/>
            <w:gridSpan w:val="2"/>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4CEA5DF4" w14:textId="423ACEC0" w:rsidR="00492095" w:rsidRPr="00B61A5F" w:rsidRDefault="00492095">
            <w:pPr>
              <w:widowControl w:val="0"/>
              <w:autoSpaceDE w:val="0"/>
              <w:spacing w:after="0" w:line="480" w:lineRule="auto"/>
              <w:rPr>
                <w:b/>
                <w:bCs/>
                <w:sz w:val="16"/>
                <w:szCs w:val="16"/>
                <w:lang w:val="en-US"/>
              </w:rPr>
            </w:pPr>
            <w:r w:rsidRPr="00B61A5F">
              <w:rPr>
                <w:b/>
                <w:bCs/>
                <w:sz w:val="16"/>
                <w:szCs w:val="16"/>
                <w:lang w:val="en-US"/>
              </w:rPr>
              <w:t xml:space="preserve"> </w:t>
            </w:r>
          </w:p>
        </w:tc>
        <w:tc>
          <w:tcPr>
            <w:tcW w:w="958" w:type="dxa"/>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56234563" w14:textId="77777777" w:rsidR="00492095" w:rsidRPr="00B61A5F" w:rsidRDefault="00492095" w:rsidP="00492095">
            <w:pPr>
              <w:widowControl w:val="0"/>
              <w:autoSpaceDE w:val="0"/>
              <w:spacing w:after="0" w:line="480" w:lineRule="auto"/>
              <w:jc w:val="right"/>
              <w:rPr>
                <w:b/>
                <w:bCs/>
                <w:sz w:val="16"/>
                <w:szCs w:val="16"/>
                <w:lang w:val="en-US"/>
              </w:rPr>
            </w:pPr>
            <w:r w:rsidRPr="00B61A5F">
              <w:rPr>
                <w:b/>
                <w:bCs/>
                <w:sz w:val="16"/>
                <w:szCs w:val="16"/>
                <w:lang w:val="en-US"/>
              </w:rPr>
              <w:t xml:space="preserve"> Coefficient</w:t>
            </w:r>
          </w:p>
        </w:tc>
        <w:tc>
          <w:tcPr>
            <w:tcW w:w="709" w:type="dxa"/>
            <w:gridSpan w:val="2"/>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2229C873" w14:textId="5DC1818E" w:rsidR="00492095" w:rsidRPr="00B61A5F" w:rsidRDefault="0002285C" w:rsidP="00492095">
            <w:pPr>
              <w:widowControl w:val="0"/>
              <w:autoSpaceDE w:val="0"/>
              <w:spacing w:after="0" w:line="480" w:lineRule="auto"/>
              <w:jc w:val="center"/>
              <w:rPr>
                <w:b/>
                <w:bCs/>
              </w:rPr>
            </w:pPr>
            <w:r>
              <w:rPr>
                <w:b/>
                <w:bCs/>
                <w:sz w:val="14"/>
                <w:szCs w:val="16"/>
                <w:lang w:val="en-US"/>
              </w:rPr>
              <w:t>Standar</w:t>
            </w:r>
            <w:r w:rsidR="00492095" w:rsidRPr="00B61A5F">
              <w:rPr>
                <w:b/>
                <w:bCs/>
                <w:sz w:val="14"/>
                <w:szCs w:val="16"/>
                <w:lang w:val="en-US"/>
              </w:rPr>
              <w:t>d</w:t>
            </w:r>
            <w:r>
              <w:rPr>
                <w:b/>
                <w:bCs/>
                <w:sz w:val="14"/>
                <w:szCs w:val="16"/>
                <w:lang w:val="en-US"/>
              </w:rPr>
              <w:t xml:space="preserve"> </w:t>
            </w:r>
            <w:r w:rsidR="00492095" w:rsidRPr="00B61A5F">
              <w:rPr>
                <w:b/>
                <w:bCs/>
                <w:sz w:val="14"/>
                <w:szCs w:val="16"/>
                <w:lang w:val="en-US"/>
              </w:rPr>
              <w:t>error</w:t>
            </w:r>
          </w:p>
        </w:tc>
        <w:tc>
          <w:tcPr>
            <w:tcW w:w="709" w:type="dxa"/>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37FBA351" w14:textId="77777777" w:rsidR="00492095" w:rsidRPr="00B61A5F" w:rsidRDefault="00492095" w:rsidP="00492095">
            <w:pPr>
              <w:widowControl w:val="0"/>
              <w:autoSpaceDE w:val="0"/>
              <w:spacing w:after="0" w:line="480" w:lineRule="auto"/>
              <w:jc w:val="right"/>
              <w:rPr>
                <w:b/>
                <w:bCs/>
                <w:sz w:val="16"/>
                <w:szCs w:val="16"/>
                <w:lang w:val="en-US"/>
              </w:rPr>
            </w:pPr>
            <w:r w:rsidRPr="00B61A5F">
              <w:rPr>
                <w:b/>
                <w:bCs/>
                <w:sz w:val="16"/>
                <w:szCs w:val="16"/>
                <w:lang w:val="en-US"/>
              </w:rPr>
              <w:t xml:space="preserve"> t-value</w:t>
            </w:r>
          </w:p>
        </w:tc>
        <w:tc>
          <w:tcPr>
            <w:tcW w:w="738" w:type="dxa"/>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4BB53577" w14:textId="77777777" w:rsidR="00492095" w:rsidRPr="00B61A5F" w:rsidRDefault="00492095" w:rsidP="00492095">
            <w:pPr>
              <w:widowControl w:val="0"/>
              <w:autoSpaceDE w:val="0"/>
              <w:spacing w:after="0" w:line="480" w:lineRule="auto"/>
              <w:jc w:val="right"/>
              <w:rPr>
                <w:b/>
                <w:bCs/>
                <w:sz w:val="16"/>
                <w:szCs w:val="16"/>
                <w:lang w:val="en-US"/>
              </w:rPr>
            </w:pPr>
            <w:r w:rsidRPr="00B61A5F">
              <w:rPr>
                <w:b/>
                <w:bCs/>
                <w:sz w:val="16"/>
                <w:szCs w:val="16"/>
                <w:lang w:val="en-US"/>
              </w:rPr>
              <w:t xml:space="preserve"> p-value</w:t>
            </w:r>
          </w:p>
        </w:tc>
        <w:tc>
          <w:tcPr>
            <w:tcW w:w="821" w:type="dxa"/>
            <w:gridSpan w:val="2"/>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01D0E44F" w14:textId="77777777" w:rsidR="00492095" w:rsidRPr="00B61A5F" w:rsidRDefault="00492095" w:rsidP="00492095">
            <w:pPr>
              <w:autoSpaceDE w:val="0"/>
              <w:spacing w:after="0" w:line="480" w:lineRule="auto"/>
              <w:jc w:val="center"/>
              <w:rPr>
                <w:rFonts w:cs="Calibri"/>
                <w:b/>
                <w:bCs/>
                <w:sz w:val="12"/>
                <w:szCs w:val="16"/>
              </w:rPr>
            </w:pPr>
            <w:r w:rsidRPr="00B61A5F">
              <w:rPr>
                <w:rFonts w:cs="Calibri"/>
                <w:b/>
                <w:bCs/>
                <w:sz w:val="12"/>
                <w:szCs w:val="16"/>
              </w:rPr>
              <w:t>Lower confidence interval</w:t>
            </w:r>
          </w:p>
        </w:tc>
        <w:tc>
          <w:tcPr>
            <w:tcW w:w="850" w:type="dxa"/>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45D36884" w14:textId="77777777" w:rsidR="00492095" w:rsidRPr="00B61A5F" w:rsidRDefault="00492095" w:rsidP="00492095">
            <w:pPr>
              <w:autoSpaceDE w:val="0"/>
              <w:spacing w:after="0" w:line="480" w:lineRule="auto"/>
              <w:jc w:val="center"/>
              <w:rPr>
                <w:rFonts w:cs="Calibri"/>
                <w:b/>
                <w:bCs/>
                <w:sz w:val="12"/>
                <w:szCs w:val="16"/>
              </w:rPr>
            </w:pPr>
            <w:r w:rsidRPr="00B61A5F">
              <w:rPr>
                <w:rFonts w:cs="Calibri"/>
                <w:b/>
                <w:bCs/>
                <w:sz w:val="12"/>
                <w:szCs w:val="16"/>
              </w:rPr>
              <w:t>Upper confidence interval</w:t>
            </w:r>
          </w:p>
        </w:tc>
        <w:tc>
          <w:tcPr>
            <w:tcW w:w="885" w:type="dxa"/>
            <w:tcBorders>
              <w:top w:val="single" w:sz="4" w:space="0" w:color="000000"/>
              <w:bottom w:val="single" w:sz="8" w:space="0" w:color="000000"/>
            </w:tcBorders>
            <w:shd w:val="clear" w:color="auto" w:fill="D9D9D9" w:themeFill="background1" w:themeFillShade="D9"/>
            <w:tcMar>
              <w:top w:w="0" w:type="dxa"/>
              <w:left w:w="108" w:type="dxa"/>
              <w:bottom w:w="0" w:type="dxa"/>
              <w:right w:w="108" w:type="dxa"/>
            </w:tcMar>
          </w:tcPr>
          <w:p w14:paraId="5A5D642C" w14:textId="77777777" w:rsidR="00492095" w:rsidRPr="00B61A5F" w:rsidRDefault="00492095" w:rsidP="00492095">
            <w:pPr>
              <w:widowControl w:val="0"/>
              <w:autoSpaceDE w:val="0"/>
              <w:spacing w:after="0" w:line="480" w:lineRule="auto"/>
              <w:rPr>
                <w:b/>
                <w:bCs/>
              </w:rPr>
            </w:pPr>
            <w:r w:rsidRPr="00B61A5F">
              <w:rPr>
                <w:b/>
                <w:bCs/>
                <w:sz w:val="12"/>
                <w:szCs w:val="16"/>
                <w:lang w:val="en-US"/>
              </w:rPr>
              <w:t xml:space="preserve"> Significance</w:t>
            </w:r>
          </w:p>
        </w:tc>
      </w:tr>
      <w:tr w:rsidR="00492095" w:rsidRPr="00B61A5F" w14:paraId="0A728298" w14:textId="77777777" w:rsidTr="00492095">
        <w:tc>
          <w:tcPr>
            <w:tcW w:w="2694" w:type="dxa"/>
            <w:gridSpan w:val="2"/>
            <w:shd w:val="clear" w:color="auto" w:fill="auto"/>
            <w:tcMar>
              <w:top w:w="0" w:type="dxa"/>
              <w:left w:w="108" w:type="dxa"/>
              <w:bottom w:w="0" w:type="dxa"/>
              <w:right w:w="108" w:type="dxa"/>
            </w:tcMar>
          </w:tcPr>
          <w:p w14:paraId="5A8DEEC2"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Rest of Scotland 05-07</w:t>
            </w:r>
          </w:p>
        </w:tc>
        <w:tc>
          <w:tcPr>
            <w:tcW w:w="958" w:type="dxa"/>
            <w:shd w:val="clear" w:color="auto" w:fill="auto"/>
            <w:tcMar>
              <w:top w:w="0" w:type="dxa"/>
              <w:left w:w="108" w:type="dxa"/>
              <w:bottom w:w="0" w:type="dxa"/>
              <w:right w:w="108" w:type="dxa"/>
            </w:tcMar>
          </w:tcPr>
          <w:p w14:paraId="120D61C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-5.2</w:t>
            </w:r>
          </w:p>
        </w:tc>
        <w:tc>
          <w:tcPr>
            <w:tcW w:w="709" w:type="dxa"/>
            <w:gridSpan w:val="2"/>
            <w:shd w:val="clear" w:color="auto" w:fill="auto"/>
            <w:tcMar>
              <w:top w:w="0" w:type="dxa"/>
              <w:left w:w="108" w:type="dxa"/>
              <w:bottom w:w="0" w:type="dxa"/>
              <w:right w:w="108" w:type="dxa"/>
            </w:tcMar>
          </w:tcPr>
          <w:p w14:paraId="266D700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4F6EA63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-4.1</w:t>
            </w:r>
          </w:p>
        </w:tc>
        <w:tc>
          <w:tcPr>
            <w:tcW w:w="738" w:type="dxa"/>
            <w:shd w:val="clear" w:color="auto" w:fill="auto"/>
            <w:tcMar>
              <w:top w:w="0" w:type="dxa"/>
              <w:left w:w="108" w:type="dxa"/>
              <w:bottom w:w="0" w:type="dxa"/>
              <w:right w:w="108" w:type="dxa"/>
            </w:tcMar>
          </w:tcPr>
          <w:p w14:paraId="62EC3DC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1C0A463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-7.7</w:t>
            </w:r>
          </w:p>
        </w:tc>
        <w:tc>
          <w:tcPr>
            <w:tcW w:w="850" w:type="dxa"/>
            <w:shd w:val="clear" w:color="auto" w:fill="auto"/>
            <w:tcMar>
              <w:top w:w="0" w:type="dxa"/>
              <w:left w:w="108" w:type="dxa"/>
              <w:bottom w:w="0" w:type="dxa"/>
              <w:right w:w="108" w:type="dxa"/>
            </w:tcMar>
          </w:tcPr>
          <w:p w14:paraId="5135A1A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-2.7</w:t>
            </w:r>
          </w:p>
        </w:tc>
        <w:tc>
          <w:tcPr>
            <w:tcW w:w="885" w:type="dxa"/>
            <w:shd w:val="clear" w:color="auto" w:fill="auto"/>
            <w:tcMar>
              <w:top w:w="0" w:type="dxa"/>
              <w:left w:w="108" w:type="dxa"/>
              <w:bottom w:w="0" w:type="dxa"/>
              <w:right w:w="108" w:type="dxa"/>
            </w:tcMar>
          </w:tcPr>
          <w:p w14:paraId="1187311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2F3CCE39" w14:textId="77777777" w:rsidTr="00492095">
        <w:tc>
          <w:tcPr>
            <w:tcW w:w="2694" w:type="dxa"/>
            <w:gridSpan w:val="2"/>
            <w:shd w:val="clear" w:color="auto" w:fill="auto"/>
            <w:tcMar>
              <w:top w:w="0" w:type="dxa"/>
              <w:left w:w="108" w:type="dxa"/>
              <w:bottom w:w="0" w:type="dxa"/>
              <w:right w:w="108" w:type="dxa"/>
            </w:tcMar>
          </w:tcPr>
          <w:p w14:paraId="6608A8C7"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Rest of Scotland 15-17</w:t>
            </w:r>
          </w:p>
        </w:tc>
        <w:tc>
          <w:tcPr>
            <w:tcW w:w="958" w:type="dxa"/>
            <w:shd w:val="clear" w:color="auto" w:fill="auto"/>
            <w:tcMar>
              <w:top w:w="0" w:type="dxa"/>
              <w:left w:w="108" w:type="dxa"/>
              <w:bottom w:w="0" w:type="dxa"/>
              <w:right w:w="108" w:type="dxa"/>
            </w:tcMar>
          </w:tcPr>
          <w:p w14:paraId="753FD6E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-6.5</w:t>
            </w:r>
          </w:p>
        </w:tc>
        <w:tc>
          <w:tcPr>
            <w:tcW w:w="709" w:type="dxa"/>
            <w:gridSpan w:val="2"/>
            <w:shd w:val="clear" w:color="auto" w:fill="auto"/>
            <w:tcMar>
              <w:top w:w="0" w:type="dxa"/>
              <w:left w:w="108" w:type="dxa"/>
              <w:bottom w:w="0" w:type="dxa"/>
              <w:right w:w="108" w:type="dxa"/>
            </w:tcMar>
          </w:tcPr>
          <w:p w14:paraId="2D24120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1.5</w:t>
            </w:r>
          </w:p>
        </w:tc>
        <w:tc>
          <w:tcPr>
            <w:tcW w:w="709" w:type="dxa"/>
            <w:shd w:val="clear" w:color="auto" w:fill="auto"/>
            <w:tcMar>
              <w:top w:w="0" w:type="dxa"/>
              <w:left w:w="108" w:type="dxa"/>
              <w:bottom w:w="0" w:type="dxa"/>
              <w:right w:w="108" w:type="dxa"/>
            </w:tcMar>
          </w:tcPr>
          <w:p w14:paraId="5BD402F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-4.4</w:t>
            </w:r>
          </w:p>
        </w:tc>
        <w:tc>
          <w:tcPr>
            <w:tcW w:w="738" w:type="dxa"/>
            <w:shd w:val="clear" w:color="auto" w:fill="auto"/>
            <w:tcMar>
              <w:top w:w="0" w:type="dxa"/>
              <w:left w:w="108" w:type="dxa"/>
              <w:bottom w:w="0" w:type="dxa"/>
              <w:right w:w="108" w:type="dxa"/>
            </w:tcMar>
          </w:tcPr>
          <w:p w14:paraId="6F836E1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20233B7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-9.5</w:t>
            </w:r>
          </w:p>
        </w:tc>
        <w:tc>
          <w:tcPr>
            <w:tcW w:w="850" w:type="dxa"/>
            <w:shd w:val="clear" w:color="auto" w:fill="auto"/>
            <w:tcMar>
              <w:top w:w="0" w:type="dxa"/>
              <w:left w:w="108" w:type="dxa"/>
              <w:bottom w:w="0" w:type="dxa"/>
              <w:right w:w="108" w:type="dxa"/>
            </w:tcMar>
          </w:tcPr>
          <w:p w14:paraId="02AC958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-3.6</w:t>
            </w:r>
          </w:p>
        </w:tc>
        <w:tc>
          <w:tcPr>
            <w:tcW w:w="885" w:type="dxa"/>
            <w:shd w:val="clear" w:color="auto" w:fill="auto"/>
            <w:tcMar>
              <w:top w:w="0" w:type="dxa"/>
              <w:left w:w="108" w:type="dxa"/>
              <w:bottom w:w="0" w:type="dxa"/>
              <w:right w:w="108" w:type="dxa"/>
            </w:tcMar>
          </w:tcPr>
          <w:p w14:paraId="31F215D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5217648F" w14:textId="77777777" w:rsidTr="00492095">
        <w:tc>
          <w:tcPr>
            <w:tcW w:w="2694" w:type="dxa"/>
            <w:gridSpan w:val="2"/>
            <w:shd w:val="clear" w:color="auto" w:fill="auto"/>
            <w:tcMar>
              <w:top w:w="0" w:type="dxa"/>
              <w:left w:w="108" w:type="dxa"/>
              <w:bottom w:w="0" w:type="dxa"/>
              <w:right w:w="108" w:type="dxa"/>
            </w:tcMar>
          </w:tcPr>
          <w:p w14:paraId="4AC02784"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 xml:space="preserve">Rest of </w:t>
            </w:r>
            <w:proofErr w:type="spellStart"/>
            <w:r w:rsidRPr="00B61A5F">
              <w:rPr>
                <w:sz w:val="16"/>
                <w:szCs w:val="16"/>
                <w:lang w:val="en-US"/>
              </w:rPr>
              <w:t>Yorks</w:t>
            </w:r>
            <w:proofErr w:type="spellEnd"/>
            <w:r w:rsidRPr="00B61A5F">
              <w:rPr>
                <w:sz w:val="16"/>
                <w:szCs w:val="16"/>
                <w:lang w:val="en-US"/>
              </w:rPr>
              <w:t xml:space="preserve"> and Humberside 05-07</w:t>
            </w:r>
          </w:p>
        </w:tc>
        <w:tc>
          <w:tcPr>
            <w:tcW w:w="958" w:type="dxa"/>
            <w:shd w:val="clear" w:color="auto" w:fill="auto"/>
            <w:tcMar>
              <w:top w:w="0" w:type="dxa"/>
              <w:left w:w="108" w:type="dxa"/>
              <w:bottom w:w="0" w:type="dxa"/>
              <w:right w:w="108" w:type="dxa"/>
            </w:tcMar>
          </w:tcPr>
          <w:p w14:paraId="48B8BF6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-7.3</w:t>
            </w:r>
          </w:p>
        </w:tc>
        <w:tc>
          <w:tcPr>
            <w:tcW w:w="709" w:type="dxa"/>
            <w:gridSpan w:val="2"/>
            <w:shd w:val="clear" w:color="auto" w:fill="auto"/>
            <w:tcMar>
              <w:top w:w="0" w:type="dxa"/>
              <w:left w:w="108" w:type="dxa"/>
              <w:bottom w:w="0" w:type="dxa"/>
              <w:right w:w="108" w:type="dxa"/>
            </w:tcMar>
          </w:tcPr>
          <w:p w14:paraId="7292D09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05582CD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-5.2</w:t>
            </w:r>
          </w:p>
        </w:tc>
        <w:tc>
          <w:tcPr>
            <w:tcW w:w="738" w:type="dxa"/>
            <w:shd w:val="clear" w:color="auto" w:fill="auto"/>
            <w:tcMar>
              <w:top w:w="0" w:type="dxa"/>
              <w:left w:w="108" w:type="dxa"/>
              <w:bottom w:w="0" w:type="dxa"/>
              <w:right w:w="108" w:type="dxa"/>
            </w:tcMar>
          </w:tcPr>
          <w:p w14:paraId="22BCBF6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3E08561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-10.0</w:t>
            </w:r>
          </w:p>
        </w:tc>
        <w:tc>
          <w:tcPr>
            <w:tcW w:w="850" w:type="dxa"/>
            <w:shd w:val="clear" w:color="auto" w:fill="auto"/>
            <w:tcMar>
              <w:top w:w="0" w:type="dxa"/>
              <w:left w:w="108" w:type="dxa"/>
              <w:bottom w:w="0" w:type="dxa"/>
              <w:right w:w="108" w:type="dxa"/>
            </w:tcMar>
          </w:tcPr>
          <w:p w14:paraId="60DCAC7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-4.5</w:t>
            </w:r>
          </w:p>
        </w:tc>
        <w:tc>
          <w:tcPr>
            <w:tcW w:w="885" w:type="dxa"/>
            <w:shd w:val="clear" w:color="auto" w:fill="auto"/>
            <w:tcMar>
              <w:top w:w="0" w:type="dxa"/>
              <w:left w:w="108" w:type="dxa"/>
              <w:bottom w:w="0" w:type="dxa"/>
              <w:right w:w="108" w:type="dxa"/>
            </w:tcMar>
          </w:tcPr>
          <w:p w14:paraId="0CD13CD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6C2A490B" w14:textId="77777777" w:rsidTr="00492095">
        <w:tc>
          <w:tcPr>
            <w:tcW w:w="2694" w:type="dxa"/>
            <w:gridSpan w:val="2"/>
            <w:shd w:val="clear" w:color="auto" w:fill="auto"/>
            <w:tcMar>
              <w:top w:w="0" w:type="dxa"/>
              <w:left w:w="108" w:type="dxa"/>
              <w:bottom w:w="0" w:type="dxa"/>
              <w:right w:w="108" w:type="dxa"/>
            </w:tcMar>
          </w:tcPr>
          <w:p w14:paraId="6679B017"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lastRenderedPageBreak/>
              <w:t xml:space="preserve">Rest of </w:t>
            </w:r>
            <w:proofErr w:type="spellStart"/>
            <w:r w:rsidRPr="00B61A5F">
              <w:rPr>
                <w:sz w:val="16"/>
                <w:szCs w:val="16"/>
                <w:lang w:val="en-US"/>
              </w:rPr>
              <w:t>Yorks</w:t>
            </w:r>
            <w:proofErr w:type="spellEnd"/>
            <w:r w:rsidRPr="00B61A5F">
              <w:rPr>
                <w:sz w:val="16"/>
                <w:szCs w:val="16"/>
                <w:lang w:val="en-US"/>
              </w:rPr>
              <w:t xml:space="preserve"> and Humberside 15-17</w:t>
            </w:r>
          </w:p>
        </w:tc>
        <w:tc>
          <w:tcPr>
            <w:tcW w:w="958" w:type="dxa"/>
            <w:shd w:val="clear" w:color="auto" w:fill="auto"/>
            <w:tcMar>
              <w:top w:w="0" w:type="dxa"/>
              <w:left w:w="108" w:type="dxa"/>
              <w:bottom w:w="0" w:type="dxa"/>
              <w:right w:w="108" w:type="dxa"/>
            </w:tcMar>
          </w:tcPr>
          <w:p w14:paraId="6565630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-6.5</w:t>
            </w:r>
          </w:p>
        </w:tc>
        <w:tc>
          <w:tcPr>
            <w:tcW w:w="709" w:type="dxa"/>
            <w:gridSpan w:val="2"/>
            <w:shd w:val="clear" w:color="auto" w:fill="auto"/>
            <w:tcMar>
              <w:top w:w="0" w:type="dxa"/>
              <w:left w:w="108" w:type="dxa"/>
              <w:bottom w:w="0" w:type="dxa"/>
              <w:right w:w="108" w:type="dxa"/>
            </w:tcMar>
          </w:tcPr>
          <w:p w14:paraId="7D9418D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1.5</w:t>
            </w:r>
          </w:p>
        </w:tc>
        <w:tc>
          <w:tcPr>
            <w:tcW w:w="709" w:type="dxa"/>
            <w:shd w:val="clear" w:color="auto" w:fill="auto"/>
            <w:tcMar>
              <w:top w:w="0" w:type="dxa"/>
              <w:left w:w="108" w:type="dxa"/>
              <w:bottom w:w="0" w:type="dxa"/>
              <w:right w:w="108" w:type="dxa"/>
            </w:tcMar>
          </w:tcPr>
          <w:p w14:paraId="3589FD7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-4.2</w:t>
            </w:r>
          </w:p>
        </w:tc>
        <w:tc>
          <w:tcPr>
            <w:tcW w:w="738" w:type="dxa"/>
            <w:shd w:val="clear" w:color="auto" w:fill="auto"/>
            <w:tcMar>
              <w:top w:w="0" w:type="dxa"/>
              <w:left w:w="108" w:type="dxa"/>
              <w:bottom w:w="0" w:type="dxa"/>
              <w:right w:w="108" w:type="dxa"/>
            </w:tcMar>
          </w:tcPr>
          <w:p w14:paraId="09CEC1B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5BE93A8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-9.5</w:t>
            </w:r>
          </w:p>
        </w:tc>
        <w:tc>
          <w:tcPr>
            <w:tcW w:w="850" w:type="dxa"/>
            <w:shd w:val="clear" w:color="auto" w:fill="auto"/>
            <w:tcMar>
              <w:top w:w="0" w:type="dxa"/>
              <w:left w:w="108" w:type="dxa"/>
              <w:bottom w:w="0" w:type="dxa"/>
              <w:right w:w="108" w:type="dxa"/>
            </w:tcMar>
          </w:tcPr>
          <w:p w14:paraId="1D7732B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-3.5</w:t>
            </w:r>
          </w:p>
        </w:tc>
        <w:tc>
          <w:tcPr>
            <w:tcW w:w="885" w:type="dxa"/>
            <w:shd w:val="clear" w:color="auto" w:fill="auto"/>
            <w:tcMar>
              <w:top w:w="0" w:type="dxa"/>
              <w:left w:w="108" w:type="dxa"/>
              <w:bottom w:w="0" w:type="dxa"/>
              <w:right w:w="108" w:type="dxa"/>
            </w:tcMar>
          </w:tcPr>
          <w:p w14:paraId="00E1A95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22C03832" w14:textId="77777777" w:rsidTr="00492095">
        <w:tc>
          <w:tcPr>
            <w:tcW w:w="2694" w:type="dxa"/>
            <w:gridSpan w:val="2"/>
            <w:shd w:val="clear" w:color="auto" w:fill="auto"/>
            <w:tcMar>
              <w:top w:w="0" w:type="dxa"/>
              <w:left w:w="108" w:type="dxa"/>
              <w:bottom w:w="0" w:type="dxa"/>
              <w:right w:w="108" w:type="dxa"/>
            </w:tcMar>
          </w:tcPr>
          <w:p w14:paraId="2D410E0E"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Northern Ireland 05-07</w:t>
            </w:r>
          </w:p>
        </w:tc>
        <w:tc>
          <w:tcPr>
            <w:tcW w:w="958" w:type="dxa"/>
            <w:shd w:val="clear" w:color="auto" w:fill="auto"/>
            <w:tcMar>
              <w:top w:w="0" w:type="dxa"/>
              <w:left w:w="108" w:type="dxa"/>
              <w:bottom w:w="0" w:type="dxa"/>
              <w:right w:w="108" w:type="dxa"/>
            </w:tcMar>
          </w:tcPr>
          <w:p w14:paraId="33C4F30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-5.8</w:t>
            </w:r>
          </w:p>
        </w:tc>
        <w:tc>
          <w:tcPr>
            <w:tcW w:w="709" w:type="dxa"/>
            <w:gridSpan w:val="2"/>
            <w:shd w:val="clear" w:color="auto" w:fill="auto"/>
            <w:tcMar>
              <w:top w:w="0" w:type="dxa"/>
              <w:left w:w="108" w:type="dxa"/>
              <w:bottom w:w="0" w:type="dxa"/>
              <w:right w:w="108" w:type="dxa"/>
            </w:tcMar>
          </w:tcPr>
          <w:p w14:paraId="25ACE38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74A1BFE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-4.5</w:t>
            </w:r>
          </w:p>
        </w:tc>
        <w:tc>
          <w:tcPr>
            <w:tcW w:w="738" w:type="dxa"/>
            <w:shd w:val="clear" w:color="auto" w:fill="auto"/>
            <w:tcMar>
              <w:top w:w="0" w:type="dxa"/>
              <w:left w:w="108" w:type="dxa"/>
              <w:bottom w:w="0" w:type="dxa"/>
              <w:right w:w="108" w:type="dxa"/>
            </w:tcMar>
          </w:tcPr>
          <w:p w14:paraId="7C4B150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67724B7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-8.3</w:t>
            </w:r>
          </w:p>
        </w:tc>
        <w:tc>
          <w:tcPr>
            <w:tcW w:w="850" w:type="dxa"/>
            <w:shd w:val="clear" w:color="auto" w:fill="auto"/>
            <w:tcMar>
              <w:top w:w="0" w:type="dxa"/>
              <w:left w:w="108" w:type="dxa"/>
              <w:bottom w:w="0" w:type="dxa"/>
              <w:right w:w="108" w:type="dxa"/>
            </w:tcMar>
          </w:tcPr>
          <w:p w14:paraId="26C4F3D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-3.3</w:t>
            </w:r>
          </w:p>
        </w:tc>
        <w:tc>
          <w:tcPr>
            <w:tcW w:w="885" w:type="dxa"/>
            <w:shd w:val="clear" w:color="auto" w:fill="auto"/>
            <w:tcMar>
              <w:top w:w="0" w:type="dxa"/>
              <w:left w:w="108" w:type="dxa"/>
              <w:bottom w:w="0" w:type="dxa"/>
              <w:right w:w="108" w:type="dxa"/>
            </w:tcMar>
          </w:tcPr>
          <w:p w14:paraId="6CCA2A2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6CFC4B62" w14:textId="77777777" w:rsidTr="00492095">
        <w:tc>
          <w:tcPr>
            <w:tcW w:w="2694" w:type="dxa"/>
            <w:gridSpan w:val="2"/>
            <w:shd w:val="clear" w:color="auto" w:fill="auto"/>
            <w:tcMar>
              <w:top w:w="0" w:type="dxa"/>
              <w:left w:w="108" w:type="dxa"/>
              <w:bottom w:w="0" w:type="dxa"/>
              <w:right w:w="108" w:type="dxa"/>
            </w:tcMar>
          </w:tcPr>
          <w:p w14:paraId="43388CC9"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Northern Ireland 15-17</w:t>
            </w:r>
          </w:p>
        </w:tc>
        <w:tc>
          <w:tcPr>
            <w:tcW w:w="958" w:type="dxa"/>
            <w:shd w:val="clear" w:color="auto" w:fill="auto"/>
            <w:tcMar>
              <w:top w:w="0" w:type="dxa"/>
              <w:left w:w="108" w:type="dxa"/>
              <w:bottom w:w="0" w:type="dxa"/>
              <w:right w:w="108" w:type="dxa"/>
            </w:tcMar>
          </w:tcPr>
          <w:p w14:paraId="6B7DE4D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-10.5</w:t>
            </w:r>
          </w:p>
        </w:tc>
        <w:tc>
          <w:tcPr>
            <w:tcW w:w="709" w:type="dxa"/>
            <w:gridSpan w:val="2"/>
            <w:shd w:val="clear" w:color="auto" w:fill="auto"/>
            <w:tcMar>
              <w:top w:w="0" w:type="dxa"/>
              <w:left w:w="108" w:type="dxa"/>
              <w:bottom w:w="0" w:type="dxa"/>
              <w:right w:w="108" w:type="dxa"/>
            </w:tcMar>
          </w:tcPr>
          <w:p w14:paraId="57C0120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1.6</w:t>
            </w:r>
          </w:p>
        </w:tc>
        <w:tc>
          <w:tcPr>
            <w:tcW w:w="709" w:type="dxa"/>
            <w:shd w:val="clear" w:color="auto" w:fill="auto"/>
            <w:tcMar>
              <w:top w:w="0" w:type="dxa"/>
              <w:left w:w="108" w:type="dxa"/>
              <w:bottom w:w="0" w:type="dxa"/>
              <w:right w:w="108" w:type="dxa"/>
            </w:tcMar>
          </w:tcPr>
          <w:p w14:paraId="7E81346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-6.6</w:t>
            </w:r>
          </w:p>
        </w:tc>
        <w:tc>
          <w:tcPr>
            <w:tcW w:w="738" w:type="dxa"/>
            <w:shd w:val="clear" w:color="auto" w:fill="auto"/>
            <w:tcMar>
              <w:top w:w="0" w:type="dxa"/>
              <w:left w:w="108" w:type="dxa"/>
              <w:bottom w:w="0" w:type="dxa"/>
              <w:right w:w="108" w:type="dxa"/>
            </w:tcMar>
          </w:tcPr>
          <w:p w14:paraId="3DC3DEF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1E4D35F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-13.6</w:t>
            </w:r>
          </w:p>
        </w:tc>
        <w:tc>
          <w:tcPr>
            <w:tcW w:w="850" w:type="dxa"/>
            <w:shd w:val="clear" w:color="auto" w:fill="auto"/>
            <w:tcMar>
              <w:top w:w="0" w:type="dxa"/>
              <w:left w:w="108" w:type="dxa"/>
              <w:bottom w:w="0" w:type="dxa"/>
              <w:right w:w="108" w:type="dxa"/>
            </w:tcMar>
          </w:tcPr>
          <w:p w14:paraId="131B4FB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-7.4</w:t>
            </w:r>
          </w:p>
        </w:tc>
        <w:tc>
          <w:tcPr>
            <w:tcW w:w="885" w:type="dxa"/>
            <w:shd w:val="clear" w:color="auto" w:fill="auto"/>
            <w:tcMar>
              <w:top w:w="0" w:type="dxa"/>
              <w:left w:w="108" w:type="dxa"/>
              <w:bottom w:w="0" w:type="dxa"/>
              <w:right w:w="108" w:type="dxa"/>
            </w:tcMar>
          </w:tcPr>
          <w:p w14:paraId="19CD1DC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3DD65C79" w14:textId="77777777" w:rsidTr="00492095">
        <w:tc>
          <w:tcPr>
            <w:tcW w:w="2694" w:type="dxa"/>
            <w:gridSpan w:val="2"/>
            <w:shd w:val="clear" w:color="auto" w:fill="auto"/>
            <w:tcMar>
              <w:top w:w="0" w:type="dxa"/>
              <w:left w:w="108" w:type="dxa"/>
              <w:bottom w:w="0" w:type="dxa"/>
              <w:right w:w="108" w:type="dxa"/>
            </w:tcMar>
          </w:tcPr>
          <w:p w14:paraId="25E4E49E"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Tyne and Wear 05-07</w:t>
            </w:r>
          </w:p>
        </w:tc>
        <w:tc>
          <w:tcPr>
            <w:tcW w:w="958" w:type="dxa"/>
            <w:shd w:val="clear" w:color="auto" w:fill="auto"/>
            <w:tcMar>
              <w:top w:w="0" w:type="dxa"/>
              <w:left w:w="108" w:type="dxa"/>
              <w:bottom w:w="0" w:type="dxa"/>
              <w:right w:w="108" w:type="dxa"/>
            </w:tcMar>
          </w:tcPr>
          <w:p w14:paraId="5923382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-3.9</w:t>
            </w:r>
          </w:p>
        </w:tc>
        <w:tc>
          <w:tcPr>
            <w:tcW w:w="709" w:type="dxa"/>
            <w:gridSpan w:val="2"/>
            <w:shd w:val="clear" w:color="auto" w:fill="auto"/>
            <w:tcMar>
              <w:top w:w="0" w:type="dxa"/>
              <w:left w:w="108" w:type="dxa"/>
              <w:bottom w:w="0" w:type="dxa"/>
              <w:right w:w="108" w:type="dxa"/>
            </w:tcMar>
          </w:tcPr>
          <w:p w14:paraId="372EC15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1.6</w:t>
            </w:r>
          </w:p>
        </w:tc>
        <w:tc>
          <w:tcPr>
            <w:tcW w:w="709" w:type="dxa"/>
            <w:shd w:val="clear" w:color="auto" w:fill="auto"/>
            <w:tcMar>
              <w:top w:w="0" w:type="dxa"/>
              <w:left w:w="108" w:type="dxa"/>
              <w:bottom w:w="0" w:type="dxa"/>
              <w:right w:w="108" w:type="dxa"/>
            </w:tcMar>
          </w:tcPr>
          <w:p w14:paraId="17BCA3F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-2.5</w:t>
            </w:r>
          </w:p>
        </w:tc>
        <w:tc>
          <w:tcPr>
            <w:tcW w:w="738" w:type="dxa"/>
            <w:shd w:val="clear" w:color="auto" w:fill="auto"/>
            <w:tcMar>
              <w:top w:w="0" w:type="dxa"/>
              <w:left w:w="108" w:type="dxa"/>
              <w:bottom w:w="0" w:type="dxa"/>
              <w:right w:w="108" w:type="dxa"/>
            </w:tcMar>
          </w:tcPr>
          <w:p w14:paraId="3AEA0CE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.012</w:t>
            </w:r>
          </w:p>
        </w:tc>
        <w:tc>
          <w:tcPr>
            <w:tcW w:w="821" w:type="dxa"/>
            <w:gridSpan w:val="2"/>
            <w:shd w:val="clear" w:color="auto" w:fill="auto"/>
            <w:tcMar>
              <w:top w:w="0" w:type="dxa"/>
              <w:left w:w="108" w:type="dxa"/>
              <w:bottom w:w="0" w:type="dxa"/>
              <w:right w:w="108" w:type="dxa"/>
            </w:tcMar>
          </w:tcPr>
          <w:p w14:paraId="3FFD9DC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-7.0</w:t>
            </w:r>
          </w:p>
        </w:tc>
        <w:tc>
          <w:tcPr>
            <w:tcW w:w="850" w:type="dxa"/>
            <w:shd w:val="clear" w:color="auto" w:fill="auto"/>
            <w:tcMar>
              <w:top w:w="0" w:type="dxa"/>
              <w:left w:w="108" w:type="dxa"/>
              <w:bottom w:w="0" w:type="dxa"/>
              <w:right w:w="108" w:type="dxa"/>
            </w:tcMar>
          </w:tcPr>
          <w:p w14:paraId="7F9BE84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-0.9</w:t>
            </w:r>
          </w:p>
        </w:tc>
        <w:tc>
          <w:tcPr>
            <w:tcW w:w="885" w:type="dxa"/>
            <w:shd w:val="clear" w:color="auto" w:fill="auto"/>
            <w:tcMar>
              <w:top w:w="0" w:type="dxa"/>
              <w:left w:w="108" w:type="dxa"/>
              <w:bottom w:w="0" w:type="dxa"/>
              <w:right w:w="108" w:type="dxa"/>
            </w:tcMar>
          </w:tcPr>
          <w:p w14:paraId="1B2A38E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09EEF644" w14:textId="77777777" w:rsidTr="00492095">
        <w:tc>
          <w:tcPr>
            <w:tcW w:w="2694" w:type="dxa"/>
            <w:gridSpan w:val="2"/>
            <w:shd w:val="clear" w:color="auto" w:fill="auto"/>
            <w:tcMar>
              <w:top w:w="0" w:type="dxa"/>
              <w:left w:w="108" w:type="dxa"/>
              <w:bottom w:w="0" w:type="dxa"/>
              <w:right w:w="108" w:type="dxa"/>
            </w:tcMar>
          </w:tcPr>
          <w:p w14:paraId="63A66446"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Tyne and Wear 15-17</w:t>
            </w:r>
          </w:p>
        </w:tc>
        <w:tc>
          <w:tcPr>
            <w:tcW w:w="958" w:type="dxa"/>
            <w:shd w:val="clear" w:color="auto" w:fill="auto"/>
            <w:tcMar>
              <w:top w:w="0" w:type="dxa"/>
              <w:left w:w="108" w:type="dxa"/>
              <w:bottom w:w="0" w:type="dxa"/>
              <w:right w:w="108" w:type="dxa"/>
            </w:tcMar>
          </w:tcPr>
          <w:p w14:paraId="0161B4D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-6.1</w:t>
            </w:r>
          </w:p>
        </w:tc>
        <w:tc>
          <w:tcPr>
            <w:tcW w:w="709" w:type="dxa"/>
            <w:gridSpan w:val="2"/>
            <w:shd w:val="clear" w:color="auto" w:fill="auto"/>
            <w:tcMar>
              <w:top w:w="0" w:type="dxa"/>
              <w:left w:w="108" w:type="dxa"/>
              <w:bottom w:w="0" w:type="dxa"/>
              <w:right w:w="108" w:type="dxa"/>
            </w:tcMar>
          </w:tcPr>
          <w:p w14:paraId="1C64373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1.7</w:t>
            </w:r>
          </w:p>
        </w:tc>
        <w:tc>
          <w:tcPr>
            <w:tcW w:w="709" w:type="dxa"/>
            <w:shd w:val="clear" w:color="auto" w:fill="auto"/>
            <w:tcMar>
              <w:top w:w="0" w:type="dxa"/>
              <w:left w:w="108" w:type="dxa"/>
              <w:bottom w:w="0" w:type="dxa"/>
              <w:right w:w="108" w:type="dxa"/>
            </w:tcMar>
          </w:tcPr>
          <w:p w14:paraId="4BA5E90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-3.6</w:t>
            </w:r>
          </w:p>
        </w:tc>
        <w:tc>
          <w:tcPr>
            <w:tcW w:w="738" w:type="dxa"/>
            <w:shd w:val="clear" w:color="auto" w:fill="auto"/>
            <w:tcMar>
              <w:top w:w="0" w:type="dxa"/>
              <w:left w:w="108" w:type="dxa"/>
              <w:bottom w:w="0" w:type="dxa"/>
              <w:right w:w="108" w:type="dxa"/>
            </w:tcMar>
          </w:tcPr>
          <w:p w14:paraId="36EAA16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623ED05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-9.6</w:t>
            </w:r>
          </w:p>
        </w:tc>
        <w:tc>
          <w:tcPr>
            <w:tcW w:w="850" w:type="dxa"/>
            <w:shd w:val="clear" w:color="auto" w:fill="auto"/>
            <w:tcMar>
              <w:top w:w="0" w:type="dxa"/>
              <w:left w:w="108" w:type="dxa"/>
              <w:bottom w:w="0" w:type="dxa"/>
              <w:right w:w="108" w:type="dxa"/>
            </w:tcMar>
          </w:tcPr>
          <w:p w14:paraId="1ECCB23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-2.8</w:t>
            </w:r>
          </w:p>
        </w:tc>
        <w:tc>
          <w:tcPr>
            <w:tcW w:w="885" w:type="dxa"/>
            <w:shd w:val="clear" w:color="auto" w:fill="auto"/>
            <w:tcMar>
              <w:top w:w="0" w:type="dxa"/>
              <w:left w:w="108" w:type="dxa"/>
              <w:bottom w:w="0" w:type="dxa"/>
              <w:right w:w="108" w:type="dxa"/>
            </w:tcMar>
          </w:tcPr>
          <w:p w14:paraId="2DDCC7E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1E9C0661" w14:textId="77777777" w:rsidTr="00492095">
        <w:tc>
          <w:tcPr>
            <w:tcW w:w="2694" w:type="dxa"/>
            <w:gridSpan w:val="2"/>
            <w:shd w:val="clear" w:color="auto" w:fill="auto"/>
            <w:tcMar>
              <w:top w:w="0" w:type="dxa"/>
              <w:left w:w="108" w:type="dxa"/>
              <w:bottom w:w="0" w:type="dxa"/>
              <w:right w:w="108" w:type="dxa"/>
            </w:tcMar>
          </w:tcPr>
          <w:p w14:paraId="2F6A4B65"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South Yorkshire 05-07</w:t>
            </w:r>
          </w:p>
        </w:tc>
        <w:tc>
          <w:tcPr>
            <w:tcW w:w="958" w:type="dxa"/>
            <w:shd w:val="clear" w:color="auto" w:fill="auto"/>
            <w:tcMar>
              <w:top w:w="0" w:type="dxa"/>
              <w:left w:w="108" w:type="dxa"/>
              <w:bottom w:w="0" w:type="dxa"/>
              <w:right w:w="108" w:type="dxa"/>
            </w:tcMar>
          </w:tcPr>
          <w:p w14:paraId="1BDB407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-5.4</w:t>
            </w:r>
          </w:p>
        </w:tc>
        <w:tc>
          <w:tcPr>
            <w:tcW w:w="709" w:type="dxa"/>
            <w:gridSpan w:val="2"/>
            <w:shd w:val="clear" w:color="auto" w:fill="auto"/>
            <w:tcMar>
              <w:top w:w="0" w:type="dxa"/>
              <w:left w:w="108" w:type="dxa"/>
              <w:bottom w:w="0" w:type="dxa"/>
              <w:right w:w="108" w:type="dxa"/>
            </w:tcMar>
          </w:tcPr>
          <w:p w14:paraId="4545598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1.5</w:t>
            </w:r>
          </w:p>
        </w:tc>
        <w:tc>
          <w:tcPr>
            <w:tcW w:w="709" w:type="dxa"/>
            <w:shd w:val="clear" w:color="auto" w:fill="auto"/>
            <w:tcMar>
              <w:top w:w="0" w:type="dxa"/>
              <w:left w:w="108" w:type="dxa"/>
              <w:bottom w:w="0" w:type="dxa"/>
              <w:right w:w="108" w:type="dxa"/>
            </w:tcMar>
          </w:tcPr>
          <w:p w14:paraId="1088FF7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-3.6</w:t>
            </w:r>
          </w:p>
        </w:tc>
        <w:tc>
          <w:tcPr>
            <w:tcW w:w="738" w:type="dxa"/>
            <w:shd w:val="clear" w:color="auto" w:fill="auto"/>
            <w:tcMar>
              <w:top w:w="0" w:type="dxa"/>
              <w:left w:w="108" w:type="dxa"/>
              <w:bottom w:w="0" w:type="dxa"/>
              <w:right w:w="108" w:type="dxa"/>
            </w:tcMar>
          </w:tcPr>
          <w:p w14:paraId="72BC52A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3DBB271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-8.4</w:t>
            </w:r>
          </w:p>
        </w:tc>
        <w:tc>
          <w:tcPr>
            <w:tcW w:w="850" w:type="dxa"/>
            <w:shd w:val="clear" w:color="auto" w:fill="auto"/>
            <w:tcMar>
              <w:top w:w="0" w:type="dxa"/>
              <w:left w:w="108" w:type="dxa"/>
              <w:bottom w:w="0" w:type="dxa"/>
              <w:right w:w="108" w:type="dxa"/>
            </w:tcMar>
          </w:tcPr>
          <w:p w14:paraId="4FD731C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-2.5</w:t>
            </w:r>
          </w:p>
        </w:tc>
        <w:tc>
          <w:tcPr>
            <w:tcW w:w="885" w:type="dxa"/>
            <w:shd w:val="clear" w:color="auto" w:fill="auto"/>
            <w:tcMar>
              <w:top w:w="0" w:type="dxa"/>
              <w:left w:w="108" w:type="dxa"/>
              <w:bottom w:w="0" w:type="dxa"/>
              <w:right w:w="108" w:type="dxa"/>
            </w:tcMar>
          </w:tcPr>
          <w:p w14:paraId="0D9EC29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619B69AD" w14:textId="77777777" w:rsidTr="00492095">
        <w:tc>
          <w:tcPr>
            <w:tcW w:w="2694" w:type="dxa"/>
            <w:gridSpan w:val="2"/>
            <w:shd w:val="clear" w:color="auto" w:fill="auto"/>
            <w:tcMar>
              <w:top w:w="0" w:type="dxa"/>
              <w:left w:w="108" w:type="dxa"/>
              <w:bottom w:w="0" w:type="dxa"/>
              <w:right w:w="108" w:type="dxa"/>
            </w:tcMar>
          </w:tcPr>
          <w:p w14:paraId="62AD83D0"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South Yorkshire 15-17</w:t>
            </w:r>
          </w:p>
        </w:tc>
        <w:tc>
          <w:tcPr>
            <w:tcW w:w="958" w:type="dxa"/>
            <w:shd w:val="clear" w:color="auto" w:fill="auto"/>
            <w:tcMar>
              <w:top w:w="0" w:type="dxa"/>
              <w:left w:w="108" w:type="dxa"/>
              <w:bottom w:w="0" w:type="dxa"/>
              <w:right w:w="108" w:type="dxa"/>
            </w:tcMar>
          </w:tcPr>
          <w:p w14:paraId="35A6B4D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-5.1</w:t>
            </w:r>
          </w:p>
        </w:tc>
        <w:tc>
          <w:tcPr>
            <w:tcW w:w="709" w:type="dxa"/>
            <w:gridSpan w:val="2"/>
            <w:shd w:val="clear" w:color="auto" w:fill="auto"/>
            <w:tcMar>
              <w:top w:w="0" w:type="dxa"/>
              <w:left w:w="108" w:type="dxa"/>
              <w:bottom w:w="0" w:type="dxa"/>
              <w:right w:w="108" w:type="dxa"/>
            </w:tcMar>
          </w:tcPr>
          <w:p w14:paraId="577402E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1.6</w:t>
            </w:r>
          </w:p>
        </w:tc>
        <w:tc>
          <w:tcPr>
            <w:tcW w:w="709" w:type="dxa"/>
            <w:shd w:val="clear" w:color="auto" w:fill="auto"/>
            <w:tcMar>
              <w:top w:w="0" w:type="dxa"/>
              <w:left w:w="108" w:type="dxa"/>
              <w:bottom w:w="0" w:type="dxa"/>
              <w:right w:w="108" w:type="dxa"/>
            </w:tcMar>
          </w:tcPr>
          <w:p w14:paraId="18A13D1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-3.2</w:t>
            </w:r>
          </w:p>
        </w:tc>
        <w:tc>
          <w:tcPr>
            <w:tcW w:w="738" w:type="dxa"/>
            <w:shd w:val="clear" w:color="auto" w:fill="auto"/>
            <w:tcMar>
              <w:top w:w="0" w:type="dxa"/>
              <w:left w:w="108" w:type="dxa"/>
              <w:bottom w:w="0" w:type="dxa"/>
              <w:right w:w="108" w:type="dxa"/>
            </w:tcMar>
          </w:tcPr>
          <w:p w14:paraId="7CB1E3B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.001</w:t>
            </w:r>
          </w:p>
        </w:tc>
        <w:tc>
          <w:tcPr>
            <w:tcW w:w="821" w:type="dxa"/>
            <w:gridSpan w:val="2"/>
            <w:shd w:val="clear" w:color="auto" w:fill="auto"/>
            <w:tcMar>
              <w:top w:w="0" w:type="dxa"/>
              <w:left w:w="108" w:type="dxa"/>
              <w:bottom w:w="0" w:type="dxa"/>
              <w:right w:w="108" w:type="dxa"/>
            </w:tcMar>
          </w:tcPr>
          <w:p w14:paraId="4F79B21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-8.2</w:t>
            </w:r>
          </w:p>
        </w:tc>
        <w:tc>
          <w:tcPr>
            <w:tcW w:w="850" w:type="dxa"/>
            <w:shd w:val="clear" w:color="auto" w:fill="auto"/>
            <w:tcMar>
              <w:top w:w="0" w:type="dxa"/>
              <w:left w:w="108" w:type="dxa"/>
              <w:bottom w:w="0" w:type="dxa"/>
              <w:right w:w="108" w:type="dxa"/>
            </w:tcMar>
          </w:tcPr>
          <w:p w14:paraId="0AB197F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-2.0</w:t>
            </w:r>
          </w:p>
        </w:tc>
        <w:tc>
          <w:tcPr>
            <w:tcW w:w="885" w:type="dxa"/>
            <w:shd w:val="clear" w:color="auto" w:fill="auto"/>
            <w:tcMar>
              <w:top w:w="0" w:type="dxa"/>
              <w:left w:w="108" w:type="dxa"/>
              <w:bottom w:w="0" w:type="dxa"/>
              <w:right w:w="108" w:type="dxa"/>
            </w:tcMar>
          </w:tcPr>
          <w:p w14:paraId="5A1E908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630DE574" w14:textId="77777777" w:rsidTr="00492095">
        <w:tc>
          <w:tcPr>
            <w:tcW w:w="2694" w:type="dxa"/>
            <w:gridSpan w:val="2"/>
            <w:shd w:val="clear" w:color="auto" w:fill="auto"/>
            <w:tcMar>
              <w:top w:w="0" w:type="dxa"/>
              <w:left w:w="108" w:type="dxa"/>
              <w:bottom w:w="0" w:type="dxa"/>
              <w:right w:w="108" w:type="dxa"/>
            </w:tcMar>
          </w:tcPr>
          <w:p w14:paraId="2231FB80"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Wales 05-07</w:t>
            </w:r>
          </w:p>
        </w:tc>
        <w:tc>
          <w:tcPr>
            <w:tcW w:w="958" w:type="dxa"/>
            <w:shd w:val="clear" w:color="auto" w:fill="auto"/>
            <w:tcMar>
              <w:top w:w="0" w:type="dxa"/>
              <w:left w:w="108" w:type="dxa"/>
              <w:bottom w:w="0" w:type="dxa"/>
              <w:right w:w="108" w:type="dxa"/>
            </w:tcMar>
          </w:tcPr>
          <w:p w14:paraId="728A155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-6.1</w:t>
            </w:r>
          </w:p>
        </w:tc>
        <w:tc>
          <w:tcPr>
            <w:tcW w:w="709" w:type="dxa"/>
            <w:gridSpan w:val="2"/>
            <w:shd w:val="clear" w:color="auto" w:fill="auto"/>
            <w:tcMar>
              <w:top w:w="0" w:type="dxa"/>
              <w:left w:w="108" w:type="dxa"/>
              <w:bottom w:w="0" w:type="dxa"/>
              <w:right w:w="108" w:type="dxa"/>
            </w:tcMar>
          </w:tcPr>
          <w:p w14:paraId="3660D0F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3B3E70D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-5.0</w:t>
            </w:r>
          </w:p>
        </w:tc>
        <w:tc>
          <w:tcPr>
            <w:tcW w:w="738" w:type="dxa"/>
            <w:shd w:val="clear" w:color="auto" w:fill="auto"/>
            <w:tcMar>
              <w:top w:w="0" w:type="dxa"/>
              <w:left w:w="108" w:type="dxa"/>
              <w:bottom w:w="0" w:type="dxa"/>
              <w:right w:w="108" w:type="dxa"/>
            </w:tcMar>
          </w:tcPr>
          <w:p w14:paraId="657B0C3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3C918C3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-8.5</w:t>
            </w:r>
          </w:p>
        </w:tc>
        <w:tc>
          <w:tcPr>
            <w:tcW w:w="850" w:type="dxa"/>
            <w:shd w:val="clear" w:color="auto" w:fill="auto"/>
            <w:tcMar>
              <w:top w:w="0" w:type="dxa"/>
              <w:left w:w="108" w:type="dxa"/>
              <w:bottom w:w="0" w:type="dxa"/>
              <w:right w:w="108" w:type="dxa"/>
            </w:tcMar>
          </w:tcPr>
          <w:p w14:paraId="36BC6D0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-3.7</w:t>
            </w:r>
          </w:p>
        </w:tc>
        <w:tc>
          <w:tcPr>
            <w:tcW w:w="885" w:type="dxa"/>
            <w:shd w:val="clear" w:color="auto" w:fill="auto"/>
            <w:tcMar>
              <w:top w:w="0" w:type="dxa"/>
              <w:left w:w="108" w:type="dxa"/>
              <w:bottom w:w="0" w:type="dxa"/>
              <w:right w:w="108" w:type="dxa"/>
            </w:tcMar>
          </w:tcPr>
          <w:p w14:paraId="75AF599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6B5B2088" w14:textId="77777777" w:rsidTr="00492095">
        <w:tc>
          <w:tcPr>
            <w:tcW w:w="2694" w:type="dxa"/>
            <w:gridSpan w:val="2"/>
            <w:shd w:val="clear" w:color="auto" w:fill="auto"/>
            <w:tcMar>
              <w:top w:w="0" w:type="dxa"/>
              <w:left w:w="108" w:type="dxa"/>
              <w:bottom w:w="0" w:type="dxa"/>
              <w:right w:w="108" w:type="dxa"/>
            </w:tcMar>
          </w:tcPr>
          <w:p w14:paraId="27287214"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Wales 15-17</w:t>
            </w:r>
          </w:p>
        </w:tc>
        <w:tc>
          <w:tcPr>
            <w:tcW w:w="958" w:type="dxa"/>
            <w:shd w:val="clear" w:color="auto" w:fill="auto"/>
            <w:tcMar>
              <w:top w:w="0" w:type="dxa"/>
              <w:left w:w="108" w:type="dxa"/>
              <w:bottom w:w="0" w:type="dxa"/>
              <w:right w:w="108" w:type="dxa"/>
            </w:tcMar>
          </w:tcPr>
          <w:p w14:paraId="55AD220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-6.2</w:t>
            </w:r>
          </w:p>
        </w:tc>
        <w:tc>
          <w:tcPr>
            <w:tcW w:w="709" w:type="dxa"/>
            <w:gridSpan w:val="2"/>
            <w:shd w:val="clear" w:color="auto" w:fill="auto"/>
            <w:tcMar>
              <w:top w:w="0" w:type="dxa"/>
              <w:left w:w="108" w:type="dxa"/>
              <w:bottom w:w="0" w:type="dxa"/>
              <w:right w:w="108" w:type="dxa"/>
            </w:tcMar>
          </w:tcPr>
          <w:p w14:paraId="6E008D8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2641C24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-4.7</w:t>
            </w:r>
          </w:p>
        </w:tc>
        <w:tc>
          <w:tcPr>
            <w:tcW w:w="738" w:type="dxa"/>
            <w:shd w:val="clear" w:color="auto" w:fill="auto"/>
            <w:tcMar>
              <w:top w:w="0" w:type="dxa"/>
              <w:left w:w="108" w:type="dxa"/>
              <w:bottom w:w="0" w:type="dxa"/>
              <w:right w:w="108" w:type="dxa"/>
            </w:tcMar>
          </w:tcPr>
          <w:p w14:paraId="43C779B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5694F30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-8.7</w:t>
            </w:r>
          </w:p>
        </w:tc>
        <w:tc>
          <w:tcPr>
            <w:tcW w:w="850" w:type="dxa"/>
            <w:shd w:val="clear" w:color="auto" w:fill="auto"/>
            <w:tcMar>
              <w:top w:w="0" w:type="dxa"/>
              <w:left w:w="108" w:type="dxa"/>
              <w:bottom w:w="0" w:type="dxa"/>
              <w:right w:w="108" w:type="dxa"/>
            </w:tcMar>
          </w:tcPr>
          <w:p w14:paraId="2B3BA74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-3.6</w:t>
            </w:r>
          </w:p>
        </w:tc>
        <w:tc>
          <w:tcPr>
            <w:tcW w:w="885" w:type="dxa"/>
            <w:shd w:val="clear" w:color="auto" w:fill="auto"/>
            <w:tcMar>
              <w:top w:w="0" w:type="dxa"/>
              <w:left w:w="108" w:type="dxa"/>
              <w:bottom w:w="0" w:type="dxa"/>
              <w:right w:w="108" w:type="dxa"/>
            </w:tcMar>
          </w:tcPr>
          <w:p w14:paraId="2A8C81C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4EBACC73" w14:textId="77777777" w:rsidTr="00492095">
        <w:tc>
          <w:tcPr>
            <w:tcW w:w="2694" w:type="dxa"/>
            <w:gridSpan w:val="2"/>
            <w:shd w:val="clear" w:color="auto" w:fill="auto"/>
            <w:tcMar>
              <w:top w:w="0" w:type="dxa"/>
              <w:left w:w="108" w:type="dxa"/>
              <w:bottom w:w="0" w:type="dxa"/>
              <w:right w:w="108" w:type="dxa"/>
            </w:tcMar>
          </w:tcPr>
          <w:p w14:paraId="21FBE391"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Merseyside 05-07</w:t>
            </w:r>
          </w:p>
        </w:tc>
        <w:tc>
          <w:tcPr>
            <w:tcW w:w="958" w:type="dxa"/>
            <w:shd w:val="clear" w:color="auto" w:fill="auto"/>
            <w:tcMar>
              <w:top w:w="0" w:type="dxa"/>
              <w:left w:w="108" w:type="dxa"/>
              <w:bottom w:w="0" w:type="dxa"/>
              <w:right w:w="108" w:type="dxa"/>
            </w:tcMar>
          </w:tcPr>
          <w:p w14:paraId="5755E35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-4.7</w:t>
            </w:r>
          </w:p>
        </w:tc>
        <w:tc>
          <w:tcPr>
            <w:tcW w:w="709" w:type="dxa"/>
            <w:gridSpan w:val="2"/>
            <w:shd w:val="clear" w:color="auto" w:fill="auto"/>
            <w:tcMar>
              <w:top w:w="0" w:type="dxa"/>
              <w:left w:w="108" w:type="dxa"/>
              <w:bottom w:w="0" w:type="dxa"/>
              <w:right w:w="108" w:type="dxa"/>
            </w:tcMar>
          </w:tcPr>
          <w:p w14:paraId="14FFDDF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36F2561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-3.3</w:t>
            </w:r>
          </w:p>
        </w:tc>
        <w:tc>
          <w:tcPr>
            <w:tcW w:w="738" w:type="dxa"/>
            <w:shd w:val="clear" w:color="auto" w:fill="auto"/>
            <w:tcMar>
              <w:top w:w="0" w:type="dxa"/>
              <w:left w:w="108" w:type="dxa"/>
              <w:bottom w:w="0" w:type="dxa"/>
              <w:right w:w="108" w:type="dxa"/>
            </w:tcMar>
          </w:tcPr>
          <w:p w14:paraId="09DEA88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.001</w:t>
            </w:r>
          </w:p>
        </w:tc>
        <w:tc>
          <w:tcPr>
            <w:tcW w:w="821" w:type="dxa"/>
            <w:gridSpan w:val="2"/>
            <w:shd w:val="clear" w:color="auto" w:fill="auto"/>
            <w:tcMar>
              <w:top w:w="0" w:type="dxa"/>
              <w:left w:w="108" w:type="dxa"/>
              <w:bottom w:w="0" w:type="dxa"/>
              <w:right w:w="108" w:type="dxa"/>
            </w:tcMar>
          </w:tcPr>
          <w:p w14:paraId="3DF2E3A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-7.4</w:t>
            </w:r>
          </w:p>
        </w:tc>
        <w:tc>
          <w:tcPr>
            <w:tcW w:w="850" w:type="dxa"/>
            <w:shd w:val="clear" w:color="auto" w:fill="auto"/>
            <w:tcMar>
              <w:top w:w="0" w:type="dxa"/>
              <w:left w:w="108" w:type="dxa"/>
              <w:bottom w:w="0" w:type="dxa"/>
              <w:right w:w="108" w:type="dxa"/>
            </w:tcMar>
          </w:tcPr>
          <w:p w14:paraId="2A15785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-1.9</w:t>
            </w:r>
          </w:p>
        </w:tc>
        <w:tc>
          <w:tcPr>
            <w:tcW w:w="885" w:type="dxa"/>
            <w:shd w:val="clear" w:color="auto" w:fill="auto"/>
            <w:tcMar>
              <w:top w:w="0" w:type="dxa"/>
              <w:left w:w="108" w:type="dxa"/>
              <w:bottom w:w="0" w:type="dxa"/>
              <w:right w:w="108" w:type="dxa"/>
            </w:tcMar>
          </w:tcPr>
          <w:p w14:paraId="14B7155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65C07441" w14:textId="77777777" w:rsidTr="00492095">
        <w:tc>
          <w:tcPr>
            <w:tcW w:w="2694" w:type="dxa"/>
            <w:gridSpan w:val="2"/>
            <w:shd w:val="clear" w:color="auto" w:fill="auto"/>
            <w:tcMar>
              <w:top w:w="0" w:type="dxa"/>
              <w:left w:w="108" w:type="dxa"/>
              <w:bottom w:w="0" w:type="dxa"/>
              <w:right w:w="108" w:type="dxa"/>
            </w:tcMar>
          </w:tcPr>
          <w:p w14:paraId="6F423ECD"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Merseyside 15-17</w:t>
            </w:r>
          </w:p>
        </w:tc>
        <w:tc>
          <w:tcPr>
            <w:tcW w:w="958" w:type="dxa"/>
            <w:shd w:val="clear" w:color="auto" w:fill="auto"/>
            <w:tcMar>
              <w:top w:w="0" w:type="dxa"/>
              <w:left w:w="108" w:type="dxa"/>
              <w:bottom w:w="0" w:type="dxa"/>
              <w:right w:w="108" w:type="dxa"/>
            </w:tcMar>
          </w:tcPr>
          <w:p w14:paraId="5B70354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-7.2</w:t>
            </w:r>
          </w:p>
        </w:tc>
        <w:tc>
          <w:tcPr>
            <w:tcW w:w="709" w:type="dxa"/>
            <w:gridSpan w:val="2"/>
            <w:shd w:val="clear" w:color="auto" w:fill="auto"/>
            <w:tcMar>
              <w:top w:w="0" w:type="dxa"/>
              <w:left w:w="108" w:type="dxa"/>
              <w:bottom w:w="0" w:type="dxa"/>
              <w:right w:w="108" w:type="dxa"/>
            </w:tcMar>
          </w:tcPr>
          <w:p w14:paraId="7AB9F4D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2.0</w:t>
            </w:r>
          </w:p>
        </w:tc>
        <w:tc>
          <w:tcPr>
            <w:tcW w:w="709" w:type="dxa"/>
            <w:shd w:val="clear" w:color="auto" w:fill="auto"/>
            <w:tcMar>
              <w:top w:w="0" w:type="dxa"/>
              <w:left w:w="108" w:type="dxa"/>
              <w:bottom w:w="0" w:type="dxa"/>
              <w:right w:w="108" w:type="dxa"/>
            </w:tcMar>
          </w:tcPr>
          <w:p w14:paraId="4AF2871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-3.6</w:t>
            </w:r>
          </w:p>
        </w:tc>
        <w:tc>
          <w:tcPr>
            <w:tcW w:w="738" w:type="dxa"/>
            <w:shd w:val="clear" w:color="auto" w:fill="auto"/>
            <w:tcMar>
              <w:top w:w="0" w:type="dxa"/>
              <w:left w:w="108" w:type="dxa"/>
              <w:bottom w:w="0" w:type="dxa"/>
              <w:right w:w="108" w:type="dxa"/>
            </w:tcMar>
          </w:tcPr>
          <w:p w14:paraId="5536479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1E644BF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-11.1</w:t>
            </w:r>
          </w:p>
        </w:tc>
        <w:tc>
          <w:tcPr>
            <w:tcW w:w="850" w:type="dxa"/>
            <w:shd w:val="clear" w:color="auto" w:fill="auto"/>
            <w:tcMar>
              <w:top w:w="0" w:type="dxa"/>
              <w:left w:w="108" w:type="dxa"/>
              <w:bottom w:w="0" w:type="dxa"/>
              <w:right w:w="108" w:type="dxa"/>
            </w:tcMar>
          </w:tcPr>
          <w:p w14:paraId="08C2DE6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-3.2</w:t>
            </w:r>
          </w:p>
        </w:tc>
        <w:tc>
          <w:tcPr>
            <w:tcW w:w="885" w:type="dxa"/>
            <w:shd w:val="clear" w:color="auto" w:fill="auto"/>
            <w:tcMar>
              <w:top w:w="0" w:type="dxa"/>
              <w:left w:w="108" w:type="dxa"/>
              <w:bottom w:w="0" w:type="dxa"/>
              <w:right w:w="108" w:type="dxa"/>
            </w:tcMar>
          </w:tcPr>
          <w:p w14:paraId="36DA0A0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002A8520" w14:textId="77777777" w:rsidTr="00492095">
        <w:tc>
          <w:tcPr>
            <w:tcW w:w="2694" w:type="dxa"/>
            <w:gridSpan w:val="2"/>
            <w:shd w:val="clear" w:color="auto" w:fill="auto"/>
            <w:tcMar>
              <w:top w:w="0" w:type="dxa"/>
              <w:left w:w="108" w:type="dxa"/>
              <w:bottom w:w="0" w:type="dxa"/>
              <w:right w:w="108" w:type="dxa"/>
            </w:tcMar>
          </w:tcPr>
          <w:p w14:paraId="2338D228"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Rest of West Midlands 05-07</w:t>
            </w:r>
          </w:p>
        </w:tc>
        <w:tc>
          <w:tcPr>
            <w:tcW w:w="958" w:type="dxa"/>
            <w:shd w:val="clear" w:color="auto" w:fill="auto"/>
            <w:tcMar>
              <w:top w:w="0" w:type="dxa"/>
              <w:left w:w="108" w:type="dxa"/>
              <w:bottom w:w="0" w:type="dxa"/>
              <w:right w:w="108" w:type="dxa"/>
            </w:tcMar>
          </w:tcPr>
          <w:p w14:paraId="55E31BA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-5.0</w:t>
            </w:r>
          </w:p>
        </w:tc>
        <w:tc>
          <w:tcPr>
            <w:tcW w:w="709" w:type="dxa"/>
            <w:gridSpan w:val="2"/>
            <w:shd w:val="clear" w:color="auto" w:fill="auto"/>
            <w:tcMar>
              <w:top w:w="0" w:type="dxa"/>
              <w:left w:w="108" w:type="dxa"/>
              <w:bottom w:w="0" w:type="dxa"/>
              <w:right w:w="108" w:type="dxa"/>
            </w:tcMar>
          </w:tcPr>
          <w:p w14:paraId="04A7B3D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30AA724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-4.1</w:t>
            </w:r>
          </w:p>
        </w:tc>
        <w:tc>
          <w:tcPr>
            <w:tcW w:w="738" w:type="dxa"/>
            <w:shd w:val="clear" w:color="auto" w:fill="auto"/>
            <w:tcMar>
              <w:top w:w="0" w:type="dxa"/>
              <w:left w:w="108" w:type="dxa"/>
              <w:bottom w:w="0" w:type="dxa"/>
              <w:right w:w="108" w:type="dxa"/>
            </w:tcMar>
          </w:tcPr>
          <w:p w14:paraId="15EFED3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306BE00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-7.5</w:t>
            </w:r>
          </w:p>
        </w:tc>
        <w:tc>
          <w:tcPr>
            <w:tcW w:w="850" w:type="dxa"/>
            <w:shd w:val="clear" w:color="auto" w:fill="auto"/>
            <w:tcMar>
              <w:top w:w="0" w:type="dxa"/>
              <w:left w:w="108" w:type="dxa"/>
              <w:bottom w:w="0" w:type="dxa"/>
              <w:right w:w="108" w:type="dxa"/>
            </w:tcMar>
          </w:tcPr>
          <w:p w14:paraId="357F056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-2.6</w:t>
            </w:r>
          </w:p>
        </w:tc>
        <w:tc>
          <w:tcPr>
            <w:tcW w:w="885" w:type="dxa"/>
            <w:shd w:val="clear" w:color="auto" w:fill="auto"/>
            <w:tcMar>
              <w:top w:w="0" w:type="dxa"/>
              <w:left w:w="108" w:type="dxa"/>
              <w:bottom w:w="0" w:type="dxa"/>
              <w:right w:w="108" w:type="dxa"/>
            </w:tcMar>
          </w:tcPr>
          <w:p w14:paraId="64FE059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2B6A47F8" w14:textId="77777777" w:rsidTr="00492095">
        <w:tc>
          <w:tcPr>
            <w:tcW w:w="2694" w:type="dxa"/>
            <w:gridSpan w:val="2"/>
            <w:shd w:val="clear" w:color="auto" w:fill="auto"/>
            <w:tcMar>
              <w:top w:w="0" w:type="dxa"/>
              <w:left w:w="108" w:type="dxa"/>
              <w:bottom w:w="0" w:type="dxa"/>
              <w:right w:w="108" w:type="dxa"/>
            </w:tcMar>
          </w:tcPr>
          <w:p w14:paraId="7A41C05D"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Rest of West Midlands 15-17</w:t>
            </w:r>
          </w:p>
        </w:tc>
        <w:tc>
          <w:tcPr>
            <w:tcW w:w="958" w:type="dxa"/>
            <w:shd w:val="clear" w:color="auto" w:fill="auto"/>
            <w:tcMar>
              <w:top w:w="0" w:type="dxa"/>
              <w:left w:w="108" w:type="dxa"/>
              <w:bottom w:w="0" w:type="dxa"/>
              <w:right w:w="108" w:type="dxa"/>
            </w:tcMar>
          </w:tcPr>
          <w:p w14:paraId="477DA24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-4.0</w:t>
            </w:r>
          </w:p>
        </w:tc>
        <w:tc>
          <w:tcPr>
            <w:tcW w:w="709" w:type="dxa"/>
            <w:gridSpan w:val="2"/>
            <w:shd w:val="clear" w:color="auto" w:fill="auto"/>
            <w:tcMar>
              <w:top w:w="0" w:type="dxa"/>
              <w:left w:w="108" w:type="dxa"/>
              <w:bottom w:w="0" w:type="dxa"/>
              <w:right w:w="108" w:type="dxa"/>
            </w:tcMar>
          </w:tcPr>
          <w:p w14:paraId="39C754A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2F06B8B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-2.8</w:t>
            </w:r>
          </w:p>
        </w:tc>
        <w:tc>
          <w:tcPr>
            <w:tcW w:w="738" w:type="dxa"/>
            <w:shd w:val="clear" w:color="auto" w:fill="auto"/>
            <w:tcMar>
              <w:top w:w="0" w:type="dxa"/>
              <w:left w:w="108" w:type="dxa"/>
              <w:bottom w:w="0" w:type="dxa"/>
              <w:right w:w="108" w:type="dxa"/>
            </w:tcMar>
          </w:tcPr>
          <w:p w14:paraId="2FE8697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.006</w:t>
            </w:r>
          </w:p>
        </w:tc>
        <w:tc>
          <w:tcPr>
            <w:tcW w:w="821" w:type="dxa"/>
            <w:gridSpan w:val="2"/>
            <w:shd w:val="clear" w:color="auto" w:fill="auto"/>
            <w:tcMar>
              <w:top w:w="0" w:type="dxa"/>
              <w:left w:w="108" w:type="dxa"/>
              <w:bottom w:w="0" w:type="dxa"/>
              <w:right w:w="108" w:type="dxa"/>
            </w:tcMar>
          </w:tcPr>
          <w:p w14:paraId="0221F9A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-6.8</w:t>
            </w:r>
          </w:p>
        </w:tc>
        <w:tc>
          <w:tcPr>
            <w:tcW w:w="850" w:type="dxa"/>
            <w:shd w:val="clear" w:color="auto" w:fill="auto"/>
            <w:tcMar>
              <w:top w:w="0" w:type="dxa"/>
              <w:left w:w="108" w:type="dxa"/>
              <w:bottom w:w="0" w:type="dxa"/>
              <w:right w:w="108" w:type="dxa"/>
            </w:tcMar>
          </w:tcPr>
          <w:p w14:paraId="6C73613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w:t>
            </w:r>
          </w:p>
        </w:tc>
        <w:tc>
          <w:tcPr>
            <w:tcW w:w="885" w:type="dxa"/>
            <w:shd w:val="clear" w:color="auto" w:fill="auto"/>
            <w:tcMar>
              <w:top w:w="0" w:type="dxa"/>
              <w:left w:w="108" w:type="dxa"/>
              <w:bottom w:w="0" w:type="dxa"/>
              <w:right w:w="108" w:type="dxa"/>
            </w:tcMar>
          </w:tcPr>
          <w:p w14:paraId="216499B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02014510" w14:textId="77777777" w:rsidTr="00492095">
        <w:tc>
          <w:tcPr>
            <w:tcW w:w="2694" w:type="dxa"/>
            <w:gridSpan w:val="2"/>
            <w:shd w:val="clear" w:color="auto" w:fill="auto"/>
            <w:tcMar>
              <w:top w:w="0" w:type="dxa"/>
              <w:left w:w="108" w:type="dxa"/>
              <w:bottom w:w="0" w:type="dxa"/>
              <w:right w:w="108" w:type="dxa"/>
            </w:tcMar>
          </w:tcPr>
          <w:p w14:paraId="2757AEF1"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South West 05-07</w:t>
            </w:r>
          </w:p>
        </w:tc>
        <w:tc>
          <w:tcPr>
            <w:tcW w:w="958" w:type="dxa"/>
            <w:shd w:val="clear" w:color="auto" w:fill="auto"/>
            <w:tcMar>
              <w:top w:w="0" w:type="dxa"/>
              <w:left w:w="108" w:type="dxa"/>
              <w:bottom w:w="0" w:type="dxa"/>
              <w:right w:w="108" w:type="dxa"/>
            </w:tcMar>
          </w:tcPr>
          <w:p w14:paraId="69DF0FB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-4.7</w:t>
            </w:r>
          </w:p>
        </w:tc>
        <w:tc>
          <w:tcPr>
            <w:tcW w:w="709" w:type="dxa"/>
            <w:gridSpan w:val="2"/>
            <w:shd w:val="clear" w:color="auto" w:fill="auto"/>
            <w:tcMar>
              <w:top w:w="0" w:type="dxa"/>
              <w:left w:w="108" w:type="dxa"/>
              <w:bottom w:w="0" w:type="dxa"/>
              <w:right w:w="108" w:type="dxa"/>
            </w:tcMar>
          </w:tcPr>
          <w:p w14:paraId="2D6ADA3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1.1</w:t>
            </w:r>
          </w:p>
        </w:tc>
        <w:tc>
          <w:tcPr>
            <w:tcW w:w="709" w:type="dxa"/>
            <w:shd w:val="clear" w:color="auto" w:fill="auto"/>
            <w:tcMar>
              <w:top w:w="0" w:type="dxa"/>
              <w:left w:w="108" w:type="dxa"/>
              <w:bottom w:w="0" w:type="dxa"/>
              <w:right w:w="108" w:type="dxa"/>
            </w:tcMar>
          </w:tcPr>
          <w:p w14:paraId="774237A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-4.2</w:t>
            </w:r>
          </w:p>
        </w:tc>
        <w:tc>
          <w:tcPr>
            <w:tcW w:w="738" w:type="dxa"/>
            <w:shd w:val="clear" w:color="auto" w:fill="auto"/>
            <w:tcMar>
              <w:top w:w="0" w:type="dxa"/>
              <w:left w:w="108" w:type="dxa"/>
              <w:bottom w:w="0" w:type="dxa"/>
              <w:right w:w="108" w:type="dxa"/>
            </w:tcMar>
          </w:tcPr>
          <w:p w14:paraId="425F2E4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587E733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-6.9</w:t>
            </w:r>
          </w:p>
        </w:tc>
        <w:tc>
          <w:tcPr>
            <w:tcW w:w="850" w:type="dxa"/>
            <w:shd w:val="clear" w:color="auto" w:fill="auto"/>
            <w:tcMar>
              <w:top w:w="0" w:type="dxa"/>
              <w:left w:w="108" w:type="dxa"/>
              <w:bottom w:w="0" w:type="dxa"/>
              <w:right w:w="108" w:type="dxa"/>
            </w:tcMar>
          </w:tcPr>
          <w:p w14:paraId="0616EBA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-2.5</w:t>
            </w:r>
          </w:p>
        </w:tc>
        <w:tc>
          <w:tcPr>
            <w:tcW w:w="885" w:type="dxa"/>
            <w:shd w:val="clear" w:color="auto" w:fill="auto"/>
            <w:tcMar>
              <w:top w:w="0" w:type="dxa"/>
              <w:left w:w="108" w:type="dxa"/>
              <w:bottom w:w="0" w:type="dxa"/>
              <w:right w:w="108" w:type="dxa"/>
            </w:tcMar>
          </w:tcPr>
          <w:p w14:paraId="385A79D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3E497A46" w14:textId="77777777" w:rsidTr="00492095">
        <w:tc>
          <w:tcPr>
            <w:tcW w:w="2694" w:type="dxa"/>
            <w:gridSpan w:val="2"/>
            <w:shd w:val="clear" w:color="auto" w:fill="auto"/>
            <w:tcMar>
              <w:top w:w="0" w:type="dxa"/>
              <w:left w:w="108" w:type="dxa"/>
              <w:bottom w:w="0" w:type="dxa"/>
              <w:right w:w="108" w:type="dxa"/>
            </w:tcMar>
          </w:tcPr>
          <w:p w14:paraId="05C33861"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South West 15-17</w:t>
            </w:r>
          </w:p>
        </w:tc>
        <w:tc>
          <w:tcPr>
            <w:tcW w:w="958" w:type="dxa"/>
            <w:shd w:val="clear" w:color="auto" w:fill="auto"/>
            <w:tcMar>
              <w:top w:w="0" w:type="dxa"/>
              <w:left w:w="108" w:type="dxa"/>
              <w:bottom w:w="0" w:type="dxa"/>
              <w:right w:w="108" w:type="dxa"/>
            </w:tcMar>
          </w:tcPr>
          <w:p w14:paraId="2D56923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-7.6</w:t>
            </w:r>
          </w:p>
        </w:tc>
        <w:tc>
          <w:tcPr>
            <w:tcW w:w="709" w:type="dxa"/>
            <w:gridSpan w:val="2"/>
            <w:shd w:val="clear" w:color="auto" w:fill="auto"/>
            <w:tcMar>
              <w:top w:w="0" w:type="dxa"/>
              <w:left w:w="108" w:type="dxa"/>
              <w:bottom w:w="0" w:type="dxa"/>
              <w:right w:w="108" w:type="dxa"/>
            </w:tcMar>
          </w:tcPr>
          <w:p w14:paraId="6D353D6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2E81E17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-5.9</w:t>
            </w:r>
          </w:p>
        </w:tc>
        <w:tc>
          <w:tcPr>
            <w:tcW w:w="738" w:type="dxa"/>
            <w:shd w:val="clear" w:color="auto" w:fill="auto"/>
            <w:tcMar>
              <w:top w:w="0" w:type="dxa"/>
              <w:left w:w="108" w:type="dxa"/>
              <w:bottom w:w="0" w:type="dxa"/>
              <w:right w:w="108" w:type="dxa"/>
            </w:tcMar>
          </w:tcPr>
          <w:p w14:paraId="47B44FB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6B62775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-10.2</w:t>
            </w:r>
          </w:p>
        </w:tc>
        <w:tc>
          <w:tcPr>
            <w:tcW w:w="850" w:type="dxa"/>
            <w:shd w:val="clear" w:color="auto" w:fill="auto"/>
            <w:tcMar>
              <w:top w:w="0" w:type="dxa"/>
              <w:left w:w="108" w:type="dxa"/>
              <w:bottom w:w="0" w:type="dxa"/>
              <w:right w:w="108" w:type="dxa"/>
            </w:tcMar>
          </w:tcPr>
          <w:p w14:paraId="3B8850D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-5.1</w:t>
            </w:r>
          </w:p>
        </w:tc>
        <w:tc>
          <w:tcPr>
            <w:tcW w:w="885" w:type="dxa"/>
            <w:shd w:val="clear" w:color="auto" w:fill="auto"/>
            <w:tcMar>
              <w:top w:w="0" w:type="dxa"/>
              <w:left w:w="108" w:type="dxa"/>
              <w:bottom w:w="0" w:type="dxa"/>
              <w:right w:w="108" w:type="dxa"/>
            </w:tcMar>
          </w:tcPr>
          <w:p w14:paraId="7792300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1A77E9A1" w14:textId="77777777" w:rsidTr="00492095">
        <w:tc>
          <w:tcPr>
            <w:tcW w:w="2694" w:type="dxa"/>
            <w:gridSpan w:val="2"/>
            <w:shd w:val="clear" w:color="auto" w:fill="auto"/>
            <w:tcMar>
              <w:top w:w="0" w:type="dxa"/>
              <w:left w:w="108" w:type="dxa"/>
              <w:bottom w:w="0" w:type="dxa"/>
              <w:right w:w="108" w:type="dxa"/>
            </w:tcMar>
          </w:tcPr>
          <w:p w14:paraId="23E4A17A"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East Midlands 05-07</w:t>
            </w:r>
          </w:p>
        </w:tc>
        <w:tc>
          <w:tcPr>
            <w:tcW w:w="958" w:type="dxa"/>
            <w:shd w:val="clear" w:color="auto" w:fill="auto"/>
            <w:tcMar>
              <w:top w:w="0" w:type="dxa"/>
              <w:left w:w="108" w:type="dxa"/>
              <w:bottom w:w="0" w:type="dxa"/>
              <w:right w:w="108" w:type="dxa"/>
            </w:tcMar>
          </w:tcPr>
          <w:p w14:paraId="15139B3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-5.1</w:t>
            </w:r>
          </w:p>
        </w:tc>
        <w:tc>
          <w:tcPr>
            <w:tcW w:w="709" w:type="dxa"/>
            <w:gridSpan w:val="2"/>
            <w:shd w:val="clear" w:color="auto" w:fill="auto"/>
            <w:tcMar>
              <w:top w:w="0" w:type="dxa"/>
              <w:left w:w="108" w:type="dxa"/>
              <w:bottom w:w="0" w:type="dxa"/>
              <w:right w:w="108" w:type="dxa"/>
            </w:tcMar>
          </w:tcPr>
          <w:p w14:paraId="2C35606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1.1</w:t>
            </w:r>
          </w:p>
        </w:tc>
        <w:tc>
          <w:tcPr>
            <w:tcW w:w="709" w:type="dxa"/>
            <w:shd w:val="clear" w:color="auto" w:fill="auto"/>
            <w:tcMar>
              <w:top w:w="0" w:type="dxa"/>
              <w:left w:w="108" w:type="dxa"/>
              <w:bottom w:w="0" w:type="dxa"/>
              <w:right w:w="108" w:type="dxa"/>
            </w:tcMar>
          </w:tcPr>
          <w:p w14:paraId="16C0DCD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-4.5</w:t>
            </w:r>
          </w:p>
        </w:tc>
        <w:tc>
          <w:tcPr>
            <w:tcW w:w="738" w:type="dxa"/>
            <w:shd w:val="clear" w:color="auto" w:fill="auto"/>
            <w:tcMar>
              <w:top w:w="0" w:type="dxa"/>
              <w:left w:w="108" w:type="dxa"/>
              <w:bottom w:w="0" w:type="dxa"/>
              <w:right w:w="108" w:type="dxa"/>
            </w:tcMar>
          </w:tcPr>
          <w:p w14:paraId="7FE5C4A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2CB6279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-7.3</w:t>
            </w:r>
          </w:p>
        </w:tc>
        <w:tc>
          <w:tcPr>
            <w:tcW w:w="850" w:type="dxa"/>
            <w:shd w:val="clear" w:color="auto" w:fill="auto"/>
            <w:tcMar>
              <w:top w:w="0" w:type="dxa"/>
              <w:left w:w="108" w:type="dxa"/>
              <w:bottom w:w="0" w:type="dxa"/>
              <w:right w:w="108" w:type="dxa"/>
            </w:tcMar>
          </w:tcPr>
          <w:p w14:paraId="631A901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-2.8</w:t>
            </w:r>
          </w:p>
        </w:tc>
        <w:tc>
          <w:tcPr>
            <w:tcW w:w="885" w:type="dxa"/>
            <w:shd w:val="clear" w:color="auto" w:fill="auto"/>
            <w:tcMar>
              <w:top w:w="0" w:type="dxa"/>
              <w:left w:w="108" w:type="dxa"/>
              <w:bottom w:w="0" w:type="dxa"/>
              <w:right w:w="108" w:type="dxa"/>
            </w:tcMar>
          </w:tcPr>
          <w:p w14:paraId="0D15DAC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329D70ED" w14:textId="77777777" w:rsidTr="00492095">
        <w:tc>
          <w:tcPr>
            <w:tcW w:w="2694" w:type="dxa"/>
            <w:gridSpan w:val="2"/>
            <w:shd w:val="clear" w:color="auto" w:fill="auto"/>
            <w:tcMar>
              <w:top w:w="0" w:type="dxa"/>
              <w:left w:w="108" w:type="dxa"/>
              <w:bottom w:w="0" w:type="dxa"/>
              <w:right w:w="108" w:type="dxa"/>
            </w:tcMar>
          </w:tcPr>
          <w:p w14:paraId="054A8255"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East Midlands 15-17</w:t>
            </w:r>
          </w:p>
        </w:tc>
        <w:tc>
          <w:tcPr>
            <w:tcW w:w="958" w:type="dxa"/>
            <w:shd w:val="clear" w:color="auto" w:fill="auto"/>
            <w:tcMar>
              <w:top w:w="0" w:type="dxa"/>
              <w:left w:w="108" w:type="dxa"/>
              <w:bottom w:w="0" w:type="dxa"/>
              <w:right w:w="108" w:type="dxa"/>
            </w:tcMar>
          </w:tcPr>
          <w:p w14:paraId="1676BD3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-6.2</w:t>
            </w:r>
          </w:p>
        </w:tc>
        <w:tc>
          <w:tcPr>
            <w:tcW w:w="709" w:type="dxa"/>
            <w:gridSpan w:val="2"/>
            <w:shd w:val="clear" w:color="auto" w:fill="auto"/>
            <w:tcMar>
              <w:top w:w="0" w:type="dxa"/>
              <w:left w:w="108" w:type="dxa"/>
              <w:bottom w:w="0" w:type="dxa"/>
              <w:right w:w="108" w:type="dxa"/>
            </w:tcMar>
          </w:tcPr>
          <w:p w14:paraId="6446962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02FAB9C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-5.1</w:t>
            </w:r>
          </w:p>
        </w:tc>
        <w:tc>
          <w:tcPr>
            <w:tcW w:w="738" w:type="dxa"/>
            <w:shd w:val="clear" w:color="auto" w:fill="auto"/>
            <w:tcMar>
              <w:top w:w="0" w:type="dxa"/>
              <w:left w:w="108" w:type="dxa"/>
              <w:bottom w:w="0" w:type="dxa"/>
              <w:right w:w="108" w:type="dxa"/>
            </w:tcMar>
          </w:tcPr>
          <w:p w14:paraId="67B59A7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3CF400F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-8.6</w:t>
            </w:r>
          </w:p>
        </w:tc>
        <w:tc>
          <w:tcPr>
            <w:tcW w:w="850" w:type="dxa"/>
            <w:shd w:val="clear" w:color="auto" w:fill="auto"/>
            <w:tcMar>
              <w:top w:w="0" w:type="dxa"/>
              <w:left w:w="108" w:type="dxa"/>
              <w:bottom w:w="0" w:type="dxa"/>
              <w:right w:w="108" w:type="dxa"/>
            </w:tcMar>
          </w:tcPr>
          <w:p w14:paraId="77D672A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-3.8</w:t>
            </w:r>
          </w:p>
        </w:tc>
        <w:tc>
          <w:tcPr>
            <w:tcW w:w="885" w:type="dxa"/>
            <w:shd w:val="clear" w:color="auto" w:fill="auto"/>
            <w:tcMar>
              <w:top w:w="0" w:type="dxa"/>
              <w:left w:w="108" w:type="dxa"/>
              <w:bottom w:w="0" w:type="dxa"/>
              <w:right w:w="108" w:type="dxa"/>
            </w:tcMar>
          </w:tcPr>
          <w:p w14:paraId="78FA3A5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0935129E" w14:textId="77777777" w:rsidTr="00492095">
        <w:tc>
          <w:tcPr>
            <w:tcW w:w="2694" w:type="dxa"/>
            <w:gridSpan w:val="2"/>
            <w:shd w:val="clear" w:color="auto" w:fill="auto"/>
            <w:tcMar>
              <w:top w:w="0" w:type="dxa"/>
              <w:left w:w="108" w:type="dxa"/>
              <w:bottom w:w="0" w:type="dxa"/>
              <w:right w:w="108" w:type="dxa"/>
            </w:tcMar>
          </w:tcPr>
          <w:p w14:paraId="5D021308"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Greater Manchester 05-07</w:t>
            </w:r>
          </w:p>
        </w:tc>
        <w:tc>
          <w:tcPr>
            <w:tcW w:w="958" w:type="dxa"/>
            <w:shd w:val="clear" w:color="auto" w:fill="auto"/>
            <w:tcMar>
              <w:top w:w="0" w:type="dxa"/>
              <w:left w:w="108" w:type="dxa"/>
              <w:bottom w:w="0" w:type="dxa"/>
              <w:right w:w="108" w:type="dxa"/>
            </w:tcMar>
          </w:tcPr>
          <w:p w14:paraId="33A0F91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-3.9</w:t>
            </w:r>
          </w:p>
        </w:tc>
        <w:tc>
          <w:tcPr>
            <w:tcW w:w="709" w:type="dxa"/>
            <w:gridSpan w:val="2"/>
            <w:shd w:val="clear" w:color="auto" w:fill="auto"/>
            <w:tcMar>
              <w:top w:w="0" w:type="dxa"/>
              <w:left w:w="108" w:type="dxa"/>
              <w:bottom w:w="0" w:type="dxa"/>
              <w:right w:w="108" w:type="dxa"/>
            </w:tcMar>
          </w:tcPr>
          <w:p w14:paraId="417FCEE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5F304F1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-3.2</w:t>
            </w:r>
          </w:p>
        </w:tc>
        <w:tc>
          <w:tcPr>
            <w:tcW w:w="738" w:type="dxa"/>
            <w:shd w:val="clear" w:color="auto" w:fill="auto"/>
            <w:tcMar>
              <w:top w:w="0" w:type="dxa"/>
              <w:left w:w="108" w:type="dxa"/>
              <w:bottom w:w="0" w:type="dxa"/>
              <w:right w:w="108" w:type="dxa"/>
            </w:tcMar>
          </w:tcPr>
          <w:p w14:paraId="5B5674B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.002</w:t>
            </w:r>
          </w:p>
        </w:tc>
        <w:tc>
          <w:tcPr>
            <w:tcW w:w="821" w:type="dxa"/>
            <w:gridSpan w:val="2"/>
            <w:shd w:val="clear" w:color="auto" w:fill="auto"/>
            <w:tcMar>
              <w:top w:w="0" w:type="dxa"/>
              <w:left w:w="108" w:type="dxa"/>
              <w:bottom w:w="0" w:type="dxa"/>
              <w:right w:w="108" w:type="dxa"/>
            </w:tcMar>
          </w:tcPr>
          <w:p w14:paraId="1EC8E1D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-6.3</w:t>
            </w:r>
          </w:p>
        </w:tc>
        <w:tc>
          <w:tcPr>
            <w:tcW w:w="850" w:type="dxa"/>
            <w:shd w:val="clear" w:color="auto" w:fill="auto"/>
            <w:tcMar>
              <w:top w:w="0" w:type="dxa"/>
              <w:left w:w="108" w:type="dxa"/>
              <w:bottom w:w="0" w:type="dxa"/>
              <w:right w:w="108" w:type="dxa"/>
            </w:tcMar>
          </w:tcPr>
          <w:p w14:paraId="1B8C6F3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-1.5</w:t>
            </w:r>
          </w:p>
        </w:tc>
        <w:tc>
          <w:tcPr>
            <w:tcW w:w="885" w:type="dxa"/>
            <w:shd w:val="clear" w:color="auto" w:fill="auto"/>
            <w:tcMar>
              <w:top w:w="0" w:type="dxa"/>
              <w:left w:w="108" w:type="dxa"/>
              <w:bottom w:w="0" w:type="dxa"/>
              <w:right w:w="108" w:type="dxa"/>
            </w:tcMar>
          </w:tcPr>
          <w:p w14:paraId="759250D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6FC9E486" w14:textId="77777777" w:rsidTr="00492095">
        <w:tc>
          <w:tcPr>
            <w:tcW w:w="2694" w:type="dxa"/>
            <w:gridSpan w:val="2"/>
            <w:shd w:val="clear" w:color="auto" w:fill="auto"/>
            <w:tcMar>
              <w:top w:w="0" w:type="dxa"/>
              <w:left w:w="108" w:type="dxa"/>
              <w:bottom w:w="0" w:type="dxa"/>
              <w:right w:w="108" w:type="dxa"/>
            </w:tcMar>
          </w:tcPr>
          <w:p w14:paraId="5417F344"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Greater Manchester 15-17</w:t>
            </w:r>
          </w:p>
        </w:tc>
        <w:tc>
          <w:tcPr>
            <w:tcW w:w="958" w:type="dxa"/>
            <w:shd w:val="clear" w:color="auto" w:fill="auto"/>
            <w:tcMar>
              <w:top w:w="0" w:type="dxa"/>
              <w:left w:w="108" w:type="dxa"/>
              <w:bottom w:w="0" w:type="dxa"/>
              <w:right w:w="108" w:type="dxa"/>
            </w:tcMar>
          </w:tcPr>
          <w:p w14:paraId="35DC569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-6.0</w:t>
            </w:r>
          </w:p>
        </w:tc>
        <w:tc>
          <w:tcPr>
            <w:tcW w:w="709" w:type="dxa"/>
            <w:gridSpan w:val="2"/>
            <w:shd w:val="clear" w:color="auto" w:fill="auto"/>
            <w:tcMar>
              <w:top w:w="0" w:type="dxa"/>
              <w:left w:w="108" w:type="dxa"/>
              <w:bottom w:w="0" w:type="dxa"/>
              <w:right w:w="108" w:type="dxa"/>
            </w:tcMar>
          </w:tcPr>
          <w:p w14:paraId="60F1AA8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3226E8B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-4.3</w:t>
            </w:r>
          </w:p>
        </w:tc>
        <w:tc>
          <w:tcPr>
            <w:tcW w:w="738" w:type="dxa"/>
            <w:shd w:val="clear" w:color="auto" w:fill="auto"/>
            <w:tcMar>
              <w:top w:w="0" w:type="dxa"/>
              <w:left w:w="108" w:type="dxa"/>
              <w:bottom w:w="0" w:type="dxa"/>
              <w:right w:w="108" w:type="dxa"/>
            </w:tcMar>
          </w:tcPr>
          <w:p w14:paraId="19B968E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78FA2BE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-8.7</w:t>
            </w:r>
          </w:p>
        </w:tc>
        <w:tc>
          <w:tcPr>
            <w:tcW w:w="850" w:type="dxa"/>
            <w:shd w:val="clear" w:color="auto" w:fill="auto"/>
            <w:tcMar>
              <w:top w:w="0" w:type="dxa"/>
              <w:left w:w="108" w:type="dxa"/>
              <w:bottom w:w="0" w:type="dxa"/>
              <w:right w:w="108" w:type="dxa"/>
            </w:tcMar>
          </w:tcPr>
          <w:p w14:paraId="3073096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-3.3</w:t>
            </w:r>
          </w:p>
        </w:tc>
        <w:tc>
          <w:tcPr>
            <w:tcW w:w="885" w:type="dxa"/>
            <w:shd w:val="clear" w:color="auto" w:fill="auto"/>
            <w:tcMar>
              <w:top w:w="0" w:type="dxa"/>
              <w:left w:w="108" w:type="dxa"/>
              <w:bottom w:w="0" w:type="dxa"/>
              <w:right w:w="108" w:type="dxa"/>
            </w:tcMar>
          </w:tcPr>
          <w:p w14:paraId="483D393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58795ED8" w14:textId="77777777" w:rsidTr="00492095">
        <w:tc>
          <w:tcPr>
            <w:tcW w:w="2694" w:type="dxa"/>
            <w:gridSpan w:val="2"/>
            <w:shd w:val="clear" w:color="auto" w:fill="auto"/>
            <w:tcMar>
              <w:top w:w="0" w:type="dxa"/>
              <w:left w:w="108" w:type="dxa"/>
              <w:bottom w:w="0" w:type="dxa"/>
              <w:right w:w="108" w:type="dxa"/>
            </w:tcMar>
          </w:tcPr>
          <w:p w14:paraId="2F50E330"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Rest of Northern Region 05-07</w:t>
            </w:r>
          </w:p>
        </w:tc>
        <w:tc>
          <w:tcPr>
            <w:tcW w:w="958" w:type="dxa"/>
            <w:shd w:val="clear" w:color="auto" w:fill="auto"/>
            <w:tcMar>
              <w:top w:w="0" w:type="dxa"/>
              <w:left w:w="108" w:type="dxa"/>
              <w:bottom w:w="0" w:type="dxa"/>
              <w:right w:w="108" w:type="dxa"/>
            </w:tcMar>
          </w:tcPr>
          <w:p w14:paraId="4D2881A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-6.1</w:t>
            </w:r>
          </w:p>
        </w:tc>
        <w:tc>
          <w:tcPr>
            <w:tcW w:w="709" w:type="dxa"/>
            <w:gridSpan w:val="2"/>
            <w:shd w:val="clear" w:color="auto" w:fill="auto"/>
            <w:tcMar>
              <w:top w:w="0" w:type="dxa"/>
              <w:left w:w="108" w:type="dxa"/>
              <w:bottom w:w="0" w:type="dxa"/>
              <w:right w:w="108" w:type="dxa"/>
            </w:tcMar>
          </w:tcPr>
          <w:p w14:paraId="2603B08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7696F27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-4.8</w:t>
            </w:r>
          </w:p>
        </w:tc>
        <w:tc>
          <w:tcPr>
            <w:tcW w:w="738" w:type="dxa"/>
            <w:shd w:val="clear" w:color="auto" w:fill="auto"/>
            <w:tcMar>
              <w:top w:w="0" w:type="dxa"/>
              <w:left w:w="108" w:type="dxa"/>
              <w:bottom w:w="0" w:type="dxa"/>
              <w:right w:w="108" w:type="dxa"/>
            </w:tcMar>
          </w:tcPr>
          <w:p w14:paraId="17E1BD5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4A2A80B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-8.6</w:t>
            </w:r>
          </w:p>
        </w:tc>
        <w:tc>
          <w:tcPr>
            <w:tcW w:w="850" w:type="dxa"/>
            <w:shd w:val="clear" w:color="auto" w:fill="auto"/>
            <w:tcMar>
              <w:top w:w="0" w:type="dxa"/>
              <w:left w:w="108" w:type="dxa"/>
              <w:bottom w:w="0" w:type="dxa"/>
              <w:right w:w="108" w:type="dxa"/>
            </w:tcMar>
          </w:tcPr>
          <w:p w14:paraId="5B989D7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-3.6</w:t>
            </w:r>
          </w:p>
        </w:tc>
        <w:tc>
          <w:tcPr>
            <w:tcW w:w="885" w:type="dxa"/>
            <w:shd w:val="clear" w:color="auto" w:fill="auto"/>
            <w:tcMar>
              <w:top w:w="0" w:type="dxa"/>
              <w:left w:w="108" w:type="dxa"/>
              <w:bottom w:w="0" w:type="dxa"/>
              <w:right w:w="108" w:type="dxa"/>
            </w:tcMar>
          </w:tcPr>
          <w:p w14:paraId="08DE6FF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65F1A13E" w14:textId="77777777" w:rsidTr="00492095">
        <w:tc>
          <w:tcPr>
            <w:tcW w:w="2694" w:type="dxa"/>
            <w:gridSpan w:val="2"/>
            <w:shd w:val="clear" w:color="auto" w:fill="auto"/>
            <w:tcMar>
              <w:top w:w="0" w:type="dxa"/>
              <w:left w:w="108" w:type="dxa"/>
              <w:bottom w:w="0" w:type="dxa"/>
              <w:right w:w="108" w:type="dxa"/>
            </w:tcMar>
          </w:tcPr>
          <w:p w14:paraId="43386CB2"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Rest of Northern Region 15-17</w:t>
            </w:r>
          </w:p>
        </w:tc>
        <w:tc>
          <w:tcPr>
            <w:tcW w:w="958" w:type="dxa"/>
            <w:shd w:val="clear" w:color="auto" w:fill="auto"/>
            <w:tcMar>
              <w:top w:w="0" w:type="dxa"/>
              <w:left w:w="108" w:type="dxa"/>
              <w:bottom w:w="0" w:type="dxa"/>
              <w:right w:w="108" w:type="dxa"/>
            </w:tcMar>
          </w:tcPr>
          <w:p w14:paraId="66AEB58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-8.8</w:t>
            </w:r>
          </w:p>
        </w:tc>
        <w:tc>
          <w:tcPr>
            <w:tcW w:w="709" w:type="dxa"/>
            <w:gridSpan w:val="2"/>
            <w:shd w:val="clear" w:color="auto" w:fill="auto"/>
            <w:tcMar>
              <w:top w:w="0" w:type="dxa"/>
              <w:left w:w="108" w:type="dxa"/>
              <w:bottom w:w="0" w:type="dxa"/>
              <w:right w:w="108" w:type="dxa"/>
            </w:tcMar>
          </w:tcPr>
          <w:p w14:paraId="577756E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1.8</w:t>
            </w:r>
          </w:p>
        </w:tc>
        <w:tc>
          <w:tcPr>
            <w:tcW w:w="709" w:type="dxa"/>
            <w:shd w:val="clear" w:color="auto" w:fill="auto"/>
            <w:tcMar>
              <w:top w:w="0" w:type="dxa"/>
              <w:left w:w="108" w:type="dxa"/>
              <w:bottom w:w="0" w:type="dxa"/>
              <w:right w:w="108" w:type="dxa"/>
            </w:tcMar>
          </w:tcPr>
          <w:p w14:paraId="184DF21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-5.0</w:t>
            </w:r>
          </w:p>
        </w:tc>
        <w:tc>
          <w:tcPr>
            <w:tcW w:w="738" w:type="dxa"/>
            <w:shd w:val="clear" w:color="auto" w:fill="auto"/>
            <w:tcMar>
              <w:top w:w="0" w:type="dxa"/>
              <w:left w:w="108" w:type="dxa"/>
              <w:bottom w:w="0" w:type="dxa"/>
              <w:right w:w="108" w:type="dxa"/>
            </w:tcMar>
          </w:tcPr>
          <w:p w14:paraId="014C9D0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7331762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-12.2</w:t>
            </w:r>
          </w:p>
        </w:tc>
        <w:tc>
          <w:tcPr>
            <w:tcW w:w="850" w:type="dxa"/>
            <w:shd w:val="clear" w:color="auto" w:fill="auto"/>
            <w:tcMar>
              <w:top w:w="0" w:type="dxa"/>
              <w:left w:w="108" w:type="dxa"/>
              <w:bottom w:w="0" w:type="dxa"/>
              <w:right w:w="108" w:type="dxa"/>
            </w:tcMar>
          </w:tcPr>
          <w:p w14:paraId="4B8F8B9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-5.4</w:t>
            </w:r>
          </w:p>
        </w:tc>
        <w:tc>
          <w:tcPr>
            <w:tcW w:w="885" w:type="dxa"/>
            <w:shd w:val="clear" w:color="auto" w:fill="auto"/>
            <w:tcMar>
              <w:top w:w="0" w:type="dxa"/>
              <w:left w:w="108" w:type="dxa"/>
              <w:bottom w:w="0" w:type="dxa"/>
              <w:right w:w="108" w:type="dxa"/>
            </w:tcMar>
          </w:tcPr>
          <w:p w14:paraId="5CEC07B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23815B4C" w14:textId="77777777" w:rsidTr="00492095">
        <w:tc>
          <w:tcPr>
            <w:tcW w:w="2694" w:type="dxa"/>
            <w:gridSpan w:val="2"/>
            <w:shd w:val="clear" w:color="auto" w:fill="auto"/>
            <w:tcMar>
              <w:top w:w="0" w:type="dxa"/>
              <w:left w:w="108" w:type="dxa"/>
              <w:bottom w:w="0" w:type="dxa"/>
              <w:right w:w="108" w:type="dxa"/>
            </w:tcMar>
          </w:tcPr>
          <w:p w14:paraId="01C3C196"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Rest of North West 05-07</w:t>
            </w:r>
          </w:p>
        </w:tc>
        <w:tc>
          <w:tcPr>
            <w:tcW w:w="958" w:type="dxa"/>
            <w:shd w:val="clear" w:color="auto" w:fill="auto"/>
            <w:tcMar>
              <w:top w:w="0" w:type="dxa"/>
              <w:left w:w="108" w:type="dxa"/>
              <w:bottom w:w="0" w:type="dxa"/>
              <w:right w:w="108" w:type="dxa"/>
            </w:tcMar>
          </w:tcPr>
          <w:p w14:paraId="4DE646D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-4.3</w:t>
            </w:r>
          </w:p>
        </w:tc>
        <w:tc>
          <w:tcPr>
            <w:tcW w:w="709" w:type="dxa"/>
            <w:gridSpan w:val="2"/>
            <w:shd w:val="clear" w:color="auto" w:fill="auto"/>
            <w:tcMar>
              <w:top w:w="0" w:type="dxa"/>
              <w:left w:w="108" w:type="dxa"/>
              <w:bottom w:w="0" w:type="dxa"/>
              <w:right w:w="108" w:type="dxa"/>
            </w:tcMar>
          </w:tcPr>
          <w:p w14:paraId="1638C4E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1AE5D89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-3.6</w:t>
            </w:r>
          </w:p>
        </w:tc>
        <w:tc>
          <w:tcPr>
            <w:tcW w:w="738" w:type="dxa"/>
            <w:shd w:val="clear" w:color="auto" w:fill="auto"/>
            <w:tcMar>
              <w:top w:w="0" w:type="dxa"/>
              <w:left w:w="108" w:type="dxa"/>
              <w:bottom w:w="0" w:type="dxa"/>
              <w:right w:w="108" w:type="dxa"/>
            </w:tcMar>
          </w:tcPr>
          <w:p w14:paraId="7EB3AF9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4E64024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-6.7</w:t>
            </w:r>
          </w:p>
        </w:tc>
        <w:tc>
          <w:tcPr>
            <w:tcW w:w="850" w:type="dxa"/>
            <w:shd w:val="clear" w:color="auto" w:fill="auto"/>
            <w:tcMar>
              <w:top w:w="0" w:type="dxa"/>
              <w:left w:w="108" w:type="dxa"/>
              <w:bottom w:w="0" w:type="dxa"/>
              <w:right w:w="108" w:type="dxa"/>
            </w:tcMar>
          </w:tcPr>
          <w:p w14:paraId="6DB94B1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-1.9</w:t>
            </w:r>
          </w:p>
        </w:tc>
        <w:tc>
          <w:tcPr>
            <w:tcW w:w="885" w:type="dxa"/>
            <w:shd w:val="clear" w:color="auto" w:fill="auto"/>
            <w:tcMar>
              <w:top w:w="0" w:type="dxa"/>
              <w:left w:w="108" w:type="dxa"/>
              <w:bottom w:w="0" w:type="dxa"/>
              <w:right w:w="108" w:type="dxa"/>
            </w:tcMar>
          </w:tcPr>
          <w:p w14:paraId="7881B81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1F593CFF" w14:textId="77777777" w:rsidTr="00492095">
        <w:tc>
          <w:tcPr>
            <w:tcW w:w="2694" w:type="dxa"/>
            <w:gridSpan w:val="2"/>
            <w:shd w:val="clear" w:color="auto" w:fill="auto"/>
            <w:tcMar>
              <w:top w:w="0" w:type="dxa"/>
              <w:left w:w="108" w:type="dxa"/>
              <w:bottom w:w="0" w:type="dxa"/>
              <w:right w:w="108" w:type="dxa"/>
            </w:tcMar>
          </w:tcPr>
          <w:p w14:paraId="34984AF3"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Rest of North West 15-17</w:t>
            </w:r>
          </w:p>
        </w:tc>
        <w:tc>
          <w:tcPr>
            <w:tcW w:w="958" w:type="dxa"/>
            <w:shd w:val="clear" w:color="auto" w:fill="auto"/>
            <w:tcMar>
              <w:top w:w="0" w:type="dxa"/>
              <w:left w:w="108" w:type="dxa"/>
              <w:bottom w:w="0" w:type="dxa"/>
              <w:right w:w="108" w:type="dxa"/>
            </w:tcMar>
          </w:tcPr>
          <w:p w14:paraId="51802C0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-6.4</w:t>
            </w:r>
          </w:p>
        </w:tc>
        <w:tc>
          <w:tcPr>
            <w:tcW w:w="709" w:type="dxa"/>
            <w:gridSpan w:val="2"/>
            <w:shd w:val="clear" w:color="auto" w:fill="auto"/>
            <w:tcMar>
              <w:top w:w="0" w:type="dxa"/>
              <w:left w:w="108" w:type="dxa"/>
              <w:bottom w:w="0" w:type="dxa"/>
              <w:right w:w="108" w:type="dxa"/>
            </w:tcMar>
          </w:tcPr>
          <w:p w14:paraId="3D26345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7DB34DC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-4.9</w:t>
            </w:r>
          </w:p>
        </w:tc>
        <w:tc>
          <w:tcPr>
            <w:tcW w:w="738" w:type="dxa"/>
            <w:shd w:val="clear" w:color="auto" w:fill="auto"/>
            <w:tcMar>
              <w:top w:w="0" w:type="dxa"/>
              <w:left w:w="108" w:type="dxa"/>
              <w:bottom w:w="0" w:type="dxa"/>
              <w:right w:w="108" w:type="dxa"/>
            </w:tcMar>
          </w:tcPr>
          <w:p w14:paraId="62BC2A3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67ABF56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-8.9</w:t>
            </w:r>
          </w:p>
        </w:tc>
        <w:tc>
          <w:tcPr>
            <w:tcW w:w="850" w:type="dxa"/>
            <w:shd w:val="clear" w:color="auto" w:fill="auto"/>
            <w:tcMar>
              <w:top w:w="0" w:type="dxa"/>
              <w:left w:w="108" w:type="dxa"/>
              <w:bottom w:w="0" w:type="dxa"/>
              <w:right w:w="108" w:type="dxa"/>
            </w:tcMar>
          </w:tcPr>
          <w:p w14:paraId="4AF2CC4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-3.8</w:t>
            </w:r>
          </w:p>
        </w:tc>
        <w:tc>
          <w:tcPr>
            <w:tcW w:w="885" w:type="dxa"/>
            <w:shd w:val="clear" w:color="auto" w:fill="auto"/>
            <w:tcMar>
              <w:top w:w="0" w:type="dxa"/>
              <w:left w:w="108" w:type="dxa"/>
              <w:bottom w:w="0" w:type="dxa"/>
              <w:right w:w="108" w:type="dxa"/>
            </w:tcMar>
          </w:tcPr>
          <w:p w14:paraId="5F92D74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7AE91238" w14:textId="77777777" w:rsidTr="00492095">
        <w:tc>
          <w:tcPr>
            <w:tcW w:w="2694" w:type="dxa"/>
            <w:gridSpan w:val="2"/>
            <w:shd w:val="clear" w:color="auto" w:fill="auto"/>
            <w:tcMar>
              <w:top w:w="0" w:type="dxa"/>
              <w:left w:w="108" w:type="dxa"/>
              <w:bottom w:w="0" w:type="dxa"/>
              <w:right w:w="108" w:type="dxa"/>
            </w:tcMar>
          </w:tcPr>
          <w:p w14:paraId="3D85CEB0"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East Anglia 05-07</w:t>
            </w:r>
          </w:p>
        </w:tc>
        <w:tc>
          <w:tcPr>
            <w:tcW w:w="958" w:type="dxa"/>
            <w:shd w:val="clear" w:color="auto" w:fill="auto"/>
            <w:tcMar>
              <w:top w:w="0" w:type="dxa"/>
              <w:left w:w="108" w:type="dxa"/>
              <w:bottom w:w="0" w:type="dxa"/>
              <w:right w:w="108" w:type="dxa"/>
            </w:tcMar>
          </w:tcPr>
          <w:p w14:paraId="51571DC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-5.2</w:t>
            </w:r>
          </w:p>
        </w:tc>
        <w:tc>
          <w:tcPr>
            <w:tcW w:w="709" w:type="dxa"/>
            <w:gridSpan w:val="2"/>
            <w:shd w:val="clear" w:color="auto" w:fill="auto"/>
            <w:tcMar>
              <w:top w:w="0" w:type="dxa"/>
              <w:left w:w="108" w:type="dxa"/>
              <w:bottom w:w="0" w:type="dxa"/>
              <w:right w:w="108" w:type="dxa"/>
            </w:tcMar>
          </w:tcPr>
          <w:p w14:paraId="161E9EC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2FBE34A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-4.2</w:t>
            </w:r>
          </w:p>
        </w:tc>
        <w:tc>
          <w:tcPr>
            <w:tcW w:w="738" w:type="dxa"/>
            <w:shd w:val="clear" w:color="auto" w:fill="auto"/>
            <w:tcMar>
              <w:top w:w="0" w:type="dxa"/>
              <w:left w:w="108" w:type="dxa"/>
              <w:bottom w:w="0" w:type="dxa"/>
              <w:right w:w="108" w:type="dxa"/>
            </w:tcMar>
          </w:tcPr>
          <w:p w14:paraId="2EF7986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6B9E932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-7.7</w:t>
            </w:r>
          </w:p>
        </w:tc>
        <w:tc>
          <w:tcPr>
            <w:tcW w:w="850" w:type="dxa"/>
            <w:shd w:val="clear" w:color="auto" w:fill="auto"/>
            <w:tcMar>
              <w:top w:w="0" w:type="dxa"/>
              <w:left w:w="108" w:type="dxa"/>
              <w:bottom w:w="0" w:type="dxa"/>
              <w:right w:w="108" w:type="dxa"/>
            </w:tcMar>
          </w:tcPr>
          <w:p w14:paraId="3D8093B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-2.8</w:t>
            </w:r>
          </w:p>
        </w:tc>
        <w:tc>
          <w:tcPr>
            <w:tcW w:w="885" w:type="dxa"/>
            <w:shd w:val="clear" w:color="auto" w:fill="auto"/>
            <w:tcMar>
              <w:top w:w="0" w:type="dxa"/>
              <w:left w:w="108" w:type="dxa"/>
              <w:bottom w:w="0" w:type="dxa"/>
              <w:right w:w="108" w:type="dxa"/>
            </w:tcMar>
          </w:tcPr>
          <w:p w14:paraId="08B09FA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36A04A41" w14:textId="77777777" w:rsidTr="00492095">
        <w:tc>
          <w:tcPr>
            <w:tcW w:w="2694" w:type="dxa"/>
            <w:gridSpan w:val="2"/>
            <w:shd w:val="clear" w:color="auto" w:fill="auto"/>
            <w:tcMar>
              <w:top w:w="0" w:type="dxa"/>
              <w:left w:w="108" w:type="dxa"/>
              <w:bottom w:w="0" w:type="dxa"/>
              <w:right w:w="108" w:type="dxa"/>
            </w:tcMar>
          </w:tcPr>
          <w:p w14:paraId="5A6CDEA9"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lastRenderedPageBreak/>
              <w:t>East Anglia 15-17</w:t>
            </w:r>
          </w:p>
        </w:tc>
        <w:tc>
          <w:tcPr>
            <w:tcW w:w="958" w:type="dxa"/>
            <w:shd w:val="clear" w:color="auto" w:fill="auto"/>
            <w:tcMar>
              <w:top w:w="0" w:type="dxa"/>
              <w:left w:w="108" w:type="dxa"/>
              <w:bottom w:w="0" w:type="dxa"/>
              <w:right w:w="108" w:type="dxa"/>
            </w:tcMar>
          </w:tcPr>
          <w:p w14:paraId="1DA6DE0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-6.7</w:t>
            </w:r>
          </w:p>
        </w:tc>
        <w:tc>
          <w:tcPr>
            <w:tcW w:w="709" w:type="dxa"/>
            <w:gridSpan w:val="2"/>
            <w:shd w:val="clear" w:color="auto" w:fill="auto"/>
            <w:tcMar>
              <w:top w:w="0" w:type="dxa"/>
              <w:left w:w="108" w:type="dxa"/>
              <w:bottom w:w="0" w:type="dxa"/>
              <w:right w:w="108" w:type="dxa"/>
            </w:tcMar>
          </w:tcPr>
          <w:p w14:paraId="25A063D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1523433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-5.1</w:t>
            </w:r>
          </w:p>
        </w:tc>
        <w:tc>
          <w:tcPr>
            <w:tcW w:w="738" w:type="dxa"/>
            <w:shd w:val="clear" w:color="auto" w:fill="auto"/>
            <w:tcMar>
              <w:top w:w="0" w:type="dxa"/>
              <w:left w:w="108" w:type="dxa"/>
              <w:bottom w:w="0" w:type="dxa"/>
              <w:right w:w="108" w:type="dxa"/>
            </w:tcMar>
          </w:tcPr>
          <w:p w14:paraId="04D758F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547D0BD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-9.2</w:t>
            </w:r>
          </w:p>
        </w:tc>
        <w:tc>
          <w:tcPr>
            <w:tcW w:w="850" w:type="dxa"/>
            <w:shd w:val="clear" w:color="auto" w:fill="auto"/>
            <w:tcMar>
              <w:top w:w="0" w:type="dxa"/>
              <w:left w:w="108" w:type="dxa"/>
              <w:bottom w:w="0" w:type="dxa"/>
              <w:right w:w="108" w:type="dxa"/>
            </w:tcMar>
          </w:tcPr>
          <w:p w14:paraId="5C3B361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-4.1</w:t>
            </w:r>
          </w:p>
        </w:tc>
        <w:tc>
          <w:tcPr>
            <w:tcW w:w="885" w:type="dxa"/>
            <w:shd w:val="clear" w:color="auto" w:fill="auto"/>
            <w:tcMar>
              <w:top w:w="0" w:type="dxa"/>
              <w:left w:w="108" w:type="dxa"/>
              <w:bottom w:w="0" w:type="dxa"/>
              <w:right w:w="108" w:type="dxa"/>
            </w:tcMar>
          </w:tcPr>
          <w:p w14:paraId="66967F5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20810497" w14:textId="77777777" w:rsidTr="00492095">
        <w:tc>
          <w:tcPr>
            <w:tcW w:w="2694" w:type="dxa"/>
            <w:gridSpan w:val="2"/>
            <w:shd w:val="clear" w:color="auto" w:fill="auto"/>
            <w:tcMar>
              <w:top w:w="0" w:type="dxa"/>
              <w:left w:w="108" w:type="dxa"/>
              <w:bottom w:w="0" w:type="dxa"/>
              <w:right w:w="108" w:type="dxa"/>
            </w:tcMar>
          </w:tcPr>
          <w:p w14:paraId="3E4D800C"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West Yorkshire 05-07</w:t>
            </w:r>
          </w:p>
        </w:tc>
        <w:tc>
          <w:tcPr>
            <w:tcW w:w="958" w:type="dxa"/>
            <w:shd w:val="clear" w:color="auto" w:fill="auto"/>
            <w:tcMar>
              <w:top w:w="0" w:type="dxa"/>
              <w:left w:w="108" w:type="dxa"/>
              <w:bottom w:w="0" w:type="dxa"/>
              <w:right w:w="108" w:type="dxa"/>
            </w:tcMar>
          </w:tcPr>
          <w:p w14:paraId="3E361D6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-4.0</w:t>
            </w:r>
          </w:p>
        </w:tc>
        <w:tc>
          <w:tcPr>
            <w:tcW w:w="709" w:type="dxa"/>
            <w:gridSpan w:val="2"/>
            <w:shd w:val="clear" w:color="auto" w:fill="auto"/>
            <w:tcMar>
              <w:top w:w="0" w:type="dxa"/>
              <w:left w:w="108" w:type="dxa"/>
              <w:bottom w:w="0" w:type="dxa"/>
              <w:right w:w="108" w:type="dxa"/>
            </w:tcMar>
          </w:tcPr>
          <w:p w14:paraId="3D13F35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416ACCB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-3.5</w:t>
            </w:r>
          </w:p>
        </w:tc>
        <w:tc>
          <w:tcPr>
            <w:tcW w:w="738" w:type="dxa"/>
            <w:shd w:val="clear" w:color="auto" w:fill="auto"/>
            <w:tcMar>
              <w:top w:w="0" w:type="dxa"/>
              <w:left w:w="108" w:type="dxa"/>
              <w:bottom w:w="0" w:type="dxa"/>
              <w:right w:w="108" w:type="dxa"/>
            </w:tcMar>
          </w:tcPr>
          <w:p w14:paraId="393C2AE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.001</w:t>
            </w:r>
          </w:p>
        </w:tc>
        <w:tc>
          <w:tcPr>
            <w:tcW w:w="821" w:type="dxa"/>
            <w:gridSpan w:val="2"/>
            <w:shd w:val="clear" w:color="auto" w:fill="auto"/>
            <w:tcMar>
              <w:top w:w="0" w:type="dxa"/>
              <w:left w:w="108" w:type="dxa"/>
              <w:bottom w:w="0" w:type="dxa"/>
              <w:right w:w="108" w:type="dxa"/>
            </w:tcMar>
          </w:tcPr>
          <w:p w14:paraId="5445952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-6.3</w:t>
            </w:r>
          </w:p>
        </w:tc>
        <w:tc>
          <w:tcPr>
            <w:tcW w:w="850" w:type="dxa"/>
            <w:shd w:val="clear" w:color="auto" w:fill="auto"/>
            <w:tcMar>
              <w:top w:w="0" w:type="dxa"/>
              <w:left w:w="108" w:type="dxa"/>
              <w:bottom w:w="0" w:type="dxa"/>
              <w:right w:w="108" w:type="dxa"/>
            </w:tcMar>
          </w:tcPr>
          <w:p w14:paraId="0C78322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-1.8</w:t>
            </w:r>
          </w:p>
        </w:tc>
        <w:tc>
          <w:tcPr>
            <w:tcW w:w="885" w:type="dxa"/>
            <w:shd w:val="clear" w:color="auto" w:fill="auto"/>
            <w:tcMar>
              <w:top w:w="0" w:type="dxa"/>
              <w:left w:w="108" w:type="dxa"/>
              <w:bottom w:w="0" w:type="dxa"/>
              <w:right w:w="108" w:type="dxa"/>
            </w:tcMar>
          </w:tcPr>
          <w:p w14:paraId="7A29612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523C41CB" w14:textId="77777777" w:rsidTr="00492095">
        <w:tc>
          <w:tcPr>
            <w:tcW w:w="2694" w:type="dxa"/>
            <w:gridSpan w:val="2"/>
            <w:shd w:val="clear" w:color="auto" w:fill="auto"/>
            <w:tcMar>
              <w:top w:w="0" w:type="dxa"/>
              <w:left w:w="108" w:type="dxa"/>
              <w:bottom w:w="0" w:type="dxa"/>
              <w:right w:w="108" w:type="dxa"/>
            </w:tcMar>
          </w:tcPr>
          <w:p w14:paraId="1099CC3B"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West Yorkshire 15-17</w:t>
            </w:r>
          </w:p>
        </w:tc>
        <w:tc>
          <w:tcPr>
            <w:tcW w:w="958" w:type="dxa"/>
            <w:shd w:val="clear" w:color="auto" w:fill="auto"/>
            <w:tcMar>
              <w:top w:w="0" w:type="dxa"/>
              <w:left w:w="108" w:type="dxa"/>
              <w:bottom w:w="0" w:type="dxa"/>
              <w:right w:w="108" w:type="dxa"/>
            </w:tcMar>
          </w:tcPr>
          <w:p w14:paraId="773CAFD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-5.7</w:t>
            </w:r>
          </w:p>
        </w:tc>
        <w:tc>
          <w:tcPr>
            <w:tcW w:w="709" w:type="dxa"/>
            <w:gridSpan w:val="2"/>
            <w:shd w:val="clear" w:color="auto" w:fill="auto"/>
            <w:tcMar>
              <w:top w:w="0" w:type="dxa"/>
              <w:left w:w="108" w:type="dxa"/>
              <w:bottom w:w="0" w:type="dxa"/>
              <w:right w:w="108" w:type="dxa"/>
            </w:tcMar>
          </w:tcPr>
          <w:p w14:paraId="6E321AE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1.4</w:t>
            </w:r>
          </w:p>
        </w:tc>
        <w:tc>
          <w:tcPr>
            <w:tcW w:w="709" w:type="dxa"/>
            <w:shd w:val="clear" w:color="auto" w:fill="auto"/>
            <w:tcMar>
              <w:top w:w="0" w:type="dxa"/>
              <w:left w:w="108" w:type="dxa"/>
              <w:bottom w:w="0" w:type="dxa"/>
              <w:right w:w="108" w:type="dxa"/>
            </w:tcMar>
          </w:tcPr>
          <w:p w14:paraId="133FD7E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-4.2</w:t>
            </w:r>
          </w:p>
        </w:tc>
        <w:tc>
          <w:tcPr>
            <w:tcW w:w="738" w:type="dxa"/>
            <w:shd w:val="clear" w:color="auto" w:fill="auto"/>
            <w:tcMar>
              <w:top w:w="0" w:type="dxa"/>
              <w:left w:w="108" w:type="dxa"/>
              <w:bottom w:w="0" w:type="dxa"/>
              <w:right w:w="108" w:type="dxa"/>
            </w:tcMar>
          </w:tcPr>
          <w:p w14:paraId="1349AE3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0CADB89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-8.4</w:t>
            </w:r>
          </w:p>
        </w:tc>
        <w:tc>
          <w:tcPr>
            <w:tcW w:w="850" w:type="dxa"/>
            <w:shd w:val="clear" w:color="auto" w:fill="auto"/>
            <w:tcMar>
              <w:top w:w="0" w:type="dxa"/>
              <w:left w:w="108" w:type="dxa"/>
              <w:bottom w:w="0" w:type="dxa"/>
              <w:right w:w="108" w:type="dxa"/>
            </w:tcMar>
          </w:tcPr>
          <w:p w14:paraId="7F8F6AA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-3.0</w:t>
            </w:r>
          </w:p>
        </w:tc>
        <w:tc>
          <w:tcPr>
            <w:tcW w:w="885" w:type="dxa"/>
            <w:shd w:val="clear" w:color="auto" w:fill="auto"/>
            <w:tcMar>
              <w:top w:w="0" w:type="dxa"/>
              <w:left w:w="108" w:type="dxa"/>
              <w:bottom w:w="0" w:type="dxa"/>
              <w:right w:w="108" w:type="dxa"/>
            </w:tcMar>
          </w:tcPr>
          <w:p w14:paraId="3BFC1EF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29161E9E" w14:textId="77777777" w:rsidTr="00492095">
        <w:tc>
          <w:tcPr>
            <w:tcW w:w="2694" w:type="dxa"/>
            <w:gridSpan w:val="2"/>
            <w:shd w:val="clear" w:color="auto" w:fill="auto"/>
            <w:tcMar>
              <w:top w:w="0" w:type="dxa"/>
              <w:left w:w="108" w:type="dxa"/>
              <w:bottom w:w="0" w:type="dxa"/>
              <w:right w:w="108" w:type="dxa"/>
            </w:tcMar>
          </w:tcPr>
          <w:p w14:paraId="6CB4E9B3"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Strathclyde 05-07</w:t>
            </w:r>
          </w:p>
        </w:tc>
        <w:tc>
          <w:tcPr>
            <w:tcW w:w="958" w:type="dxa"/>
            <w:shd w:val="clear" w:color="auto" w:fill="auto"/>
            <w:tcMar>
              <w:top w:w="0" w:type="dxa"/>
              <w:left w:w="108" w:type="dxa"/>
              <w:bottom w:w="0" w:type="dxa"/>
              <w:right w:w="108" w:type="dxa"/>
            </w:tcMar>
          </w:tcPr>
          <w:p w14:paraId="737679E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-5.1</w:t>
            </w:r>
          </w:p>
        </w:tc>
        <w:tc>
          <w:tcPr>
            <w:tcW w:w="709" w:type="dxa"/>
            <w:gridSpan w:val="2"/>
            <w:shd w:val="clear" w:color="auto" w:fill="auto"/>
            <w:tcMar>
              <w:top w:w="0" w:type="dxa"/>
              <w:left w:w="108" w:type="dxa"/>
              <w:bottom w:w="0" w:type="dxa"/>
              <w:right w:w="108" w:type="dxa"/>
            </w:tcMar>
          </w:tcPr>
          <w:p w14:paraId="232E7E5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49B17BB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-3.9</w:t>
            </w:r>
          </w:p>
        </w:tc>
        <w:tc>
          <w:tcPr>
            <w:tcW w:w="738" w:type="dxa"/>
            <w:shd w:val="clear" w:color="auto" w:fill="auto"/>
            <w:tcMar>
              <w:top w:w="0" w:type="dxa"/>
              <w:left w:w="108" w:type="dxa"/>
              <w:bottom w:w="0" w:type="dxa"/>
              <w:right w:w="108" w:type="dxa"/>
            </w:tcMar>
          </w:tcPr>
          <w:p w14:paraId="38E4DAF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3EB1701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-7.7</w:t>
            </w:r>
          </w:p>
        </w:tc>
        <w:tc>
          <w:tcPr>
            <w:tcW w:w="850" w:type="dxa"/>
            <w:shd w:val="clear" w:color="auto" w:fill="auto"/>
            <w:tcMar>
              <w:top w:w="0" w:type="dxa"/>
              <w:left w:w="108" w:type="dxa"/>
              <w:bottom w:w="0" w:type="dxa"/>
              <w:right w:w="108" w:type="dxa"/>
            </w:tcMar>
          </w:tcPr>
          <w:p w14:paraId="38257F2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-2.6</w:t>
            </w:r>
          </w:p>
        </w:tc>
        <w:tc>
          <w:tcPr>
            <w:tcW w:w="885" w:type="dxa"/>
            <w:shd w:val="clear" w:color="auto" w:fill="auto"/>
            <w:tcMar>
              <w:top w:w="0" w:type="dxa"/>
              <w:left w:w="108" w:type="dxa"/>
              <w:bottom w:w="0" w:type="dxa"/>
              <w:right w:w="108" w:type="dxa"/>
            </w:tcMar>
          </w:tcPr>
          <w:p w14:paraId="118B53A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56BF304C" w14:textId="77777777" w:rsidTr="00492095">
        <w:tc>
          <w:tcPr>
            <w:tcW w:w="2694" w:type="dxa"/>
            <w:gridSpan w:val="2"/>
            <w:shd w:val="clear" w:color="auto" w:fill="auto"/>
            <w:tcMar>
              <w:top w:w="0" w:type="dxa"/>
              <w:left w:w="108" w:type="dxa"/>
              <w:bottom w:w="0" w:type="dxa"/>
              <w:right w:w="108" w:type="dxa"/>
            </w:tcMar>
          </w:tcPr>
          <w:p w14:paraId="50A15629"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Strathclyde 15-17</w:t>
            </w:r>
          </w:p>
        </w:tc>
        <w:tc>
          <w:tcPr>
            <w:tcW w:w="958" w:type="dxa"/>
            <w:shd w:val="clear" w:color="auto" w:fill="auto"/>
            <w:tcMar>
              <w:top w:w="0" w:type="dxa"/>
              <w:left w:w="108" w:type="dxa"/>
              <w:bottom w:w="0" w:type="dxa"/>
              <w:right w:w="108" w:type="dxa"/>
            </w:tcMar>
          </w:tcPr>
          <w:p w14:paraId="587336A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-6.0</w:t>
            </w:r>
          </w:p>
        </w:tc>
        <w:tc>
          <w:tcPr>
            <w:tcW w:w="709" w:type="dxa"/>
            <w:gridSpan w:val="2"/>
            <w:shd w:val="clear" w:color="auto" w:fill="auto"/>
            <w:tcMar>
              <w:top w:w="0" w:type="dxa"/>
              <w:left w:w="108" w:type="dxa"/>
              <w:bottom w:w="0" w:type="dxa"/>
              <w:right w:w="108" w:type="dxa"/>
            </w:tcMar>
          </w:tcPr>
          <w:p w14:paraId="5704F47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1.5</w:t>
            </w:r>
          </w:p>
        </w:tc>
        <w:tc>
          <w:tcPr>
            <w:tcW w:w="709" w:type="dxa"/>
            <w:shd w:val="clear" w:color="auto" w:fill="auto"/>
            <w:tcMar>
              <w:top w:w="0" w:type="dxa"/>
              <w:left w:w="108" w:type="dxa"/>
              <w:bottom w:w="0" w:type="dxa"/>
              <w:right w:w="108" w:type="dxa"/>
            </w:tcMar>
          </w:tcPr>
          <w:p w14:paraId="7422875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-3.9</w:t>
            </w:r>
          </w:p>
        </w:tc>
        <w:tc>
          <w:tcPr>
            <w:tcW w:w="738" w:type="dxa"/>
            <w:shd w:val="clear" w:color="auto" w:fill="auto"/>
            <w:tcMar>
              <w:top w:w="0" w:type="dxa"/>
              <w:left w:w="108" w:type="dxa"/>
              <w:bottom w:w="0" w:type="dxa"/>
              <w:right w:w="108" w:type="dxa"/>
            </w:tcMar>
          </w:tcPr>
          <w:p w14:paraId="6BAEEAD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3074635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-9.0</w:t>
            </w:r>
          </w:p>
        </w:tc>
        <w:tc>
          <w:tcPr>
            <w:tcW w:w="850" w:type="dxa"/>
            <w:shd w:val="clear" w:color="auto" w:fill="auto"/>
            <w:tcMar>
              <w:top w:w="0" w:type="dxa"/>
              <w:left w:w="108" w:type="dxa"/>
              <w:bottom w:w="0" w:type="dxa"/>
              <w:right w:w="108" w:type="dxa"/>
            </w:tcMar>
          </w:tcPr>
          <w:p w14:paraId="7C14F39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-3.0</w:t>
            </w:r>
          </w:p>
        </w:tc>
        <w:tc>
          <w:tcPr>
            <w:tcW w:w="885" w:type="dxa"/>
            <w:shd w:val="clear" w:color="auto" w:fill="auto"/>
            <w:tcMar>
              <w:top w:w="0" w:type="dxa"/>
              <w:left w:w="108" w:type="dxa"/>
              <w:bottom w:w="0" w:type="dxa"/>
              <w:right w:w="108" w:type="dxa"/>
            </w:tcMar>
          </w:tcPr>
          <w:p w14:paraId="4AD133D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4B52EECA" w14:textId="77777777" w:rsidTr="00492095">
        <w:tc>
          <w:tcPr>
            <w:tcW w:w="2694" w:type="dxa"/>
            <w:gridSpan w:val="2"/>
            <w:shd w:val="clear" w:color="auto" w:fill="auto"/>
            <w:tcMar>
              <w:top w:w="0" w:type="dxa"/>
              <w:left w:w="108" w:type="dxa"/>
              <w:bottom w:w="0" w:type="dxa"/>
              <w:right w:w="108" w:type="dxa"/>
            </w:tcMar>
          </w:tcPr>
          <w:p w14:paraId="7FACC858"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Rest of South East 05-07</w:t>
            </w:r>
          </w:p>
        </w:tc>
        <w:tc>
          <w:tcPr>
            <w:tcW w:w="958" w:type="dxa"/>
            <w:shd w:val="clear" w:color="auto" w:fill="auto"/>
            <w:tcMar>
              <w:top w:w="0" w:type="dxa"/>
              <w:left w:w="108" w:type="dxa"/>
              <w:bottom w:w="0" w:type="dxa"/>
              <w:right w:w="108" w:type="dxa"/>
            </w:tcMar>
          </w:tcPr>
          <w:p w14:paraId="228ED80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-3.6</w:t>
            </w:r>
          </w:p>
        </w:tc>
        <w:tc>
          <w:tcPr>
            <w:tcW w:w="709" w:type="dxa"/>
            <w:gridSpan w:val="2"/>
            <w:shd w:val="clear" w:color="auto" w:fill="auto"/>
            <w:tcMar>
              <w:top w:w="0" w:type="dxa"/>
              <w:left w:w="108" w:type="dxa"/>
              <w:bottom w:w="0" w:type="dxa"/>
              <w:right w:w="108" w:type="dxa"/>
            </w:tcMar>
          </w:tcPr>
          <w:p w14:paraId="5D0221F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1.0</w:t>
            </w:r>
          </w:p>
        </w:tc>
        <w:tc>
          <w:tcPr>
            <w:tcW w:w="709" w:type="dxa"/>
            <w:shd w:val="clear" w:color="auto" w:fill="auto"/>
            <w:tcMar>
              <w:top w:w="0" w:type="dxa"/>
              <w:left w:w="108" w:type="dxa"/>
              <w:bottom w:w="0" w:type="dxa"/>
              <w:right w:w="108" w:type="dxa"/>
            </w:tcMar>
          </w:tcPr>
          <w:p w14:paraId="35DECF8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-3.5</w:t>
            </w:r>
          </w:p>
        </w:tc>
        <w:tc>
          <w:tcPr>
            <w:tcW w:w="738" w:type="dxa"/>
            <w:shd w:val="clear" w:color="auto" w:fill="auto"/>
            <w:tcMar>
              <w:top w:w="0" w:type="dxa"/>
              <w:left w:w="108" w:type="dxa"/>
              <w:bottom w:w="0" w:type="dxa"/>
              <w:right w:w="108" w:type="dxa"/>
            </w:tcMar>
          </w:tcPr>
          <w:p w14:paraId="3FCB9DF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0177201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-5.6</w:t>
            </w:r>
          </w:p>
        </w:tc>
        <w:tc>
          <w:tcPr>
            <w:tcW w:w="850" w:type="dxa"/>
            <w:shd w:val="clear" w:color="auto" w:fill="auto"/>
            <w:tcMar>
              <w:top w:w="0" w:type="dxa"/>
              <w:left w:w="108" w:type="dxa"/>
              <w:bottom w:w="0" w:type="dxa"/>
              <w:right w:w="108" w:type="dxa"/>
            </w:tcMar>
          </w:tcPr>
          <w:p w14:paraId="5216B74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-1.6</w:t>
            </w:r>
          </w:p>
        </w:tc>
        <w:tc>
          <w:tcPr>
            <w:tcW w:w="885" w:type="dxa"/>
            <w:shd w:val="clear" w:color="auto" w:fill="auto"/>
            <w:tcMar>
              <w:top w:w="0" w:type="dxa"/>
              <w:left w:w="108" w:type="dxa"/>
              <w:bottom w:w="0" w:type="dxa"/>
              <w:right w:w="108" w:type="dxa"/>
            </w:tcMar>
          </w:tcPr>
          <w:p w14:paraId="4C82A72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1BA8DF32" w14:textId="77777777" w:rsidTr="00492095">
        <w:tc>
          <w:tcPr>
            <w:tcW w:w="2694" w:type="dxa"/>
            <w:gridSpan w:val="2"/>
            <w:shd w:val="clear" w:color="auto" w:fill="auto"/>
            <w:tcMar>
              <w:top w:w="0" w:type="dxa"/>
              <w:left w:w="108" w:type="dxa"/>
              <w:bottom w:w="0" w:type="dxa"/>
              <w:right w:w="108" w:type="dxa"/>
            </w:tcMar>
          </w:tcPr>
          <w:p w14:paraId="479F85A3"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Rest of South East 15-17</w:t>
            </w:r>
          </w:p>
        </w:tc>
        <w:tc>
          <w:tcPr>
            <w:tcW w:w="958" w:type="dxa"/>
            <w:shd w:val="clear" w:color="auto" w:fill="auto"/>
            <w:tcMar>
              <w:top w:w="0" w:type="dxa"/>
              <w:left w:w="108" w:type="dxa"/>
              <w:bottom w:w="0" w:type="dxa"/>
              <w:right w:w="108" w:type="dxa"/>
            </w:tcMar>
          </w:tcPr>
          <w:p w14:paraId="4DD6984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-4.2</w:t>
            </w:r>
          </w:p>
        </w:tc>
        <w:tc>
          <w:tcPr>
            <w:tcW w:w="709" w:type="dxa"/>
            <w:gridSpan w:val="2"/>
            <w:shd w:val="clear" w:color="auto" w:fill="auto"/>
            <w:tcMar>
              <w:top w:w="0" w:type="dxa"/>
              <w:left w:w="108" w:type="dxa"/>
              <w:bottom w:w="0" w:type="dxa"/>
              <w:right w:w="108" w:type="dxa"/>
            </w:tcMar>
          </w:tcPr>
          <w:p w14:paraId="3C9CC25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1.1</w:t>
            </w:r>
          </w:p>
        </w:tc>
        <w:tc>
          <w:tcPr>
            <w:tcW w:w="709" w:type="dxa"/>
            <w:shd w:val="clear" w:color="auto" w:fill="auto"/>
            <w:tcMar>
              <w:top w:w="0" w:type="dxa"/>
              <w:left w:w="108" w:type="dxa"/>
              <w:bottom w:w="0" w:type="dxa"/>
              <w:right w:w="108" w:type="dxa"/>
            </w:tcMar>
          </w:tcPr>
          <w:p w14:paraId="64D9838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-3.9</w:t>
            </w:r>
          </w:p>
        </w:tc>
        <w:tc>
          <w:tcPr>
            <w:tcW w:w="738" w:type="dxa"/>
            <w:shd w:val="clear" w:color="auto" w:fill="auto"/>
            <w:tcMar>
              <w:top w:w="0" w:type="dxa"/>
              <w:left w:w="108" w:type="dxa"/>
              <w:bottom w:w="0" w:type="dxa"/>
              <w:right w:w="108" w:type="dxa"/>
            </w:tcMar>
          </w:tcPr>
          <w:p w14:paraId="0798147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70569A3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-6.4</w:t>
            </w:r>
          </w:p>
        </w:tc>
        <w:tc>
          <w:tcPr>
            <w:tcW w:w="850" w:type="dxa"/>
            <w:shd w:val="clear" w:color="auto" w:fill="auto"/>
            <w:tcMar>
              <w:top w:w="0" w:type="dxa"/>
              <w:left w:w="108" w:type="dxa"/>
              <w:bottom w:w="0" w:type="dxa"/>
              <w:right w:w="108" w:type="dxa"/>
            </w:tcMar>
          </w:tcPr>
          <w:p w14:paraId="4567CAA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-2.1</w:t>
            </w:r>
          </w:p>
        </w:tc>
        <w:tc>
          <w:tcPr>
            <w:tcW w:w="885" w:type="dxa"/>
            <w:shd w:val="clear" w:color="auto" w:fill="auto"/>
            <w:tcMar>
              <w:top w:w="0" w:type="dxa"/>
              <w:left w:w="108" w:type="dxa"/>
              <w:bottom w:w="0" w:type="dxa"/>
              <w:right w:w="108" w:type="dxa"/>
            </w:tcMar>
          </w:tcPr>
          <w:p w14:paraId="39D7822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22CB7CA3" w14:textId="77777777" w:rsidTr="00492095">
        <w:tc>
          <w:tcPr>
            <w:tcW w:w="2694" w:type="dxa"/>
            <w:gridSpan w:val="2"/>
            <w:shd w:val="clear" w:color="auto" w:fill="auto"/>
            <w:tcMar>
              <w:top w:w="0" w:type="dxa"/>
              <w:left w:w="108" w:type="dxa"/>
              <w:bottom w:w="0" w:type="dxa"/>
              <w:right w:w="108" w:type="dxa"/>
            </w:tcMar>
          </w:tcPr>
          <w:p w14:paraId="38875084"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West Midlands 05-07</w:t>
            </w:r>
          </w:p>
        </w:tc>
        <w:tc>
          <w:tcPr>
            <w:tcW w:w="958" w:type="dxa"/>
            <w:shd w:val="clear" w:color="auto" w:fill="auto"/>
            <w:tcMar>
              <w:top w:w="0" w:type="dxa"/>
              <w:left w:w="108" w:type="dxa"/>
              <w:bottom w:w="0" w:type="dxa"/>
              <w:right w:w="108" w:type="dxa"/>
            </w:tcMar>
          </w:tcPr>
          <w:p w14:paraId="3A28992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-3.9</w:t>
            </w:r>
          </w:p>
        </w:tc>
        <w:tc>
          <w:tcPr>
            <w:tcW w:w="709" w:type="dxa"/>
            <w:gridSpan w:val="2"/>
            <w:shd w:val="clear" w:color="auto" w:fill="auto"/>
            <w:tcMar>
              <w:top w:w="0" w:type="dxa"/>
              <w:left w:w="108" w:type="dxa"/>
              <w:bottom w:w="0" w:type="dxa"/>
              <w:right w:w="108" w:type="dxa"/>
            </w:tcMar>
          </w:tcPr>
          <w:p w14:paraId="4287D4F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1.3</w:t>
            </w:r>
          </w:p>
        </w:tc>
        <w:tc>
          <w:tcPr>
            <w:tcW w:w="709" w:type="dxa"/>
            <w:shd w:val="clear" w:color="auto" w:fill="auto"/>
            <w:tcMar>
              <w:top w:w="0" w:type="dxa"/>
              <w:left w:w="108" w:type="dxa"/>
              <w:bottom w:w="0" w:type="dxa"/>
              <w:right w:w="108" w:type="dxa"/>
            </w:tcMar>
          </w:tcPr>
          <w:p w14:paraId="7001EE3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-3.0</w:t>
            </w:r>
          </w:p>
        </w:tc>
        <w:tc>
          <w:tcPr>
            <w:tcW w:w="738" w:type="dxa"/>
            <w:shd w:val="clear" w:color="auto" w:fill="auto"/>
            <w:tcMar>
              <w:top w:w="0" w:type="dxa"/>
              <w:left w:w="108" w:type="dxa"/>
              <w:bottom w:w="0" w:type="dxa"/>
              <w:right w:w="108" w:type="dxa"/>
            </w:tcMar>
          </w:tcPr>
          <w:p w14:paraId="151D39D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.003</w:t>
            </w:r>
          </w:p>
        </w:tc>
        <w:tc>
          <w:tcPr>
            <w:tcW w:w="821" w:type="dxa"/>
            <w:gridSpan w:val="2"/>
            <w:shd w:val="clear" w:color="auto" w:fill="auto"/>
            <w:tcMar>
              <w:top w:w="0" w:type="dxa"/>
              <w:left w:w="108" w:type="dxa"/>
              <w:bottom w:w="0" w:type="dxa"/>
              <w:right w:w="108" w:type="dxa"/>
            </w:tcMar>
          </w:tcPr>
          <w:p w14:paraId="1D415A1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-6.4</w:t>
            </w:r>
          </w:p>
        </w:tc>
        <w:tc>
          <w:tcPr>
            <w:tcW w:w="850" w:type="dxa"/>
            <w:shd w:val="clear" w:color="auto" w:fill="auto"/>
            <w:tcMar>
              <w:top w:w="0" w:type="dxa"/>
              <w:left w:w="108" w:type="dxa"/>
              <w:bottom w:w="0" w:type="dxa"/>
              <w:right w:w="108" w:type="dxa"/>
            </w:tcMar>
          </w:tcPr>
          <w:p w14:paraId="6F2A859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-1.3</w:t>
            </w:r>
          </w:p>
        </w:tc>
        <w:tc>
          <w:tcPr>
            <w:tcW w:w="885" w:type="dxa"/>
            <w:shd w:val="clear" w:color="auto" w:fill="auto"/>
            <w:tcMar>
              <w:top w:w="0" w:type="dxa"/>
              <w:left w:w="108" w:type="dxa"/>
              <w:bottom w:w="0" w:type="dxa"/>
              <w:right w:w="108" w:type="dxa"/>
            </w:tcMar>
          </w:tcPr>
          <w:p w14:paraId="4D53CC2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58306F83" w14:textId="77777777" w:rsidTr="00492095">
        <w:tc>
          <w:tcPr>
            <w:tcW w:w="2694" w:type="dxa"/>
            <w:gridSpan w:val="2"/>
            <w:shd w:val="clear" w:color="auto" w:fill="auto"/>
            <w:tcMar>
              <w:top w:w="0" w:type="dxa"/>
              <w:left w:w="108" w:type="dxa"/>
              <w:bottom w:w="0" w:type="dxa"/>
              <w:right w:w="108" w:type="dxa"/>
            </w:tcMar>
          </w:tcPr>
          <w:p w14:paraId="737940D8"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West Midlands 15-17</w:t>
            </w:r>
          </w:p>
        </w:tc>
        <w:tc>
          <w:tcPr>
            <w:tcW w:w="958" w:type="dxa"/>
            <w:shd w:val="clear" w:color="auto" w:fill="auto"/>
            <w:tcMar>
              <w:top w:w="0" w:type="dxa"/>
              <w:left w:w="108" w:type="dxa"/>
              <w:bottom w:w="0" w:type="dxa"/>
              <w:right w:w="108" w:type="dxa"/>
            </w:tcMar>
          </w:tcPr>
          <w:p w14:paraId="0DB9913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-4.6</w:t>
            </w:r>
          </w:p>
        </w:tc>
        <w:tc>
          <w:tcPr>
            <w:tcW w:w="709" w:type="dxa"/>
            <w:gridSpan w:val="2"/>
            <w:shd w:val="clear" w:color="auto" w:fill="auto"/>
            <w:tcMar>
              <w:top w:w="0" w:type="dxa"/>
              <w:left w:w="108" w:type="dxa"/>
              <w:bottom w:w="0" w:type="dxa"/>
              <w:right w:w="108" w:type="dxa"/>
            </w:tcMar>
          </w:tcPr>
          <w:p w14:paraId="2303958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1.5</w:t>
            </w:r>
          </w:p>
        </w:tc>
        <w:tc>
          <w:tcPr>
            <w:tcW w:w="709" w:type="dxa"/>
            <w:shd w:val="clear" w:color="auto" w:fill="auto"/>
            <w:tcMar>
              <w:top w:w="0" w:type="dxa"/>
              <w:left w:w="108" w:type="dxa"/>
              <w:bottom w:w="0" w:type="dxa"/>
              <w:right w:w="108" w:type="dxa"/>
            </w:tcMar>
          </w:tcPr>
          <w:p w14:paraId="5B8B897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-3.1</w:t>
            </w:r>
          </w:p>
        </w:tc>
        <w:tc>
          <w:tcPr>
            <w:tcW w:w="738" w:type="dxa"/>
            <w:shd w:val="clear" w:color="auto" w:fill="auto"/>
            <w:tcMar>
              <w:top w:w="0" w:type="dxa"/>
              <w:left w:w="108" w:type="dxa"/>
              <w:bottom w:w="0" w:type="dxa"/>
              <w:right w:w="108" w:type="dxa"/>
            </w:tcMar>
          </w:tcPr>
          <w:p w14:paraId="1325BA5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.002</w:t>
            </w:r>
          </w:p>
        </w:tc>
        <w:tc>
          <w:tcPr>
            <w:tcW w:w="821" w:type="dxa"/>
            <w:gridSpan w:val="2"/>
            <w:shd w:val="clear" w:color="auto" w:fill="auto"/>
            <w:tcMar>
              <w:top w:w="0" w:type="dxa"/>
              <w:left w:w="108" w:type="dxa"/>
              <w:bottom w:w="0" w:type="dxa"/>
              <w:right w:w="108" w:type="dxa"/>
            </w:tcMar>
          </w:tcPr>
          <w:p w14:paraId="296AEEE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-7.5</w:t>
            </w:r>
          </w:p>
        </w:tc>
        <w:tc>
          <w:tcPr>
            <w:tcW w:w="850" w:type="dxa"/>
            <w:shd w:val="clear" w:color="auto" w:fill="auto"/>
            <w:tcMar>
              <w:top w:w="0" w:type="dxa"/>
              <w:left w:w="108" w:type="dxa"/>
              <w:bottom w:w="0" w:type="dxa"/>
              <w:right w:w="108" w:type="dxa"/>
            </w:tcMar>
          </w:tcPr>
          <w:p w14:paraId="065BF67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-1.7</w:t>
            </w:r>
          </w:p>
        </w:tc>
        <w:tc>
          <w:tcPr>
            <w:tcW w:w="885" w:type="dxa"/>
            <w:shd w:val="clear" w:color="auto" w:fill="auto"/>
            <w:tcMar>
              <w:top w:w="0" w:type="dxa"/>
              <w:left w:w="108" w:type="dxa"/>
              <w:bottom w:w="0" w:type="dxa"/>
              <w:right w:w="108" w:type="dxa"/>
            </w:tcMar>
          </w:tcPr>
          <w:p w14:paraId="110A6E2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36782690" w14:textId="77777777" w:rsidTr="00492095">
        <w:tc>
          <w:tcPr>
            <w:tcW w:w="2694" w:type="dxa"/>
            <w:gridSpan w:val="2"/>
            <w:shd w:val="clear" w:color="auto" w:fill="auto"/>
            <w:tcMar>
              <w:top w:w="0" w:type="dxa"/>
              <w:left w:w="108" w:type="dxa"/>
              <w:bottom w:w="0" w:type="dxa"/>
              <w:right w:w="108" w:type="dxa"/>
            </w:tcMar>
          </w:tcPr>
          <w:p w14:paraId="5532C7E9"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Outer London 05-07</w:t>
            </w:r>
          </w:p>
        </w:tc>
        <w:tc>
          <w:tcPr>
            <w:tcW w:w="958" w:type="dxa"/>
            <w:shd w:val="clear" w:color="auto" w:fill="auto"/>
            <w:tcMar>
              <w:top w:w="0" w:type="dxa"/>
              <w:left w:w="108" w:type="dxa"/>
              <w:bottom w:w="0" w:type="dxa"/>
              <w:right w:w="108" w:type="dxa"/>
            </w:tcMar>
          </w:tcPr>
          <w:p w14:paraId="182C0EE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-3.7</w:t>
            </w:r>
          </w:p>
        </w:tc>
        <w:tc>
          <w:tcPr>
            <w:tcW w:w="709" w:type="dxa"/>
            <w:gridSpan w:val="2"/>
            <w:shd w:val="clear" w:color="auto" w:fill="auto"/>
            <w:tcMar>
              <w:top w:w="0" w:type="dxa"/>
              <w:left w:w="108" w:type="dxa"/>
              <w:bottom w:w="0" w:type="dxa"/>
              <w:right w:w="108" w:type="dxa"/>
            </w:tcMar>
          </w:tcPr>
          <w:p w14:paraId="6D43DAC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1.1</w:t>
            </w:r>
          </w:p>
        </w:tc>
        <w:tc>
          <w:tcPr>
            <w:tcW w:w="709" w:type="dxa"/>
            <w:shd w:val="clear" w:color="auto" w:fill="auto"/>
            <w:tcMar>
              <w:top w:w="0" w:type="dxa"/>
              <w:left w:w="108" w:type="dxa"/>
              <w:bottom w:w="0" w:type="dxa"/>
              <w:right w:w="108" w:type="dxa"/>
            </w:tcMar>
          </w:tcPr>
          <w:p w14:paraId="5F2BF21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-3.3</w:t>
            </w:r>
          </w:p>
        </w:tc>
        <w:tc>
          <w:tcPr>
            <w:tcW w:w="738" w:type="dxa"/>
            <w:shd w:val="clear" w:color="auto" w:fill="auto"/>
            <w:tcMar>
              <w:top w:w="0" w:type="dxa"/>
              <w:left w:w="108" w:type="dxa"/>
              <w:bottom w:w="0" w:type="dxa"/>
              <w:right w:w="108" w:type="dxa"/>
            </w:tcMar>
          </w:tcPr>
          <w:p w14:paraId="33F3E77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.001</w:t>
            </w:r>
          </w:p>
        </w:tc>
        <w:tc>
          <w:tcPr>
            <w:tcW w:w="821" w:type="dxa"/>
            <w:gridSpan w:val="2"/>
            <w:shd w:val="clear" w:color="auto" w:fill="auto"/>
            <w:tcMar>
              <w:top w:w="0" w:type="dxa"/>
              <w:left w:w="108" w:type="dxa"/>
              <w:bottom w:w="0" w:type="dxa"/>
              <w:right w:w="108" w:type="dxa"/>
            </w:tcMar>
          </w:tcPr>
          <w:p w14:paraId="2F03FBD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-5.9</w:t>
            </w:r>
          </w:p>
        </w:tc>
        <w:tc>
          <w:tcPr>
            <w:tcW w:w="850" w:type="dxa"/>
            <w:shd w:val="clear" w:color="auto" w:fill="auto"/>
            <w:tcMar>
              <w:top w:w="0" w:type="dxa"/>
              <w:left w:w="108" w:type="dxa"/>
              <w:bottom w:w="0" w:type="dxa"/>
              <w:right w:w="108" w:type="dxa"/>
            </w:tcMar>
          </w:tcPr>
          <w:p w14:paraId="46E1AD7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-1.5</w:t>
            </w:r>
          </w:p>
        </w:tc>
        <w:tc>
          <w:tcPr>
            <w:tcW w:w="885" w:type="dxa"/>
            <w:shd w:val="clear" w:color="auto" w:fill="auto"/>
            <w:tcMar>
              <w:top w:w="0" w:type="dxa"/>
              <w:left w:w="108" w:type="dxa"/>
              <w:bottom w:w="0" w:type="dxa"/>
              <w:right w:w="108" w:type="dxa"/>
            </w:tcMar>
          </w:tcPr>
          <w:p w14:paraId="5AC79A5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33E9EEC2" w14:textId="77777777" w:rsidTr="00492095">
        <w:tc>
          <w:tcPr>
            <w:tcW w:w="2694" w:type="dxa"/>
            <w:gridSpan w:val="2"/>
            <w:shd w:val="clear" w:color="auto" w:fill="auto"/>
            <w:tcMar>
              <w:top w:w="0" w:type="dxa"/>
              <w:left w:w="108" w:type="dxa"/>
              <w:bottom w:w="0" w:type="dxa"/>
              <w:right w:w="108" w:type="dxa"/>
            </w:tcMar>
          </w:tcPr>
          <w:p w14:paraId="3A6C35EF"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Outer London 15-17</w:t>
            </w:r>
          </w:p>
        </w:tc>
        <w:tc>
          <w:tcPr>
            <w:tcW w:w="958" w:type="dxa"/>
            <w:shd w:val="clear" w:color="auto" w:fill="auto"/>
            <w:tcMar>
              <w:top w:w="0" w:type="dxa"/>
              <w:left w:w="108" w:type="dxa"/>
              <w:bottom w:w="0" w:type="dxa"/>
              <w:right w:w="108" w:type="dxa"/>
            </w:tcMar>
          </w:tcPr>
          <w:p w14:paraId="645DE09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-4.4</w:t>
            </w:r>
          </w:p>
        </w:tc>
        <w:tc>
          <w:tcPr>
            <w:tcW w:w="709" w:type="dxa"/>
            <w:gridSpan w:val="2"/>
            <w:shd w:val="clear" w:color="auto" w:fill="auto"/>
            <w:tcMar>
              <w:top w:w="0" w:type="dxa"/>
              <w:left w:w="108" w:type="dxa"/>
              <w:bottom w:w="0" w:type="dxa"/>
              <w:right w:w="108" w:type="dxa"/>
            </w:tcMar>
          </w:tcPr>
          <w:p w14:paraId="007D3D9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w:t>
            </w:r>
          </w:p>
        </w:tc>
        <w:tc>
          <w:tcPr>
            <w:tcW w:w="709" w:type="dxa"/>
            <w:shd w:val="clear" w:color="auto" w:fill="auto"/>
            <w:tcMar>
              <w:top w:w="0" w:type="dxa"/>
              <w:left w:w="108" w:type="dxa"/>
              <w:bottom w:w="0" w:type="dxa"/>
              <w:right w:w="108" w:type="dxa"/>
            </w:tcMar>
          </w:tcPr>
          <w:p w14:paraId="5FAFDF8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-3.6</w:t>
            </w:r>
          </w:p>
        </w:tc>
        <w:tc>
          <w:tcPr>
            <w:tcW w:w="738" w:type="dxa"/>
            <w:shd w:val="clear" w:color="auto" w:fill="auto"/>
            <w:tcMar>
              <w:top w:w="0" w:type="dxa"/>
              <w:left w:w="108" w:type="dxa"/>
              <w:bottom w:w="0" w:type="dxa"/>
              <w:right w:w="108" w:type="dxa"/>
            </w:tcMar>
          </w:tcPr>
          <w:p w14:paraId="791F47E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4016A35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-6.9</w:t>
            </w:r>
          </w:p>
        </w:tc>
        <w:tc>
          <w:tcPr>
            <w:tcW w:w="850" w:type="dxa"/>
            <w:shd w:val="clear" w:color="auto" w:fill="auto"/>
            <w:tcMar>
              <w:top w:w="0" w:type="dxa"/>
              <w:left w:w="108" w:type="dxa"/>
              <w:bottom w:w="0" w:type="dxa"/>
              <w:right w:w="108" w:type="dxa"/>
            </w:tcMar>
          </w:tcPr>
          <w:p w14:paraId="3F85177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-2.0</w:t>
            </w:r>
          </w:p>
        </w:tc>
        <w:tc>
          <w:tcPr>
            <w:tcW w:w="885" w:type="dxa"/>
            <w:shd w:val="clear" w:color="auto" w:fill="auto"/>
            <w:tcMar>
              <w:top w:w="0" w:type="dxa"/>
              <w:left w:w="108" w:type="dxa"/>
              <w:bottom w:w="0" w:type="dxa"/>
              <w:right w:w="108" w:type="dxa"/>
            </w:tcMar>
          </w:tcPr>
          <w:p w14:paraId="6FE15E4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2F4ADBAC" w14:textId="77777777" w:rsidTr="00492095">
        <w:tc>
          <w:tcPr>
            <w:tcW w:w="2694" w:type="dxa"/>
            <w:gridSpan w:val="2"/>
            <w:shd w:val="clear" w:color="auto" w:fill="auto"/>
            <w:tcMar>
              <w:top w:w="0" w:type="dxa"/>
              <w:left w:w="108" w:type="dxa"/>
              <w:bottom w:w="0" w:type="dxa"/>
              <w:right w:w="108" w:type="dxa"/>
            </w:tcMar>
          </w:tcPr>
          <w:p w14:paraId="307947CB"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Inner London 05-07</w:t>
            </w:r>
          </w:p>
        </w:tc>
        <w:tc>
          <w:tcPr>
            <w:tcW w:w="958" w:type="dxa"/>
            <w:shd w:val="clear" w:color="auto" w:fill="auto"/>
            <w:tcMar>
              <w:top w:w="0" w:type="dxa"/>
              <w:left w:w="108" w:type="dxa"/>
              <w:bottom w:w="0" w:type="dxa"/>
              <w:right w:w="108" w:type="dxa"/>
            </w:tcMar>
          </w:tcPr>
          <w:p w14:paraId="37C3FCE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709" w:type="dxa"/>
            <w:gridSpan w:val="2"/>
            <w:shd w:val="clear" w:color="auto" w:fill="auto"/>
            <w:tcMar>
              <w:top w:w="0" w:type="dxa"/>
              <w:left w:w="108" w:type="dxa"/>
              <w:bottom w:w="0" w:type="dxa"/>
              <w:right w:w="108" w:type="dxa"/>
            </w:tcMar>
          </w:tcPr>
          <w:p w14:paraId="74C91E2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709" w:type="dxa"/>
            <w:shd w:val="clear" w:color="auto" w:fill="auto"/>
            <w:tcMar>
              <w:top w:w="0" w:type="dxa"/>
              <w:left w:w="108" w:type="dxa"/>
              <w:bottom w:w="0" w:type="dxa"/>
              <w:right w:w="108" w:type="dxa"/>
            </w:tcMar>
          </w:tcPr>
          <w:p w14:paraId="6297876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738" w:type="dxa"/>
            <w:shd w:val="clear" w:color="auto" w:fill="auto"/>
            <w:tcMar>
              <w:top w:w="0" w:type="dxa"/>
              <w:left w:w="108" w:type="dxa"/>
              <w:bottom w:w="0" w:type="dxa"/>
              <w:right w:w="108" w:type="dxa"/>
            </w:tcMar>
          </w:tcPr>
          <w:p w14:paraId="6A32595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821" w:type="dxa"/>
            <w:gridSpan w:val="2"/>
            <w:shd w:val="clear" w:color="auto" w:fill="auto"/>
            <w:tcMar>
              <w:top w:w="0" w:type="dxa"/>
              <w:left w:w="108" w:type="dxa"/>
              <w:bottom w:w="0" w:type="dxa"/>
              <w:right w:w="108" w:type="dxa"/>
            </w:tcMar>
          </w:tcPr>
          <w:p w14:paraId="289AB0D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850" w:type="dxa"/>
            <w:shd w:val="clear" w:color="auto" w:fill="auto"/>
            <w:tcMar>
              <w:top w:w="0" w:type="dxa"/>
              <w:left w:w="108" w:type="dxa"/>
              <w:bottom w:w="0" w:type="dxa"/>
              <w:right w:w="108" w:type="dxa"/>
            </w:tcMar>
          </w:tcPr>
          <w:p w14:paraId="517F8F4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885" w:type="dxa"/>
            <w:shd w:val="clear" w:color="auto" w:fill="auto"/>
            <w:tcMar>
              <w:top w:w="0" w:type="dxa"/>
              <w:left w:w="108" w:type="dxa"/>
              <w:bottom w:w="0" w:type="dxa"/>
              <w:right w:w="108" w:type="dxa"/>
            </w:tcMar>
          </w:tcPr>
          <w:p w14:paraId="25A7BEAE" w14:textId="77777777" w:rsidR="00492095" w:rsidRPr="00B61A5F" w:rsidRDefault="00492095" w:rsidP="00492095">
            <w:pPr>
              <w:widowControl w:val="0"/>
              <w:autoSpaceDE w:val="0"/>
              <w:spacing w:after="0" w:line="480" w:lineRule="auto"/>
              <w:jc w:val="right"/>
              <w:rPr>
                <w:sz w:val="16"/>
                <w:szCs w:val="16"/>
                <w:lang w:val="en-US"/>
              </w:rPr>
            </w:pPr>
          </w:p>
        </w:tc>
      </w:tr>
      <w:tr w:rsidR="00492095" w:rsidRPr="00B61A5F" w14:paraId="27539025" w14:textId="77777777" w:rsidTr="00492095">
        <w:tc>
          <w:tcPr>
            <w:tcW w:w="2694" w:type="dxa"/>
            <w:gridSpan w:val="2"/>
            <w:shd w:val="clear" w:color="auto" w:fill="auto"/>
            <w:tcMar>
              <w:top w:w="0" w:type="dxa"/>
              <w:left w:w="108" w:type="dxa"/>
              <w:bottom w:w="0" w:type="dxa"/>
              <w:right w:w="108" w:type="dxa"/>
            </w:tcMar>
          </w:tcPr>
          <w:p w14:paraId="65DA33BE"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Inner London 15-17</w:t>
            </w:r>
          </w:p>
        </w:tc>
        <w:tc>
          <w:tcPr>
            <w:tcW w:w="958" w:type="dxa"/>
            <w:shd w:val="clear" w:color="auto" w:fill="auto"/>
            <w:tcMar>
              <w:top w:w="0" w:type="dxa"/>
              <w:left w:w="108" w:type="dxa"/>
              <w:bottom w:w="0" w:type="dxa"/>
              <w:right w:w="108" w:type="dxa"/>
            </w:tcMar>
          </w:tcPr>
          <w:p w14:paraId="7EFFED3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-4.2</w:t>
            </w:r>
          </w:p>
        </w:tc>
        <w:tc>
          <w:tcPr>
            <w:tcW w:w="709" w:type="dxa"/>
            <w:gridSpan w:val="2"/>
            <w:shd w:val="clear" w:color="auto" w:fill="auto"/>
            <w:tcMar>
              <w:top w:w="0" w:type="dxa"/>
              <w:left w:w="108" w:type="dxa"/>
              <w:bottom w:w="0" w:type="dxa"/>
              <w:right w:w="108" w:type="dxa"/>
            </w:tcMar>
          </w:tcPr>
          <w:p w14:paraId="3B3B639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1.6</w:t>
            </w:r>
          </w:p>
        </w:tc>
        <w:tc>
          <w:tcPr>
            <w:tcW w:w="709" w:type="dxa"/>
            <w:shd w:val="clear" w:color="auto" w:fill="auto"/>
            <w:tcMar>
              <w:top w:w="0" w:type="dxa"/>
              <w:left w:w="108" w:type="dxa"/>
              <w:bottom w:w="0" w:type="dxa"/>
              <w:right w:w="108" w:type="dxa"/>
            </w:tcMar>
          </w:tcPr>
          <w:p w14:paraId="70687C2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-2.7</w:t>
            </w:r>
          </w:p>
        </w:tc>
        <w:tc>
          <w:tcPr>
            <w:tcW w:w="738" w:type="dxa"/>
            <w:shd w:val="clear" w:color="auto" w:fill="auto"/>
            <w:tcMar>
              <w:top w:w="0" w:type="dxa"/>
              <w:left w:w="108" w:type="dxa"/>
              <w:bottom w:w="0" w:type="dxa"/>
              <w:right w:w="108" w:type="dxa"/>
            </w:tcMar>
          </w:tcPr>
          <w:p w14:paraId="7370F93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.007</w:t>
            </w:r>
          </w:p>
        </w:tc>
        <w:tc>
          <w:tcPr>
            <w:tcW w:w="821" w:type="dxa"/>
            <w:gridSpan w:val="2"/>
            <w:shd w:val="clear" w:color="auto" w:fill="auto"/>
            <w:tcMar>
              <w:top w:w="0" w:type="dxa"/>
              <w:left w:w="108" w:type="dxa"/>
              <w:bottom w:w="0" w:type="dxa"/>
              <w:right w:w="108" w:type="dxa"/>
            </w:tcMar>
          </w:tcPr>
          <w:p w14:paraId="5016247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-7.3</w:t>
            </w:r>
          </w:p>
        </w:tc>
        <w:tc>
          <w:tcPr>
            <w:tcW w:w="850" w:type="dxa"/>
            <w:shd w:val="clear" w:color="auto" w:fill="auto"/>
            <w:tcMar>
              <w:top w:w="0" w:type="dxa"/>
              <w:left w:w="108" w:type="dxa"/>
              <w:bottom w:w="0" w:type="dxa"/>
              <w:right w:w="108" w:type="dxa"/>
            </w:tcMar>
          </w:tcPr>
          <w:p w14:paraId="7C82204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w:t>
            </w:r>
          </w:p>
        </w:tc>
        <w:tc>
          <w:tcPr>
            <w:tcW w:w="885" w:type="dxa"/>
            <w:shd w:val="clear" w:color="auto" w:fill="auto"/>
            <w:tcMar>
              <w:top w:w="0" w:type="dxa"/>
              <w:left w:w="108" w:type="dxa"/>
              <w:bottom w:w="0" w:type="dxa"/>
              <w:right w:w="108" w:type="dxa"/>
            </w:tcMar>
          </w:tcPr>
          <w:p w14:paraId="271D3A5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650FD1F4" w14:textId="77777777" w:rsidTr="00492095">
        <w:tc>
          <w:tcPr>
            <w:tcW w:w="2694" w:type="dxa"/>
            <w:gridSpan w:val="2"/>
            <w:shd w:val="clear" w:color="auto" w:fill="auto"/>
            <w:tcMar>
              <w:top w:w="0" w:type="dxa"/>
              <w:left w:w="108" w:type="dxa"/>
              <w:bottom w:w="0" w:type="dxa"/>
              <w:right w:w="108" w:type="dxa"/>
            </w:tcMar>
          </w:tcPr>
          <w:p w14:paraId="4BCD96EF"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 xml:space="preserve"> 18</w:t>
            </w:r>
          </w:p>
        </w:tc>
        <w:tc>
          <w:tcPr>
            <w:tcW w:w="958" w:type="dxa"/>
            <w:shd w:val="clear" w:color="auto" w:fill="auto"/>
            <w:tcMar>
              <w:top w:w="0" w:type="dxa"/>
              <w:left w:w="108" w:type="dxa"/>
              <w:bottom w:w="0" w:type="dxa"/>
              <w:right w:w="108" w:type="dxa"/>
            </w:tcMar>
          </w:tcPr>
          <w:p w14:paraId="2924313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709" w:type="dxa"/>
            <w:gridSpan w:val="2"/>
            <w:shd w:val="clear" w:color="auto" w:fill="auto"/>
            <w:tcMar>
              <w:top w:w="0" w:type="dxa"/>
              <w:left w:w="108" w:type="dxa"/>
              <w:bottom w:w="0" w:type="dxa"/>
              <w:right w:w="108" w:type="dxa"/>
            </w:tcMar>
          </w:tcPr>
          <w:p w14:paraId="6C8084A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709" w:type="dxa"/>
            <w:shd w:val="clear" w:color="auto" w:fill="auto"/>
            <w:tcMar>
              <w:top w:w="0" w:type="dxa"/>
              <w:left w:w="108" w:type="dxa"/>
              <w:bottom w:w="0" w:type="dxa"/>
              <w:right w:w="108" w:type="dxa"/>
            </w:tcMar>
          </w:tcPr>
          <w:p w14:paraId="196F23E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738" w:type="dxa"/>
            <w:shd w:val="clear" w:color="auto" w:fill="auto"/>
            <w:tcMar>
              <w:top w:w="0" w:type="dxa"/>
              <w:left w:w="108" w:type="dxa"/>
              <w:bottom w:w="0" w:type="dxa"/>
              <w:right w:w="108" w:type="dxa"/>
            </w:tcMar>
          </w:tcPr>
          <w:p w14:paraId="57C08E1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821" w:type="dxa"/>
            <w:gridSpan w:val="2"/>
            <w:shd w:val="clear" w:color="auto" w:fill="auto"/>
            <w:tcMar>
              <w:top w:w="0" w:type="dxa"/>
              <w:left w:w="108" w:type="dxa"/>
              <w:bottom w:w="0" w:type="dxa"/>
              <w:right w:w="108" w:type="dxa"/>
            </w:tcMar>
          </w:tcPr>
          <w:p w14:paraId="1118AF6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850" w:type="dxa"/>
            <w:shd w:val="clear" w:color="auto" w:fill="auto"/>
            <w:tcMar>
              <w:top w:w="0" w:type="dxa"/>
              <w:left w:w="108" w:type="dxa"/>
              <w:bottom w:w="0" w:type="dxa"/>
              <w:right w:w="108" w:type="dxa"/>
            </w:tcMar>
          </w:tcPr>
          <w:p w14:paraId="7B0EA79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885" w:type="dxa"/>
            <w:shd w:val="clear" w:color="auto" w:fill="auto"/>
            <w:tcMar>
              <w:top w:w="0" w:type="dxa"/>
              <w:left w:w="108" w:type="dxa"/>
              <w:bottom w:w="0" w:type="dxa"/>
              <w:right w:w="108" w:type="dxa"/>
            </w:tcMar>
          </w:tcPr>
          <w:p w14:paraId="7C4102A8" w14:textId="77777777" w:rsidR="00492095" w:rsidRPr="00B61A5F" w:rsidRDefault="00492095" w:rsidP="00492095">
            <w:pPr>
              <w:widowControl w:val="0"/>
              <w:autoSpaceDE w:val="0"/>
              <w:spacing w:after="0" w:line="480" w:lineRule="auto"/>
              <w:jc w:val="right"/>
              <w:rPr>
                <w:sz w:val="16"/>
                <w:szCs w:val="16"/>
                <w:lang w:val="en-US"/>
              </w:rPr>
            </w:pPr>
          </w:p>
        </w:tc>
      </w:tr>
      <w:tr w:rsidR="00492095" w:rsidRPr="00B61A5F" w14:paraId="0147EBC2" w14:textId="77777777" w:rsidTr="00492095">
        <w:tc>
          <w:tcPr>
            <w:tcW w:w="2694" w:type="dxa"/>
            <w:gridSpan w:val="2"/>
            <w:shd w:val="clear" w:color="auto" w:fill="auto"/>
            <w:tcMar>
              <w:top w:w="0" w:type="dxa"/>
              <w:left w:w="108" w:type="dxa"/>
              <w:bottom w:w="0" w:type="dxa"/>
              <w:right w:w="108" w:type="dxa"/>
            </w:tcMar>
          </w:tcPr>
          <w:p w14:paraId="2AF65F46"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 xml:space="preserve"> 19</w:t>
            </w:r>
          </w:p>
        </w:tc>
        <w:tc>
          <w:tcPr>
            <w:tcW w:w="958" w:type="dxa"/>
            <w:shd w:val="clear" w:color="auto" w:fill="auto"/>
            <w:tcMar>
              <w:top w:w="0" w:type="dxa"/>
              <w:left w:w="108" w:type="dxa"/>
              <w:bottom w:w="0" w:type="dxa"/>
              <w:right w:w="108" w:type="dxa"/>
            </w:tcMar>
          </w:tcPr>
          <w:p w14:paraId="48B1CDE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-1.3</w:t>
            </w:r>
          </w:p>
        </w:tc>
        <w:tc>
          <w:tcPr>
            <w:tcW w:w="709" w:type="dxa"/>
            <w:gridSpan w:val="2"/>
            <w:shd w:val="clear" w:color="auto" w:fill="auto"/>
            <w:tcMar>
              <w:top w:w="0" w:type="dxa"/>
              <w:left w:w="108" w:type="dxa"/>
              <w:bottom w:w="0" w:type="dxa"/>
              <w:right w:w="108" w:type="dxa"/>
            </w:tcMar>
          </w:tcPr>
          <w:p w14:paraId="6835101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0.6</w:t>
            </w:r>
          </w:p>
        </w:tc>
        <w:tc>
          <w:tcPr>
            <w:tcW w:w="709" w:type="dxa"/>
            <w:shd w:val="clear" w:color="auto" w:fill="auto"/>
            <w:tcMar>
              <w:top w:w="0" w:type="dxa"/>
              <w:left w:w="108" w:type="dxa"/>
              <w:bottom w:w="0" w:type="dxa"/>
              <w:right w:w="108" w:type="dxa"/>
            </w:tcMar>
          </w:tcPr>
          <w:p w14:paraId="56B69E1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-2.2</w:t>
            </w:r>
          </w:p>
        </w:tc>
        <w:tc>
          <w:tcPr>
            <w:tcW w:w="738" w:type="dxa"/>
            <w:shd w:val="clear" w:color="auto" w:fill="auto"/>
            <w:tcMar>
              <w:top w:w="0" w:type="dxa"/>
              <w:left w:w="108" w:type="dxa"/>
              <w:bottom w:w="0" w:type="dxa"/>
              <w:right w:w="108" w:type="dxa"/>
            </w:tcMar>
          </w:tcPr>
          <w:p w14:paraId="36DBB57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.030</w:t>
            </w:r>
          </w:p>
        </w:tc>
        <w:tc>
          <w:tcPr>
            <w:tcW w:w="821" w:type="dxa"/>
            <w:gridSpan w:val="2"/>
            <w:shd w:val="clear" w:color="auto" w:fill="auto"/>
            <w:tcMar>
              <w:top w:w="0" w:type="dxa"/>
              <w:left w:w="108" w:type="dxa"/>
              <w:bottom w:w="0" w:type="dxa"/>
              <w:right w:w="108" w:type="dxa"/>
            </w:tcMar>
          </w:tcPr>
          <w:p w14:paraId="25CE742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-2.5</w:t>
            </w:r>
          </w:p>
        </w:tc>
        <w:tc>
          <w:tcPr>
            <w:tcW w:w="850" w:type="dxa"/>
            <w:shd w:val="clear" w:color="auto" w:fill="auto"/>
            <w:tcMar>
              <w:top w:w="0" w:type="dxa"/>
              <w:left w:w="108" w:type="dxa"/>
              <w:bottom w:w="0" w:type="dxa"/>
              <w:right w:w="108" w:type="dxa"/>
            </w:tcMar>
          </w:tcPr>
          <w:p w14:paraId="7C4A935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-0.1</w:t>
            </w:r>
          </w:p>
        </w:tc>
        <w:tc>
          <w:tcPr>
            <w:tcW w:w="885" w:type="dxa"/>
            <w:shd w:val="clear" w:color="auto" w:fill="auto"/>
            <w:tcMar>
              <w:top w:w="0" w:type="dxa"/>
              <w:left w:w="108" w:type="dxa"/>
              <w:bottom w:w="0" w:type="dxa"/>
              <w:right w:w="108" w:type="dxa"/>
            </w:tcMar>
          </w:tcPr>
          <w:p w14:paraId="54028F7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2899BB1B" w14:textId="77777777" w:rsidTr="00492095">
        <w:tc>
          <w:tcPr>
            <w:tcW w:w="2694" w:type="dxa"/>
            <w:gridSpan w:val="2"/>
            <w:shd w:val="clear" w:color="auto" w:fill="auto"/>
            <w:tcMar>
              <w:top w:w="0" w:type="dxa"/>
              <w:left w:w="108" w:type="dxa"/>
              <w:bottom w:w="0" w:type="dxa"/>
              <w:right w:w="108" w:type="dxa"/>
            </w:tcMar>
          </w:tcPr>
          <w:p w14:paraId="3F2C252D"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 xml:space="preserve"> 20</w:t>
            </w:r>
          </w:p>
        </w:tc>
        <w:tc>
          <w:tcPr>
            <w:tcW w:w="958" w:type="dxa"/>
            <w:shd w:val="clear" w:color="auto" w:fill="auto"/>
            <w:tcMar>
              <w:top w:w="0" w:type="dxa"/>
              <w:left w:w="108" w:type="dxa"/>
              <w:bottom w:w="0" w:type="dxa"/>
              <w:right w:w="108" w:type="dxa"/>
            </w:tcMar>
          </w:tcPr>
          <w:p w14:paraId="1B9B15E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w:t>
            </w:r>
          </w:p>
        </w:tc>
        <w:tc>
          <w:tcPr>
            <w:tcW w:w="709" w:type="dxa"/>
            <w:gridSpan w:val="2"/>
            <w:shd w:val="clear" w:color="auto" w:fill="auto"/>
            <w:tcMar>
              <w:top w:w="0" w:type="dxa"/>
              <w:left w:w="108" w:type="dxa"/>
              <w:bottom w:w="0" w:type="dxa"/>
              <w:right w:w="108" w:type="dxa"/>
            </w:tcMar>
          </w:tcPr>
          <w:p w14:paraId="27A4FD9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0.6</w:t>
            </w:r>
          </w:p>
        </w:tc>
        <w:tc>
          <w:tcPr>
            <w:tcW w:w="709" w:type="dxa"/>
            <w:shd w:val="clear" w:color="auto" w:fill="auto"/>
            <w:tcMar>
              <w:top w:w="0" w:type="dxa"/>
              <w:left w:w="108" w:type="dxa"/>
              <w:bottom w:w="0" w:type="dxa"/>
              <w:right w:w="108" w:type="dxa"/>
            </w:tcMar>
          </w:tcPr>
          <w:p w14:paraId="7FA1512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-2.1</w:t>
            </w:r>
          </w:p>
        </w:tc>
        <w:tc>
          <w:tcPr>
            <w:tcW w:w="738" w:type="dxa"/>
            <w:shd w:val="clear" w:color="auto" w:fill="auto"/>
            <w:tcMar>
              <w:top w:w="0" w:type="dxa"/>
              <w:left w:w="108" w:type="dxa"/>
              <w:bottom w:w="0" w:type="dxa"/>
              <w:right w:w="108" w:type="dxa"/>
            </w:tcMar>
          </w:tcPr>
          <w:p w14:paraId="6AB4754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.040</w:t>
            </w:r>
          </w:p>
        </w:tc>
        <w:tc>
          <w:tcPr>
            <w:tcW w:w="821" w:type="dxa"/>
            <w:gridSpan w:val="2"/>
            <w:shd w:val="clear" w:color="auto" w:fill="auto"/>
            <w:tcMar>
              <w:top w:w="0" w:type="dxa"/>
              <w:left w:w="108" w:type="dxa"/>
              <w:bottom w:w="0" w:type="dxa"/>
              <w:right w:w="108" w:type="dxa"/>
            </w:tcMar>
          </w:tcPr>
          <w:p w14:paraId="280412B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-2.4</w:t>
            </w:r>
          </w:p>
        </w:tc>
        <w:tc>
          <w:tcPr>
            <w:tcW w:w="850" w:type="dxa"/>
            <w:shd w:val="clear" w:color="auto" w:fill="auto"/>
            <w:tcMar>
              <w:top w:w="0" w:type="dxa"/>
              <w:left w:w="108" w:type="dxa"/>
              <w:bottom w:w="0" w:type="dxa"/>
              <w:right w:w="108" w:type="dxa"/>
            </w:tcMar>
          </w:tcPr>
          <w:p w14:paraId="3F4EBBD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-0.1</w:t>
            </w:r>
          </w:p>
        </w:tc>
        <w:tc>
          <w:tcPr>
            <w:tcW w:w="885" w:type="dxa"/>
            <w:shd w:val="clear" w:color="auto" w:fill="auto"/>
            <w:tcMar>
              <w:top w:w="0" w:type="dxa"/>
              <w:left w:w="108" w:type="dxa"/>
              <w:bottom w:w="0" w:type="dxa"/>
              <w:right w:w="108" w:type="dxa"/>
            </w:tcMar>
          </w:tcPr>
          <w:p w14:paraId="4A89EEC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0F0BED97" w14:textId="77777777" w:rsidTr="00492095">
        <w:tc>
          <w:tcPr>
            <w:tcW w:w="2694" w:type="dxa"/>
            <w:gridSpan w:val="2"/>
            <w:shd w:val="clear" w:color="auto" w:fill="auto"/>
            <w:tcMar>
              <w:top w:w="0" w:type="dxa"/>
              <w:left w:w="108" w:type="dxa"/>
              <w:bottom w:w="0" w:type="dxa"/>
              <w:right w:w="108" w:type="dxa"/>
            </w:tcMar>
          </w:tcPr>
          <w:p w14:paraId="2CABD5D9"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 xml:space="preserve"> 21</w:t>
            </w:r>
          </w:p>
        </w:tc>
        <w:tc>
          <w:tcPr>
            <w:tcW w:w="958" w:type="dxa"/>
            <w:shd w:val="clear" w:color="auto" w:fill="auto"/>
            <w:tcMar>
              <w:top w:w="0" w:type="dxa"/>
              <w:left w:w="108" w:type="dxa"/>
              <w:bottom w:w="0" w:type="dxa"/>
              <w:right w:w="108" w:type="dxa"/>
            </w:tcMar>
          </w:tcPr>
          <w:p w14:paraId="5737B3E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w:t>
            </w:r>
          </w:p>
        </w:tc>
        <w:tc>
          <w:tcPr>
            <w:tcW w:w="709" w:type="dxa"/>
            <w:gridSpan w:val="2"/>
            <w:shd w:val="clear" w:color="auto" w:fill="auto"/>
            <w:tcMar>
              <w:top w:w="0" w:type="dxa"/>
              <w:left w:w="108" w:type="dxa"/>
              <w:bottom w:w="0" w:type="dxa"/>
              <w:right w:w="108" w:type="dxa"/>
            </w:tcMar>
          </w:tcPr>
          <w:p w14:paraId="0EFDAF7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0.6</w:t>
            </w:r>
          </w:p>
        </w:tc>
        <w:tc>
          <w:tcPr>
            <w:tcW w:w="709" w:type="dxa"/>
            <w:shd w:val="clear" w:color="auto" w:fill="auto"/>
            <w:tcMar>
              <w:top w:w="0" w:type="dxa"/>
              <w:left w:w="108" w:type="dxa"/>
              <w:bottom w:w="0" w:type="dxa"/>
              <w:right w:w="108" w:type="dxa"/>
            </w:tcMar>
          </w:tcPr>
          <w:p w14:paraId="3541161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w:t>
            </w:r>
          </w:p>
        </w:tc>
        <w:tc>
          <w:tcPr>
            <w:tcW w:w="738" w:type="dxa"/>
            <w:shd w:val="clear" w:color="auto" w:fill="auto"/>
            <w:tcMar>
              <w:top w:w="0" w:type="dxa"/>
              <w:left w:w="108" w:type="dxa"/>
              <w:bottom w:w="0" w:type="dxa"/>
              <w:right w:w="108" w:type="dxa"/>
            </w:tcMar>
          </w:tcPr>
          <w:p w14:paraId="1CF92A2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.985</w:t>
            </w:r>
          </w:p>
        </w:tc>
        <w:tc>
          <w:tcPr>
            <w:tcW w:w="821" w:type="dxa"/>
            <w:gridSpan w:val="2"/>
            <w:shd w:val="clear" w:color="auto" w:fill="auto"/>
            <w:tcMar>
              <w:top w:w="0" w:type="dxa"/>
              <w:left w:w="108" w:type="dxa"/>
              <w:bottom w:w="0" w:type="dxa"/>
              <w:right w:w="108" w:type="dxa"/>
            </w:tcMar>
          </w:tcPr>
          <w:p w14:paraId="1DD1E93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-1.1</w:t>
            </w:r>
          </w:p>
        </w:tc>
        <w:tc>
          <w:tcPr>
            <w:tcW w:w="850" w:type="dxa"/>
            <w:shd w:val="clear" w:color="auto" w:fill="auto"/>
            <w:tcMar>
              <w:top w:w="0" w:type="dxa"/>
              <w:left w:w="108" w:type="dxa"/>
              <w:bottom w:w="0" w:type="dxa"/>
              <w:right w:w="108" w:type="dxa"/>
            </w:tcMar>
          </w:tcPr>
          <w:p w14:paraId="18EBAEE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w:t>
            </w:r>
          </w:p>
        </w:tc>
        <w:tc>
          <w:tcPr>
            <w:tcW w:w="885" w:type="dxa"/>
            <w:shd w:val="clear" w:color="auto" w:fill="auto"/>
            <w:tcMar>
              <w:top w:w="0" w:type="dxa"/>
              <w:left w:w="108" w:type="dxa"/>
              <w:bottom w:w="0" w:type="dxa"/>
              <w:right w:w="108" w:type="dxa"/>
            </w:tcMar>
          </w:tcPr>
          <w:p w14:paraId="24A2A7CB" w14:textId="77777777" w:rsidR="00492095" w:rsidRPr="00B61A5F" w:rsidRDefault="00492095" w:rsidP="00492095">
            <w:pPr>
              <w:widowControl w:val="0"/>
              <w:autoSpaceDE w:val="0"/>
              <w:spacing w:after="0" w:line="480" w:lineRule="auto"/>
              <w:jc w:val="right"/>
              <w:rPr>
                <w:sz w:val="16"/>
                <w:szCs w:val="16"/>
                <w:lang w:val="en-US"/>
              </w:rPr>
            </w:pPr>
          </w:p>
        </w:tc>
      </w:tr>
      <w:tr w:rsidR="00492095" w:rsidRPr="00B61A5F" w14:paraId="3065EAE7" w14:textId="77777777" w:rsidTr="00492095">
        <w:tc>
          <w:tcPr>
            <w:tcW w:w="2694" w:type="dxa"/>
            <w:gridSpan w:val="2"/>
            <w:shd w:val="clear" w:color="auto" w:fill="auto"/>
            <w:tcMar>
              <w:top w:w="0" w:type="dxa"/>
              <w:left w:w="108" w:type="dxa"/>
              <w:bottom w:w="0" w:type="dxa"/>
              <w:right w:w="108" w:type="dxa"/>
            </w:tcMar>
          </w:tcPr>
          <w:p w14:paraId="57A68156"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 xml:space="preserve"> 22</w:t>
            </w:r>
          </w:p>
        </w:tc>
        <w:tc>
          <w:tcPr>
            <w:tcW w:w="958" w:type="dxa"/>
            <w:shd w:val="clear" w:color="auto" w:fill="auto"/>
            <w:tcMar>
              <w:top w:w="0" w:type="dxa"/>
              <w:left w:w="108" w:type="dxa"/>
              <w:bottom w:w="0" w:type="dxa"/>
              <w:right w:w="108" w:type="dxa"/>
            </w:tcMar>
          </w:tcPr>
          <w:p w14:paraId="29BCA50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w:t>
            </w:r>
          </w:p>
        </w:tc>
        <w:tc>
          <w:tcPr>
            <w:tcW w:w="709" w:type="dxa"/>
            <w:gridSpan w:val="2"/>
            <w:shd w:val="clear" w:color="auto" w:fill="auto"/>
            <w:tcMar>
              <w:top w:w="0" w:type="dxa"/>
              <w:left w:w="108" w:type="dxa"/>
              <w:bottom w:w="0" w:type="dxa"/>
              <w:right w:w="108" w:type="dxa"/>
            </w:tcMar>
          </w:tcPr>
          <w:p w14:paraId="4513966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0.6</w:t>
            </w:r>
          </w:p>
        </w:tc>
        <w:tc>
          <w:tcPr>
            <w:tcW w:w="709" w:type="dxa"/>
            <w:shd w:val="clear" w:color="auto" w:fill="auto"/>
            <w:tcMar>
              <w:top w:w="0" w:type="dxa"/>
              <w:left w:w="108" w:type="dxa"/>
              <w:bottom w:w="0" w:type="dxa"/>
              <w:right w:w="108" w:type="dxa"/>
            </w:tcMar>
          </w:tcPr>
          <w:p w14:paraId="1B7E6C6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0.1</w:t>
            </w:r>
          </w:p>
        </w:tc>
        <w:tc>
          <w:tcPr>
            <w:tcW w:w="738" w:type="dxa"/>
            <w:shd w:val="clear" w:color="auto" w:fill="auto"/>
            <w:tcMar>
              <w:top w:w="0" w:type="dxa"/>
              <w:left w:w="108" w:type="dxa"/>
              <w:bottom w:w="0" w:type="dxa"/>
              <w:right w:w="108" w:type="dxa"/>
            </w:tcMar>
          </w:tcPr>
          <w:p w14:paraId="5C11639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.942</w:t>
            </w:r>
          </w:p>
        </w:tc>
        <w:tc>
          <w:tcPr>
            <w:tcW w:w="821" w:type="dxa"/>
            <w:gridSpan w:val="2"/>
            <w:shd w:val="clear" w:color="auto" w:fill="auto"/>
            <w:tcMar>
              <w:top w:w="0" w:type="dxa"/>
              <w:left w:w="108" w:type="dxa"/>
              <w:bottom w:w="0" w:type="dxa"/>
              <w:right w:w="108" w:type="dxa"/>
            </w:tcMar>
          </w:tcPr>
          <w:p w14:paraId="222760B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-1.1</w:t>
            </w:r>
          </w:p>
        </w:tc>
        <w:tc>
          <w:tcPr>
            <w:tcW w:w="850" w:type="dxa"/>
            <w:shd w:val="clear" w:color="auto" w:fill="auto"/>
            <w:tcMar>
              <w:top w:w="0" w:type="dxa"/>
              <w:left w:w="108" w:type="dxa"/>
              <w:bottom w:w="0" w:type="dxa"/>
              <w:right w:w="108" w:type="dxa"/>
            </w:tcMar>
          </w:tcPr>
          <w:p w14:paraId="5BB62EC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w:t>
            </w:r>
          </w:p>
        </w:tc>
        <w:tc>
          <w:tcPr>
            <w:tcW w:w="885" w:type="dxa"/>
            <w:shd w:val="clear" w:color="auto" w:fill="auto"/>
            <w:tcMar>
              <w:top w:w="0" w:type="dxa"/>
              <w:left w:w="108" w:type="dxa"/>
              <w:bottom w:w="0" w:type="dxa"/>
              <w:right w:w="108" w:type="dxa"/>
            </w:tcMar>
          </w:tcPr>
          <w:p w14:paraId="772DBAD8" w14:textId="77777777" w:rsidR="00492095" w:rsidRPr="00B61A5F" w:rsidRDefault="00492095" w:rsidP="00492095">
            <w:pPr>
              <w:widowControl w:val="0"/>
              <w:autoSpaceDE w:val="0"/>
              <w:spacing w:after="0" w:line="480" w:lineRule="auto"/>
              <w:jc w:val="right"/>
              <w:rPr>
                <w:sz w:val="16"/>
                <w:szCs w:val="16"/>
                <w:lang w:val="en-US"/>
              </w:rPr>
            </w:pPr>
          </w:p>
        </w:tc>
      </w:tr>
      <w:tr w:rsidR="00492095" w:rsidRPr="00B61A5F" w14:paraId="62CC43A6" w14:textId="77777777" w:rsidTr="00492095">
        <w:tc>
          <w:tcPr>
            <w:tcW w:w="2694" w:type="dxa"/>
            <w:gridSpan w:val="2"/>
            <w:shd w:val="clear" w:color="auto" w:fill="auto"/>
            <w:tcMar>
              <w:top w:w="0" w:type="dxa"/>
              <w:left w:w="108" w:type="dxa"/>
              <w:bottom w:w="0" w:type="dxa"/>
              <w:right w:w="108" w:type="dxa"/>
            </w:tcMar>
          </w:tcPr>
          <w:p w14:paraId="50F17243"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 xml:space="preserve"> 23</w:t>
            </w:r>
          </w:p>
        </w:tc>
        <w:tc>
          <w:tcPr>
            <w:tcW w:w="958" w:type="dxa"/>
            <w:shd w:val="clear" w:color="auto" w:fill="auto"/>
            <w:tcMar>
              <w:top w:w="0" w:type="dxa"/>
              <w:left w:w="108" w:type="dxa"/>
              <w:bottom w:w="0" w:type="dxa"/>
              <w:right w:w="108" w:type="dxa"/>
            </w:tcMar>
          </w:tcPr>
          <w:p w14:paraId="59B9661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1.5</w:t>
            </w:r>
          </w:p>
        </w:tc>
        <w:tc>
          <w:tcPr>
            <w:tcW w:w="709" w:type="dxa"/>
            <w:gridSpan w:val="2"/>
            <w:shd w:val="clear" w:color="auto" w:fill="auto"/>
            <w:tcMar>
              <w:top w:w="0" w:type="dxa"/>
              <w:left w:w="108" w:type="dxa"/>
              <w:bottom w:w="0" w:type="dxa"/>
              <w:right w:w="108" w:type="dxa"/>
            </w:tcMar>
          </w:tcPr>
          <w:p w14:paraId="388E032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0.6</w:t>
            </w:r>
          </w:p>
        </w:tc>
        <w:tc>
          <w:tcPr>
            <w:tcW w:w="709" w:type="dxa"/>
            <w:shd w:val="clear" w:color="auto" w:fill="auto"/>
            <w:tcMar>
              <w:top w:w="0" w:type="dxa"/>
              <w:left w:w="108" w:type="dxa"/>
              <w:bottom w:w="0" w:type="dxa"/>
              <w:right w:w="108" w:type="dxa"/>
            </w:tcMar>
          </w:tcPr>
          <w:p w14:paraId="3B1AD81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2.5</w:t>
            </w:r>
          </w:p>
        </w:tc>
        <w:tc>
          <w:tcPr>
            <w:tcW w:w="738" w:type="dxa"/>
            <w:shd w:val="clear" w:color="auto" w:fill="auto"/>
            <w:tcMar>
              <w:top w:w="0" w:type="dxa"/>
              <w:left w:w="108" w:type="dxa"/>
              <w:bottom w:w="0" w:type="dxa"/>
              <w:right w:w="108" w:type="dxa"/>
            </w:tcMar>
          </w:tcPr>
          <w:p w14:paraId="0FE1A32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.013</w:t>
            </w:r>
          </w:p>
        </w:tc>
        <w:tc>
          <w:tcPr>
            <w:tcW w:w="821" w:type="dxa"/>
            <w:gridSpan w:val="2"/>
            <w:shd w:val="clear" w:color="auto" w:fill="auto"/>
            <w:tcMar>
              <w:top w:w="0" w:type="dxa"/>
              <w:left w:w="108" w:type="dxa"/>
              <w:bottom w:w="0" w:type="dxa"/>
              <w:right w:w="108" w:type="dxa"/>
            </w:tcMar>
          </w:tcPr>
          <w:p w14:paraId="5E3E02F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0.3</w:t>
            </w:r>
          </w:p>
        </w:tc>
        <w:tc>
          <w:tcPr>
            <w:tcW w:w="850" w:type="dxa"/>
            <w:shd w:val="clear" w:color="auto" w:fill="auto"/>
            <w:tcMar>
              <w:top w:w="0" w:type="dxa"/>
              <w:left w:w="108" w:type="dxa"/>
              <w:bottom w:w="0" w:type="dxa"/>
              <w:right w:w="108" w:type="dxa"/>
            </w:tcMar>
          </w:tcPr>
          <w:p w14:paraId="0C047CC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2.6</w:t>
            </w:r>
          </w:p>
        </w:tc>
        <w:tc>
          <w:tcPr>
            <w:tcW w:w="885" w:type="dxa"/>
            <w:shd w:val="clear" w:color="auto" w:fill="auto"/>
            <w:tcMar>
              <w:top w:w="0" w:type="dxa"/>
              <w:left w:w="108" w:type="dxa"/>
              <w:bottom w:w="0" w:type="dxa"/>
              <w:right w:w="108" w:type="dxa"/>
            </w:tcMar>
          </w:tcPr>
          <w:p w14:paraId="23327C0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69DCA3C2" w14:textId="77777777" w:rsidTr="00492095">
        <w:tc>
          <w:tcPr>
            <w:tcW w:w="2694" w:type="dxa"/>
            <w:gridSpan w:val="2"/>
            <w:shd w:val="clear" w:color="auto" w:fill="auto"/>
            <w:tcMar>
              <w:top w:w="0" w:type="dxa"/>
              <w:left w:w="108" w:type="dxa"/>
              <w:bottom w:w="0" w:type="dxa"/>
              <w:right w:w="108" w:type="dxa"/>
            </w:tcMar>
          </w:tcPr>
          <w:p w14:paraId="514C18DC"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 xml:space="preserve"> 24</w:t>
            </w:r>
          </w:p>
        </w:tc>
        <w:tc>
          <w:tcPr>
            <w:tcW w:w="958" w:type="dxa"/>
            <w:shd w:val="clear" w:color="auto" w:fill="auto"/>
            <w:tcMar>
              <w:top w:w="0" w:type="dxa"/>
              <w:left w:w="108" w:type="dxa"/>
              <w:bottom w:w="0" w:type="dxa"/>
              <w:right w:w="108" w:type="dxa"/>
            </w:tcMar>
          </w:tcPr>
          <w:p w14:paraId="6F629CC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2.0</w:t>
            </w:r>
          </w:p>
        </w:tc>
        <w:tc>
          <w:tcPr>
            <w:tcW w:w="709" w:type="dxa"/>
            <w:gridSpan w:val="2"/>
            <w:shd w:val="clear" w:color="auto" w:fill="auto"/>
            <w:tcMar>
              <w:top w:w="0" w:type="dxa"/>
              <w:left w:w="108" w:type="dxa"/>
              <w:bottom w:w="0" w:type="dxa"/>
              <w:right w:w="108" w:type="dxa"/>
            </w:tcMar>
          </w:tcPr>
          <w:p w14:paraId="3525EEA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0.6</w:t>
            </w:r>
          </w:p>
        </w:tc>
        <w:tc>
          <w:tcPr>
            <w:tcW w:w="709" w:type="dxa"/>
            <w:shd w:val="clear" w:color="auto" w:fill="auto"/>
            <w:tcMar>
              <w:top w:w="0" w:type="dxa"/>
              <w:left w:w="108" w:type="dxa"/>
              <w:bottom w:w="0" w:type="dxa"/>
              <w:right w:w="108" w:type="dxa"/>
            </w:tcMar>
          </w:tcPr>
          <w:p w14:paraId="0B41BE3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3.5</w:t>
            </w:r>
          </w:p>
        </w:tc>
        <w:tc>
          <w:tcPr>
            <w:tcW w:w="738" w:type="dxa"/>
            <w:shd w:val="clear" w:color="auto" w:fill="auto"/>
            <w:tcMar>
              <w:top w:w="0" w:type="dxa"/>
              <w:left w:w="108" w:type="dxa"/>
              <w:bottom w:w="0" w:type="dxa"/>
              <w:right w:w="108" w:type="dxa"/>
            </w:tcMar>
          </w:tcPr>
          <w:p w14:paraId="742AD7E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.001</w:t>
            </w:r>
          </w:p>
        </w:tc>
        <w:tc>
          <w:tcPr>
            <w:tcW w:w="821" w:type="dxa"/>
            <w:gridSpan w:val="2"/>
            <w:shd w:val="clear" w:color="auto" w:fill="auto"/>
            <w:tcMar>
              <w:top w:w="0" w:type="dxa"/>
              <w:left w:w="108" w:type="dxa"/>
              <w:bottom w:w="0" w:type="dxa"/>
              <w:right w:w="108" w:type="dxa"/>
            </w:tcMar>
          </w:tcPr>
          <w:p w14:paraId="2AA9EBA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0.9</w:t>
            </w:r>
          </w:p>
        </w:tc>
        <w:tc>
          <w:tcPr>
            <w:tcW w:w="850" w:type="dxa"/>
            <w:shd w:val="clear" w:color="auto" w:fill="auto"/>
            <w:tcMar>
              <w:top w:w="0" w:type="dxa"/>
              <w:left w:w="108" w:type="dxa"/>
              <w:bottom w:w="0" w:type="dxa"/>
              <w:right w:w="108" w:type="dxa"/>
            </w:tcMar>
          </w:tcPr>
          <w:p w14:paraId="53C114D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3.1</w:t>
            </w:r>
          </w:p>
        </w:tc>
        <w:tc>
          <w:tcPr>
            <w:tcW w:w="885" w:type="dxa"/>
            <w:shd w:val="clear" w:color="auto" w:fill="auto"/>
            <w:tcMar>
              <w:top w:w="0" w:type="dxa"/>
              <w:left w:w="108" w:type="dxa"/>
              <w:bottom w:w="0" w:type="dxa"/>
              <w:right w:w="108" w:type="dxa"/>
            </w:tcMar>
          </w:tcPr>
          <w:p w14:paraId="3149736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6A739BBF" w14:textId="77777777" w:rsidTr="00492095">
        <w:tc>
          <w:tcPr>
            <w:tcW w:w="2694" w:type="dxa"/>
            <w:gridSpan w:val="2"/>
            <w:shd w:val="clear" w:color="auto" w:fill="auto"/>
            <w:tcMar>
              <w:top w:w="0" w:type="dxa"/>
              <w:left w:w="108" w:type="dxa"/>
              <w:bottom w:w="0" w:type="dxa"/>
              <w:right w:w="108" w:type="dxa"/>
            </w:tcMar>
          </w:tcPr>
          <w:p w14:paraId="508340E9" w14:textId="77777777" w:rsidR="00492095" w:rsidRPr="00B61A5F" w:rsidRDefault="00492095" w:rsidP="00492095">
            <w:pPr>
              <w:autoSpaceDE w:val="0"/>
              <w:spacing w:after="0" w:line="480" w:lineRule="auto"/>
            </w:pPr>
            <w:r w:rsidRPr="00B61A5F">
              <w:rPr>
                <w:color w:val="444444"/>
                <w:sz w:val="16"/>
                <w:szCs w:val="16"/>
                <w:shd w:val="clear" w:color="auto" w:fill="FFFFFF"/>
              </w:rPr>
              <w:t>Degree</w:t>
            </w:r>
          </w:p>
        </w:tc>
        <w:tc>
          <w:tcPr>
            <w:tcW w:w="958" w:type="dxa"/>
            <w:shd w:val="clear" w:color="auto" w:fill="auto"/>
            <w:tcMar>
              <w:top w:w="0" w:type="dxa"/>
              <w:left w:w="108" w:type="dxa"/>
              <w:bottom w:w="0" w:type="dxa"/>
              <w:right w:w="108" w:type="dxa"/>
            </w:tcMar>
          </w:tcPr>
          <w:p w14:paraId="565E190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709" w:type="dxa"/>
            <w:gridSpan w:val="2"/>
            <w:shd w:val="clear" w:color="auto" w:fill="auto"/>
            <w:tcMar>
              <w:top w:w="0" w:type="dxa"/>
              <w:left w:w="108" w:type="dxa"/>
              <w:bottom w:w="0" w:type="dxa"/>
              <w:right w:w="108" w:type="dxa"/>
            </w:tcMar>
          </w:tcPr>
          <w:p w14:paraId="72F2774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709" w:type="dxa"/>
            <w:shd w:val="clear" w:color="auto" w:fill="auto"/>
            <w:tcMar>
              <w:top w:w="0" w:type="dxa"/>
              <w:left w:w="108" w:type="dxa"/>
              <w:bottom w:w="0" w:type="dxa"/>
              <w:right w:w="108" w:type="dxa"/>
            </w:tcMar>
          </w:tcPr>
          <w:p w14:paraId="5AD6F44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738" w:type="dxa"/>
            <w:shd w:val="clear" w:color="auto" w:fill="auto"/>
            <w:tcMar>
              <w:top w:w="0" w:type="dxa"/>
              <w:left w:w="108" w:type="dxa"/>
              <w:bottom w:w="0" w:type="dxa"/>
              <w:right w:w="108" w:type="dxa"/>
            </w:tcMar>
          </w:tcPr>
          <w:p w14:paraId="036609A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821" w:type="dxa"/>
            <w:gridSpan w:val="2"/>
            <w:shd w:val="clear" w:color="auto" w:fill="auto"/>
            <w:tcMar>
              <w:top w:w="0" w:type="dxa"/>
              <w:left w:w="108" w:type="dxa"/>
              <w:bottom w:w="0" w:type="dxa"/>
              <w:right w:w="108" w:type="dxa"/>
            </w:tcMar>
          </w:tcPr>
          <w:p w14:paraId="7C8D3EE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850" w:type="dxa"/>
            <w:shd w:val="clear" w:color="auto" w:fill="auto"/>
            <w:tcMar>
              <w:top w:w="0" w:type="dxa"/>
              <w:left w:w="108" w:type="dxa"/>
              <w:bottom w:w="0" w:type="dxa"/>
              <w:right w:w="108" w:type="dxa"/>
            </w:tcMar>
          </w:tcPr>
          <w:p w14:paraId="51B3320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c>
          <w:tcPr>
            <w:tcW w:w="885" w:type="dxa"/>
            <w:shd w:val="clear" w:color="auto" w:fill="auto"/>
            <w:tcMar>
              <w:top w:w="0" w:type="dxa"/>
              <w:left w:w="108" w:type="dxa"/>
              <w:bottom w:w="0" w:type="dxa"/>
              <w:right w:w="108" w:type="dxa"/>
            </w:tcMar>
          </w:tcPr>
          <w:p w14:paraId="629432F4" w14:textId="77777777" w:rsidR="00492095" w:rsidRPr="00B61A5F" w:rsidRDefault="00492095" w:rsidP="00492095">
            <w:pPr>
              <w:widowControl w:val="0"/>
              <w:autoSpaceDE w:val="0"/>
              <w:spacing w:after="0" w:line="480" w:lineRule="auto"/>
              <w:jc w:val="right"/>
              <w:rPr>
                <w:sz w:val="16"/>
                <w:szCs w:val="16"/>
                <w:lang w:val="en-US"/>
              </w:rPr>
            </w:pPr>
          </w:p>
        </w:tc>
      </w:tr>
      <w:tr w:rsidR="00492095" w:rsidRPr="00B61A5F" w14:paraId="75B1D728" w14:textId="77777777" w:rsidTr="00492095">
        <w:tc>
          <w:tcPr>
            <w:tcW w:w="2694" w:type="dxa"/>
            <w:gridSpan w:val="2"/>
            <w:shd w:val="clear" w:color="auto" w:fill="auto"/>
            <w:tcMar>
              <w:top w:w="0" w:type="dxa"/>
              <w:left w:w="108" w:type="dxa"/>
              <w:bottom w:w="0" w:type="dxa"/>
              <w:right w:w="108" w:type="dxa"/>
            </w:tcMar>
          </w:tcPr>
          <w:p w14:paraId="702AD7CF" w14:textId="77777777" w:rsidR="00492095" w:rsidRPr="00B61A5F" w:rsidRDefault="00492095" w:rsidP="00492095">
            <w:pPr>
              <w:autoSpaceDE w:val="0"/>
              <w:spacing w:after="0" w:line="480" w:lineRule="auto"/>
            </w:pPr>
            <w:r w:rsidRPr="00B61A5F">
              <w:rPr>
                <w:color w:val="444444"/>
                <w:sz w:val="16"/>
                <w:szCs w:val="16"/>
                <w:shd w:val="clear" w:color="auto" w:fill="FFFFFF"/>
              </w:rPr>
              <w:t>higher education level</w:t>
            </w:r>
          </w:p>
        </w:tc>
        <w:tc>
          <w:tcPr>
            <w:tcW w:w="958" w:type="dxa"/>
            <w:shd w:val="clear" w:color="auto" w:fill="auto"/>
            <w:tcMar>
              <w:top w:w="0" w:type="dxa"/>
              <w:left w:w="108" w:type="dxa"/>
              <w:bottom w:w="0" w:type="dxa"/>
              <w:right w:w="108" w:type="dxa"/>
            </w:tcMar>
          </w:tcPr>
          <w:p w14:paraId="36A60FD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-8.1</w:t>
            </w:r>
          </w:p>
        </w:tc>
        <w:tc>
          <w:tcPr>
            <w:tcW w:w="709" w:type="dxa"/>
            <w:gridSpan w:val="2"/>
            <w:shd w:val="clear" w:color="auto" w:fill="auto"/>
            <w:tcMar>
              <w:top w:w="0" w:type="dxa"/>
              <w:left w:w="108" w:type="dxa"/>
              <w:bottom w:w="0" w:type="dxa"/>
              <w:right w:w="108" w:type="dxa"/>
            </w:tcMar>
          </w:tcPr>
          <w:p w14:paraId="1BBA9DD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0.7</w:t>
            </w:r>
          </w:p>
        </w:tc>
        <w:tc>
          <w:tcPr>
            <w:tcW w:w="709" w:type="dxa"/>
            <w:shd w:val="clear" w:color="auto" w:fill="auto"/>
            <w:tcMar>
              <w:top w:w="0" w:type="dxa"/>
              <w:left w:w="108" w:type="dxa"/>
              <w:bottom w:w="0" w:type="dxa"/>
              <w:right w:w="108" w:type="dxa"/>
            </w:tcMar>
          </w:tcPr>
          <w:p w14:paraId="61455EA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w:t>
            </w:r>
          </w:p>
        </w:tc>
        <w:tc>
          <w:tcPr>
            <w:tcW w:w="738" w:type="dxa"/>
            <w:shd w:val="clear" w:color="auto" w:fill="auto"/>
            <w:tcMar>
              <w:top w:w="0" w:type="dxa"/>
              <w:left w:w="108" w:type="dxa"/>
              <w:bottom w:w="0" w:type="dxa"/>
              <w:right w:w="108" w:type="dxa"/>
            </w:tcMar>
          </w:tcPr>
          <w:p w14:paraId="3D4CEC9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4B1CE7A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-9.4</w:t>
            </w:r>
          </w:p>
        </w:tc>
        <w:tc>
          <w:tcPr>
            <w:tcW w:w="850" w:type="dxa"/>
            <w:shd w:val="clear" w:color="auto" w:fill="auto"/>
            <w:tcMar>
              <w:top w:w="0" w:type="dxa"/>
              <w:left w:w="108" w:type="dxa"/>
              <w:bottom w:w="0" w:type="dxa"/>
              <w:right w:w="108" w:type="dxa"/>
            </w:tcMar>
          </w:tcPr>
          <w:p w14:paraId="2EEF84C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-6.8</w:t>
            </w:r>
          </w:p>
        </w:tc>
        <w:tc>
          <w:tcPr>
            <w:tcW w:w="885" w:type="dxa"/>
            <w:shd w:val="clear" w:color="auto" w:fill="auto"/>
            <w:tcMar>
              <w:top w:w="0" w:type="dxa"/>
              <w:left w:w="108" w:type="dxa"/>
              <w:bottom w:w="0" w:type="dxa"/>
              <w:right w:w="108" w:type="dxa"/>
            </w:tcMar>
          </w:tcPr>
          <w:p w14:paraId="35C585F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612B3166" w14:textId="77777777" w:rsidTr="00492095">
        <w:tc>
          <w:tcPr>
            <w:tcW w:w="2694" w:type="dxa"/>
            <w:gridSpan w:val="2"/>
            <w:shd w:val="clear" w:color="auto" w:fill="auto"/>
            <w:tcMar>
              <w:top w:w="0" w:type="dxa"/>
              <w:left w:w="108" w:type="dxa"/>
              <w:bottom w:w="0" w:type="dxa"/>
              <w:right w:w="108" w:type="dxa"/>
            </w:tcMar>
          </w:tcPr>
          <w:p w14:paraId="429805BA" w14:textId="77777777" w:rsidR="00492095" w:rsidRPr="00B61A5F" w:rsidRDefault="00492095" w:rsidP="00492095">
            <w:pPr>
              <w:autoSpaceDE w:val="0"/>
              <w:spacing w:after="0" w:line="480" w:lineRule="auto"/>
            </w:pPr>
            <w:r w:rsidRPr="00B61A5F">
              <w:rPr>
                <w:color w:val="444444"/>
                <w:sz w:val="16"/>
                <w:szCs w:val="16"/>
                <w:shd w:val="clear" w:color="auto" w:fill="FFFFFF"/>
              </w:rPr>
              <w:t>GCE/A-level or equivalent</w:t>
            </w:r>
          </w:p>
        </w:tc>
        <w:tc>
          <w:tcPr>
            <w:tcW w:w="958" w:type="dxa"/>
            <w:shd w:val="clear" w:color="auto" w:fill="auto"/>
            <w:tcMar>
              <w:top w:w="0" w:type="dxa"/>
              <w:left w:w="108" w:type="dxa"/>
              <w:bottom w:w="0" w:type="dxa"/>
              <w:right w:w="108" w:type="dxa"/>
            </w:tcMar>
          </w:tcPr>
          <w:p w14:paraId="5D20957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-8.5</w:t>
            </w:r>
          </w:p>
        </w:tc>
        <w:tc>
          <w:tcPr>
            <w:tcW w:w="709" w:type="dxa"/>
            <w:gridSpan w:val="2"/>
            <w:shd w:val="clear" w:color="auto" w:fill="auto"/>
            <w:tcMar>
              <w:top w:w="0" w:type="dxa"/>
              <w:left w:w="108" w:type="dxa"/>
              <w:bottom w:w="0" w:type="dxa"/>
              <w:right w:w="108" w:type="dxa"/>
            </w:tcMar>
          </w:tcPr>
          <w:p w14:paraId="46141CA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0.4</w:t>
            </w:r>
          </w:p>
        </w:tc>
        <w:tc>
          <w:tcPr>
            <w:tcW w:w="709" w:type="dxa"/>
            <w:shd w:val="clear" w:color="auto" w:fill="auto"/>
            <w:tcMar>
              <w:top w:w="0" w:type="dxa"/>
              <w:left w:w="108" w:type="dxa"/>
              <w:bottom w:w="0" w:type="dxa"/>
              <w:right w:w="108" w:type="dxa"/>
            </w:tcMar>
          </w:tcPr>
          <w:p w14:paraId="0C9CF623"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-20</w:t>
            </w:r>
          </w:p>
        </w:tc>
        <w:tc>
          <w:tcPr>
            <w:tcW w:w="738" w:type="dxa"/>
            <w:shd w:val="clear" w:color="auto" w:fill="auto"/>
            <w:tcMar>
              <w:top w:w="0" w:type="dxa"/>
              <w:left w:w="108" w:type="dxa"/>
              <w:bottom w:w="0" w:type="dxa"/>
              <w:right w:w="108" w:type="dxa"/>
            </w:tcMar>
          </w:tcPr>
          <w:p w14:paraId="7C9B55A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6E32100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-9.3</w:t>
            </w:r>
          </w:p>
        </w:tc>
        <w:tc>
          <w:tcPr>
            <w:tcW w:w="850" w:type="dxa"/>
            <w:shd w:val="clear" w:color="auto" w:fill="auto"/>
            <w:tcMar>
              <w:top w:w="0" w:type="dxa"/>
              <w:left w:w="108" w:type="dxa"/>
              <w:bottom w:w="0" w:type="dxa"/>
              <w:right w:w="108" w:type="dxa"/>
            </w:tcMar>
          </w:tcPr>
          <w:p w14:paraId="119DE27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-7.7</w:t>
            </w:r>
          </w:p>
        </w:tc>
        <w:tc>
          <w:tcPr>
            <w:tcW w:w="885" w:type="dxa"/>
            <w:shd w:val="clear" w:color="auto" w:fill="auto"/>
            <w:tcMar>
              <w:top w:w="0" w:type="dxa"/>
              <w:left w:w="108" w:type="dxa"/>
              <w:bottom w:w="0" w:type="dxa"/>
              <w:right w:w="108" w:type="dxa"/>
            </w:tcMar>
          </w:tcPr>
          <w:p w14:paraId="7104D34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656440AB" w14:textId="77777777" w:rsidTr="00492095">
        <w:tc>
          <w:tcPr>
            <w:tcW w:w="2694" w:type="dxa"/>
            <w:gridSpan w:val="2"/>
            <w:shd w:val="clear" w:color="auto" w:fill="auto"/>
            <w:tcMar>
              <w:top w:w="0" w:type="dxa"/>
              <w:left w:w="108" w:type="dxa"/>
              <w:bottom w:w="0" w:type="dxa"/>
              <w:right w:w="108" w:type="dxa"/>
            </w:tcMar>
          </w:tcPr>
          <w:p w14:paraId="5112FCC8" w14:textId="77777777" w:rsidR="00492095" w:rsidRPr="00B61A5F" w:rsidRDefault="00492095" w:rsidP="00492095">
            <w:pPr>
              <w:autoSpaceDE w:val="0"/>
              <w:spacing w:after="0" w:line="480" w:lineRule="auto"/>
            </w:pPr>
            <w:r w:rsidRPr="00B61A5F">
              <w:rPr>
                <w:color w:val="444444"/>
                <w:sz w:val="16"/>
                <w:szCs w:val="16"/>
                <w:shd w:val="clear" w:color="auto" w:fill="FFFFFF"/>
              </w:rPr>
              <w:t>GCSE A*-C level or equivalent</w:t>
            </w:r>
          </w:p>
        </w:tc>
        <w:tc>
          <w:tcPr>
            <w:tcW w:w="958" w:type="dxa"/>
            <w:shd w:val="clear" w:color="auto" w:fill="auto"/>
            <w:tcMar>
              <w:top w:w="0" w:type="dxa"/>
              <w:left w:w="108" w:type="dxa"/>
              <w:bottom w:w="0" w:type="dxa"/>
              <w:right w:w="108" w:type="dxa"/>
            </w:tcMar>
          </w:tcPr>
          <w:p w14:paraId="60785F9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-11</w:t>
            </w:r>
          </w:p>
        </w:tc>
        <w:tc>
          <w:tcPr>
            <w:tcW w:w="709" w:type="dxa"/>
            <w:gridSpan w:val="2"/>
            <w:shd w:val="clear" w:color="auto" w:fill="auto"/>
            <w:tcMar>
              <w:top w:w="0" w:type="dxa"/>
              <w:left w:w="108" w:type="dxa"/>
              <w:bottom w:w="0" w:type="dxa"/>
              <w:right w:w="108" w:type="dxa"/>
            </w:tcMar>
          </w:tcPr>
          <w:p w14:paraId="04F91DD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0.4</w:t>
            </w:r>
          </w:p>
        </w:tc>
        <w:tc>
          <w:tcPr>
            <w:tcW w:w="709" w:type="dxa"/>
            <w:shd w:val="clear" w:color="auto" w:fill="auto"/>
            <w:tcMar>
              <w:top w:w="0" w:type="dxa"/>
              <w:left w:w="108" w:type="dxa"/>
              <w:bottom w:w="0" w:type="dxa"/>
              <w:right w:w="108" w:type="dxa"/>
            </w:tcMar>
          </w:tcPr>
          <w:p w14:paraId="63FBB5F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-26</w:t>
            </w:r>
          </w:p>
        </w:tc>
        <w:tc>
          <w:tcPr>
            <w:tcW w:w="738" w:type="dxa"/>
            <w:shd w:val="clear" w:color="auto" w:fill="auto"/>
            <w:tcMar>
              <w:top w:w="0" w:type="dxa"/>
              <w:left w:w="108" w:type="dxa"/>
              <w:bottom w:w="0" w:type="dxa"/>
              <w:right w:w="108" w:type="dxa"/>
            </w:tcMar>
          </w:tcPr>
          <w:p w14:paraId="4A7FFF1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2B6B2BE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-12.1</w:t>
            </w:r>
          </w:p>
        </w:tc>
        <w:tc>
          <w:tcPr>
            <w:tcW w:w="850" w:type="dxa"/>
            <w:shd w:val="clear" w:color="auto" w:fill="auto"/>
            <w:tcMar>
              <w:top w:w="0" w:type="dxa"/>
              <w:left w:w="108" w:type="dxa"/>
              <w:bottom w:w="0" w:type="dxa"/>
              <w:right w:w="108" w:type="dxa"/>
            </w:tcMar>
          </w:tcPr>
          <w:p w14:paraId="4980A02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-10.4</w:t>
            </w:r>
          </w:p>
        </w:tc>
        <w:tc>
          <w:tcPr>
            <w:tcW w:w="885" w:type="dxa"/>
            <w:shd w:val="clear" w:color="auto" w:fill="auto"/>
            <w:tcMar>
              <w:top w:w="0" w:type="dxa"/>
              <w:left w:w="108" w:type="dxa"/>
              <w:bottom w:w="0" w:type="dxa"/>
              <w:right w:w="108" w:type="dxa"/>
            </w:tcMar>
          </w:tcPr>
          <w:p w14:paraId="668DB4F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09797343" w14:textId="77777777" w:rsidTr="00492095">
        <w:tc>
          <w:tcPr>
            <w:tcW w:w="2694" w:type="dxa"/>
            <w:gridSpan w:val="2"/>
            <w:shd w:val="clear" w:color="auto" w:fill="auto"/>
            <w:tcMar>
              <w:top w:w="0" w:type="dxa"/>
              <w:left w:w="108" w:type="dxa"/>
              <w:bottom w:w="0" w:type="dxa"/>
              <w:right w:w="108" w:type="dxa"/>
            </w:tcMar>
          </w:tcPr>
          <w:p w14:paraId="5211D143" w14:textId="77777777" w:rsidR="00492095" w:rsidRPr="00B61A5F" w:rsidRDefault="00492095" w:rsidP="00492095">
            <w:pPr>
              <w:autoSpaceDE w:val="0"/>
              <w:spacing w:after="0" w:line="480" w:lineRule="auto"/>
            </w:pPr>
            <w:r w:rsidRPr="00B61A5F">
              <w:rPr>
                <w:color w:val="444444"/>
                <w:sz w:val="16"/>
                <w:szCs w:val="16"/>
                <w:shd w:val="clear" w:color="auto" w:fill="FFFFFF"/>
              </w:rPr>
              <w:t>other qualifications</w:t>
            </w:r>
          </w:p>
        </w:tc>
        <w:tc>
          <w:tcPr>
            <w:tcW w:w="958" w:type="dxa"/>
            <w:shd w:val="clear" w:color="auto" w:fill="auto"/>
            <w:tcMar>
              <w:top w:w="0" w:type="dxa"/>
              <w:left w:w="108" w:type="dxa"/>
              <w:bottom w:w="0" w:type="dxa"/>
              <w:right w:w="108" w:type="dxa"/>
            </w:tcMar>
          </w:tcPr>
          <w:p w14:paraId="1095DBD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-18</w:t>
            </w:r>
          </w:p>
        </w:tc>
        <w:tc>
          <w:tcPr>
            <w:tcW w:w="709" w:type="dxa"/>
            <w:gridSpan w:val="2"/>
            <w:shd w:val="clear" w:color="auto" w:fill="auto"/>
            <w:tcMar>
              <w:top w:w="0" w:type="dxa"/>
              <w:left w:w="108" w:type="dxa"/>
              <w:bottom w:w="0" w:type="dxa"/>
              <w:right w:w="108" w:type="dxa"/>
            </w:tcMar>
          </w:tcPr>
          <w:p w14:paraId="601ED10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0.7</w:t>
            </w:r>
          </w:p>
        </w:tc>
        <w:tc>
          <w:tcPr>
            <w:tcW w:w="709" w:type="dxa"/>
            <w:shd w:val="clear" w:color="auto" w:fill="auto"/>
            <w:tcMar>
              <w:top w:w="0" w:type="dxa"/>
              <w:left w:w="108" w:type="dxa"/>
              <w:bottom w:w="0" w:type="dxa"/>
              <w:right w:w="108" w:type="dxa"/>
            </w:tcMar>
          </w:tcPr>
          <w:p w14:paraId="19457C7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-26</w:t>
            </w:r>
          </w:p>
        </w:tc>
        <w:tc>
          <w:tcPr>
            <w:tcW w:w="738" w:type="dxa"/>
            <w:shd w:val="clear" w:color="auto" w:fill="auto"/>
            <w:tcMar>
              <w:top w:w="0" w:type="dxa"/>
              <w:left w:w="108" w:type="dxa"/>
              <w:bottom w:w="0" w:type="dxa"/>
              <w:right w:w="108" w:type="dxa"/>
            </w:tcMar>
          </w:tcPr>
          <w:p w14:paraId="19C4BE4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2BC50DA7"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-19.0</w:t>
            </w:r>
          </w:p>
        </w:tc>
        <w:tc>
          <w:tcPr>
            <w:tcW w:w="850" w:type="dxa"/>
            <w:shd w:val="clear" w:color="auto" w:fill="auto"/>
            <w:tcMar>
              <w:top w:w="0" w:type="dxa"/>
              <w:left w:w="108" w:type="dxa"/>
              <w:bottom w:w="0" w:type="dxa"/>
              <w:right w:w="108" w:type="dxa"/>
            </w:tcMar>
          </w:tcPr>
          <w:p w14:paraId="41A9814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-16.3</w:t>
            </w:r>
          </w:p>
        </w:tc>
        <w:tc>
          <w:tcPr>
            <w:tcW w:w="885" w:type="dxa"/>
            <w:shd w:val="clear" w:color="auto" w:fill="auto"/>
            <w:tcMar>
              <w:top w:w="0" w:type="dxa"/>
              <w:left w:w="108" w:type="dxa"/>
              <w:bottom w:w="0" w:type="dxa"/>
              <w:right w:w="108" w:type="dxa"/>
            </w:tcMar>
          </w:tcPr>
          <w:p w14:paraId="1ED26BA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4832E9C1" w14:textId="77777777" w:rsidTr="00492095">
        <w:tc>
          <w:tcPr>
            <w:tcW w:w="2694" w:type="dxa"/>
            <w:gridSpan w:val="2"/>
            <w:shd w:val="clear" w:color="auto" w:fill="auto"/>
            <w:tcMar>
              <w:top w:w="0" w:type="dxa"/>
              <w:left w:w="108" w:type="dxa"/>
              <w:bottom w:w="0" w:type="dxa"/>
              <w:right w:w="108" w:type="dxa"/>
            </w:tcMar>
          </w:tcPr>
          <w:p w14:paraId="134799A6" w14:textId="77777777" w:rsidR="00492095" w:rsidRPr="00B61A5F" w:rsidRDefault="00492095" w:rsidP="00492095">
            <w:pPr>
              <w:autoSpaceDE w:val="0"/>
              <w:spacing w:after="0" w:line="480" w:lineRule="auto"/>
            </w:pPr>
            <w:r w:rsidRPr="00B61A5F">
              <w:rPr>
                <w:color w:val="444444"/>
                <w:sz w:val="16"/>
                <w:szCs w:val="16"/>
                <w:shd w:val="clear" w:color="auto" w:fill="FFFFFF"/>
              </w:rPr>
              <w:lastRenderedPageBreak/>
              <w:t>no qualifications</w:t>
            </w:r>
          </w:p>
        </w:tc>
        <w:tc>
          <w:tcPr>
            <w:tcW w:w="958" w:type="dxa"/>
            <w:shd w:val="clear" w:color="auto" w:fill="auto"/>
            <w:tcMar>
              <w:top w:w="0" w:type="dxa"/>
              <w:left w:w="108" w:type="dxa"/>
              <w:bottom w:w="0" w:type="dxa"/>
              <w:right w:w="108" w:type="dxa"/>
            </w:tcMar>
          </w:tcPr>
          <w:p w14:paraId="3CDE33A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-19</w:t>
            </w:r>
          </w:p>
        </w:tc>
        <w:tc>
          <w:tcPr>
            <w:tcW w:w="709" w:type="dxa"/>
            <w:gridSpan w:val="2"/>
            <w:shd w:val="clear" w:color="auto" w:fill="auto"/>
            <w:tcMar>
              <w:top w:w="0" w:type="dxa"/>
              <w:left w:w="108" w:type="dxa"/>
              <w:bottom w:w="0" w:type="dxa"/>
              <w:right w:w="108" w:type="dxa"/>
            </w:tcMar>
          </w:tcPr>
          <w:p w14:paraId="33701F9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0.8</w:t>
            </w:r>
          </w:p>
        </w:tc>
        <w:tc>
          <w:tcPr>
            <w:tcW w:w="709" w:type="dxa"/>
            <w:shd w:val="clear" w:color="auto" w:fill="auto"/>
            <w:tcMar>
              <w:top w:w="0" w:type="dxa"/>
              <w:left w:w="108" w:type="dxa"/>
              <w:bottom w:w="0" w:type="dxa"/>
              <w:right w:w="108" w:type="dxa"/>
            </w:tcMar>
          </w:tcPr>
          <w:p w14:paraId="6F78340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-23</w:t>
            </w:r>
          </w:p>
        </w:tc>
        <w:tc>
          <w:tcPr>
            <w:tcW w:w="738" w:type="dxa"/>
            <w:shd w:val="clear" w:color="auto" w:fill="auto"/>
            <w:tcMar>
              <w:top w:w="0" w:type="dxa"/>
              <w:left w:w="108" w:type="dxa"/>
              <w:bottom w:w="0" w:type="dxa"/>
              <w:right w:w="108" w:type="dxa"/>
            </w:tcMar>
          </w:tcPr>
          <w:p w14:paraId="7171B4E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32360E8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-20.2</w:t>
            </w:r>
          </w:p>
        </w:tc>
        <w:tc>
          <w:tcPr>
            <w:tcW w:w="850" w:type="dxa"/>
            <w:shd w:val="clear" w:color="auto" w:fill="auto"/>
            <w:tcMar>
              <w:top w:w="0" w:type="dxa"/>
              <w:left w:w="108" w:type="dxa"/>
              <w:bottom w:w="0" w:type="dxa"/>
              <w:right w:w="108" w:type="dxa"/>
            </w:tcMar>
          </w:tcPr>
          <w:p w14:paraId="5ED95B8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-17.1</w:t>
            </w:r>
          </w:p>
        </w:tc>
        <w:tc>
          <w:tcPr>
            <w:tcW w:w="885" w:type="dxa"/>
            <w:shd w:val="clear" w:color="auto" w:fill="auto"/>
            <w:tcMar>
              <w:top w:w="0" w:type="dxa"/>
              <w:left w:w="108" w:type="dxa"/>
              <w:bottom w:w="0" w:type="dxa"/>
              <w:right w:w="108" w:type="dxa"/>
            </w:tcMar>
          </w:tcPr>
          <w:p w14:paraId="5399A3E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117BB808" w14:textId="77777777" w:rsidTr="00492095">
        <w:tc>
          <w:tcPr>
            <w:tcW w:w="2694" w:type="dxa"/>
            <w:gridSpan w:val="2"/>
            <w:shd w:val="clear" w:color="auto" w:fill="auto"/>
            <w:tcMar>
              <w:top w:w="0" w:type="dxa"/>
              <w:left w:w="108" w:type="dxa"/>
              <w:bottom w:w="0" w:type="dxa"/>
              <w:right w:w="108" w:type="dxa"/>
            </w:tcMar>
          </w:tcPr>
          <w:p w14:paraId="643E7A76" w14:textId="77777777" w:rsidR="00492095" w:rsidRPr="00B61A5F" w:rsidRDefault="00492095" w:rsidP="00492095">
            <w:pPr>
              <w:autoSpaceDE w:val="0"/>
              <w:spacing w:after="0" w:line="480" w:lineRule="auto"/>
            </w:pPr>
            <w:r w:rsidRPr="00B61A5F">
              <w:rPr>
                <w:color w:val="444444"/>
                <w:sz w:val="16"/>
                <w:szCs w:val="16"/>
                <w:shd w:val="clear" w:color="auto" w:fill="FFFFFF"/>
              </w:rPr>
              <w:t>don’t know</w:t>
            </w:r>
          </w:p>
        </w:tc>
        <w:tc>
          <w:tcPr>
            <w:tcW w:w="958" w:type="dxa"/>
            <w:shd w:val="clear" w:color="auto" w:fill="auto"/>
            <w:tcMar>
              <w:top w:w="0" w:type="dxa"/>
              <w:left w:w="108" w:type="dxa"/>
              <w:bottom w:w="0" w:type="dxa"/>
              <w:right w:w="108" w:type="dxa"/>
            </w:tcMar>
          </w:tcPr>
          <w:p w14:paraId="4BECE98B"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w:t>
            </w:r>
          </w:p>
        </w:tc>
        <w:tc>
          <w:tcPr>
            <w:tcW w:w="709" w:type="dxa"/>
            <w:gridSpan w:val="2"/>
            <w:shd w:val="clear" w:color="auto" w:fill="auto"/>
            <w:tcMar>
              <w:top w:w="0" w:type="dxa"/>
              <w:left w:w="108" w:type="dxa"/>
              <w:bottom w:w="0" w:type="dxa"/>
              <w:right w:w="108" w:type="dxa"/>
            </w:tcMar>
          </w:tcPr>
          <w:p w14:paraId="5AC849D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1.0</w:t>
            </w:r>
          </w:p>
        </w:tc>
        <w:tc>
          <w:tcPr>
            <w:tcW w:w="709" w:type="dxa"/>
            <w:shd w:val="clear" w:color="auto" w:fill="auto"/>
            <w:tcMar>
              <w:top w:w="0" w:type="dxa"/>
              <w:left w:w="108" w:type="dxa"/>
              <w:bottom w:w="0" w:type="dxa"/>
              <w:right w:w="108" w:type="dxa"/>
            </w:tcMar>
          </w:tcPr>
          <w:p w14:paraId="50C4CC56"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w:t>
            </w:r>
          </w:p>
        </w:tc>
        <w:tc>
          <w:tcPr>
            <w:tcW w:w="738" w:type="dxa"/>
            <w:shd w:val="clear" w:color="auto" w:fill="auto"/>
            <w:tcMar>
              <w:top w:w="0" w:type="dxa"/>
              <w:left w:w="108" w:type="dxa"/>
              <w:bottom w:w="0" w:type="dxa"/>
              <w:right w:w="108" w:type="dxa"/>
            </w:tcMar>
          </w:tcPr>
          <w:p w14:paraId="28DFF149"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32384288"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-14.0</w:t>
            </w:r>
          </w:p>
        </w:tc>
        <w:tc>
          <w:tcPr>
            <w:tcW w:w="850" w:type="dxa"/>
            <w:shd w:val="clear" w:color="auto" w:fill="auto"/>
            <w:tcMar>
              <w:top w:w="0" w:type="dxa"/>
              <w:left w:w="108" w:type="dxa"/>
              <w:bottom w:w="0" w:type="dxa"/>
              <w:right w:w="108" w:type="dxa"/>
            </w:tcMar>
          </w:tcPr>
          <w:p w14:paraId="335D1A0C"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-10.1</w:t>
            </w:r>
          </w:p>
        </w:tc>
        <w:tc>
          <w:tcPr>
            <w:tcW w:w="885" w:type="dxa"/>
            <w:shd w:val="clear" w:color="auto" w:fill="auto"/>
            <w:tcMar>
              <w:top w:w="0" w:type="dxa"/>
              <w:left w:w="108" w:type="dxa"/>
              <w:bottom w:w="0" w:type="dxa"/>
              <w:right w:w="108" w:type="dxa"/>
            </w:tcMar>
          </w:tcPr>
          <w:p w14:paraId="15BD1282"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75371428" w14:textId="77777777" w:rsidTr="00492095">
        <w:tc>
          <w:tcPr>
            <w:tcW w:w="2694" w:type="dxa"/>
            <w:gridSpan w:val="2"/>
            <w:shd w:val="clear" w:color="auto" w:fill="auto"/>
            <w:tcMar>
              <w:top w:w="0" w:type="dxa"/>
              <w:left w:w="108" w:type="dxa"/>
              <w:bottom w:w="0" w:type="dxa"/>
              <w:right w:w="108" w:type="dxa"/>
            </w:tcMar>
          </w:tcPr>
          <w:p w14:paraId="524FC43A"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 xml:space="preserve"> Constant</w:t>
            </w:r>
          </w:p>
        </w:tc>
        <w:tc>
          <w:tcPr>
            <w:tcW w:w="958" w:type="dxa"/>
            <w:shd w:val="clear" w:color="auto" w:fill="auto"/>
            <w:tcMar>
              <w:top w:w="0" w:type="dxa"/>
              <w:left w:w="108" w:type="dxa"/>
              <w:bottom w:w="0" w:type="dxa"/>
              <w:right w:w="108" w:type="dxa"/>
            </w:tcMar>
          </w:tcPr>
          <w:p w14:paraId="5927BD2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66</w:t>
            </w:r>
          </w:p>
        </w:tc>
        <w:tc>
          <w:tcPr>
            <w:tcW w:w="709" w:type="dxa"/>
            <w:gridSpan w:val="2"/>
            <w:shd w:val="clear" w:color="auto" w:fill="auto"/>
            <w:tcMar>
              <w:top w:w="0" w:type="dxa"/>
              <w:left w:w="108" w:type="dxa"/>
              <w:bottom w:w="0" w:type="dxa"/>
              <w:right w:w="108" w:type="dxa"/>
            </w:tcMar>
          </w:tcPr>
          <w:p w14:paraId="6491A54A"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1.1</w:t>
            </w:r>
          </w:p>
        </w:tc>
        <w:tc>
          <w:tcPr>
            <w:tcW w:w="709" w:type="dxa"/>
            <w:shd w:val="clear" w:color="auto" w:fill="auto"/>
            <w:tcMar>
              <w:top w:w="0" w:type="dxa"/>
              <w:left w:w="108" w:type="dxa"/>
              <w:bottom w:w="0" w:type="dxa"/>
              <w:right w:w="108" w:type="dxa"/>
            </w:tcMar>
          </w:tcPr>
          <w:p w14:paraId="427EF35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59</w:t>
            </w:r>
          </w:p>
        </w:tc>
        <w:tc>
          <w:tcPr>
            <w:tcW w:w="738" w:type="dxa"/>
            <w:shd w:val="clear" w:color="auto" w:fill="auto"/>
            <w:tcMar>
              <w:top w:w="0" w:type="dxa"/>
              <w:left w:w="108" w:type="dxa"/>
              <w:bottom w:w="0" w:type="dxa"/>
              <w:right w:w="108" w:type="dxa"/>
            </w:tcMar>
          </w:tcPr>
          <w:p w14:paraId="1B49C97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21" w:type="dxa"/>
            <w:gridSpan w:val="2"/>
            <w:shd w:val="clear" w:color="auto" w:fill="auto"/>
            <w:tcMar>
              <w:top w:w="0" w:type="dxa"/>
              <w:left w:w="108" w:type="dxa"/>
              <w:bottom w:w="0" w:type="dxa"/>
              <w:right w:w="108" w:type="dxa"/>
            </w:tcMar>
          </w:tcPr>
          <w:p w14:paraId="78C3906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61</w:t>
            </w:r>
          </w:p>
        </w:tc>
        <w:tc>
          <w:tcPr>
            <w:tcW w:w="850" w:type="dxa"/>
            <w:shd w:val="clear" w:color="auto" w:fill="auto"/>
            <w:tcMar>
              <w:top w:w="0" w:type="dxa"/>
              <w:left w:w="108" w:type="dxa"/>
              <w:bottom w:w="0" w:type="dxa"/>
              <w:right w:w="108" w:type="dxa"/>
            </w:tcMar>
          </w:tcPr>
          <w:p w14:paraId="0188CBDE"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68</w:t>
            </w:r>
          </w:p>
        </w:tc>
        <w:tc>
          <w:tcPr>
            <w:tcW w:w="885" w:type="dxa"/>
            <w:shd w:val="clear" w:color="auto" w:fill="auto"/>
            <w:tcMar>
              <w:top w:w="0" w:type="dxa"/>
              <w:left w:w="108" w:type="dxa"/>
              <w:bottom w:w="0" w:type="dxa"/>
              <w:right w:w="108" w:type="dxa"/>
            </w:tcMar>
          </w:tcPr>
          <w:p w14:paraId="7801B985"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w:t>
            </w:r>
          </w:p>
        </w:tc>
      </w:tr>
      <w:tr w:rsidR="00492095" w:rsidRPr="00B61A5F" w14:paraId="5FB1C788" w14:textId="77777777" w:rsidTr="00492095">
        <w:tc>
          <w:tcPr>
            <w:tcW w:w="2408" w:type="dxa"/>
            <w:shd w:val="clear" w:color="auto" w:fill="auto"/>
            <w:tcMar>
              <w:top w:w="0" w:type="dxa"/>
              <w:left w:w="108" w:type="dxa"/>
              <w:bottom w:w="0" w:type="dxa"/>
              <w:right w:w="108" w:type="dxa"/>
            </w:tcMar>
          </w:tcPr>
          <w:p w14:paraId="5D0D3D0A"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Mean dependent var</w:t>
            </w:r>
          </w:p>
        </w:tc>
        <w:tc>
          <w:tcPr>
            <w:tcW w:w="1750" w:type="dxa"/>
            <w:gridSpan w:val="3"/>
            <w:shd w:val="clear" w:color="auto" w:fill="auto"/>
            <w:tcMar>
              <w:top w:w="0" w:type="dxa"/>
              <w:left w:w="108" w:type="dxa"/>
              <w:bottom w:w="0" w:type="dxa"/>
              <w:right w:w="108" w:type="dxa"/>
            </w:tcMar>
          </w:tcPr>
          <w:p w14:paraId="5FEB81DF"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53.3</w:t>
            </w:r>
          </w:p>
        </w:tc>
        <w:tc>
          <w:tcPr>
            <w:tcW w:w="2300" w:type="dxa"/>
            <w:gridSpan w:val="4"/>
            <w:shd w:val="clear" w:color="auto" w:fill="auto"/>
            <w:tcMar>
              <w:top w:w="0" w:type="dxa"/>
              <w:left w:w="108" w:type="dxa"/>
              <w:bottom w:w="0" w:type="dxa"/>
              <w:right w:w="108" w:type="dxa"/>
            </w:tcMar>
          </w:tcPr>
          <w:p w14:paraId="68E22EA9"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 xml:space="preserve">SD dependent var </w:t>
            </w:r>
          </w:p>
        </w:tc>
        <w:tc>
          <w:tcPr>
            <w:tcW w:w="1021" w:type="dxa"/>
            <w:gridSpan w:val="2"/>
            <w:shd w:val="clear" w:color="auto" w:fill="auto"/>
            <w:tcMar>
              <w:top w:w="0" w:type="dxa"/>
              <w:left w:w="108" w:type="dxa"/>
              <w:bottom w:w="0" w:type="dxa"/>
              <w:right w:w="108" w:type="dxa"/>
            </w:tcMar>
          </w:tcPr>
          <w:p w14:paraId="482503C1"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12.5</w:t>
            </w:r>
          </w:p>
        </w:tc>
        <w:tc>
          <w:tcPr>
            <w:tcW w:w="885" w:type="dxa"/>
            <w:shd w:val="clear" w:color="auto" w:fill="auto"/>
            <w:tcMar>
              <w:top w:w="0" w:type="dxa"/>
              <w:left w:w="10" w:type="dxa"/>
              <w:bottom w:w="0" w:type="dxa"/>
              <w:right w:w="10" w:type="dxa"/>
            </w:tcMar>
          </w:tcPr>
          <w:p w14:paraId="4F0DCE57" w14:textId="77777777" w:rsidR="00492095" w:rsidRPr="00B61A5F" w:rsidRDefault="00492095" w:rsidP="00492095">
            <w:pPr>
              <w:widowControl w:val="0"/>
              <w:autoSpaceDE w:val="0"/>
              <w:spacing w:after="0" w:line="480" w:lineRule="auto"/>
              <w:jc w:val="right"/>
              <w:rPr>
                <w:sz w:val="16"/>
                <w:szCs w:val="16"/>
                <w:lang w:val="en-US"/>
              </w:rPr>
            </w:pPr>
          </w:p>
        </w:tc>
      </w:tr>
      <w:tr w:rsidR="00492095" w:rsidRPr="00B61A5F" w14:paraId="7E51E16A" w14:textId="77777777" w:rsidTr="00492095">
        <w:tc>
          <w:tcPr>
            <w:tcW w:w="2408" w:type="dxa"/>
            <w:shd w:val="clear" w:color="auto" w:fill="auto"/>
            <w:tcMar>
              <w:top w:w="0" w:type="dxa"/>
              <w:left w:w="108" w:type="dxa"/>
              <w:bottom w:w="0" w:type="dxa"/>
              <w:right w:w="108" w:type="dxa"/>
            </w:tcMar>
          </w:tcPr>
          <w:p w14:paraId="424083C6"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 xml:space="preserve">R-squared </w:t>
            </w:r>
          </w:p>
        </w:tc>
        <w:tc>
          <w:tcPr>
            <w:tcW w:w="1750" w:type="dxa"/>
            <w:gridSpan w:val="3"/>
            <w:shd w:val="clear" w:color="auto" w:fill="auto"/>
            <w:tcMar>
              <w:top w:w="0" w:type="dxa"/>
              <w:left w:w="108" w:type="dxa"/>
              <w:bottom w:w="0" w:type="dxa"/>
              <w:right w:w="108" w:type="dxa"/>
            </w:tcMar>
          </w:tcPr>
          <w:p w14:paraId="400C14D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0.23</w:t>
            </w:r>
          </w:p>
        </w:tc>
        <w:tc>
          <w:tcPr>
            <w:tcW w:w="2300" w:type="dxa"/>
            <w:gridSpan w:val="4"/>
            <w:shd w:val="clear" w:color="auto" w:fill="auto"/>
            <w:tcMar>
              <w:top w:w="0" w:type="dxa"/>
              <w:left w:w="108" w:type="dxa"/>
              <w:bottom w:w="0" w:type="dxa"/>
              <w:right w:w="108" w:type="dxa"/>
            </w:tcMar>
          </w:tcPr>
          <w:p w14:paraId="2A87D0F3"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 xml:space="preserve">Number of </w:t>
            </w:r>
            <w:proofErr w:type="spellStart"/>
            <w:r w:rsidRPr="00B61A5F">
              <w:rPr>
                <w:sz w:val="16"/>
                <w:szCs w:val="16"/>
                <w:lang w:val="en-US"/>
              </w:rPr>
              <w:t>obs</w:t>
            </w:r>
            <w:proofErr w:type="spellEnd"/>
            <w:r w:rsidRPr="00B61A5F">
              <w:rPr>
                <w:sz w:val="16"/>
                <w:szCs w:val="16"/>
                <w:lang w:val="en-US"/>
              </w:rPr>
              <w:t xml:space="preserve">  </w:t>
            </w:r>
          </w:p>
        </w:tc>
        <w:tc>
          <w:tcPr>
            <w:tcW w:w="1021" w:type="dxa"/>
            <w:gridSpan w:val="2"/>
            <w:shd w:val="clear" w:color="auto" w:fill="auto"/>
            <w:tcMar>
              <w:top w:w="0" w:type="dxa"/>
              <w:left w:w="108" w:type="dxa"/>
              <w:bottom w:w="0" w:type="dxa"/>
              <w:right w:w="108" w:type="dxa"/>
            </w:tcMar>
          </w:tcPr>
          <w:p w14:paraId="3767BC24"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7609</w:t>
            </w:r>
          </w:p>
        </w:tc>
        <w:tc>
          <w:tcPr>
            <w:tcW w:w="885" w:type="dxa"/>
            <w:shd w:val="clear" w:color="auto" w:fill="auto"/>
            <w:tcMar>
              <w:top w:w="0" w:type="dxa"/>
              <w:left w:w="10" w:type="dxa"/>
              <w:bottom w:w="0" w:type="dxa"/>
              <w:right w:w="10" w:type="dxa"/>
            </w:tcMar>
          </w:tcPr>
          <w:p w14:paraId="21A97DF5" w14:textId="77777777" w:rsidR="00492095" w:rsidRPr="00B61A5F" w:rsidRDefault="00492095" w:rsidP="00492095">
            <w:pPr>
              <w:widowControl w:val="0"/>
              <w:autoSpaceDE w:val="0"/>
              <w:spacing w:after="0" w:line="480" w:lineRule="auto"/>
              <w:jc w:val="right"/>
              <w:rPr>
                <w:sz w:val="16"/>
                <w:szCs w:val="16"/>
                <w:lang w:val="en-US"/>
              </w:rPr>
            </w:pPr>
          </w:p>
        </w:tc>
      </w:tr>
      <w:tr w:rsidR="00492095" w:rsidRPr="00B61A5F" w14:paraId="4D9F3BFC" w14:textId="77777777" w:rsidTr="00492095">
        <w:tc>
          <w:tcPr>
            <w:tcW w:w="2408" w:type="dxa"/>
            <w:shd w:val="clear" w:color="auto" w:fill="auto"/>
            <w:tcMar>
              <w:top w:w="0" w:type="dxa"/>
              <w:left w:w="108" w:type="dxa"/>
              <w:bottom w:w="0" w:type="dxa"/>
              <w:right w:w="108" w:type="dxa"/>
            </w:tcMar>
          </w:tcPr>
          <w:p w14:paraId="26418F4D"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 xml:space="preserve">F-test  </w:t>
            </w:r>
          </w:p>
        </w:tc>
        <w:tc>
          <w:tcPr>
            <w:tcW w:w="1750" w:type="dxa"/>
            <w:gridSpan w:val="3"/>
            <w:shd w:val="clear" w:color="auto" w:fill="auto"/>
            <w:tcMar>
              <w:top w:w="0" w:type="dxa"/>
              <w:left w:w="108" w:type="dxa"/>
              <w:bottom w:w="0" w:type="dxa"/>
              <w:right w:w="108" w:type="dxa"/>
            </w:tcMar>
          </w:tcPr>
          <w:p w14:paraId="3C23571D"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34.7</w:t>
            </w:r>
          </w:p>
        </w:tc>
        <w:tc>
          <w:tcPr>
            <w:tcW w:w="2300" w:type="dxa"/>
            <w:gridSpan w:val="4"/>
            <w:shd w:val="clear" w:color="auto" w:fill="auto"/>
            <w:tcMar>
              <w:top w:w="0" w:type="dxa"/>
              <w:left w:w="108" w:type="dxa"/>
              <w:bottom w:w="0" w:type="dxa"/>
              <w:right w:w="108" w:type="dxa"/>
            </w:tcMar>
          </w:tcPr>
          <w:p w14:paraId="32D1BAB8" w14:textId="77777777" w:rsidR="00492095" w:rsidRPr="00B61A5F" w:rsidRDefault="00492095" w:rsidP="00492095">
            <w:pPr>
              <w:widowControl w:val="0"/>
              <w:autoSpaceDE w:val="0"/>
              <w:spacing w:after="0" w:line="480" w:lineRule="auto"/>
              <w:rPr>
                <w:sz w:val="16"/>
                <w:szCs w:val="16"/>
                <w:lang w:val="en-US"/>
              </w:rPr>
            </w:pPr>
            <w:r w:rsidRPr="00B61A5F">
              <w:rPr>
                <w:sz w:val="16"/>
                <w:szCs w:val="16"/>
                <w:lang w:val="en-US"/>
              </w:rPr>
              <w:t xml:space="preserve">Prob &gt; F </w:t>
            </w:r>
          </w:p>
        </w:tc>
        <w:tc>
          <w:tcPr>
            <w:tcW w:w="1021" w:type="dxa"/>
            <w:gridSpan w:val="2"/>
            <w:shd w:val="clear" w:color="auto" w:fill="auto"/>
            <w:tcMar>
              <w:top w:w="0" w:type="dxa"/>
              <w:left w:w="108" w:type="dxa"/>
              <w:bottom w:w="0" w:type="dxa"/>
              <w:right w:w="108" w:type="dxa"/>
            </w:tcMar>
          </w:tcPr>
          <w:p w14:paraId="32F4EDC0" w14:textId="77777777" w:rsidR="00492095" w:rsidRPr="00B61A5F" w:rsidRDefault="00492095" w:rsidP="00492095">
            <w:pPr>
              <w:widowControl w:val="0"/>
              <w:autoSpaceDE w:val="0"/>
              <w:spacing w:after="0" w:line="480" w:lineRule="auto"/>
              <w:jc w:val="right"/>
              <w:rPr>
                <w:sz w:val="16"/>
                <w:szCs w:val="16"/>
                <w:lang w:val="en-US"/>
              </w:rPr>
            </w:pPr>
            <w:r w:rsidRPr="00B61A5F">
              <w:rPr>
                <w:sz w:val="16"/>
                <w:szCs w:val="16"/>
                <w:lang w:val="en-US"/>
              </w:rPr>
              <w:t>.000</w:t>
            </w:r>
          </w:p>
        </w:tc>
        <w:tc>
          <w:tcPr>
            <w:tcW w:w="885" w:type="dxa"/>
            <w:shd w:val="clear" w:color="auto" w:fill="auto"/>
            <w:tcMar>
              <w:top w:w="0" w:type="dxa"/>
              <w:left w:w="10" w:type="dxa"/>
              <w:bottom w:w="0" w:type="dxa"/>
              <w:right w:w="10" w:type="dxa"/>
            </w:tcMar>
          </w:tcPr>
          <w:p w14:paraId="7951AE78" w14:textId="77777777" w:rsidR="00492095" w:rsidRPr="00B61A5F" w:rsidRDefault="00492095" w:rsidP="00492095">
            <w:pPr>
              <w:widowControl w:val="0"/>
              <w:autoSpaceDE w:val="0"/>
              <w:spacing w:after="0" w:line="480" w:lineRule="auto"/>
              <w:jc w:val="right"/>
              <w:rPr>
                <w:sz w:val="16"/>
                <w:szCs w:val="16"/>
                <w:lang w:val="en-US"/>
              </w:rPr>
            </w:pPr>
          </w:p>
        </w:tc>
      </w:tr>
      <w:tr w:rsidR="00492095" w:rsidRPr="00B61A5F" w14:paraId="0835630D" w14:textId="77777777" w:rsidTr="00492095">
        <w:tc>
          <w:tcPr>
            <w:tcW w:w="8364" w:type="dxa"/>
            <w:gridSpan w:val="11"/>
            <w:tcBorders>
              <w:bottom w:val="single" w:sz="12" w:space="0" w:color="000000"/>
            </w:tcBorders>
            <w:shd w:val="clear" w:color="auto" w:fill="auto"/>
            <w:tcMar>
              <w:top w:w="0" w:type="dxa"/>
              <w:left w:w="108" w:type="dxa"/>
              <w:bottom w:w="0" w:type="dxa"/>
              <w:right w:w="108" w:type="dxa"/>
            </w:tcMar>
          </w:tcPr>
          <w:p w14:paraId="70CD1F44" w14:textId="77777777" w:rsidR="00492095" w:rsidRPr="00B61A5F" w:rsidRDefault="00492095" w:rsidP="00492095">
            <w:pPr>
              <w:widowControl w:val="0"/>
              <w:autoSpaceDE w:val="0"/>
              <w:spacing w:after="0" w:line="480" w:lineRule="auto"/>
              <w:rPr>
                <w:sz w:val="16"/>
                <w:szCs w:val="16"/>
                <w:lang w:val="en-US"/>
              </w:rPr>
            </w:pPr>
          </w:p>
        </w:tc>
      </w:tr>
    </w:tbl>
    <w:p w14:paraId="5E22B995" w14:textId="3DCB3B02" w:rsidR="00C84691" w:rsidRPr="006207F8" w:rsidRDefault="00C84691" w:rsidP="00C84691">
      <w:pPr>
        <w:pStyle w:val="TableGraphSource"/>
        <w:spacing w:line="480" w:lineRule="auto"/>
        <w:rPr>
          <w:i/>
          <w:lang w:val="en-US"/>
        </w:rPr>
      </w:pPr>
      <w:r w:rsidRPr="006207F8">
        <w:rPr>
          <w:lang w:val="en-US"/>
        </w:rPr>
        <w:t>Note:</w:t>
      </w:r>
      <w:r w:rsidRPr="00FD2E7D">
        <w:rPr>
          <w:lang w:val="en-US"/>
        </w:rPr>
        <w:t xml:space="preserve"> </w:t>
      </w:r>
      <w:r w:rsidRPr="006207F8">
        <w:rPr>
          <w:i/>
          <w:lang w:val="en-US"/>
        </w:rPr>
        <w:t xml:space="preserve">*** p&lt;0.01, ** p&lt;0.05, * p&lt;0.1 </w:t>
      </w:r>
      <w:r w:rsidRPr="006207F8">
        <w:rPr>
          <w:lang w:val="en-US"/>
        </w:rPr>
        <w:t xml:space="preserve">Source: </w:t>
      </w:r>
      <w:proofErr w:type="spellStart"/>
      <w:r w:rsidRPr="006207F8">
        <w:rPr>
          <w:lang w:val="en-US"/>
        </w:rPr>
        <w:t>Labour</w:t>
      </w:r>
      <w:proofErr w:type="spellEnd"/>
      <w:r w:rsidRPr="006207F8">
        <w:rPr>
          <w:lang w:val="en-US"/>
        </w:rPr>
        <w:t xml:space="preserve"> Force Survey, </w:t>
      </w:r>
      <w:r w:rsidRPr="006207F8">
        <w:rPr>
          <w:rFonts w:cs="Calibri"/>
          <w:lang w:val="en-US"/>
        </w:rPr>
        <w:t>pooled quarterly datasets 05-07, 15-17,</w:t>
      </w:r>
      <w:r w:rsidRPr="006207F8">
        <w:rPr>
          <w:rFonts w:cs="Calibri"/>
        </w:rPr>
        <w:t xml:space="preserve"> </w:t>
      </w:r>
      <w:r w:rsidRPr="006207F8">
        <w:rPr>
          <w:lang w:val="en-US"/>
        </w:rPr>
        <w:t xml:space="preserve">CAMSIS score of women, </w:t>
      </w:r>
      <w:r w:rsidR="0067797C" w:rsidRPr="006207F8">
        <w:rPr>
          <w:lang w:val="en-US"/>
        </w:rPr>
        <w:t xml:space="preserve">applying LFS </w:t>
      </w:r>
      <w:r w:rsidRPr="006207F8">
        <w:rPr>
          <w:lang w:val="en-US"/>
        </w:rPr>
        <w:t xml:space="preserve"> individual level person weights, controlling region, age and educational attainment</w:t>
      </w:r>
      <w:r w:rsidRPr="00FD2E7D">
        <w:rPr>
          <w:lang w:val="en-US"/>
        </w:rPr>
        <w:t xml:space="preserve"> </w:t>
      </w:r>
    </w:p>
    <w:p w14:paraId="7995C7B9" w14:textId="77777777" w:rsidR="00492095" w:rsidRDefault="00492095" w:rsidP="00C720DB">
      <w:pPr>
        <w:pStyle w:val="Paragraph"/>
        <w:spacing w:line="480" w:lineRule="auto"/>
      </w:pPr>
    </w:p>
    <w:p w14:paraId="0843CF12" w14:textId="7872D882" w:rsidR="00284F2D" w:rsidRPr="00E7066A" w:rsidRDefault="00284F2D" w:rsidP="00E7066A">
      <w:pPr>
        <w:pStyle w:val="Heading1"/>
        <w:shd w:val="clear" w:color="auto" w:fill="FFFFFF"/>
        <w:spacing w:before="0" w:after="0"/>
        <w:rPr>
          <w:rFonts w:cs="Arial"/>
          <w:b w:val="0"/>
          <w:bCs w:val="0"/>
          <w:color w:val="222222"/>
          <w:sz w:val="20"/>
          <w:szCs w:val="20"/>
        </w:rPr>
      </w:pPr>
      <w:r w:rsidRPr="00E7066A">
        <w:rPr>
          <w:b w:val="0"/>
          <w:sz w:val="20"/>
          <w:szCs w:val="20"/>
        </w:rPr>
        <w:lastRenderedPageBreak/>
        <w:t xml:space="preserve">*Correspondence address: Dr Adam Formby, York St John University, </w:t>
      </w:r>
      <w:r w:rsidR="00E7066A" w:rsidRPr="00E7066A">
        <w:rPr>
          <w:rFonts w:cs="Arial"/>
          <w:b w:val="0"/>
          <w:color w:val="222222"/>
          <w:sz w:val="20"/>
          <w:szCs w:val="20"/>
        </w:rPr>
        <w:t xml:space="preserve">Lord Mayor's Walk, York YO31 7EX, </w:t>
      </w:r>
      <w:r w:rsidR="00FD2E7D">
        <w:rPr>
          <w:b w:val="0"/>
          <w:sz w:val="20"/>
          <w:szCs w:val="20"/>
        </w:rPr>
        <w:t>e</w:t>
      </w:r>
      <w:r w:rsidR="00E7066A">
        <w:rPr>
          <w:b w:val="0"/>
          <w:sz w:val="20"/>
          <w:szCs w:val="20"/>
        </w:rPr>
        <w:t>-</w:t>
      </w:r>
      <w:r w:rsidRPr="00E7066A">
        <w:rPr>
          <w:b w:val="0"/>
          <w:sz w:val="20"/>
          <w:szCs w:val="20"/>
        </w:rPr>
        <w:t xml:space="preserve">mail: </w:t>
      </w:r>
      <w:hyperlink r:id="rId14" w:history="1">
        <w:r w:rsidRPr="00E7066A">
          <w:rPr>
            <w:rStyle w:val="Hyperlink"/>
            <w:b w:val="0"/>
            <w:sz w:val="20"/>
            <w:szCs w:val="20"/>
          </w:rPr>
          <w:t>a.formby@yorksj.ac.uk</w:t>
        </w:r>
      </w:hyperlink>
      <w:r w:rsidRPr="00E7066A">
        <w:rPr>
          <w:b w:val="0"/>
          <w:sz w:val="20"/>
          <w:szCs w:val="20"/>
        </w:rPr>
        <w:t xml:space="preserve"> </w:t>
      </w:r>
    </w:p>
    <w:p w14:paraId="2CA5FA07" w14:textId="77777777" w:rsidR="007F58F0" w:rsidRDefault="007F58F0" w:rsidP="00C720DB">
      <w:pPr>
        <w:pStyle w:val="Heading2"/>
        <w:spacing w:line="480" w:lineRule="auto"/>
      </w:pPr>
      <w:bookmarkStart w:id="4" w:name="_Hlk27742489"/>
      <w:r>
        <w:t>References</w:t>
      </w:r>
    </w:p>
    <w:p w14:paraId="7675B395" w14:textId="010AADAD" w:rsidR="007F58F0" w:rsidRDefault="007F58F0" w:rsidP="00C720DB">
      <w:pPr>
        <w:pStyle w:val="References"/>
        <w:spacing w:line="480" w:lineRule="auto"/>
      </w:pPr>
      <w:r w:rsidRPr="00E7066A">
        <w:rPr>
          <w:szCs w:val="20"/>
        </w:rPr>
        <w:t>Antonucci</w:t>
      </w:r>
      <w:r>
        <w:t xml:space="preserve">, L. (2018) Not all experiences of precarious work lead to precarity: the case study of young people at university and their welfare mixes. </w:t>
      </w:r>
      <w:r>
        <w:rPr>
          <w:i/>
        </w:rPr>
        <w:t>Journal of Youth Studies</w:t>
      </w:r>
      <w:r>
        <w:t>, 21, 7, 888-904.</w:t>
      </w:r>
    </w:p>
    <w:p w14:paraId="1C77618E" w14:textId="72AD6562" w:rsidR="007F58F0" w:rsidRDefault="007F58F0" w:rsidP="00C720DB">
      <w:pPr>
        <w:pStyle w:val="References"/>
        <w:spacing w:line="480" w:lineRule="auto"/>
      </w:pPr>
      <w:r>
        <w:t>Autor, D.</w:t>
      </w:r>
      <w:r w:rsidR="00B1687F">
        <w:t xml:space="preserve"> Levy,</w:t>
      </w:r>
      <w:r>
        <w:t xml:space="preserve"> F</w:t>
      </w:r>
      <w:r w:rsidR="00B1687F">
        <w:t>.</w:t>
      </w:r>
      <w:r>
        <w:t xml:space="preserve"> and Murnane. R, J. (2003) The skill content of recent technological change: An empirical exploration. </w:t>
      </w:r>
      <w:r>
        <w:rPr>
          <w:i/>
        </w:rPr>
        <w:t>The Quarterly Journal of Economics,</w:t>
      </w:r>
      <w:r>
        <w:t xml:space="preserve"> 118, 4, 1279–1333.</w:t>
      </w:r>
    </w:p>
    <w:p w14:paraId="2AE632F8" w14:textId="00BE369D" w:rsidR="007F58F0" w:rsidRPr="00B1687F" w:rsidRDefault="007F58F0" w:rsidP="00C720DB">
      <w:pPr>
        <w:pStyle w:val="References"/>
        <w:spacing w:line="480" w:lineRule="auto"/>
      </w:pPr>
      <w:r>
        <w:t xml:space="preserve">Bell, D., N. F. and Blanchflower, D. G. (2011). Young people and the Great Recession. </w:t>
      </w:r>
      <w:r w:rsidRPr="00B1687F">
        <w:rPr>
          <w:i/>
        </w:rPr>
        <w:t>Oxford Review of Economic Policy</w:t>
      </w:r>
      <w:r w:rsidRPr="00B1687F">
        <w:t>, 27, 241–267.</w:t>
      </w:r>
    </w:p>
    <w:p w14:paraId="5C3E1847" w14:textId="703F34F7" w:rsidR="007F58F0" w:rsidRPr="00B1687F" w:rsidRDefault="007F58F0" w:rsidP="00C720DB">
      <w:pPr>
        <w:pStyle w:val="References"/>
        <w:spacing w:line="480" w:lineRule="auto"/>
      </w:pPr>
      <w:proofErr w:type="spellStart"/>
      <w:r w:rsidRPr="00B1687F">
        <w:rPr>
          <w:rStyle w:val="hlfld-contribauthor"/>
          <w:szCs w:val="20"/>
        </w:rPr>
        <w:t>Blau</w:t>
      </w:r>
      <w:proofErr w:type="spellEnd"/>
      <w:r w:rsidRPr="00B1687F">
        <w:rPr>
          <w:rStyle w:val="hlfld-contribauthor"/>
          <w:szCs w:val="20"/>
        </w:rPr>
        <w:t>, </w:t>
      </w:r>
      <w:r w:rsidRPr="00B1687F">
        <w:rPr>
          <w:rStyle w:val="nlmgiven-names"/>
          <w:szCs w:val="20"/>
        </w:rPr>
        <w:t>F.</w:t>
      </w:r>
      <w:r w:rsidRPr="00B1687F">
        <w:t xml:space="preserve">, </w:t>
      </w:r>
      <w:proofErr w:type="spellStart"/>
      <w:r w:rsidRPr="00B1687F">
        <w:rPr>
          <w:rStyle w:val="hlfld-contribauthor"/>
          <w:szCs w:val="20"/>
        </w:rPr>
        <w:t>Brummund</w:t>
      </w:r>
      <w:proofErr w:type="spellEnd"/>
      <w:r w:rsidRPr="00B1687F">
        <w:rPr>
          <w:rStyle w:val="hlfld-contribauthor"/>
          <w:szCs w:val="20"/>
        </w:rPr>
        <w:t>, </w:t>
      </w:r>
      <w:r w:rsidRPr="00B1687F">
        <w:rPr>
          <w:rStyle w:val="nlmgiven-names"/>
          <w:szCs w:val="20"/>
        </w:rPr>
        <w:t xml:space="preserve">P. and </w:t>
      </w:r>
      <w:r w:rsidRPr="00B1687F">
        <w:rPr>
          <w:rStyle w:val="hlfld-contribauthor"/>
          <w:szCs w:val="20"/>
        </w:rPr>
        <w:t>Liu, </w:t>
      </w:r>
      <w:r w:rsidRPr="00B1687F">
        <w:rPr>
          <w:rStyle w:val="nlmgiven-names"/>
          <w:szCs w:val="20"/>
        </w:rPr>
        <w:t xml:space="preserve">A.-H. </w:t>
      </w:r>
      <w:r w:rsidRPr="00B1687F">
        <w:t>(</w:t>
      </w:r>
      <w:r w:rsidRPr="00B1687F">
        <w:rPr>
          <w:rStyle w:val="nlmyear"/>
          <w:szCs w:val="20"/>
        </w:rPr>
        <w:t>2013</w:t>
      </w:r>
      <w:r w:rsidRPr="00B1687F">
        <w:t xml:space="preserve">) </w:t>
      </w:r>
      <w:r w:rsidRPr="00B1687F">
        <w:rPr>
          <w:rStyle w:val="nlmarticle-title"/>
          <w:szCs w:val="20"/>
        </w:rPr>
        <w:t>Trends in occupational segregation by gender 1970–2009: Adjusting for the impact of changes in the occupational coding system</w:t>
      </w:r>
      <w:r w:rsidRPr="00B1687F">
        <w:t>. </w:t>
      </w:r>
      <w:r w:rsidRPr="00B1687F">
        <w:rPr>
          <w:i/>
          <w:iCs/>
        </w:rPr>
        <w:t>Demography</w:t>
      </w:r>
      <w:r w:rsidRPr="00B1687F">
        <w:t>,</w:t>
      </w:r>
      <w:r w:rsidR="00882BEB" w:rsidRPr="00B1687F">
        <w:t xml:space="preserve"> </w:t>
      </w:r>
      <w:r w:rsidRPr="00B1687F">
        <w:t>50</w:t>
      </w:r>
      <w:r w:rsidR="00882BEB" w:rsidRPr="00B1687F">
        <w:t xml:space="preserve">, </w:t>
      </w:r>
      <w:r w:rsidRPr="00B1687F">
        <w:t>2,</w:t>
      </w:r>
      <w:r w:rsidR="00882BEB" w:rsidRPr="00B1687F">
        <w:t xml:space="preserve"> </w:t>
      </w:r>
      <w:r w:rsidRPr="00B1687F">
        <w:rPr>
          <w:rStyle w:val="nlmfpage"/>
          <w:szCs w:val="20"/>
        </w:rPr>
        <w:t>471</w:t>
      </w:r>
      <w:r w:rsidRPr="00B1687F">
        <w:t>–</w:t>
      </w:r>
      <w:r w:rsidRPr="00B1687F">
        <w:rPr>
          <w:rStyle w:val="nlmlpage"/>
        </w:rPr>
        <w:t>492</w:t>
      </w:r>
      <w:r w:rsidRPr="00B1687F">
        <w:t xml:space="preserve">. </w:t>
      </w:r>
    </w:p>
    <w:p w14:paraId="553640DF" w14:textId="1BB953C4" w:rsidR="007F58F0" w:rsidRPr="00B1687F" w:rsidRDefault="007F58F0" w:rsidP="00C720DB">
      <w:pPr>
        <w:pStyle w:val="References"/>
        <w:spacing w:line="480" w:lineRule="auto"/>
      </w:pPr>
      <w:proofErr w:type="spellStart"/>
      <w:r w:rsidRPr="00B1687F">
        <w:rPr>
          <w:rStyle w:val="hlfld-contribauthor"/>
          <w:szCs w:val="20"/>
        </w:rPr>
        <w:t>Bynner</w:t>
      </w:r>
      <w:proofErr w:type="spellEnd"/>
      <w:r w:rsidRPr="00B1687F">
        <w:rPr>
          <w:rStyle w:val="hlfld-contribauthor"/>
          <w:szCs w:val="20"/>
        </w:rPr>
        <w:t>,</w:t>
      </w:r>
      <w:r w:rsidR="00882BEB" w:rsidRPr="00B1687F">
        <w:rPr>
          <w:rStyle w:val="hlfld-contribauthor"/>
          <w:szCs w:val="20"/>
        </w:rPr>
        <w:t xml:space="preserve"> </w:t>
      </w:r>
      <w:r w:rsidRPr="00B1687F">
        <w:rPr>
          <w:rStyle w:val="nlmgiven-names"/>
          <w:szCs w:val="20"/>
        </w:rPr>
        <w:t>J.</w:t>
      </w:r>
      <w:r w:rsidR="00882BEB" w:rsidRPr="00B1687F">
        <w:t xml:space="preserve"> and </w:t>
      </w:r>
      <w:r w:rsidRPr="00B1687F">
        <w:rPr>
          <w:rStyle w:val="hlfld-contribauthor"/>
          <w:szCs w:val="20"/>
        </w:rPr>
        <w:t>Parsons,</w:t>
      </w:r>
      <w:r w:rsidR="00882BEB" w:rsidRPr="00B1687F">
        <w:rPr>
          <w:rStyle w:val="hlfld-contribauthor"/>
          <w:szCs w:val="20"/>
        </w:rPr>
        <w:t xml:space="preserve"> </w:t>
      </w:r>
      <w:r w:rsidRPr="00B1687F">
        <w:rPr>
          <w:rStyle w:val="nlmgiven-names"/>
          <w:szCs w:val="20"/>
        </w:rPr>
        <w:t>S.</w:t>
      </w:r>
      <w:r w:rsidR="00882BEB" w:rsidRPr="00B1687F">
        <w:rPr>
          <w:rStyle w:val="nlmgiven-names"/>
          <w:szCs w:val="20"/>
        </w:rPr>
        <w:t xml:space="preserve"> </w:t>
      </w:r>
      <w:r w:rsidRPr="00B1687F">
        <w:t>(</w:t>
      </w:r>
      <w:r w:rsidRPr="00B1687F">
        <w:rPr>
          <w:rStyle w:val="nlmyear"/>
          <w:szCs w:val="20"/>
        </w:rPr>
        <w:t>2002</w:t>
      </w:r>
      <w:r w:rsidRPr="00B1687F">
        <w:t>)</w:t>
      </w:r>
      <w:r w:rsidR="00882BEB" w:rsidRPr="00B1687F">
        <w:t xml:space="preserve"> </w:t>
      </w:r>
      <w:r w:rsidRPr="00B1687F">
        <w:rPr>
          <w:rStyle w:val="nlmarticle-title"/>
          <w:szCs w:val="20"/>
        </w:rPr>
        <w:t>Social exclusion and the transition from school to work: The case of young people not in education, employment, or training (NEET)</w:t>
      </w:r>
      <w:r w:rsidRPr="00B1687F">
        <w:t>. </w:t>
      </w:r>
      <w:r w:rsidRPr="00B1687F">
        <w:rPr>
          <w:i/>
          <w:iCs/>
        </w:rPr>
        <w:t xml:space="preserve">Journal of Vocational </w:t>
      </w:r>
      <w:proofErr w:type="spellStart"/>
      <w:r w:rsidRPr="00B1687F">
        <w:rPr>
          <w:i/>
          <w:iCs/>
        </w:rPr>
        <w:t>Behavior</w:t>
      </w:r>
      <w:proofErr w:type="spellEnd"/>
      <w:r w:rsidRPr="00B1687F">
        <w:t>, 60</w:t>
      </w:r>
      <w:r w:rsidR="00882BEB" w:rsidRPr="00B1687F">
        <w:t xml:space="preserve">, </w:t>
      </w:r>
      <w:r w:rsidRPr="00B1687F">
        <w:t>2,</w:t>
      </w:r>
      <w:r w:rsidR="00882BEB" w:rsidRPr="00B1687F">
        <w:t xml:space="preserve"> </w:t>
      </w:r>
      <w:r w:rsidRPr="00B1687F">
        <w:rPr>
          <w:rStyle w:val="nlmfpage"/>
          <w:szCs w:val="20"/>
        </w:rPr>
        <w:t>289</w:t>
      </w:r>
      <w:r w:rsidRPr="00B1687F">
        <w:t>–</w:t>
      </w:r>
      <w:r w:rsidRPr="00B1687F">
        <w:rPr>
          <w:rStyle w:val="nlmlpage"/>
        </w:rPr>
        <w:t>309</w:t>
      </w:r>
      <w:r w:rsidRPr="00B1687F">
        <w:t>.</w:t>
      </w:r>
      <w:r w:rsidRPr="00B1687F">
        <w:rPr>
          <w:rStyle w:val="reflink-block"/>
          <w:szCs w:val="20"/>
        </w:rPr>
        <w:t> </w:t>
      </w:r>
    </w:p>
    <w:p w14:paraId="0E1D4EAC" w14:textId="2B0B9CEA" w:rsidR="007F58F0" w:rsidRPr="00882BEB" w:rsidRDefault="007F58F0" w:rsidP="00C720DB">
      <w:pPr>
        <w:pStyle w:val="References"/>
        <w:spacing w:line="480" w:lineRule="auto"/>
      </w:pPr>
      <w:r w:rsidRPr="00882BEB">
        <w:t xml:space="preserve">Coles, B. (1995) </w:t>
      </w:r>
      <w:r w:rsidRPr="00882BEB">
        <w:rPr>
          <w:i/>
          <w:iCs/>
        </w:rPr>
        <w:t>Youth and Social Policy, Youth Citizenship and Young Careers</w:t>
      </w:r>
      <w:r w:rsidRPr="00882BEB">
        <w:t>. London: University College London Press.</w:t>
      </w:r>
    </w:p>
    <w:p w14:paraId="18A8774F" w14:textId="2FA0F705" w:rsidR="007F58F0" w:rsidRPr="00882BEB" w:rsidRDefault="007F58F0" w:rsidP="00C720DB">
      <w:pPr>
        <w:pStyle w:val="References"/>
        <w:spacing w:line="480" w:lineRule="auto"/>
      </w:pPr>
      <w:r w:rsidRPr="00882BEB">
        <w:rPr>
          <w:shd w:val="clear" w:color="auto" w:fill="FFFFFF"/>
        </w:rPr>
        <w:t xml:space="preserve">Connelly, R., Gayle, V. </w:t>
      </w:r>
      <w:r w:rsidR="00882BEB">
        <w:rPr>
          <w:shd w:val="clear" w:color="auto" w:fill="FFFFFF"/>
        </w:rPr>
        <w:t>and</w:t>
      </w:r>
      <w:r w:rsidRPr="00882BEB">
        <w:rPr>
          <w:shd w:val="clear" w:color="auto" w:fill="FFFFFF"/>
        </w:rPr>
        <w:t xml:space="preserve"> Lambert, P. S. (2016</w:t>
      </w:r>
      <w:r w:rsidR="00291220">
        <w:rPr>
          <w:shd w:val="clear" w:color="auto" w:fill="FFFFFF"/>
        </w:rPr>
        <w:t>a</w:t>
      </w:r>
      <w:r w:rsidRPr="00882BEB">
        <w:rPr>
          <w:shd w:val="clear" w:color="auto" w:fill="FFFFFF"/>
        </w:rPr>
        <w:t>) A Review of occupation-based social classifications for social survey research.</w:t>
      </w:r>
      <w:r w:rsidR="00882BEB">
        <w:rPr>
          <w:shd w:val="clear" w:color="auto" w:fill="FFFFFF"/>
        </w:rPr>
        <w:t xml:space="preserve"> </w:t>
      </w:r>
      <w:r w:rsidRPr="00882BEB">
        <w:rPr>
          <w:i/>
          <w:iCs/>
          <w:shd w:val="clear" w:color="auto" w:fill="FFFFFF"/>
        </w:rPr>
        <w:t>Methodological Innovations</w:t>
      </w:r>
      <w:r w:rsidRPr="00882BEB">
        <w:rPr>
          <w:shd w:val="clear" w:color="auto" w:fill="FFFFFF"/>
        </w:rPr>
        <w:t>, 9</w:t>
      </w:r>
      <w:r w:rsidR="00882BEB">
        <w:rPr>
          <w:shd w:val="clear" w:color="auto" w:fill="FFFFFF"/>
        </w:rPr>
        <w:t>,</w:t>
      </w:r>
      <w:r w:rsidRPr="00882BEB">
        <w:rPr>
          <w:shd w:val="clear" w:color="auto" w:fill="FFFFFF"/>
        </w:rPr>
        <w:t xml:space="preserve"> 1-14. </w:t>
      </w:r>
    </w:p>
    <w:p w14:paraId="7098D43C" w14:textId="77777777" w:rsidR="00291220" w:rsidRPr="00882BEB" w:rsidRDefault="00291220" w:rsidP="00291220">
      <w:pPr>
        <w:pStyle w:val="References"/>
        <w:spacing w:line="480" w:lineRule="auto"/>
      </w:pPr>
      <w:r w:rsidRPr="00882BEB">
        <w:t>Connelly, R., Gayle, V. and Lambert, P.S. (2016</w:t>
      </w:r>
      <w:r>
        <w:t>b</w:t>
      </w:r>
      <w:r w:rsidRPr="00882BEB">
        <w:t xml:space="preserve">) Statistical modelling of key variables in social survey data analysis. </w:t>
      </w:r>
      <w:r w:rsidRPr="00882BEB">
        <w:rPr>
          <w:i/>
          <w:iCs/>
        </w:rPr>
        <w:t>Methodological Innovations</w:t>
      </w:r>
      <w:r w:rsidRPr="00882BEB">
        <w:t xml:space="preserve">, </w:t>
      </w:r>
      <w:r w:rsidRPr="00882BEB">
        <w:rPr>
          <w:iCs/>
        </w:rPr>
        <w:t>9</w:t>
      </w:r>
      <w:r>
        <w:rPr>
          <w:iCs/>
        </w:rPr>
        <w:t>,</w:t>
      </w:r>
      <w:r w:rsidRPr="00882BEB">
        <w:rPr>
          <w:iCs/>
        </w:rPr>
        <w:t xml:space="preserve"> 1-17.</w:t>
      </w:r>
    </w:p>
    <w:p w14:paraId="11F5C7F3" w14:textId="7DFFBC48" w:rsidR="007F58F0" w:rsidRPr="00882BEB" w:rsidRDefault="007F58F0" w:rsidP="00C720DB">
      <w:pPr>
        <w:pStyle w:val="References"/>
        <w:spacing w:line="480" w:lineRule="auto"/>
      </w:pPr>
      <w:r w:rsidRPr="00882BEB">
        <w:t>Crisp, R.</w:t>
      </w:r>
      <w:r w:rsidR="00882BEB">
        <w:t xml:space="preserve"> and</w:t>
      </w:r>
      <w:r w:rsidRPr="00882BEB">
        <w:t xml:space="preserve"> Powell, R. (2017) Young People and UK Labour Market Policy: A Critique of ‘employability’ as a tool for understanding Youth Unemployment</w:t>
      </w:r>
      <w:r w:rsidR="00882BEB">
        <w:t>.</w:t>
      </w:r>
      <w:r w:rsidRPr="00882BEB">
        <w:t xml:space="preserve"> </w:t>
      </w:r>
      <w:r w:rsidRPr="00882BEB">
        <w:rPr>
          <w:i/>
        </w:rPr>
        <w:t>Urban Studies</w:t>
      </w:r>
      <w:r w:rsidRPr="00882BEB">
        <w:t>, 54</w:t>
      </w:r>
      <w:r w:rsidR="00882BEB">
        <w:t xml:space="preserve">, </w:t>
      </w:r>
      <w:r w:rsidRPr="00882BEB">
        <w:t>8</w:t>
      </w:r>
      <w:r w:rsidR="00882BEB">
        <w:t>,</w:t>
      </w:r>
      <w:r w:rsidRPr="00882BEB">
        <w:t xml:space="preserve"> 1784-1807. </w:t>
      </w:r>
    </w:p>
    <w:p w14:paraId="1D047C3D" w14:textId="21ADDA98" w:rsidR="007F58F0" w:rsidRPr="00882BEB" w:rsidRDefault="007F58F0" w:rsidP="00C720DB">
      <w:pPr>
        <w:pStyle w:val="References"/>
        <w:spacing w:line="480" w:lineRule="auto"/>
      </w:pPr>
      <w:proofErr w:type="spellStart"/>
      <w:r w:rsidRPr="00882BEB">
        <w:rPr>
          <w:rStyle w:val="hlfld-contribauthor"/>
          <w:szCs w:val="20"/>
        </w:rPr>
        <w:lastRenderedPageBreak/>
        <w:t>Croll</w:t>
      </w:r>
      <w:proofErr w:type="spellEnd"/>
      <w:r w:rsidRPr="00882BEB">
        <w:rPr>
          <w:rStyle w:val="hlfld-contribauthor"/>
          <w:szCs w:val="20"/>
        </w:rPr>
        <w:t>,</w:t>
      </w:r>
      <w:r w:rsidR="00882BEB">
        <w:rPr>
          <w:rStyle w:val="hlfld-contribauthor"/>
          <w:szCs w:val="20"/>
        </w:rPr>
        <w:t xml:space="preserve"> </w:t>
      </w:r>
      <w:r w:rsidRPr="00882BEB">
        <w:rPr>
          <w:rStyle w:val="nlmgiven-names"/>
          <w:szCs w:val="20"/>
        </w:rPr>
        <w:t>P.</w:t>
      </w:r>
      <w:r w:rsidR="00882BEB">
        <w:t xml:space="preserve"> </w:t>
      </w:r>
      <w:r w:rsidRPr="00882BEB">
        <w:t>(</w:t>
      </w:r>
      <w:r w:rsidRPr="00882BEB">
        <w:rPr>
          <w:rStyle w:val="nlmyear"/>
          <w:szCs w:val="20"/>
        </w:rPr>
        <w:t>2009</w:t>
      </w:r>
      <w:r w:rsidRPr="00882BEB">
        <w:t>)</w:t>
      </w:r>
      <w:r w:rsidR="00882BEB">
        <w:t xml:space="preserve"> </w:t>
      </w:r>
      <w:r w:rsidRPr="00882BEB">
        <w:rPr>
          <w:rStyle w:val="nlmarticle-title"/>
          <w:szCs w:val="20"/>
        </w:rPr>
        <w:t>Educational participation post-16: A longitudinal analysis of intentions and outcomes</w:t>
      </w:r>
      <w:r w:rsidRPr="00882BEB">
        <w:t>.</w:t>
      </w:r>
      <w:r w:rsidR="00882BEB">
        <w:t xml:space="preserve"> </w:t>
      </w:r>
      <w:r w:rsidRPr="00882BEB">
        <w:rPr>
          <w:i/>
          <w:iCs/>
        </w:rPr>
        <w:t>British Journal of Educational Studies</w:t>
      </w:r>
      <w:r w:rsidRPr="00882BEB">
        <w:t>,</w:t>
      </w:r>
      <w:r w:rsidR="00882BEB">
        <w:t xml:space="preserve"> </w:t>
      </w:r>
      <w:r w:rsidRPr="00882BEB">
        <w:t>57</w:t>
      </w:r>
      <w:r w:rsidR="00882BEB">
        <w:t xml:space="preserve">, </w:t>
      </w:r>
      <w:r w:rsidRPr="00882BEB">
        <w:t>4</w:t>
      </w:r>
      <w:r w:rsidR="00882BEB">
        <w:t xml:space="preserve">, </w:t>
      </w:r>
      <w:r w:rsidRPr="00882BEB">
        <w:rPr>
          <w:rStyle w:val="nlmfpage"/>
          <w:szCs w:val="20"/>
        </w:rPr>
        <w:t>400</w:t>
      </w:r>
      <w:r w:rsidRPr="00882BEB">
        <w:t>–</w:t>
      </w:r>
      <w:r w:rsidRPr="00882BEB">
        <w:rPr>
          <w:rStyle w:val="nlmlpage"/>
        </w:rPr>
        <w:t>416</w:t>
      </w:r>
      <w:r w:rsidRPr="00882BEB">
        <w:t>.</w:t>
      </w:r>
    </w:p>
    <w:p w14:paraId="501EE429" w14:textId="1BF67561" w:rsidR="007F58F0" w:rsidRPr="00E00C95" w:rsidRDefault="007F58F0" w:rsidP="00C720DB">
      <w:pPr>
        <w:pStyle w:val="References"/>
        <w:spacing w:line="480" w:lineRule="auto"/>
      </w:pPr>
      <w:r w:rsidRPr="00882BEB">
        <w:t>Crowley, L.</w:t>
      </w:r>
      <w:r w:rsidR="00882BEB">
        <w:t xml:space="preserve"> and</w:t>
      </w:r>
      <w:r w:rsidRPr="00882BEB">
        <w:t xml:space="preserve"> </w:t>
      </w:r>
      <w:proofErr w:type="spellStart"/>
      <w:r w:rsidRPr="00882BEB">
        <w:t>Cominetti</w:t>
      </w:r>
      <w:proofErr w:type="spellEnd"/>
      <w:r w:rsidRPr="00882BEB">
        <w:t xml:space="preserve">. N. (2014) </w:t>
      </w:r>
      <w:r w:rsidRPr="00882BEB">
        <w:rPr>
          <w:i/>
        </w:rPr>
        <w:t xml:space="preserve">The Geography of Youth Unemployment: A Route </w:t>
      </w:r>
      <w:r w:rsidRPr="00E00C95">
        <w:rPr>
          <w:i/>
        </w:rPr>
        <w:t>Map for Change</w:t>
      </w:r>
      <w:r w:rsidRPr="00E00C95">
        <w:t>. Lancaster: The Work Foundation.</w:t>
      </w:r>
    </w:p>
    <w:p w14:paraId="630E3734" w14:textId="3FE99087" w:rsidR="007F58F0" w:rsidRPr="00E00C95" w:rsidRDefault="007F58F0" w:rsidP="00C720DB">
      <w:pPr>
        <w:pStyle w:val="References"/>
        <w:spacing w:line="480" w:lineRule="auto"/>
      </w:pPr>
      <w:proofErr w:type="spellStart"/>
      <w:r w:rsidRPr="00E00C95">
        <w:t>Duranton</w:t>
      </w:r>
      <w:proofErr w:type="spellEnd"/>
      <w:r w:rsidRPr="00E00C95">
        <w:t xml:space="preserve">, G. and </w:t>
      </w:r>
      <w:proofErr w:type="spellStart"/>
      <w:r w:rsidRPr="00E00C95">
        <w:t>Monastiriotis</w:t>
      </w:r>
      <w:proofErr w:type="spellEnd"/>
      <w:r w:rsidRPr="00E00C95">
        <w:t xml:space="preserve">, V. </w:t>
      </w:r>
      <w:r w:rsidR="00882BEB" w:rsidRPr="00E00C95">
        <w:t>(</w:t>
      </w:r>
      <w:r w:rsidRPr="00E00C95">
        <w:t>2002</w:t>
      </w:r>
      <w:r w:rsidR="00882BEB" w:rsidRPr="00E00C95">
        <w:t>)</w:t>
      </w:r>
      <w:r w:rsidRPr="00E00C95">
        <w:t xml:space="preserve"> Mind the gaps: the evolution of regional earnings inequalities in the UK, 1982–1997. </w:t>
      </w:r>
      <w:r w:rsidRPr="00E00C95">
        <w:rPr>
          <w:i/>
          <w:iCs/>
        </w:rPr>
        <w:t>Journal of Regional Science</w:t>
      </w:r>
      <w:r w:rsidRPr="00E00C95">
        <w:t>, 42</w:t>
      </w:r>
      <w:r w:rsidR="00882BEB" w:rsidRPr="00E00C95">
        <w:t xml:space="preserve">, </w:t>
      </w:r>
      <w:r w:rsidRPr="00E00C95">
        <w:t>2</w:t>
      </w:r>
      <w:r w:rsidR="00882BEB" w:rsidRPr="00E00C95">
        <w:t>,</w:t>
      </w:r>
      <w:r w:rsidRPr="00E00C95">
        <w:t xml:space="preserve"> 219-256.</w:t>
      </w:r>
    </w:p>
    <w:p w14:paraId="4FB63B40" w14:textId="042FECD8" w:rsidR="007F58F0" w:rsidRDefault="007F58F0" w:rsidP="00C720DB">
      <w:pPr>
        <w:pStyle w:val="References"/>
        <w:spacing w:line="480" w:lineRule="auto"/>
      </w:pPr>
      <w:r w:rsidRPr="00E00C95">
        <w:t>Elias, P., McKnight, A.</w:t>
      </w:r>
      <w:r w:rsidR="00882BEB" w:rsidRPr="00E00C95">
        <w:t xml:space="preserve"> and</w:t>
      </w:r>
      <w:r w:rsidRPr="00E00C95">
        <w:t xml:space="preserve"> </w:t>
      </w:r>
      <w:proofErr w:type="spellStart"/>
      <w:r w:rsidRPr="00E00C95">
        <w:t>Kinshott</w:t>
      </w:r>
      <w:proofErr w:type="spellEnd"/>
      <w:r w:rsidRPr="00E00C95">
        <w:t>, G.</w:t>
      </w:r>
      <w:r>
        <w:t xml:space="preserve"> (</w:t>
      </w:r>
      <w:r>
        <w:rPr>
          <w:rStyle w:val="nlmyear"/>
          <w:rFonts w:ascii="Arial" w:hAnsi="Arial"/>
          <w:szCs w:val="20"/>
        </w:rPr>
        <w:t>1999</w:t>
      </w:r>
      <w:r>
        <w:t xml:space="preserve">) </w:t>
      </w:r>
      <w:r w:rsidRPr="00882BEB">
        <w:rPr>
          <w:i/>
          <w:iCs/>
        </w:rPr>
        <w:t>Redefining skill: Revision of the Standard Occupational Classification (SOC2000) (Skills Task Force Research Paper 19).</w:t>
      </w:r>
      <w:r>
        <w:t xml:space="preserve"> </w:t>
      </w:r>
      <w:r>
        <w:rPr>
          <w:rStyle w:val="nlmpublisher-loc"/>
          <w:rFonts w:ascii="Arial" w:hAnsi="Arial"/>
          <w:szCs w:val="20"/>
        </w:rPr>
        <w:t>Nottingham</w:t>
      </w:r>
      <w:r w:rsidR="00882BEB">
        <w:rPr>
          <w:rStyle w:val="nlmpublisher-loc"/>
          <w:rFonts w:ascii="Arial" w:hAnsi="Arial"/>
          <w:szCs w:val="20"/>
        </w:rPr>
        <w:t>:</w:t>
      </w:r>
      <w:r>
        <w:rPr>
          <w:rStyle w:val="nlmpublisher-loc"/>
          <w:rFonts w:ascii="Arial" w:hAnsi="Arial"/>
          <w:szCs w:val="20"/>
        </w:rPr>
        <w:t xml:space="preserve"> England</w:t>
      </w:r>
      <w:r>
        <w:t xml:space="preserve">: </w:t>
      </w:r>
      <w:proofErr w:type="spellStart"/>
      <w:r>
        <w:rPr>
          <w:rStyle w:val="nlmpublisher-name"/>
          <w:rFonts w:ascii="Arial" w:hAnsi="Arial"/>
          <w:szCs w:val="20"/>
        </w:rPr>
        <w:t>DfEE</w:t>
      </w:r>
      <w:proofErr w:type="spellEnd"/>
      <w:r>
        <w:rPr>
          <w:rStyle w:val="nlmpublisher-name"/>
          <w:rFonts w:ascii="Arial" w:hAnsi="Arial"/>
          <w:szCs w:val="20"/>
        </w:rPr>
        <w:t xml:space="preserve"> Publications</w:t>
      </w:r>
      <w:r>
        <w:t>.</w:t>
      </w:r>
    </w:p>
    <w:p w14:paraId="3836E699" w14:textId="2D394FE1" w:rsidR="008D6E2D" w:rsidRPr="008D6E2D" w:rsidRDefault="008D6E2D" w:rsidP="008D6E2D">
      <w:pPr>
        <w:pStyle w:val="References"/>
        <w:spacing w:line="480" w:lineRule="auto"/>
        <w:rPr>
          <w:rStyle w:val="hlfld-contribauthor"/>
          <w:szCs w:val="20"/>
        </w:rPr>
      </w:pPr>
      <w:r w:rsidRPr="008D6E2D">
        <w:rPr>
          <w:rStyle w:val="hlfld-contribauthor"/>
          <w:szCs w:val="20"/>
        </w:rPr>
        <w:t>Foley, N. (2020) Youth Unemployment Statistics, London: House of Commons Library, https://commonslibrary.parliament.uk/research-briefings/sn05871/</w:t>
      </w:r>
      <w:r w:rsidRPr="008D6E2D">
        <w:rPr>
          <w:rStyle w:val="hlfld-contribauthor"/>
          <w:szCs w:val="20"/>
        </w:rPr>
        <w:cr/>
        <w:t>[accessed: 30/06/2020]</w:t>
      </w:r>
      <w:r>
        <w:rPr>
          <w:rStyle w:val="hlfld-contribauthor"/>
          <w:szCs w:val="20"/>
        </w:rPr>
        <w:t>.</w:t>
      </w:r>
    </w:p>
    <w:p w14:paraId="6CBEBE85" w14:textId="68E8F5AD" w:rsidR="007F58F0" w:rsidRPr="00882BEB" w:rsidRDefault="00882BEB" w:rsidP="00C720DB">
      <w:pPr>
        <w:pStyle w:val="References"/>
        <w:spacing w:line="480" w:lineRule="auto"/>
      </w:pPr>
      <w:r w:rsidRPr="00882BEB">
        <w:t>F</w:t>
      </w:r>
      <w:r w:rsidR="007F58F0" w:rsidRPr="00882BEB">
        <w:t xml:space="preserve">ormby, A. (2014) </w:t>
      </w:r>
      <w:r w:rsidR="007F58F0" w:rsidRPr="00882BEB">
        <w:rPr>
          <w:i/>
          <w:iCs/>
        </w:rPr>
        <w:t>Graduates and their engagement of Jobcentre Plus services in difficult times:</w:t>
      </w:r>
      <w:r w:rsidRPr="00882BEB">
        <w:rPr>
          <w:i/>
          <w:iCs/>
        </w:rPr>
        <w:t xml:space="preserve"> </w:t>
      </w:r>
      <w:r w:rsidR="007F58F0" w:rsidRPr="00882BEB">
        <w:rPr>
          <w:i/>
          <w:iCs/>
        </w:rPr>
        <w:t>A mixed methods study, PhD thesis</w:t>
      </w:r>
      <w:r w:rsidRPr="00882BEB">
        <w:rPr>
          <w:i/>
          <w:iCs/>
        </w:rPr>
        <w:t>.</w:t>
      </w:r>
      <w:r w:rsidR="007F58F0" w:rsidRPr="00882BEB">
        <w:t xml:space="preserve"> York: University of York.</w:t>
      </w:r>
    </w:p>
    <w:p w14:paraId="6C9FDABE" w14:textId="31A1FE7B" w:rsidR="007F58F0" w:rsidRPr="00882BEB" w:rsidRDefault="007F58F0" w:rsidP="00C720DB">
      <w:pPr>
        <w:pStyle w:val="References"/>
        <w:spacing w:line="480" w:lineRule="auto"/>
      </w:pPr>
      <w:r w:rsidRPr="00882BEB">
        <w:t>Formby, A. (2017) ‘Got a degree…all of a sudden I’m in a Jobcentre’: The Role of ‘Stigma’ in ‘Precarious’ Graduate Transitions</w:t>
      </w:r>
      <w:r w:rsidR="00882BEB">
        <w:t>.</w:t>
      </w:r>
      <w:r w:rsidRPr="00882BEB">
        <w:t xml:space="preserve"> </w:t>
      </w:r>
      <w:r w:rsidRPr="00882BEB">
        <w:rPr>
          <w:i/>
          <w:iCs/>
        </w:rPr>
        <w:t>Poverty and Social Justice</w:t>
      </w:r>
      <w:r w:rsidRPr="00882BEB">
        <w:t>, 25</w:t>
      </w:r>
      <w:r w:rsidR="00882BEB">
        <w:t xml:space="preserve">, </w:t>
      </w:r>
      <w:r w:rsidRPr="00882BEB">
        <w:t>3</w:t>
      </w:r>
      <w:r w:rsidR="00882BEB">
        <w:t>,</w:t>
      </w:r>
      <w:r w:rsidRPr="00882BEB">
        <w:t xml:space="preserve"> 249-262.</w:t>
      </w:r>
    </w:p>
    <w:p w14:paraId="31B16E35" w14:textId="1358ED29" w:rsidR="007F58F0" w:rsidRPr="00882BEB" w:rsidRDefault="007F58F0" w:rsidP="00C720DB">
      <w:pPr>
        <w:pStyle w:val="References"/>
        <w:spacing w:line="480" w:lineRule="auto"/>
      </w:pPr>
      <w:r w:rsidRPr="00882BEB">
        <w:t>Furlong, A.</w:t>
      </w:r>
      <w:r w:rsidR="00882BEB">
        <w:t xml:space="preserve"> and</w:t>
      </w:r>
      <w:r w:rsidRPr="00882BEB">
        <w:t xml:space="preserve"> </w:t>
      </w:r>
      <w:proofErr w:type="spellStart"/>
      <w:r w:rsidRPr="00882BEB">
        <w:t>Cartmel</w:t>
      </w:r>
      <w:proofErr w:type="spellEnd"/>
      <w:r w:rsidRPr="00882BEB">
        <w:t xml:space="preserve">, F. (2007) </w:t>
      </w:r>
      <w:r w:rsidRPr="00882BEB">
        <w:rPr>
          <w:i/>
          <w:iCs/>
        </w:rPr>
        <w:t>Young People and Social Change</w:t>
      </w:r>
      <w:r w:rsidR="00882BEB">
        <w:rPr>
          <w:i/>
          <w:iCs/>
        </w:rPr>
        <w:t>.</w:t>
      </w:r>
      <w:r w:rsidRPr="00882BEB">
        <w:t xml:space="preserve"> Milton Keynes: Open University Press.</w:t>
      </w:r>
    </w:p>
    <w:p w14:paraId="5B8066B1" w14:textId="0C75662E" w:rsidR="007F58F0" w:rsidRPr="00882BEB" w:rsidRDefault="007F58F0" w:rsidP="00C720DB">
      <w:pPr>
        <w:pStyle w:val="References"/>
        <w:spacing w:line="480" w:lineRule="auto"/>
      </w:pPr>
      <w:r w:rsidRPr="00882BEB">
        <w:t>Gregg, P.</w:t>
      </w:r>
      <w:r w:rsidR="00882BEB">
        <w:t xml:space="preserve"> and</w:t>
      </w:r>
      <w:r w:rsidRPr="00882BEB">
        <w:t xml:space="preserve"> Gardiner, L. (2015) </w:t>
      </w:r>
      <w:r w:rsidRPr="00882BEB">
        <w:rPr>
          <w:i/>
          <w:iCs/>
        </w:rPr>
        <w:t>A Steady Job? The UK’s record on labour market security</w:t>
      </w:r>
      <w:r w:rsidR="00882BEB" w:rsidRPr="00882BEB">
        <w:rPr>
          <w:i/>
          <w:iCs/>
        </w:rPr>
        <w:t xml:space="preserve"> </w:t>
      </w:r>
      <w:r w:rsidRPr="00882BEB">
        <w:rPr>
          <w:i/>
          <w:iCs/>
        </w:rPr>
        <w:t>and stability since the millennium</w:t>
      </w:r>
      <w:r w:rsidR="00882BEB" w:rsidRPr="00882BEB">
        <w:rPr>
          <w:i/>
          <w:iCs/>
        </w:rPr>
        <w:t>.</w:t>
      </w:r>
      <w:r w:rsidRPr="00882BEB">
        <w:t xml:space="preserve"> London: Resolution Foundation.</w:t>
      </w:r>
    </w:p>
    <w:p w14:paraId="67F080CB" w14:textId="38F00F3B" w:rsidR="007F58F0" w:rsidRPr="00882BEB" w:rsidRDefault="007F58F0" w:rsidP="00C720DB">
      <w:pPr>
        <w:pStyle w:val="References"/>
        <w:spacing w:line="480" w:lineRule="auto"/>
      </w:pPr>
      <w:proofErr w:type="spellStart"/>
      <w:r w:rsidRPr="00882BEB">
        <w:t>Goos</w:t>
      </w:r>
      <w:proofErr w:type="spellEnd"/>
      <w:r w:rsidRPr="00882BEB">
        <w:t>, M.</w:t>
      </w:r>
      <w:r w:rsidR="00882BEB">
        <w:t xml:space="preserve"> and</w:t>
      </w:r>
      <w:r w:rsidRPr="00882BEB">
        <w:t xml:space="preserve"> Manning, A. (200</w:t>
      </w:r>
      <w:r w:rsidR="008D6E2D">
        <w:t>3</w:t>
      </w:r>
      <w:r w:rsidRPr="00882BEB">
        <w:t xml:space="preserve">) Lousy and lovely jobs: the rising polarisation of work in Britain. </w:t>
      </w:r>
      <w:r w:rsidRPr="00882BEB">
        <w:rPr>
          <w:i/>
          <w:iCs/>
        </w:rPr>
        <w:t>Oxford review of economic policy</w:t>
      </w:r>
      <w:r w:rsidRPr="00882BEB">
        <w:t>, 7</w:t>
      </w:r>
      <w:r w:rsidR="00882BEB">
        <w:t>,</w:t>
      </w:r>
      <w:r w:rsidRPr="00882BEB">
        <w:t xml:space="preserve"> 49-62.</w:t>
      </w:r>
    </w:p>
    <w:p w14:paraId="164499EB" w14:textId="4C34230B" w:rsidR="007F58F0" w:rsidRDefault="007F58F0" w:rsidP="00C720DB">
      <w:pPr>
        <w:pStyle w:val="References"/>
        <w:spacing w:line="480" w:lineRule="auto"/>
      </w:pPr>
      <w:proofErr w:type="spellStart"/>
      <w:r>
        <w:t>Hardgrove</w:t>
      </w:r>
      <w:proofErr w:type="spellEnd"/>
      <w:r>
        <w:t xml:space="preserve">, A., McDowell, L. and </w:t>
      </w:r>
      <w:proofErr w:type="spellStart"/>
      <w:r>
        <w:t>Rootham</w:t>
      </w:r>
      <w:proofErr w:type="spellEnd"/>
      <w:r>
        <w:t>, E. (2015) Precarious lives, precarious labour: Family support and young men’s transitions to work in the UK</w:t>
      </w:r>
      <w:r w:rsidR="00882BEB">
        <w:t>.</w:t>
      </w:r>
      <w:r>
        <w:t xml:space="preserve"> </w:t>
      </w:r>
      <w:r>
        <w:rPr>
          <w:i/>
          <w:iCs/>
        </w:rPr>
        <w:t>Journal of Youth Studies</w:t>
      </w:r>
      <w:r>
        <w:t>, 18</w:t>
      </w:r>
      <w:r w:rsidR="00882BEB">
        <w:t xml:space="preserve">, </w:t>
      </w:r>
      <w:r>
        <w:t>8</w:t>
      </w:r>
      <w:r w:rsidR="00882BEB">
        <w:t>,</w:t>
      </w:r>
      <w:r>
        <w:t xml:space="preserve"> 1057–76.</w:t>
      </w:r>
    </w:p>
    <w:p w14:paraId="13C3700A" w14:textId="50CFB57F" w:rsidR="007F58F0" w:rsidRDefault="007F58F0" w:rsidP="00C720DB">
      <w:pPr>
        <w:pStyle w:val="References"/>
        <w:spacing w:line="480" w:lineRule="auto"/>
      </w:pPr>
      <w:r>
        <w:lastRenderedPageBreak/>
        <w:t xml:space="preserve">Hills, J., Cunliffe, J., </w:t>
      </w:r>
      <w:proofErr w:type="spellStart"/>
      <w:r>
        <w:t>Obolenskaya</w:t>
      </w:r>
      <w:proofErr w:type="spellEnd"/>
      <w:r>
        <w:t xml:space="preserve">, P. and </w:t>
      </w:r>
      <w:proofErr w:type="spellStart"/>
      <w:r>
        <w:t>Karagiannaki</w:t>
      </w:r>
      <w:proofErr w:type="spellEnd"/>
      <w:r>
        <w:t xml:space="preserve">, E. (2015) </w:t>
      </w:r>
      <w:r>
        <w:rPr>
          <w:i/>
        </w:rPr>
        <w:t>Falling Behind, Getting Ahead: The Changing Structure of Inequality in the UK, 2007-2013. Social Policy in a Cold Climate Research Report No. 5</w:t>
      </w:r>
      <w:r w:rsidR="00882BEB">
        <w:t>.</w:t>
      </w:r>
      <w:r>
        <w:t xml:space="preserve"> London: Centre for Analysis of Social Exclusion, LSE. [Online] Available from: </w:t>
      </w:r>
      <w:hyperlink r:id="rId15" w:history="1">
        <w:r w:rsidR="00882BEB" w:rsidRPr="006238EA">
          <w:rPr>
            <w:rStyle w:val="Hyperlink"/>
          </w:rPr>
          <w:t>http://sticerd.lse.ac.uk/dps/case/spcc/RR05.pdf</w:t>
        </w:r>
      </w:hyperlink>
      <w:r w:rsidR="00882BEB">
        <w:t xml:space="preserve"> </w:t>
      </w:r>
      <w:r>
        <w:t>[</w:t>
      </w:r>
      <w:r w:rsidR="00882BEB">
        <w:t>A</w:t>
      </w:r>
      <w:r>
        <w:t>ccessed</w:t>
      </w:r>
      <w:r w:rsidR="00882BEB">
        <w:t>:</w:t>
      </w:r>
      <w:r>
        <w:t xml:space="preserve"> 30</w:t>
      </w:r>
      <w:r w:rsidR="00882BEB">
        <w:t>/</w:t>
      </w:r>
      <w:r>
        <w:t>11</w:t>
      </w:r>
      <w:r w:rsidR="00882BEB">
        <w:t>/</w:t>
      </w:r>
      <w:r>
        <w:t>2019]</w:t>
      </w:r>
    </w:p>
    <w:p w14:paraId="4BADF038" w14:textId="76CC8106" w:rsidR="007F58F0" w:rsidRDefault="007F58F0" w:rsidP="00C720DB">
      <w:pPr>
        <w:pStyle w:val="References"/>
        <w:spacing w:line="480" w:lineRule="auto"/>
      </w:pPr>
      <w:proofErr w:type="spellStart"/>
      <w:r>
        <w:t>Hillage</w:t>
      </w:r>
      <w:proofErr w:type="spellEnd"/>
      <w:r>
        <w:t xml:space="preserve">, I. (2018) </w:t>
      </w:r>
      <w:r w:rsidRPr="00882BEB">
        <w:rPr>
          <w:i/>
          <w:iCs/>
        </w:rPr>
        <w:t>Young people still struggle to thrive in today's labour market</w:t>
      </w:r>
      <w:r w:rsidR="00882BEB" w:rsidRPr="00882BEB">
        <w:rPr>
          <w:i/>
          <w:iCs/>
        </w:rPr>
        <w:t>.</w:t>
      </w:r>
      <w:r>
        <w:t xml:space="preserve"> Institute for Employment Studies</w:t>
      </w:r>
      <w:r w:rsidR="00882BEB">
        <w:t>. Available at:</w:t>
      </w:r>
      <w:r>
        <w:t xml:space="preserve"> </w:t>
      </w:r>
      <w:hyperlink r:id="rId16" w:history="1">
        <w:r>
          <w:rPr>
            <w:rStyle w:val="Hyperlink"/>
            <w:rFonts w:ascii="Arial" w:hAnsi="Arial"/>
            <w:szCs w:val="20"/>
          </w:rPr>
          <w:t>https://www.employment-studies.co.uk/news/young-people-still-struggle-thrive-todays-labour-market</w:t>
        </w:r>
      </w:hyperlink>
      <w:r>
        <w:rPr>
          <w:rStyle w:val="Hyperlink"/>
          <w:rFonts w:ascii="Arial" w:hAnsi="Arial"/>
          <w:szCs w:val="20"/>
        </w:rPr>
        <w:t xml:space="preserve"> </w:t>
      </w:r>
      <w:r>
        <w:t>[</w:t>
      </w:r>
      <w:r w:rsidR="00882BEB">
        <w:t>A</w:t>
      </w:r>
      <w:r>
        <w:t>ccessed</w:t>
      </w:r>
      <w:r w:rsidR="00882BEB">
        <w:t>:</w:t>
      </w:r>
      <w:r>
        <w:t xml:space="preserve"> 18</w:t>
      </w:r>
      <w:r w:rsidR="00882BEB">
        <w:t>/</w:t>
      </w:r>
      <w:r>
        <w:t>12</w:t>
      </w:r>
      <w:r w:rsidR="00882BEB">
        <w:t>/</w:t>
      </w:r>
      <w:r>
        <w:t>2019]</w:t>
      </w:r>
    </w:p>
    <w:p w14:paraId="6B3F5EA1" w14:textId="7A8C9E07" w:rsidR="007F58F0" w:rsidRPr="00882BEB" w:rsidRDefault="007F58F0" w:rsidP="00C720DB">
      <w:pPr>
        <w:pStyle w:val="References"/>
        <w:spacing w:line="480" w:lineRule="auto"/>
      </w:pPr>
      <w:r w:rsidRPr="00882BEB">
        <w:rPr>
          <w:rStyle w:val="hlfld-contribauthor"/>
        </w:rPr>
        <w:t>Hoskins, B., Leonard, P.</w:t>
      </w:r>
      <w:r w:rsidR="00882BEB">
        <w:rPr>
          <w:rStyle w:val="hlfld-contribauthor"/>
        </w:rPr>
        <w:t xml:space="preserve"> and</w:t>
      </w:r>
      <w:r w:rsidRPr="00882BEB">
        <w:rPr>
          <w:rStyle w:val="hlfld-contribauthor"/>
        </w:rPr>
        <w:t xml:space="preserve"> Wilde, R, J. (2018) Negotiating uncertain economic times: Youth employment strategies in England</w:t>
      </w:r>
      <w:r w:rsidR="00882BEB">
        <w:rPr>
          <w:rStyle w:val="hlfld-contribauthor"/>
        </w:rPr>
        <w:t>.</w:t>
      </w:r>
      <w:r w:rsidRPr="00882BEB">
        <w:rPr>
          <w:rStyle w:val="hlfld-contribauthor"/>
        </w:rPr>
        <w:t xml:space="preserve"> </w:t>
      </w:r>
      <w:r w:rsidRPr="00882BEB">
        <w:rPr>
          <w:rStyle w:val="hlfld-contribauthor"/>
          <w:i/>
          <w:iCs/>
        </w:rPr>
        <w:t>British Educational Research</w:t>
      </w:r>
      <w:r w:rsidRPr="00882BEB">
        <w:rPr>
          <w:rStyle w:val="hlfld-contribauthor"/>
        </w:rPr>
        <w:t xml:space="preserve"> Journal, 44</w:t>
      </w:r>
      <w:r w:rsidR="00882BEB">
        <w:rPr>
          <w:rStyle w:val="hlfld-contribauthor"/>
        </w:rPr>
        <w:t xml:space="preserve">, </w:t>
      </w:r>
      <w:r w:rsidRPr="00882BEB">
        <w:rPr>
          <w:rStyle w:val="hlfld-contribauthor"/>
        </w:rPr>
        <w:t>1</w:t>
      </w:r>
      <w:r w:rsidR="00882BEB">
        <w:rPr>
          <w:rStyle w:val="hlfld-contribauthor"/>
        </w:rPr>
        <w:t xml:space="preserve">, </w:t>
      </w:r>
      <w:r w:rsidRPr="00882BEB">
        <w:rPr>
          <w:rStyle w:val="hlfld-contribauthor"/>
        </w:rPr>
        <w:t>61-79.</w:t>
      </w:r>
    </w:p>
    <w:p w14:paraId="791E3621" w14:textId="107886F5" w:rsidR="007F58F0" w:rsidRPr="00882BEB" w:rsidRDefault="007F58F0" w:rsidP="00C720DB">
      <w:pPr>
        <w:pStyle w:val="References"/>
        <w:spacing w:line="480" w:lineRule="auto"/>
      </w:pPr>
      <w:proofErr w:type="spellStart"/>
      <w:r w:rsidRPr="00882BEB">
        <w:t>Junank</w:t>
      </w:r>
      <w:r w:rsidR="008D6E2D">
        <w:t>a</w:t>
      </w:r>
      <w:r w:rsidRPr="00882BEB">
        <w:t>r</w:t>
      </w:r>
      <w:proofErr w:type="spellEnd"/>
      <w:r w:rsidRPr="00882BEB">
        <w:t>, P</w:t>
      </w:r>
      <w:r w:rsidR="00882BEB">
        <w:t>.</w:t>
      </w:r>
      <w:r w:rsidRPr="00882BEB">
        <w:t>N. (2015) The Impact of the Global Financial Crisis on Youth Unemployment</w:t>
      </w:r>
      <w:r w:rsidR="00882BEB">
        <w:t>.</w:t>
      </w:r>
      <w:r w:rsidRPr="00882BEB">
        <w:t xml:space="preserve"> </w:t>
      </w:r>
      <w:r w:rsidRPr="00882BEB">
        <w:rPr>
          <w:i/>
        </w:rPr>
        <w:t>The Economic and Labour Relations Review</w:t>
      </w:r>
      <w:r w:rsidRPr="00882BEB">
        <w:t>, 26</w:t>
      </w:r>
      <w:r w:rsidR="00882BEB">
        <w:t xml:space="preserve">, </w:t>
      </w:r>
      <w:r w:rsidRPr="00882BEB">
        <w:t>2</w:t>
      </w:r>
      <w:r w:rsidR="00882BEB">
        <w:t>,</w:t>
      </w:r>
      <w:r w:rsidRPr="00882BEB">
        <w:t xml:space="preserve"> 191-217. </w:t>
      </w:r>
      <w:r w:rsidRPr="00882BEB">
        <w:rPr>
          <w:i/>
        </w:rPr>
        <w:t xml:space="preserve"> </w:t>
      </w:r>
    </w:p>
    <w:p w14:paraId="4C85A941" w14:textId="4A7CA526" w:rsidR="007F58F0" w:rsidRPr="00882BEB" w:rsidRDefault="007F58F0" w:rsidP="00C720DB">
      <w:pPr>
        <w:pStyle w:val="References"/>
        <w:spacing w:line="480" w:lineRule="auto"/>
      </w:pPr>
      <w:r w:rsidRPr="00882BEB">
        <w:rPr>
          <w:rStyle w:val="hlfld-contribauthor"/>
          <w:szCs w:val="20"/>
        </w:rPr>
        <w:t xml:space="preserve">Lambert, </w:t>
      </w:r>
      <w:r w:rsidRPr="00882BEB">
        <w:rPr>
          <w:rStyle w:val="nlmgiven-names"/>
          <w:szCs w:val="20"/>
        </w:rPr>
        <w:t>P.S.</w:t>
      </w:r>
      <w:r w:rsidRPr="00882BEB">
        <w:t xml:space="preserve"> (</w:t>
      </w:r>
      <w:r w:rsidRPr="00882BEB">
        <w:rPr>
          <w:rStyle w:val="nlmyear"/>
          <w:szCs w:val="20"/>
        </w:rPr>
        <w:t>2012</w:t>
      </w:r>
      <w:r w:rsidRPr="00882BEB">
        <w:t xml:space="preserve">) CAMSIS </w:t>
      </w:r>
      <w:r w:rsidRPr="00882BEB">
        <w:rPr>
          <w:i/>
          <w:iCs/>
        </w:rPr>
        <w:t>for Britain, SOC2010 01/02/15.</w:t>
      </w:r>
      <w:r w:rsidRPr="00882BEB">
        <w:t xml:space="preserve"> Electronic file, version 1.0, date of release: 8 September 2012. Retrieved from </w:t>
      </w:r>
      <w:hyperlink r:id="rId17" w:history="1">
        <w:r w:rsidRPr="00882BEB">
          <w:rPr>
            <w:rStyle w:val="Hyperlink"/>
            <w:szCs w:val="20"/>
          </w:rPr>
          <w:t>http://www.camsis.stir.ac.uk/Data/Britain2010.html</w:t>
        </w:r>
      </w:hyperlink>
      <w:r w:rsidRPr="00882BEB">
        <w:t>.</w:t>
      </w:r>
    </w:p>
    <w:p w14:paraId="245A3800" w14:textId="64B6D476" w:rsidR="007F58F0" w:rsidRPr="00882BEB" w:rsidRDefault="007F58F0" w:rsidP="00C720DB">
      <w:pPr>
        <w:pStyle w:val="References"/>
        <w:spacing w:line="480" w:lineRule="auto"/>
      </w:pPr>
      <w:r w:rsidRPr="00882BEB">
        <w:t xml:space="preserve">Lee, N., </w:t>
      </w:r>
      <w:proofErr w:type="spellStart"/>
      <w:r w:rsidRPr="00882BEB">
        <w:t>Sissons</w:t>
      </w:r>
      <w:proofErr w:type="spellEnd"/>
      <w:r w:rsidRPr="00882BEB">
        <w:t xml:space="preserve">, P. and Jones, K. </w:t>
      </w:r>
      <w:r w:rsidR="00882BEB">
        <w:t>(</w:t>
      </w:r>
      <w:r w:rsidRPr="00882BEB">
        <w:t>2013</w:t>
      </w:r>
      <w:r w:rsidR="00882BEB">
        <w:t>)</w:t>
      </w:r>
      <w:r w:rsidRPr="00882BEB">
        <w:t xml:space="preserve"> </w:t>
      </w:r>
      <w:r w:rsidRPr="00882BEB">
        <w:rPr>
          <w:i/>
          <w:iCs/>
        </w:rPr>
        <w:t>Wage inequality and employment polarisation in British cities</w:t>
      </w:r>
      <w:r w:rsidRPr="00882BEB">
        <w:t>. London: Work Foundation.</w:t>
      </w:r>
    </w:p>
    <w:p w14:paraId="3FEC33F3" w14:textId="03A08644" w:rsidR="007F58F0" w:rsidRPr="00882BEB" w:rsidRDefault="007F58F0" w:rsidP="00C720DB">
      <w:pPr>
        <w:pStyle w:val="References"/>
        <w:spacing w:line="480" w:lineRule="auto"/>
      </w:pPr>
      <w:r w:rsidRPr="00882BEB">
        <w:t xml:space="preserve">MacDonald, R., Mason, P., </w:t>
      </w:r>
      <w:proofErr w:type="spellStart"/>
      <w:r w:rsidRPr="00882BEB">
        <w:t>Shildrick</w:t>
      </w:r>
      <w:proofErr w:type="spellEnd"/>
      <w:r w:rsidRPr="00882BEB">
        <w:t xml:space="preserve">, T., </w:t>
      </w:r>
      <w:proofErr w:type="spellStart"/>
      <w:r w:rsidRPr="00882BEB">
        <w:t>Wesbter</w:t>
      </w:r>
      <w:proofErr w:type="spellEnd"/>
      <w:r w:rsidRPr="00882BEB">
        <w:t>, C., Johnston, L. and Ridley, L. (2001) Snakes and Ladders: In Defence of Studies of Youth Transition</w:t>
      </w:r>
      <w:r w:rsidR="00882BEB">
        <w:t>.</w:t>
      </w:r>
      <w:r w:rsidRPr="00882BEB">
        <w:t xml:space="preserve"> S</w:t>
      </w:r>
      <w:r w:rsidRPr="00882BEB">
        <w:rPr>
          <w:i/>
          <w:iCs/>
        </w:rPr>
        <w:t>ociological Research On-line,</w:t>
      </w:r>
      <w:r w:rsidRPr="00882BEB">
        <w:t xml:space="preserve"> 5</w:t>
      </w:r>
      <w:r w:rsidR="00882BEB">
        <w:t>,</w:t>
      </w:r>
      <w:r w:rsidRPr="00882BEB">
        <w:t xml:space="preserve"> 4. </w:t>
      </w:r>
    </w:p>
    <w:p w14:paraId="6A01FCE3" w14:textId="52814810" w:rsidR="007F58F0" w:rsidRPr="00882BEB" w:rsidRDefault="007F58F0" w:rsidP="00C720DB">
      <w:pPr>
        <w:pStyle w:val="References"/>
        <w:spacing w:line="480" w:lineRule="auto"/>
      </w:pPr>
      <w:r w:rsidRPr="00882BEB">
        <w:t>MacDonald, R.</w:t>
      </w:r>
      <w:r w:rsidR="00882BEB">
        <w:t xml:space="preserve"> and</w:t>
      </w:r>
      <w:r w:rsidRPr="00882BEB">
        <w:t xml:space="preserve"> Marsh, J. (2005) </w:t>
      </w:r>
      <w:r w:rsidRPr="00882BEB">
        <w:rPr>
          <w:i/>
          <w:iCs/>
        </w:rPr>
        <w:t>Disconnected Youth? Growing up in Britain’s Poor Neighbourhoods</w:t>
      </w:r>
      <w:r w:rsidRPr="00882BEB">
        <w:t>. Basingstoke: Palgrave.</w:t>
      </w:r>
    </w:p>
    <w:p w14:paraId="2B1D8D2F" w14:textId="0EDA0B74" w:rsidR="007F58F0" w:rsidRPr="00882BEB" w:rsidRDefault="007F58F0" w:rsidP="00C720DB">
      <w:pPr>
        <w:pStyle w:val="References"/>
        <w:spacing w:line="480" w:lineRule="auto"/>
      </w:pPr>
      <w:r w:rsidRPr="00882BEB">
        <w:t xml:space="preserve">MacDonald, R. (2011) Youth Transitions, Unemployment and Underemployment: Plus </w:t>
      </w:r>
      <w:proofErr w:type="spellStart"/>
      <w:r w:rsidRPr="00882BEB">
        <w:t>ça</w:t>
      </w:r>
      <w:proofErr w:type="spellEnd"/>
      <w:r w:rsidRPr="00882BEB">
        <w:t xml:space="preserve"> change, plus </w:t>
      </w:r>
      <w:proofErr w:type="spellStart"/>
      <w:r w:rsidRPr="00882BEB">
        <w:t>c'est</w:t>
      </w:r>
      <w:proofErr w:type="spellEnd"/>
      <w:r w:rsidRPr="00882BEB">
        <w:t xml:space="preserve"> la </w:t>
      </w:r>
      <w:proofErr w:type="spellStart"/>
      <w:r w:rsidRPr="00882BEB">
        <w:t>même</w:t>
      </w:r>
      <w:proofErr w:type="spellEnd"/>
      <w:r w:rsidRPr="00882BEB">
        <w:t xml:space="preserve"> chose? </w:t>
      </w:r>
      <w:r w:rsidRPr="00882BEB">
        <w:rPr>
          <w:i/>
          <w:iCs/>
        </w:rPr>
        <w:t>Journal of Sociology,</w:t>
      </w:r>
      <w:r w:rsidRPr="00882BEB">
        <w:t xml:space="preserve"> 47</w:t>
      </w:r>
      <w:r w:rsidR="00882BEB">
        <w:t xml:space="preserve">, </w:t>
      </w:r>
      <w:r w:rsidRPr="00882BEB">
        <w:t>4</w:t>
      </w:r>
      <w:r w:rsidR="00882BEB">
        <w:t>,</w:t>
      </w:r>
      <w:r w:rsidRPr="00882BEB">
        <w:t xml:space="preserve"> 427-444.</w:t>
      </w:r>
    </w:p>
    <w:p w14:paraId="27BE1C6B" w14:textId="70ACBEED" w:rsidR="007F58F0" w:rsidRPr="00882BEB" w:rsidRDefault="007F58F0" w:rsidP="00C720DB">
      <w:pPr>
        <w:pStyle w:val="References"/>
        <w:spacing w:line="480" w:lineRule="auto"/>
      </w:pPr>
      <w:r w:rsidRPr="00882BEB">
        <w:lastRenderedPageBreak/>
        <w:t>MacDonald, R.</w:t>
      </w:r>
      <w:r w:rsidR="00882BEB">
        <w:t xml:space="preserve"> and</w:t>
      </w:r>
      <w:r w:rsidRPr="00882BEB">
        <w:t xml:space="preserve"> </w:t>
      </w:r>
      <w:proofErr w:type="spellStart"/>
      <w:r w:rsidRPr="00882BEB">
        <w:t>Giazitzoglu</w:t>
      </w:r>
      <w:proofErr w:type="spellEnd"/>
      <w:r w:rsidRPr="00882BEB">
        <w:t xml:space="preserve">, A. (2019) Youth, enterprise and precarity: or what is, and what is wrong with, the ‘gig economy’? </w:t>
      </w:r>
      <w:r w:rsidRPr="00882BEB">
        <w:rPr>
          <w:i/>
        </w:rPr>
        <w:t>Journal of Sociology</w:t>
      </w:r>
      <w:r w:rsidRPr="00882BEB">
        <w:t>, 55</w:t>
      </w:r>
      <w:r w:rsidR="00882BEB">
        <w:t>,</w:t>
      </w:r>
      <w:r w:rsidRPr="00882BEB">
        <w:t xml:space="preserve"> 4</w:t>
      </w:r>
      <w:r w:rsidR="00882BEB">
        <w:t>,</w:t>
      </w:r>
      <w:r w:rsidRPr="00882BEB">
        <w:t xml:space="preserve"> 724-740.</w:t>
      </w:r>
    </w:p>
    <w:p w14:paraId="2C4585CA" w14:textId="60632A9C" w:rsidR="007F58F0" w:rsidRPr="00882BEB" w:rsidRDefault="007F58F0" w:rsidP="00C720DB">
      <w:pPr>
        <w:pStyle w:val="References"/>
        <w:spacing w:line="480" w:lineRule="auto"/>
      </w:pPr>
      <w:r w:rsidRPr="00882BEB">
        <w:t xml:space="preserve">MacDowell, L. (2012) Post-Crisis, Post-Ford and Post-Gender? Youth Identities in an Era of Austerity. </w:t>
      </w:r>
      <w:r w:rsidRPr="00882BEB">
        <w:rPr>
          <w:i/>
          <w:iCs/>
        </w:rPr>
        <w:t>Journal of Youth Studies,</w:t>
      </w:r>
      <w:r w:rsidRPr="00882BEB">
        <w:t xml:space="preserve"> 15</w:t>
      </w:r>
      <w:r w:rsidR="00882BEB">
        <w:t xml:space="preserve">, </w:t>
      </w:r>
      <w:r w:rsidRPr="00882BEB">
        <w:t>5</w:t>
      </w:r>
      <w:r w:rsidR="00882BEB">
        <w:t>,</w:t>
      </w:r>
      <w:r w:rsidRPr="00882BEB">
        <w:t xml:space="preserve"> 573-590.</w:t>
      </w:r>
    </w:p>
    <w:p w14:paraId="2E430D5C" w14:textId="1AC3257E" w:rsidR="007F58F0" w:rsidRPr="00882BEB" w:rsidRDefault="007F58F0" w:rsidP="00C720DB">
      <w:pPr>
        <w:pStyle w:val="References"/>
        <w:spacing w:line="480" w:lineRule="auto"/>
      </w:pPr>
      <w:r w:rsidRPr="00882BEB">
        <w:t>McQuaid, R. and Lindsay. C. (2005) The Concept of Employability</w:t>
      </w:r>
      <w:r w:rsidR="00882BEB">
        <w:t>.</w:t>
      </w:r>
      <w:r w:rsidRPr="00882BEB">
        <w:t xml:space="preserve"> </w:t>
      </w:r>
      <w:r w:rsidRPr="00882BEB">
        <w:rPr>
          <w:i/>
        </w:rPr>
        <w:t>Urban Studies</w:t>
      </w:r>
      <w:r w:rsidRPr="00882BEB">
        <w:t>, 42</w:t>
      </w:r>
      <w:r w:rsidR="00882BEB">
        <w:t xml:space="preserve">, </w:t>
      </w:r>
      <w:r w:rsidRPr="00882BEB">
        <w:t>3</w:t>
      </w:r>
      <w:r w:rsidR="00882BEB">
        <w:t>,</w:t>
      </w:r>
      <w:r w:rsidRPr="00882BEB">
        <w:t xml:space="preserve"> 197–219.</w:t>
      </w:r>
    </w:p>
    <w:p w14:paraId="5CFCCD6F" w14:textId="76ED862D" w:rsidR="007F58F0" w:rsidRPr="00882BEB" w:rsidRDefault="007F58F0" w:rsidP="00C720DB">
      <w:pPr>
        <w:pStyle w:val="References"/>
        <w:spacing w:line="480" w:lineRule="auto"/>
      </w:pPr>
      <w:r w:rsidRPr="00882BEB">
        <w:t xml:space="preserve">Office for National Statistics (2011) </w:t>
      </w:r>
      <w:r w:rsidRPr="00882BEB">
        <w:rPr>
          <w:i/>
        </w:rPr>
        <w:t>Labour Market Statistics, November 2011</w:t>
      </w:r>
      <w:r w:rsidR="00882BEB">
        <w:t>.</w:t>
      </w:r>
      <w:r w:rsidRPr="00882BEB">
        <w:t xml:space="preserve"> London: Office for National Statistics.</w:t>
      </w:r>
    </w:p>
    <w:p w14:paraId="719C14AC" w14:textId="06FD17B5" w:rsidR="007F58F0" w:rsidRPr="00882BEB" w:rsidRDefault="007F58F0" w:rsidP="00C720DB">
      <w:pPr>
        <w:pStyle w:val="References"/>
        <w:spacing w:line="480" w:lineRule="auto"/>
      </w:pPr>
      <w:r w:rsidRPr="00882BEB">
        <w:t xml:space="preserve">Office for National Statistics, Northern Ireland Statistics and Research Agency. (2019) </w:t>
      </w:r>
      <w:r w:rsidRPr="00882BEB">
        <w:rPr>
          <w:i/>
          <w:iCs/>
        </w:rPr>
        <w:t>Quarterly Labour Force Survey, July - September, 2019</w:t>
      </w:r>
      <w:r w:rsidRPr="00882BEB">
        <w:t xml:space="preserve">. [data collection]. UK Data Service. SN: 8588, </w:t>
      </w:r>
      <w:hyperlink r:id="rId18" w:history="1">
        <w:r w:rsidRPr="00882BEB">
          <w:rPr>
            <w:rStyle w:val="Hyperlink"/>
            <w:szCs w:val="20"/>
          </w:rPr>
          <w:t>http://doi.org/10.5255/UKDA-SN-8588-1</w:t>
        </w:r>
      </w:hyperlink>
      <w:r w:rsidRPr="00882BEB">
        <w:rPr>
          <w:rStyle w:val="Hyperlink"/>
          <w:szCs w:val="20"/>
        </w:rPr>
        <w:t>.</w:t>
      </w:r>
    </w:p>
    <w:p w14:paraId="6110240A" w14:textId="32A99E71" w:rsidR="007F58F0" w:rsidRPr="00882BEB" w:rsidRDefault="007F58F0" w:rsidP="00C720DB">
      <w:pPr>
        <w:pStyle w:val="References"/>
        <w:spacing w:line="480" w:lineRule="auto"/>
      </w:pPr>
      <w:r w:rsidRPr="00882BEB">
        <w:t>Ortiz, I.</w:t>
      </w:r>
      <w:r w:rsidR="00FA6C0A">
        <w:t xml:space="preserve"> and</w:t>
      </w:r>
      <w:r w:rsidRPr="00882BEB">
        <w:t xml:space="preserve"> Cummins, M. (2012) </w:t>
      </w:r>
      <w:r w:rsidRPr="00882BEB">
        <w:rPr>
          <w:i/>
        </w:rPr>
        <w:t xml:space="preserve">When the Global Crisis and Youth Bulge Collide: Double the Jobs Trouble for Youth, </w:t>
      </w:r>
      <w:r w:rsidRPr="00882BEB">
        <w:t>SSRN</w:t>
      </w:r>
      <w:r w:rsidR="00FA6C0A">
        <w:t>.</w:t>
      </w:r>
      <w:r w:rsidRPr="00882BEB">
        <w:t xml:space="preserve"> Available at SSRN: </w:t>
      </w:r>
      <w:hyperlink r:id="rId19" w:history="1">
        <w:r w:rsidRPr="00882BEB">
          <w:rPr>
            <w:rStyle w:val="Hyperlink"/>
            <w:szCs w:val="20"/>
          </w:rPr>
          <w:t>https://ssrn.</w:t>
        </w:r>
        <w:bookmarkStart w:id="5" w:name="_Hlt35372013"/>
        <w:bookmarkStart w:id="6" w:name="_Hlt35372014"/>
        <w:r w:rsidRPr="00882BEB">
          <w:rPr>
            <w:rStyle w:val="Hyperlink"/>
            <w:szCs w:val="20"/>
          </w:rPr>
          <w:t>c</w:t>
        </w:r>
        <w:bookmarkEnd w:id="5"/>
        <w:bookmarkEnd w:id="6"/>
        <w:r w:rsidRPr="00882BEB">
          <w:rPr>
            <w:rStyle w:val="Hyperlink"/>
            <w:szCs w:val="20"/>
          </w:rPr>
          <w:t>om/abstract=2029794</w:t>
        </w:r>
      </w:hyperlink>
      <w:r w:rsidRPr="00882BEB">
        <w:t xml:space="preserve"> [</w:t>
      </w:r>
      <w:r w:rsidR="00FA6C0A">
        <w:t>A</w:t>
      </w:r>
      <w:r w:rsidRPr="00882BEB">
        <w:t>ccessed</w:t>
      </w:r>
      <w:r w:rsidR="00FA6C0A">
        <w:t>:</w:t>
      </w:r>
      <w:r w:rsidRPr="00882BEB">
        <w:t xml:space="preserve"> 17</w:t>
      </w:r>
      <w:r w:rsidR="00FA6C0A">
        <w:t>/</w:t>
      </w:r>
      <w:r w:rsidRPr="00882BEB">
        <w:t>03</w:t>
      </w:r>
      <w:r w:rsidR="00FA6C0A">
        <w:t>/</w:t>
      </w:r>
      <w:r w:rsidRPr="00882BEB">
        <w:t>2020]</w:t>
      </w:r>
    </w:p>
    <w:p w14:paraId="112C9A32" w14:textId="6F429725" w:rsidR="007F58F0" w:rsidRPr="00882BEB" w:rsidRDefault="007F58F0" w:rsidP="00C720DB">
      <w:pPr>
        <w:pStyle w:val="References"/>
        <w:spacing w:line="480" w:lineRule="auto"/>
      </w:pPr>
      <w:proofErr w:type="spellStart"/>
      <w:r w:rsidRPr="00882BEB">
        <w:t>Papoutsaki</w:t>
      </w:r>
      <w:proofErr w:type="spellEnd"/>
      <w:r w:rsidRPr="00882BEB">
        <w:t xml:space="preserve">, D., Byford, M., Wilson, T. and Newton, B. (2019) </w:t>
      </w:r>
      <w:r w:rsidRPr="00882BEB">
        <w:rPr>
          <w:i/>
        </w:rPr>
        <w:t>Young People’s Future Health Inquiry</w:t>
      </w:r>
      <w:r w:rsidR="00FA6C0A">
        <w:rPr>
          <w:i/>
        </w:rPr>
        <w:t>.</w:t>
      </w:r>
      <w:r w:rsidRPr="00882BEB">
        <w:rPr>
          <w:i/>
        </w:rPr>
        <w:t xml:space="preserve"> </w:t>
      </w:r>
      <w:r w:rsidRPr="00882BEB">
        <w:t>Brighton:</w:t>
      </w:r>
      <w:r w:rsidRPr="00882BEB">
        <w:rPr>
          <w:i/>
        </w:rPr>
        <w:t xml:space="preserve"> </w:t>
      </w:r>
      <w:r w:rsidRPr="00882BEB">
        <w:t xml:space="preserve">Institute for Employment Studies. </w:t>
      </w:r>
    </w:p>
    <w:p w14:paraId="4102160B" w14:textId="3763B489" w:rsidR="007F58F0" w:rsidRPr="00882BEB" w:rsidRDefault="007F58F0" w:rsidP="00C720DB">
      <w:pPr>
        <w:pStyle w:val="References"/>
        <w:spacing w:line="480" w:lineRule="auto"/>
      </w:pPr>
      <w:r w:rsidRPr="00882BEB">
        <w:t>Pemberton, S., Fahmy, E., Sutton, E. and Bell, K. (2016) Navigating the stigmatised identities of poverty in austere times: Resisting and responding to narratives of personal failure</w:t>
      </w:r>
      <w:r w:rsidR="00FA6C0A">
        <w:t>.</w:t>
      </w:r>
      <w:r w:rsidRPr="00882BEB">
        <w:t xml:space="preserve"> </w:t>
      </w:r>
      <w:r w:rsidRPr="00882BEB">
        <w:rPr>
          <w:i/>
          <w:iCs/>
        </w:rPr>
        <w:t>Critical Social Policy</w:t>
      </w:r>
      <w:r w:rsidRPr="00882BEB">
        <w:t>, 36</w:t>
      </w:r>
      <w:r w:rsidR="00FA6C0A">
        <w:t xml:space="preserve">, </w:t>
      </w:r>
      <w:r w:rsidRPr="00882BEB">
        <w:t>1</w:t>
      </w:r>
      <w:r w:rsidR="00FA6C0A">
        <w:t>,</w:t>
      </w:r>
      <w:r w:rsidRPr="00882BEB">
        <w:t xml:space="preserve"> 21–37.</w:t>
      </w:r>
    </w:p>
    <w:p w14:paraId="30619915" w14:textId="33AC4F1E" w:rsidR="007F58F0" w:rsidRPr="00FA6C0A" w:rsidRDefault="007F58F0" w:rsidP="00C720DB">
      <w:pPr>
        <w:pStyle w:val="References"/>
        <w:spacing w:line="480" w:lineRule="auto"/>
      </w:pPr>
      <w:proofErr w:type="spellStart"/>
      <w:r w:rsidRPr="00FA6C0A">
        <w:rPr>
          <w:rStyle w:val="hlfld-contribauthor"/>
          <w:szCs w:val="20"/>
        </w:rPr>
        <w:t>Prandy</w:t>
      </w:r>
      <w:proofErr w:type="spellEnd"/>
      <w:r w:rsidRPr="00FA6C0A">
        <w:rPr>
          <w:rStyle w:val="hlfld-contribauthor"/>
          <w:szCs w:val="20"/>
        </w:rPr>
        <w:t xml:space="preserve">, </w:t>
      </w:r>
      <w:r w:rsidRPr="00FA6C0A">
        <w:rPr>
          <w:rStyle w:val="nlmgiven-names"/>
          <w:szCs w:val="20"/>
        </w:rPr>
        <w:t>K.</w:t>
      </w:r>
      <w:r w:rsidR="00FA6C0A">
        <w:t xml:space="preserve"> and</w:t>
      </w:r>
      <w:r w:rsidRPr="00FA6C0A">
        <w:t xml:space="preserve"> </w:t>
      </w:r>
      <w:r w:rsidRPr="00FA6C0A">
        <w:rPr>
          <w:rStyle w:val="hlfld-contribauthor"/>
          <w:szCs w:val="20"/>
        </w:rPr>
        <w:t xml:space="preserve">Jones, </w:t>
      </w:r>
      <w:r w:rsidRPr="00FA6C0A">
        <w:rPr>
          <w:rStyle w:val="nlmgiven-names"/>
          <w:szCs w:val="20"/>
        </w:rPr>
        <w:t>F.L.</w:t>
      </w:r>
      <w:r w:rsidRPr="00FA6C0A">
        <w:t xml:space="preserve"> (</w:t>
      </w:r>
      <w:r w:rsidRPr="00FA6C0A">
        <w:rPr>
          <w:rStyle w:val="nlmyear"/>
          <w:szCs w:val="20"/>
        </w:rPr>
        <w:t>2001</w:t>
      </w:r>
      <w:r w:rsidR="00FA6C0A">
        <w:rPr>
          <w:rStyle w:val="nlmyear"/>
          <w:szCs w:val="20"/>
        </w:rPr>
        <w:t>)</w:t>
      </w:r>
      <w:r w:rsidRPr="00FA6C0A">
        <w:t xml:space="preserve"> </w:t>
      </w:r>
      <w:r w:rsidRPr="00FA6C0A">
        <w:rPr>
          <w:rStyle w:val="nlmarticle-title"/>
          <w:szCs w:val="20"/>
        </w:rPr>
        <w:t>An international comparative analysis of marriage patterns and social stratification</w:t>
      </w:r>
      <w:r w:rsidRPr="00FA6C0A">
        <w:t xml:space="preserve">. </w:t>
      </w:r>
      <w:r w:rsidRPr="00FA6C0A">
        <w:rPr>
          <w:i/>
          <w:iCs/>
        </w:rPr>
        <w:t>International Journal of Sociology and Social Policy</w:t>
      </w:r>
      <w:r w:rsidRPr="00FA6C0A">
        <w:t>, 21</w:t>
      </w:r>
      <w:r w:rsidR="00FA6C0A">
        <w:t xml:space="preserve">, </w:t>
      </w:r>
      <w:r w:rsidRPr="00FA6C0A">
        <w:t>4/5/6</w:t>
      </w:r>
      <w:r w:rsidR="00FA6C0A">
        <w:t>,</w:t>
      </w:r>
      <w:r w:rsidRPr="00FA6C0A">
        <w:t xml:space="preserve"> </w:t>
      </w:r>
      <w:r w:rsidRPr="00FA6C0A">
        <w:rPr>
          <w:rStyle w:val="nlmfpage"/>
          <w:szCs w:val="20"/>
        </w:rPr>
        <w:t>165</w:t>
      </w:r>
      <w:r w:rsidRPr="00FA6C0A">
        <w:t>–</w:t>
      </w:r>
      <w:r w:rsidRPr="00FA6C0A">
        <w:rPr>
          <w:rStyle w:val="nlmlpage"/>
        </w:rPr>
        <w:t>183</w:t>
      </w:r>
      <w:r w:rsidRPr="00FA6C0A">
        <w:t xml:space="preserve">. </w:t>
      </w:r>
    </w:p>
    <w:p w14:paraId="00A9796B" w14:textId="7F93A139" w:rsidR="007F58F0" w:rsidRPr="00FA6C0A" w:rsidRDefault="007F58F0" w:rsidP="00C720DB">
      <w:pPr>
        <w:pStyle w:val="References"/>
        <w:spacing w:line="480" w:lineRule="auto"/>
      </w:pPr>
      <w:proofErr w:type="spellStart"/>
      <w:r w:rsidRPr="00FA6C0A">
        <w:rPr>
          <w:rStyle w:val="hlfld-contribauthor"/>
          <w:szCs w:val="20"/>
        </w:rPr>
        <w:t>Prandy</w:t>
      </w:r>
      <w:proofErr w:type="spellEnd"/>
      <w:r w:rsidRPr="00FA6C0A">
        <w:rPr>
          <w:rStyle w:val="hlfld-contribauthor"/>
          <w:szCs w:val="20"/>
        </w:rPr>
        <w:t xml:space="preserve">, </w:t>
      </w:r>
      <w:r w:rsidRPr="00FA6C0A">
        <w:rPr>
          <w:rStyle w:val="nlmgiven-names"/>
          <w:szCs w:val="20"/>
        </w:rPr>
        <w:t>K.</w:t>
      </w:r>
      <w:r w:rsidR="00FA6C0A">
        <w:rPr>
          <w:rStyle w:val="nlmgiven-names"/>
          <w:szCs w:val="20"/>
        </w:rPr>
        <w:t xml:space="preserve"> and</w:t>
      </w:r>
      <w:r w:rsidRPr="00FA6C0A">
        <w:t xml:space="preserve"> </w:t>
      </w:r>
      <w:r w:rsidRPr="00FA6C0A">
        <w:rPr>
          <w:rStyle w:val="hlfld-contribauthor"/>
          <w:szCs w:val="20"/>
        </w:rPr>
        <w:t xml:space="preserve">Lambert, </w:t>
      </w:r>
      <w:r w:rsidRPr="00FA6C0A">
        <w:rPr>
          <w:rStyle w:val="nlmgiven-names"/>
          <w:szCs w:val="20"/>
        </w:rPr>
        <w:t>P.</w:t>
      </w:r>
      <w:r w:rsidRPr="00FA6C0A">
        <w:t xml:space="preserve"> (</w:t>
      </w:r>
      <w:r w:rsidRPr="00FA6C0A">
        <w:rPr>
          <w:rStyle w:val="nlmyear"/>
          <w:szCs w:val="20"/>
        </w:rPr>
        <w:t>2003</w:t>
      </w:r>
      <w:r w:rsidRPr="00FA6C0A">
        <w:t xml:space="preserve">) </w:t>
      </w:r>
      <w:r w:rsidRPr="00FA6C0A">
        <w:rPr>
          <w:rStyle w:val="nlmarticle-title"/>
          <w:szCs w:val="20"/>
        </w:rPr>
        <w:t>Marriage, social distance and the social space: An alternative derivation and validation of the Cambridge scale,</w:t>
      </w:r>
      <w:r w:rsidRPr="00FA6C0A">
        <w:t xml:space="preserve"> </w:t>
      </w:r>
      <w:r w:rsidRPr="00FA6C0A">
        <w:rPr>
          <w:i/>
          <w:iCs/>
        </w:rPr>
        <w:t>Sociology</w:t>
      </w:r>
      <w:r w:rsidRPr="00FA6C0A">
        <w:t xml:space="preserve">, </w:t>
      </w:r>
      <w:r w:rsidRPr="00FA6C0A">
        <w:rPr>
          <w:iCs/>
        </w:rPr>
        <w:t>37</w:t>
      </w:r>
      <w:r w:rsidR="00FA6C0A">
        <w:t xml:space="preserve">, </w:t>
      </w:r>
      <w:r w:rsidRPr="00FA6C0A">
        <w:t>3</w:t>
      </w:r>
      <w:r w:rsidR="00FA6C0A">
        <w:t>.</w:t>
      </w:r>
      <w:r w:rsidRPr="00FA6C0A">
        <w:t xml:space="preserve"> </w:t>
      </w:r>
      <w:r w:rsidRPr="00FA6C0A">
        <w:rPr>
          <w:rStyle w:val="nlmfpage"/>
          <w:szCs w:val="20"/>
        </w:rPr>
        <w:t>397</w:t>
      </w:r>
      <w:r w:rsidRPr="00FA6C0A">
        <w:t>–</w:t>
      </w:r>
      <w:r w:rsidRPr="00FA6C0A">
        <w:rPr>
          <w:rStyle w:val="nlmlpage"/>
        </w:rPr>
        <w:t>411</w:t>
      </w:r>
      <w:r w:rsidRPr="00FA6C0A">
        <w:t xml:space="preserve">. </w:t>
      </w:r>
    </w:p>
    <w:p w14:paraId="664ED7EB" w14:textId="54BCB867" w:rsidR="007F58F0" w:rsidRPr="00FA6C0A" w:rsidRDefault="007F58F0" w:rsidP="00C720DB">
      <w:pPr>
        <w:pStyle w:val="References"/>
        <w:spacing w:line="480" w:lineRule="auto"/>
      </w:pPr>
      <w:r w:rsidRPr="00FA6C0A">
        <w:rPr>
          <w:rStyle w:val="Strong"/>
          <w:b w:val="0"/>
          <w:bCs w:val="0"/>
          <w:szCs w:val="20"/>
        </w:rPr>
        <w:t>Ralston, K.,</w:t>
      </w:r>
      <w:r w:rsidR="00FA6C0A">
        <w:t xml:space="preserve"> </w:t>
      </w:r>
      <w:proofErr w:type="spellStart"/>
      <w:r w:rsidRPr="00FA6C0A">
        <w:t>Everington</w:t>
      </w:r>
      <w:proofErr w:type="spellEnd"/>
      <w:r w:rsidRPr="00FA6C0A">
        <w:t>, D., Feng, Z.</w:t>
      </w:r>
      <w:r w:rsidR="00FA6C0A">
        <w:t xml:space="preserve"> and</w:t>
      </w:r>
      <w:r w:rsidRPr="00FA6C0A">
        <w:t xml:space="preserve"> Dibben, C. (2016)</w:t>
      </w:r>
      <w:r w:rsidR="00FA6C0A">
        <w:t xml:space="preserve"> </w:t>
      </w:r>
      <w:r w:rsidRPr="00FA6C0A">
        <w:rPr>
          <w:szCs w:val="20"/>
        </w:rPr>
        <w:t xml:space="preserve">Do young people not in education employment or training (NEET) experience long term occupational </w:t>
      </w:r>
      <w:r w:rsidRPr="00FA6C0A">
        <w:rPr>
          <w:szCs w:val="20"/>
        </w:rPr>
        <w:lastRenderedPageBreak/>
        <w:t>scarring?</w:t>
      </w:r>
      <w:r w:rsidR="00FA6C0A">
        <w:t xml:space="preserve"> </w:t>
      </w:r>
      <w:r w:rsidRPr="00FA6C0A">
        <w:t>A longitudinal analysis over 20 years of follow up</w:t>
      </w:r>
      <w:r w:rsidR="00FA6C0A">
        <w:t xml:space="preserve">. </w:t>
      </w:r>
      <w:r w:rsidRPr="00FA6C0A">
        <w:rPr>
          <w:rStyle w:val="Emphasis"/>
          <w:b w:val="0"/>
          <w:bCs w:val="0"/>
          <w:i/>
          <w:iCs/>
          <w:szCs w:val="20"/>
        </w:rPr>
        <w:t>Contemporary Social Research</w:t>
      </w:r>
      <w:r w:rsidRPr="00FA6C0A">
        <w:rPr>
          <w:rStyle w:val="Emphasis"/>
          <w:b w:val="0"/>
          <w:bCs w:val="0"/>
          <w:szCs w:val="20"/>
        </w:rPr>
        <w:t>, 11</w:t>
      </w:r>
      <w:r w:rsidR="00FA6C0A">
        <w:rPr>
          <w:rStyle w:val="Emphasis"/>
          <w:b w:val="0"/>
          <w:bCs w:val="0"/>
          <w:szCs w:val="20"/>
        </w:rPr>
        <w:t xml:space="preserve">, </w:t>
      </w:r>
      <w:r w:rsidRPr="00FA6C0A">
        <w:rPr>
          <w:rStyle w:val="Emphasis"/>
          <w:b w:val="0"/>
          <w:bCs w:val="0"/>
          <w:szCs w:val="20"/>
        </w:rPr>
        <w:t>2-3</w:t>
      </w:r>
      <w:r w:rsidR="00FA6C0A">
        <w:rPr>
          <w:rStyle w:val="Emphasis"/>
          <w:b w:val="0"/>
          <w:bCs w:val="0"/>
          <w:szCs w:val="20"/>
        </w:rPr>
        <w:t>,</w:t>
      </w:r>
      <w:r w:rsidRPr="00FA6C0A">
        <w:rPr>
          <w:rStyle w:val="Emphasis"/>
          <w:b w:val="0"/>
          <w:bCs w:val="0"/>
          <w:szCs w:val="20"/>
        </w:rPr>
        <w:t xml:space="preserve"> 202-221. </w:t>
      </w:r>
    </w:p>
    <w:p w14:paraId="79BE3623" w14:textId="296F5545" w:rsidR="007F58F0" w:rsidRPr="00FA6C0A" w:rsidRDefault="007F58F0" w:rsidP="00C720DB">
      <w:pPr>
        <w:pStyle w:val="References"/>
        <w:spacing w:line="480" w:lineRule="auto"/>
      </w:pPr>
      <w:r w:rsidRPr="00FA6C0A">
        <w:t xml:space="preserve">Reid, H. and </w:t>
      </w:r>
      <w:proofErr w:type="spellStart"/>
      <w:r w:rsidRPr="00FA6C0A">
        <w:t>Westergaard</w:t>
      </w:r>
      <w:proofErr w:type="spellEnd"/>
      <w:r w:rsidRPr="00FA6C0A">
        <w:t xml:space="preserve">, J. (2017) ‘Oh I do like to be beside the seaside’: opportunity structures for four un/underemployed young people living in English coastal towns. </w:t>
      </w:r>
      <w:r w:rsidRPr="00FA6C0A">
        <w:rPr>
          <w:i/>
          <w:iCs/>
        </w:rPr>
        <w:t>British Journal of Guidance &amp; Counselling</w:t>
      </w:r>
      <w:r w:rsidRPr="00FA6C0A">
        <w:t>, 45</w:t>
      </w:r>
      <w:r w:rsidR="00FA6C0A">
        <w:t xml:space="preserve">, </w:t>
      </w:r>
      <w:r w:rsidRPr="00FA6C0A">
        <w:t>3, 341-355.</w:t>
      </w:r>
    </w:p>
    <w:p w14:paraId="70837FD9" w14:textId="6AAD5550" w:rsidR="007F58F0" w:rsidRPr="00FA6C0A" w:rsidRDefault="007F58F0" w:rsidP="00C720DB">
      <w:pPr>
        <w:pStyle w:val="References"/>
        <w:spacing w:line="480" w:lineRule="auto"/>
      </w:pPr>
      <w:r w:rsidRPr="00FA6C0A">
        <w:t>Roberts, K.</w:t>
      </w:r>
      <w:r w:rsidR="00FA6C0A">
        <w:t xml:space="preserve"> and</w:t>
      </w:r>
      <w:r w:rsidRPr="00FA6C0A">
        <w:t xml:space="preserve"> </w:t>
      </w:r>
      <w:proofErr w:type="spellStart"/>
      <w:r w:rsidRPr="00FA6C0A">
        <w:t>Parsell</w:t>
      </w:r>
      <w:proofErr w:type="spellEnd"/>
      <w:r w:rsidRPr="00FA6C0A">
        <w:t>, G. (1992) The Stratification of Youth Training</w:t>
      </w:r>
      <w:r w:rsidR="00FA6C0A">
        <w:t xml:space="preserve">. </w:t>
      </w:r>
      <w:r w:rsidRPr="00FA6C0A">
        <w:rPr>
          <w:i/>
        </w:rPr>
        <w:t>British Journal of Education and Work</w:t>
      </w:r>
      <w:r w:rsidRPr="00FA6C0A">
        <w:t>, 5</w:t>
      </w:r>
      <w:r w:rsidR="00FA6C0A">
        <w:t>,</w:t>
      </w:r>
      <w:r w:rsidRPr="00FA6C0A">
        <w:t xml:space="preserve"> 65–83.</w:t>
      </w:r>
    </w:p>
    <w:p w14:paraId="66B97139" w14:textId="16AED739" w:rsidR="007F58F0" w:rsidRPr="00FA6C0A" w:rsidRDefault="007F58F0" w:rsidP="00C720DB">
      <w:pPr>
        <w:pStyle w:val="References"/>
        <w:spacing w:line="480" w:lineRule="auto"/>
      </w:pPr>
      <w:r w:rsidRPr="00FA6C0A">
        <w:t xml:space="preserve">Roberts, K. (2009) </w:t>
      </w:r>
      <w:r w:rsidRPr="00FA6C0A">
        <w:rPr>
          <w:i/>
          <w:iCs/>
        </w:rPr>
        <w:t>Youth in Transition: Eastern Europe and the West</w:t>
      </w:r>
      <w:r w:rsidRPr="00FA6C0A">
        <w:t xml:space="preserve">. London: Palgrave. </w:t>
      </w:r>
    </w:p>
    <w:p w14:paraId="7FF9402E" w14:textId="336925EF" w:rsidR="007F58F0" w:rsidRPr="00FA6C0A" w:rsidRDefault="007F58F0" w:rsidP="00C720DB">
      <w:pPr>
        <w:pStyle w:val="References"/>
        <w:spacing w:line="480" w:lineRule="auto"/>
      </w:pPr>
      <w:r w:rsidRPr="00FA6C0A">
        <w:t>Roberts, K. (2013) Education to Work Transitions: How the Old Middle Went Missing and Why the New Middle Remains Elusive</w:t>
      </w:r>
      <w:r w:rsidR="00FA6C0A">
        <w:t>.</w:t>
      </w:r>
      <w:r w:rsidRPr="00FA6C0A">
        <w:t xml:space="preserve"> </w:t>
      </w:r>
      <w:r w:rsidRPr="00FA6C0A">
        <w:rPr>
          <w:i/>
          <w:iCs/>
        </w:rPr>
        <w:t>Sociological Research Online,</w:t>
      </w:r>
      <w:r w:rsidRPr="00FA6C0A">
        <w:t xml:space="preserve"> 18</w:t>
      </w:r>
      <w:r w:rsidR="00FA6C0A">
        <w:t xml:space="preserve">, </w:t>
      </w:r>
      <w:proofErr w:type="gramStart"/>
      <w:r w:rsidRPr="00FA6C0A">
        <w:t>1</w:t>
      </w:r>
      <w:r w:rsidR="00FA6C0A">
        <w:t xml:space="preserve">, </w:t>
      </w:r>
      <w:r w:rsidRPr="00FA6C0A">
        <w:t xml:space="preserve"> 3</w:t>
      </w:r>
      <w:proofErr w:type="gramEnd"/>
      <w:r w:rsidRPr="00FA6C0A">
        <w:t>.</w:t>
      </w:r>
    </w:p>
    <w:p w14:paraId="23D8FAE5" w14:textId="6534EA1A" w:rsidR="007F58F0" w:rsidRDefault="007F58F0" w:rsidP="00C720DB">
      <w:pPr>
        <w:pStyle w:val="References"/>
        <w:spacing w:line="480" w:lineRule="auto"/>
      </w:pPr>
      <w:proofErr w:type="spellStart"/>
      <w:r>
        <w:t>Shildrick</w:t>
      </w:r>
      <w:proofErr w:type="spellEnd"/>
      <w:r>
        <w:t xml:space="preserve">, T.A., MacDonald, R., Webster, C. and Garthwaite, K. (2010) </w:t>
      </w:r>
      <w:r>
        <w:rPr>
          <w:i/>
        </w:rPr>
        <w:t>The low-pay, no-pay cycle Understanding recurrent povert</w:t>
      </w:r>
      <w:r w:rsidR="00FA6C0A">
        <w:rPr>
          <w:i/>
        </w:rPr>
        <w:t>y.</w:t>
      </w:r>
      <w:r>
        <w:rPr>
          <w:i/>
        </w:rPr>
        <w:t xml:space="preserve"> </w:t>
      </w:r>
      <w:r>
        <w:t xml:space="preserve">York: Joseph Rowntree Foundation. </w:t>
      </w:r>
    </w:p>
    <w:p w14:paraId="553F2792" w14:textId="1642D8C3" w:rsidR="007F58F0" w:rsidRDefault="007F58F0" w:rsidP="00C720DB">
      <w:pPr>
        <w:pStyle w:val="References"/>
        <w:spacing w:line="480" w:lineRule="auto"/>
      </w:pPr>
      <w:proofErr w:type="spellStart"/>
      <w:r>
        <w:t>Shildrick</w:t>
      </w:r>
      <w:proofErr w:type="spellEnd"/>
      <w:r>
        <w:t xml:space="preserve">, T.A., MacDonald, R., Webster, C. and Garthwaite, K. (2012) </w:t>
      </w:r>
      <w:r>
        <w:rPr>
          <w:i/>
          <w:iCs/>
        </w:rPr>
        <w:t>Poverty and insecurity: Life in low-pay, no-pay Britain</w:t>
      </w:r>
      <w:r w:rsidR="00FA6C0A">
        <w:t>.</w:t>
      </w:r>
      <w:r>
        <w:t xml:space="preserve"> Bristol: Policy Press.</w:t>
      </w:r>
    </w:p>
    <w:p w14:paraId="491E7400" w14:textId="3681E59A" w:rsidR="007F58F0" w:rsidRDefault="007F58F0" w:rsidP="00C720DB">
      <w:pPr>
        <w:pStyle w:val="References"/>
        <w:spacing w:line="480" w:lineRule="auto"/>
      </w:pPr>
      <w:r>
        <w:t xml:space="preserve">Standing, G. (2011) </w:t>
      </w:r>
      <w:r>
        <w:rPr>
          <w:i/>
        </w:rPr>
        <w:t>The Precariat. The New Dangerous Class</w:t>
      </w:r>
      <w:r w:rsidR="00FA6C0A">
        <w:rPr>
          <w:i/>
        </w:rPr>
        <w:t>.</w:t>
      </w:r>
      <w:r>
        <w:t xml:space="preserve"> London: Bloomsbury.</w:t>
      </w:r>
    </w:p>
    <w:p w14:paraId="48196D16" w14:textId="6A9DF564" w:rsidR="007F58F0" w:rsidRDefault="00B61A5F" w:rsidP="00C720DB">
      <w:pPr>
        <w:pStyle w:val="References"/>
        <w:spacing w:line="480" w:lineRule="auto"/>
      </w:pPr>
      <w:proofErr w:type="spellStart"/>
      <w:r>
        <w:t>Strandh</w:t>
      </w:r>
      <w:proofErr w:type="spellEnd"/>
      <w:r w:rsidR="007F58F0">
        <w:t xml:space="preserve">, M., </w:t>
      </w:r>
      <w:proofErr w:type="spellStart"/>
      <w:r w:rsidR="007F58F0">
        <w:t>Winefield</w:t>
      </w:r>
      <w:proofErr w:type="spellEnd"/>
      <w:r w:rsidR="007F58F0">
        <w:t>, A., Nilsson, K.</w:t>
      </w:r>
      <w:r w:rsidR="00FA6C0A">
        <w:t xml:space="preserve"> and</w:t>
      </w:r>
      <w:r w:rsidR="007F58F0">
        <w:t xml:space="preserve"> </w:t>
      </w:r>
      <w:proofErr w:type="spellStart"/>
      <w:r w:rsidR="007F58F0">
        <w:t>Hammarstrom</w:t>
      </w:r>
      <w:proofErr w:type="spellEnd"/>
      <w:r w:rsidR="007F58F0">
        <w:t>, A. (2014) Unemployment and mental health scarring during the life course</w:t>
      </w:r>
      <w:r w:rsidR="00FA6C0A">
        <w:t>.</w:t>
      </w:r>
      <w:r w:rsidR="007F58F0">
        <w:t xml:space="preserve"> </w:t>
      </w:r>
      <w:r w:rsidR="007F58F0">
        <w:rPr>
          <w:i/>
        </w:rPr>
        <w:t>European Journal of Public Health</w:t>
      </w:r>
      <w:r w:rsidR="007F58F0">
        <w:t>, 24</w:t>
      </w:r>
      <w:r w:rsidR="00FA6C0A">
        <w:t xml:space="preserve">, </w:t>
      </w:r>
      <w:r w:rsidR="007F58F0">
        <w:t>3</w:t>
      </w:r>
      <w:r w:rsidR="00FA6C0A">
        <w:t>,</w:t>
      </w:r>
      <w:r w:rsidR="007F58F0">
        <w:t xml:space="preserve"> 440-445.</w:t>
      </w:r>
    </w:p>
    <w:p w14:paraId="0B78F1BA" w14:textId="4E90A121" w:rsidR="007F58F0" w:rsidRDefault="007F58F0" w:rsidP="00C720DB">
      <w:pPr>
        <w:pStyle w:val="References"/>
        <w:spacing w:line="480" w:lineRule="auto"/>
      </w:pPr>
      <w:r>
        <w:t xml:space="preserve">TUC (2017) </w:t>
      </w:r>
      <w:r>
        <w:rPr>
          <w:i/>
        </w:rPr>
        <w:t>Living on the Edge: Experiencing workplace insecurity in the UK</w:t>
      </w:r>
      <w:r w:rsidR="00FA6C0A">
        <w:t>.</w:t>
      </w:r>
      <w:r>
        <w:t xml:space="preserve"> London: Trade Union Congress. </w:t>
      </w:r>
    </w:p>
    <w:p w14:paraId="172A58EF" w14:textId="3BD1F4F1" w:rsidR="007F58F0" w:rsidRPr="00FA6C0A" w:rsidRDefault="007F58F0" w:rsidP="00C720DB">
      <w:pPr>
        <w:pStyle w:val="References"/>
        <w:spacing w:line="480" w:lineRule="auto"/>
      </w:pPr>
      <w:r w:rsidRPr="00FA6C0A">
        <w:rPr>
          <w:rStyle w:val="Strong"/>
          <w:b w:val="0"/>
          <w:bCs w:val="0"/>
          <w:szCs w:val="20"/>
        </w:rPr>
        <w:t xml:space="preserve">UKCES (2014) </w:t>
      </w:r>
      <w:r w:rsidRPr="00FA6C0A">
        <w:rPr>
          <w:rStyle w:val="Strong"/>
          <w:b w:val="0"/>
          <w:bCs w:val="0"/>
          <w:i/>
          <w:szCs w:val="20"/>
        </w:rPr>
        <w:t xml:space="preserve">Precarious Futures? Youth Employment in an International Context, </w:t>
      </w:r>
      <w:r w:rsidRPr="00FA6C0A">
        <w:rPr>
          <w:rStyle w:val="Strong"/>
          <w:b w:val="0"/>
          <w:bCs w:val="0"/>
          <w:szCs w:val="20"/>
        </w:rPr>
        <w:t xml:space="preserve">London: </w:t>
      </w:r>
      <w:r w:rsidRPr="00FA6C0A">
        <w:rPr>
          <w:shd w:val="clear" w:color="auto" w:fill="FFFFFF"/>
        </w:rPr>
        <w:t>UK Commission for Employment and Skills</w:t>
      </w:r>
      <w:r w:rsidR="00FA6C0A">
        <w:rPr>
          <w:shd w:val="clear" w:color="auto" w:fill="FFFFFF"/>
        </w:rPr>
        <w:t>. Available at:</w:t>
      </w:r>
      <w:r w:rsidRPr="00FA6C0A">
        <w:rPr>
          <w:shd w:val="clear" w:color="auto" w:fill="FFFFFF"/>
        </w:rPr>
        <w:t xml:space="preserve"> </w:t>
      </w:r>
      <w:hyperlink r:id="rId20" w:history="1">
        <w:r w:rsidR="00FA6C0A" w:rsidRPr="006238EA">
          <w:rPr>
            <w:rStyle w:val="Hyperlink"/>
            <w:szCs w:val="20"/>
          </w:rPr>
          <w:t>https://assets.publishing.service.gov.uk/government/uploads/system/uploads/attachment_data/file/326119/14.07.02._Youth_Report_for_web_V3.pdf</w:t>
        </w:r>
      </w:hyperlink>
      <w:r w:rsidR="00FA6C0A">
        <w:rPr>
          <w:szCs w:val="20"/>
        </w:rPr>
        <w:t xml:space="preserve"> </w:t>
      </w:r>
      <w:r w:rsidRPr="00FA6C0A">
        <w:t>[</w:t>
      </w:r>
      <w:r w:rsidR="00FA6C0A">
        <w:t>A</w:t>
      </w:r>
      <w:r w:rsidRPr="00FA6C0A">
        <w:t>ccessed</w:t>
      </w:r>
      <w:r w:rsidR="00FA6C0A">
        <w:t xml:space="preserve">: </w:t>
      </w:r>
      <w:r w:rsidRPr="00FA6C0A">
        <w:t>18</w:t>
      </w:r>
      <w:r w:rsidR="00FA6C0A">
        <w:t>/</w:t>
      </w:r>
      <w:r w:rsidRPr="00FA6C0A">
        <w:t>12</w:t>
      </w:r>
      <w:r w:rsidR="00FA6C0A">
        <w:t>/</w:t>
      </w:r>
      <w:r w:rsidRPr="00FA6C0A">
        <w:t>2019]</w:t>
      </w:r>
    </w:p>
    <w:p w14:paraId="4C7011A9" w14:textId="3C972D4F" w:rsidR="007F58F0" w:rsidRPr="00FA6C0A" w:rsidRDefault="007F58F0" w:rsidP="00C720DB">
      <w:pPr>
        <w:pStyle w:val="References"/>
        <w:spacing w:line="480" w:lineRule="auto"/>
      </w:pPr>
      <w:r w:rsidRPr="00FA6C0A">
        <w:lastRenderedPageBreak/>
        <w:t>Watson, I. (20</w:t>
      </w:r>
      <w:r w:rsidR="00B82B36">
        <w:t>20</w:t>
      </w:r>
      <w:r w:rsidRPr="00FA6C0A">
        <w:t>) The Youth Labour Market: From education to work before and after the global financial crisis</w:t>
      </w:r>
      <w:r w:rsidR="00FA6C0A">
        <w:t>.</w:t>
      </w:r>
      <w:r w:rsidRPr="00FA6C0A">
        <w:t xml:space="preserve"> </w:t>
      </w:r>
      <w:r w:rsidRPr="00FA6C0A">
        <w:rPr>
          <w:i/>
        </w:rPr>
        <w:t>Journal of Industrial Relations</w:t>
      </w:r>
      <w:r w:rsidR="00B82B36">
        <w:t>, 62</w:t>
      </w:r>
      <w:r w:rsidR="00FA6C0A">
        <w:t>,</w:t>
      </w:r>
      <w:r w:rsidR="00B82B36">
        <w:t xml:space="preserve"> 1</w:t>
      </w:r>
      <w:r w:rsidR="00FA6C0A">
        <w:t>,</w:t>
      </w:r>
      <w:r w:rsidRPr="00FA6C0A">
        <w:t xml:space="preserve"> </w:t>
      </w:r>
      <w:r w:rsidR="00B82B36">
        <w:t>33</w:t>
      </w:r>
      <w:r w:rsidRPr="00FA6C0A">
        <w:t>-</w:t>
      </w:r>
      <w:r w:rsidR="00B82B36">
        <w:t>57</w:t>
      </w:r>
      <w:r w:rsidRPr="00FA6C0A">
        <w:t>.</w:t>
      </w:r>
    </w:p>
    <w:p w14:paraId="109A1394" w14:textId="68BC48C0" w:rsidR="007F58F0" w:rsidRPr="00FA6C0A" w:rsidRDefault="007F58F0" w:rsidP="00C720DB">
      <w:pPr>
        <w:pStyle w:val="References"/>
        <w:spacing w:line="480" w:lineRule="auto"/>
      </w:pPr>
      <w:r w:rsidRPr="00FA6C0A">
        <w:t xml:space="preserve">Whittaker, M. (2015) </w:t>
      </w:r>
      <w:r w:rsidRPr="00FA6C0A">
        <w:rPr>
          <w:i/>
        </w:rPr>
        <w:t>Time to Catch Up? Living Standards in the Downturn and Recovery</w:t>
      </w:r>
      <w:r w:rsidR="00FA6C0A">
        <w:t>.</w:t>
      </w:r>
      <w:r w:rsidRPr="00FA6C0A">
        <w:t xml:space="preserve"> London: Resolution Foundation.</w:t>
      </w:r>
    </w:p>
    <w:p w14:paraId="1A501964" w14:textId="52F365D5" w:rsidR="007F58F0" w:rsidRPr="00FA6C0A" w:rsidRDefault="007F58F0" w:rsidP="00C720DB">
      <w:pPr>
        <w:pStyle w:val="References"/>
        <w:spacing w:line="480" w:lineRule="auto"/>
      </w:pPr>
      <w:r w:rsidRPr="00FA6C0A">
        <w:t>Wood, A. (2017) Powerful Times: Flexible Discipline and Schedule Gifts at Work</w:t>
      </w:r>
      <w:r w:rsidR="00FA6C0A">
        <w:t>.</w:t>
      </w:r>
      <w:r w:rsidRPr="00FA6C0A">
        <w:t xml:space="preserve"> </w:t>
      </w:r>
      <w:r w:rsidRPr="00FA6C0A">
        <w:rPr>
          <w:i/>
        </w:rPr>
        <w:t>Work, Employment &amp; Society</w:t>
      </w:r>
      <w:r w:rsidRPr="00FA6C0A">
        <w:t>, 32</w:t>
      </w:r>
      <w:r w:rsidR="00FA6C0A">
        <w:t xml:space="preserve">, </w:t>
      </w:r>
      <w:r w:rsidRPr="00FA6C0A">
        <w:t>6</w:t>
      </w:r>
      <w:r w:rsidR="00FA6C0A">
        <w:t xml:space="preserve">, </w:t>
      </w:r>
      <w:r w:rsidRPr="00FA6C0A">
        <w:t xml:space="preserve">1061–77. </w:t>
      </w:r>
    </w:p>
    <w:bookmarkEnd w:id="4"/>
    <w:p w14:paraId="0DEACE53" w14:textId="77777777" w:rsidR="007F58F0" w:rsidRDefault="007F58F0" w:rsidP="00C720DB">
      <w:pPr>
        <w:spacing w:line="480" w:lineRule="auto"/>
      </w:pPr>
    </w:p>
    <w:bookmarkEnd w:id="0"/>
    <w:p w14:paraId="5F089BBD" w14:textId="60926B0C" w:rsidR="00762C5E" w:rsidRPr="0024602F" w:rsidRDefault="00762C5E" w:rsidP="00C720DB">
      <w:pPr>
        <w:pStyle w:val="TableGraphSource"/>
        <w:spacing w:line="480" w:lineRule="auto"/>
      </w:pPr>
    </w:p>
    <w:sectPr w:rsidR="00762C5E" w:rsidRPr="0024602F" w:rsidSect="00A57557">
      <w:headerReference w:type="default" r:id="rId21"/>
      <w:pgSz w:w="11906" w:h="16838" w:code="9"/>
      <w:pgMar w:top="2268" w:right="2268" w:bottom="2268" w:left="226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9234" w14:textId="77777777" w:rsidR="005934B8" w:rsidRDefault="005934B8" w:rsidP="00226F2B">
      <w:pPr>
        <w:spacing w:after="0"/>
      </w:pPr>
      <w:r>
        <w:separator/>
      </w:r>
    </w:p>
  </w:endnote>
  <w:endnote w:type="continuationSeparator" w:id="0">
    <w:p w14:paraId="537A3806" w14:textId="77777777" w:rsidR="005934B8" w:rsidRDefault="005934B8" w:rsidP="00226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3146" w14:textId="77777777" w:rsidR="005934B8" w:rsidRDefault="005934B8" w:rsidP="00226F2B">
      <w:pPr>
        <w:spacing w:after="0"/>
      </w:pPr>
      <w:r>
        <w:separator/>
      </w:r>
    </w:p>
  </w:footnote>
  <w:footnote w:type="continuationSeparator" w:id="0">
    <w:p w14:paraId="615E40E0" w14:textId="77777777" w:rsidR="005934B8" w:rsidRDefault="005934B8" w:rsidP="00226F2B">
      <w:pPr>
        <w:spacing w:after="0"/>
      </w:pPr>
      <w:r>
        <w:continuationSeparator/>
      </w:r>
    </w:p>
  </w:footnote>
  <w:footnote w:id="1">
    <w:p w14:paraId="48232A14" w14:textId="77777777" w:rsidR="00415BC7" w:rsidRDefault="00415BC7" w:rsidP="007F58F0">
      <w:pPr>
        <w:pStyle w:val="FootnoteText"/>
      </w:pPr>
      <w:r>
        <w:rPr>
          <w:rStyle w:val="FootnoteReference"/>
        </w:rPr>
        <w:footnoteRef/>
      </w:r>
      <w:r>
        <w:t xml:space="preserve"> </w:t>
      </w:r>
      <w:r>
        <w:rPr>
          <w:rFonts w:ascii="Arial" w:hAnsi="Arial"/>
          <w:sz w:val="16"/>
        </w:rPr>
        <w:t>For comparison, the models provided in Appendix 1 take inner-London in the time period 2005-2007 as the reference category. This provides additional support to the argument, made in the main text, that there has been an uplift in position for men in many regions, but a drop off for women (Table 5, Figures 1 and 2). The comparison for women is particularly stark. All regions are negative and significant in comparison to inner-London 2005-2007. Only six regions are significantly lower than inner-London taken at 2015-2017. A substantial shift, indicating the relative decline of inner-London noted in the main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3425" w14:textId="25F66D14" w:rsidR="00415BC7" w:rsidRPr="0049148A" w:rsidRDefault="00415BC7" w:rsidP="0049148A">
    <w:pPr>
      <w:pStyle w:val="Header"/>
      <w:rPr>
        <w:sz w:val="16"/>
        <w:szCs w:val="16"/>
      </w:rPr>
    </w:pPr>
    <w:r>
      <w:rPr>
        <w:noProof/>
        <w:lang w:eastAsia="en-GB"/>
      </w:rPr>
      <mc:AlternateContent>
        <mc:Choice Requires="wps">
          <w:drawing>
            <wp:anchor distT="0" distB="0" distL="114300" distR="114300" simplePos="0" relativeHeight="251659264" behindDoc="0" locked="0" layoutInCell="1" allowOverlap="1" wp14:anchorId="75C2A5F9" wp14:editId="47662B68">
              <wp:simplePos x="0" y="0"/>
              <wp:positionH relativeFrom="column">
                <wp:posOffset>4562475</wp:posOffset>
              </wp:positionH>
              <wp:positionV relativeFrom="paragraph">
                <wp:posOffset>10813415</wp:posOffset>
              </wp:positionV>
              <wp:extent cx="247650" cy="704850"/>
              <wp:effectExtent l="0" t="0" r="266700" b="171450"/>
              <wp:wrapNone/>
              <wp:docPr id="4" name="Text Box 4"/>
              <wp:cNvGraphicFramePr/>
              <a:graphic xmlns:a="http://schemas.openxmlformats.org/drawingml/2006/main">
                <a:graphicData uri="http://schemas.microsoft.com/office/word/2010/wordprocessingShape">
                  <wps:wsp>
                    <wps:cNvSpPr txBox="1"/>
                    <wps:spPr>
                      <a:xfrm>
                        <a:off x="0" y="0"/>
                        <a:ext cx="24765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C08A1" w14:textId="77777777" w:rsidR="00415BC7" w:rsidRDefault="00415BC7" w:rsidP="0049148A">
                          <w:pPr>
                            <w:jc w:val="right"/>
                          </w:pPr>
                        </w:p>
                      </w:txbxContent>
                    </wps:txbx>
                    <wps:bodyPr rot="0" spcFirstLastPara="0" vertOverflow="overflow" horzOverflow="overflow" vert="horz" wrap="square" lIns="504000" tIns="864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2A5F9" id="_x0000_t202" coordsize="21600,21600" o:spt="202" path="m,l,21600r21600,l21600,xe">
              <v:stroke joinstyle="miter"/>
              <v:path gradientshapeok="t" o:connecttype="rect"/>
            </v:shapetype>
            <v:shape id="Text Box 4" o:spid="_x0000_s1026" type="#_x0000_t202" style="position:absolute;left:0;text-align:left;margin-left:359.25pt;margin-top:851.45pt;width:19.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" filled="f" stroked="f" strokeweight=".5pt">
              <v:textbox inset="14mm,24mm,0,0">
                <w:txbxContent>
                  <w:p w14:paraId="359C08A1" w14:textId="77777777" w:rsidR="00415BC7" w:rsidRDefault="00415BC7" w:rsidP="0049148A">
                    <w:pPr>
                      <w:jc w:val="right"/>
                    </w:pPr>
                  </w:p>
                </w:txbxContent>
              </v:textbox>
            </v:shape>
          </w:pict>
        </mc:Fallback>
      </mc:AlternateContent>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0DF"/>
    <w:multiLevelType w:val="hybridMultilevel"/>
    <w:tmpl w:val="D5129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E1F07"/>
    <w:multiLevelType w:val="hybridMultilevel"/>
    <w:tmpl w:val="55F2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23D18"/>
    <w:multiLevelType w:val="hybridMultilevel"/>
    <w:tmpl w:val="0DDA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85DE4"/>
    <w:multiLevelType w:val="multilevel"/>
    <w:tmpl w:val="84DA339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8DC562A"/>
    <w:multiLevelType w:val="hybridMultilevel"/>
    <w:tmpl w:val="8D50BD54"/>
    <w:lvl w:ilvl="0" w:tplc="08090001">
      <w:start w:val="1"/>
      <w:numFmt w:val="bullet"/>
      <w:lvlText w:val=""/>
      <w:lvlJc w:val="left"/>
      <w:pPr>
        <w:ind w:left="720" w:hanging="360"/>
      </w:pPr>
      <w:rPr>
        <w:rFonts w:ascii="Symbol" w:hAnsi="Symbol" w:hint="default"/>
      </w:rPr>
    </w:lvl>
    <w:lvl w:ilvl="1" w:tplc="C7EE704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2602B"/>
    <w:multiLevelType w:val="hybridMultilevel"/>
    <w:tmpl w:val="5688308A"/>
    <w:lvl w:ilvl="0" w:tplc="6E66C016">
      <w:start w:val="1"/>
      <w:numFmt w:val="decimal"/>
      <w:lvlText w:val="%1."/>
      <w:lvlJc w:val="left"/>
      <w:pPr>
        <w:tabs>
          <w:tab w:val="num" w:pos="720"/>
        </w:tabs>
        <w:ind w:left="720" w:hanging="360"/>
      </w:pPr>
    </w:lvl>
    <w:lvl w:ilvl="1" w:tplc="B0DC7268" w:tentative="1">
      <w:start w:val="1"/>
      <w:numFmt w:val="decimal"/>
      <w:lvlText w:val="%2."/>
      <w:lvlJc w:val="left"/>
      <w:pPr>
        <w:tabs>
          <w:tab w:val="num" w:pos="1440"/>
        </w:tabs>
        <w:ind w:left="1440" w:hanging="360"/>
      </w:pPr>
    </w:lvl>
    <w:lvl w:ilvl="2" w:tplc="90405EE8" w:tentative="1">
      <w:start w:val="1"/>
      <w:numFmt w:val="decimal"/>
      <w:lvlText w:val="%3."/>
      <w:lvlJc w:val="left"/>
      <w:pPr>
        <w:tabs>
          <w:tab w:val="num" w:pos="2160"/>
        </w:tabs>
        <w:ind w:left="2160" w:hanging="360"/>
      </w:pPr>
    </w:lvl>
    <w:lvl w:ilvl="3" w:tplc="675EEC20" w:tentative="1">
      <w:start w:val="1"/>
      <w:numFmt w:val="decimal"/>
      <w:lvlText w:val="%4."/>
      <w:lvlJc w:val="left"/>
      <w:pPr>
        <w:tabs>
          <w:tab w:val="num" w:pos="2880"/>
        </w:tabs>
        <w:ind w:left="2880" w:hanging="360"/>
      </w:pPr>
    </w:lvl>
    <w:lvl w:ilvl="4" w:tplc="1654E430" w:tentative="1">
      <w:start w:val="1"/>
      <w:numFmt w:val="decimal"/>
      <w:lvlText w:val="%5."/>
      <w:lvlJc w:val="left"/>
      <w:pPr>
        <w:tabs>
          <w:tab w:val="num" w:pos="3600"/>
        </w:tabs>
        <w:ind w:left="3600" w:hanging="360"/>
      </w:pPr>
    </w:lvl>
    <w:lvl w:ilvl="5" w:tplc="A6EAE2F2" w:tentative="1">
      <w:start w:val="1"/>
      <w:numFmt w:val="decimal"/>
      <w:lvlText w:val="%6."/>
      <w:lvlJc w:val="left"/>
      <w:pPr>
        <w:tabs>
          <w:tab w:val="num" w:pos="4320"/>
        </w:tabs>
        <w:ind w:left="4320" w:hanging="360"/>
      </w:pPr>
    </w:lvl>
    <w:lvl w:ilvl="6" w:tplc="0004FCF6" w:tentative="1">
      <w:start w:val="1"/>
      <w:numFmt w:val="decimal"/>
      <w:lvlText w:val="%7."/>
      <w:lvlJc w:val="left"/>
      <w:pPr>
        <w:tabs>
          <w:tab w:val="num" w:pos="5040"/>
        </w:tabs>
        <w:ind w:left="5040" w:hanging="360"/>
      </w:pPr>
    </w:lvl>
    <w:lvl w:ilvl="7" w:tplc="16F87FF0" w:tentative="1">
      <w:start w:val="1"/>
      <w:numFmt w:val="decimal"/>
      <w:lvlText w:val="%8."/>
      <w:lvlJc w:val="left"/>
      <w:pPr>
        <w:tabs>
          <w:tab w:val="num" w:pos="5760"/>
        </w:tabs>
        <w:ind w:left="5760" w:hanging="360"/>
      </w:pPr>
    </w:lvl>
    <w:lvl w:ilvl="8" w:tplc="86AAC2CC" w:tentative="1">
      <w:start w:val="1"/>
      <w:numFmt w:val="decimal"/>
      <w:lvlText w:val="%9."/>
      <w:lvlJc w:val="left"/>
      <w:pPr>
        <w:tabs>
          <w:tab w:val="num" w:pos="6480"/>
        </w:tabs>
        <w:ind w:left="6480" w:hanging="360"/>
      </w:pPr>
    </w:lvl>
  </w:abstractNum>
  <w:abstractNum w:abstractNumId="6" w15:restartNumberingAfterBreak="0">
    <w:nsid w:val="2180647E"/>
    <w:multiLevelType w:val="hybridMultilevel"/>
    <w:tmpl w:val="EC2C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F54BB"/>
    <w:multiLevelType w:val="hybridMultilevel"/>
    <w:tmpl w:val="AE36F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374D02"/>
    <w:multiLevelType w:val="hybridMultilevel"/>
    <w:tmpl w:val="CD8C0E02"/>
    <w:lvl w:ilvl="0" w:tplc="A9025F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1B3A57"/>
    <w:multiLevelType w:val="hybridMultilevel"/>
    <w:tmpl w:val="C24C4FD2"/>
    <w:lvl w:ilvl="0" w:tplc="C1F0A134">
      <w:start w:val="1"/>
      <w:numFmt w:val="decimal"/>
      <w:lvlText w:val="%1."/>
      <w:lvlJc w:val="left"/>
      <w:pPr>
        <w:tabs>
          <w:tab w:val="num" w:pos="720"/>
        </w:tabs>
        <w:ind w:left="720" w:hanging="360"/>
      </w:pPr>
    </w:lvl>
    <w:lvl w:ilvl="1" w:tplc="C5865322" w:tentative="1">
      <w:start w:val="1"/>
      <w:numFmt w:val="decimal"/>
      <w:lvlText w:val="%2."/>
      <w:lvlJc w:val="left"/>
      <w:pPr>
        <w:tabs>
          <w:tab w:val="num" w:pos="1440"/>
        </w:tabs>
        <w:ind w:left="1440" w:hanging="360"/>
      </w:pPr>
    </w:lvl>
    <w:lvl w:ilvl="2" w:tplc="A2B234CC" w:tentative="1">
      <w:start w:val="1"/>
      <w:numFmt w:val="decimal"/>
      <w:lvlText w:val="%3."/>
      <w:lvlJc w:val="left"/>
      <w:pPr>
        <w:tabs>
          <w:tab w:val="num" w:pos="2160"/>
        </w:tabs>
        <w:ind w:left="2160" w:hanging="360"/>
      </w:pPr>
    </w:lvl>
    <w:lvl w:ilvl="3" w:tplc="C32057B6" w:tentative="1">
      <w:start w:val="1"/>
      <w:numFmt w:val="decimal"/>
      <w:lvlText w:val="%4."/>
      <w:lvlJc w:val="left"/>
      <w:pPr>
        <w:tabs>
          <w:tab w:val="num" w:pos="2880"/>
        </w:tabs>
        <w:ind w:left="2880" w:hanging="360"/>
      </w:pPr>
    </w:lvl>
    <w:lvl w:ilvl="4" w:tplc="53984510" w:tentative="1">
      <w:start w:val="1"/>
      <w:numFmt w:val="decimal"/>
      <w:lvlText w:val="%5."/>
      <w:lvlJc w:val="left"/>
      <w:pPr>
        <w:tabs>
          <w:tab w:val="num" w:pos="3600"/>
        </w:tabs>
        <w:ind w:left="3600" w:hanging="360"/>
      </w:pPr>
    </w:lvl>
    <w:lvl w:ilvl="5" w:tplc="D3FE53F8" w:tentative="1">
      <w:start w:val="1"/>
      <w:numFmt w:val="decimal"/>
      <w:lvlText w:val="%6."/>
      <w:lvlJc w:val="left"/>
      <w:pPr>
        <w:tabs>
          <w:tab w:val="num" w:pos="4320"/>
        </w:tabs>
        <w:ind w:left="4320" w:hanging="360"/>
      </w:pPr>
    </w:lvl>
    <w:lvl w:ilvl="6" w:tplc="C0D431B4" w:tentative="1">
      <w:start w:val="1"/>
      <w:numFmt w:val="decimal"/>
      <w:lvlText w:val="%7."/>
      <w:lvlJc w:val="left"/>
      <w:pPr>
        <w:tabs>
          <w:tab w:val="num" w:pos="5040"/>
        </w:tabs>
        <w:ind w:left="5040" w:hanging="360"/>
      </w:pPr>
    </w:lvl>
    <w:lvl w:ilvl="7" w:tplc="41BE92DC" w:tentative="1">
      <w:start w:val="1"/>
      <w:numFmt w:val="decimal"/>
      <w:lvlText w:val="%8."/>
      <w:lvlJc w:val="left"/>
      <w:pPr>
        <w:tabs>
          <w:tab w:val="num" w:pos="5760"/>
        </w:tabs>
        <w:ind w:left="5760" w:hanging="360"/>
      </w:pPr>
    </w:lvl>
    <w:lvl w:ilvl="8" w:tplc="92181FCA" w:tentative="1">
      <w:start w:val="1"/>
      <w:numFmt w:val="decimal"/>
      <w:lvlText w:val="%9."/>
      <w:lvlJc w:val="left"/>
      <w:pPr>
        <w:tabs>
          <w:tab w:val="num" w:pos="6480"/>
        </w:tabs>
        <w:ind w:left="6480" w:hanging="360"/>
      </w:pPr>
    </w:lvl>
  </w:abstractNum>
  <w:abstractNum w:abstractNumId="10" w15:restartNumberingAfterBreak="0">
    <w:nsid w:val="4AF84E7C"/>
    <w:multiLevelType w:val="hybridMultilevel"/>
    <w:tmpl w:val="7012C096"/>
    <w:lvl w:ilvl="0" w:tplc="176A926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06737"/>
    <w:multiLevelType w:val="hybridMultilevel"/>
    <w:tmpl w:val="9ECEE16C"/>
    <w:lvl w:ilvl="0" w:tplc="AEE4FE10">
      <w:start w:val="1"/>
      <w:numFmt w:val="decimal"/>
      <w:pStyle w:val="PPPnumberedlist"/>
      <w:lvlText w:val="%1."/>
      <w:lvlJc w:val="left"/>
      <w:pPr>
        <w:tabs>
          <w:tab w:val="num" w:pos="567"/>
        </w:tabs>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455106"/>
    <w:multiLevelType w:val="hybridMultilevel"/>
    <w:tmpl w:val="B8E49AC0"/>
    <w:lvl w:ilvl="0" w:tplc="C5DACF64">
      <w:start w:val="1"/>
      <w:numFmt w:val="bullet"/>
      <w:pStyle w:val="PPPbullet"/>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332EB"/>
    <w:multiLevelType w:val="hybridMultilevel"/>
    <w:tmpl w:val="285A7EA8"/>
    <w:lvl w:ilvl="0" w:tplc="5400E29E">
      <w:start w:val="1"/>
      <w:numFmt w:val="bullet"/>
      <w:lvlText w:val="•"/>
      <w:lvlJc w:val="left"/>
      <w:pPr>
        <w:tabs>
          <w:tab w:val="num" w:pos="720"/>
        </w:tabs>
        <w:ind w:left="720" w:hanging="360"/>
      </w:pPr>
      <w:rPr>
        <w:rFonts w:ascii="Arial" w:hAnsi="Arial" w:hint="default"/>
      </w:rPr>
    </w:lvl>
    <w:lvl w:ilvl="1" w:tplc="56E062BA" w:tentative="1">
      <w:start w:val="1"/>
      <w:numFmt w:val="bullet"/>
      <w:lvlText w:val="•"/>
      <w:lvlJc w:val="left"/>
      <w:pPr>
        <w:tabs>
          <w:tab w:val="num" w:pos="1440"/>
        </w:tabs>
        <w:ind w:left="1440" w:hanging="360"/>
      </w:pPr>
      <w:rPr>
        <w:rFonts w:ascii="Arial" w:hAnsi="Arial" w:hint="default"/>
      </w:rPr>
    </w:lvl>
    <w:lvl w:ilvl="2" w:tplc="F318A4F8" w:tentative="1">
      <w:start w:val="1"/>
      <w:numFmt w:val="bullet"/>
      <w:lvlText w:val="•"/>
      <w:lvlJc w:val="left"/>
      <w:pPr>
        <w:tabs>
          <w:tab w:val="num" w:pos="2160"/>
        </w:tabs>
        <w:ind w:left="2160" w:hanging="360"/>
      </w:pPr>
      <w:rPr>
        <w:rFonts w:ascii="Arial" w:hAnsi="Arial" w:hint="default"/>
      </w:rPr>
    </w:lvl>
    <w:lvl w:ilvl="3" w:tplc="3B64CF68" w:tentative="1">
      <w:start w:val="1"/>
      <w:numFmt w:val="bullet"/>
      <w:lvlText w:val="•"/>
      <w:lvlJc w:val="left"/>
      <w:pPr>
        <w:tabs>
          <w:tab w:val="num" w:pos="2880"/>
        </w:tabs>
        <w:ind w:left="2880" w:hanging="360"/>
      </w:pPr>
      <w:rPr>
        <w:rFonts w:ascii="Arial" w:hAnsi="Arial" w:hint="default"/>
      </w:rPr>
    </w:lvl>
    <w:lvl w:ilvl="4" w:tplc="51FC8442" w:tentative="1">
      <w:start w:val="1"/>
      <w:numFmt w:val="bullet"/>
      <w:lvlText w:val="•"/>
      <w:lvlJc w:val="left"/>
      <w:pPr>
        <w:tabs>
          <w:tab w:val="num" w:pos="3600"/>
        </w:tabs>
        <w:ind w:left="3600" w:hanging="360"/>
      </w:pPr>
      <w:rPr>
        <w:rFonts w:ascii="Arial" w:hAnsi="Arial" w:hint="default"/>
      </w:rPr>
    </w:lvl>
    <w:lvl w:ilvl="5" w:tplc="4A4477BA" w:tentative="1">
      <w:start w:val="1"/>
      <w:numFmt w:val="bullet"/>
      <w:lvlText w:val="•"/>
      <w:lvlJc w:val="left"/>
      <w:pPr>
        <w:tabs>
          <w:tab w:val="num" w:pos="4320"/>
        </w:tabs>
        <w:ind w:left="4320" w:hanging="360"/>
      </w:pPr>
      <w:rPr>
        <w:rFonts w:ascii="Arial" w:hAnsi="Arial" w:hint="default"/>
      </w:rPr>
    </w:lvl>
    <w:lvl w:ilvl="6" w:tplc="76367D74" w:tentative="1">
      <w:start w:val="1"/>
      <w:numFmt w:val="bullet"/>
      <w:lvlText w:val="•"/>
      <w:lvlJc w:val="left"/>
      <w:pPr>
        <w:tabs>
          <w:tab w:val="num" w:pos="5040"/>
        </w:tabs>
        <w:ind w:left="5040" w:hanging="360"/>
      </w:pPr>
      <w:rPr>
        <w:rFonts w:ascii="Arial" w:hAnsi="Arial" w:hint="default"/>
      </w:rPr>
    </w:lvl>
    <w:lvl w:ilvl="7" w:tplc="56E86DE8" w:tentative="1">
      <w:start w:val="1"/>
      <w:numFmt w:val="bullet"/>
      <w:lvlText w:val="•"/>
      <w:lvlJc w:val="left"/>
      <w:pPr>
        <w:tabs>
          <w:tab w:val="num" w:pos="5760"/>
        </w:tabs>
        <w:ind w:left="5760" w:hanging="360"/>
      </w:pPr>
      <w:rPr>
        <w:rFonts w:ascii="Arial" w:hAnsi="Arial" w:hint="default"/>
      </w:rPr>
    </w:lvl>
    <w:lvl w:ilvl="8" w:tplc="FC7CD05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8A2C59"/>
    <w:multiLevelType w:val="hybridMultilevel"/>
    <w:tmpl w:val="C5305098"/>
    <w:lvl w:ilvl="0" w:tplc="F2AE80C0">
      <w:start w:val="1"/>
      <w:numFmt w:val="bullet"/>
      <w:pStyle w:val="PPPbulletsub"/>
      <w:lvlText w:val="-"/>
      <w:lvlJc w:val="left"/>
      <w:pPr>
        <w:tabs>
          <w:tab w:val="num" w:pos="851"/>
        </w:tabs>
        <w:ind w:left="851" w:hanging="28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17A43"/>
    <w:multiLevelType w:val="hybridMultilevel"/>
    <w:tmpl w:val="77DA5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9B5485"/>
    <w:multiLevelType w:val="hybridMultilevel"/>
    <w:tmpl w:val="1F1CD5F2"/>
    <w:lvl w:ilvl="0" w:tplc="9D601DD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9"/>
  </w:num>
  <w:num w:numId="6">
    <w:abstractNumId w:val="5"/>
  </w:num>
  <w:num w:numId="7">
    <w:abstractNumId w:val="0"/>
  </w:num>
  <w:num w:numId="8">
    <w:abstractNumId w:val="8"/>
  </w:num>
  <w:num w:numId="9">
    <w:abstractNumId w:val="4"/>
  </w:num>
  <w:num w:numId="10">
    <w:abstractNumId w:val="7"/>
  </w:num>
  <w:num w:numId="11">
    <w:abstractNumId w:val="15"/>
  </w:num>
  <w:num w:numId="12">
    <w:abstractNumId w:val="2"/>
  </w:num>
  <w:num w:numId="13">
    <w:abstractNumId w:val="1"/>
  </w:num>
  <w:num w:numId="14">
    <w:abstractNumId w:val="6"/>
  </w:num>
  <w:num w:numId="15">
    <w:abstractNumId w:val="10"/>
  </w:num>
  <w:num w:numId="16">
    <w:abstractNumId w:val="16"/>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57"/>
    <w:rsid w:val="00005337"/>
    <w:rsid w:val="000059FA"/>
    <w:rsid w:val="0000736B"/>
    <w:rsid w:val="00011A81"/>
    <w:rsid w:val="000146D8"/>
    <w:rsid w:val="000179D0"/>
    <w:rsid w:val="00020075"/>
    <w:rsid w:val="0002285C"/>
    <w:rsid w:val="00023CC4"/>
    <w:rsid w:val="00024523"/>
    <w:rsid w:val="000247C3"/>
    <w:rsid w:val="00030D52"/>
    <w:rsid w:val="00031FC7"/>
    <w:rsid w:val="00036A0F"/>
    <w:rsid w:val="00036D9B"/>
    <w:rsid w:val="0004053E"/>
    <w:rsid w:val="00040A79"/>
    <w:rsid w:val="00043885"/>
    <w:rsid w:val="00044D21"/>
    <w:rsid w:val="00044FDD"/>
    <w:rsid w:val="00050225"/>
    <w:rsid w:val="00052B47"/>
    <w:rsid w:val="000533E7"/>
    <w:rsid w:val="00053DD5"/>
    <w:rsid w:val="000604B6"/>
    <w:rsid w:val="000633E3"/>
    <w:rsid w:val="0006456E"/>
    <w:rsid w:val="00064A59"/>
    <w:rsid w:val="0006529F"/>
    <w:rsid w:val="00071D59"/>
    <w:rsid w:val="00075371"/>
    <w:rsid w:val="00080A29"/>
    <w:rsid w:val="00081A5E"/>
    <w:rsid w:val="0008260B"/>
    <w:rsid w:val="00084803"/>
    <w:rsid w:val="0008575E"/>
    <w:rsid w:val="00087A56"/>
    <w:rsid w:val="000A3BAF"/>
    <w:rsid w:val="000A4FCE"/>
    <w:rsid w:val="000A66B7"/>
    <w:rsid w:val="000A66D0"/>
    <w:rsid w:val="000A6D6E"/>
    <w:rsid w:val="000B4894"/>
    <w:rsid w:val="000B622E"/>
    <w:rsid w:val="000B6AE6"/>
    <w:rsid w:val="000C11F7"/>
    <w:rsid w:val="000C1225"/>
    <w:rsid w:val="000C1C93"/>
    <w:rsid w:val="000C1DC1"/>
    <w:rsid w:val="000C2216"/>
    <w:rsid w:val="000C51D3"/>
    <w:rsid w:val="000C6320"/>
    <w:rsid w:val="000D0331"/>
    <w:rsid w:val="000D04D0"/>
    <w:rsid w:val="000D2431"/>
    <w:rsid w:val="000F4C2E"/>
    <w:rsid w:val="000F7A69"/>
    <w:rsid w:val="000F7F78"/>
    <w:rsid w:val="001079F9"/>
    <w:rsid w:val="001115BD"/>
    <w:rsid w:val="00112055"/>
    <w:rsid w:val="001137A6"/>
    <w:rsid w:val="00114946"/>
    <w:rsid w:val="00116E25"/>
    <w:rsid w:val="001175C2"/>
    <w:rsid w:val="00123220"/>
    <w:rsid w:val="00124036"/>
    <w:rsid w:val="001336F5"/>
    <w:rsid w:val="0013492E"/>
    <w:rsid w:val="00134E99"/>
    <w:rsid w:val="001367F0"/>
    <w:rsid w:val="0013770D"/>
    <w:rsid w:val="001464B0"/>
    <w:rsid w:val="00146E71"/>
    <w:rsid w:val="001505A1"/>
    <w:rsid w:val="00151E08"/>
    <w:rsid w:val="00154063"/>
    <w:rsid w:val="0015685C"/>
    <w:rsid w:val="001621C3"/>
    <w:rsid w:val="001661F6"/>
    <w:rsid w:val="00166875"/>
    <w:rsid w:val="00167504"/>
    <w:rsid w:val="001709C9"/>
    <w:rsid w:val="00170ECF"/>
    <w:rsid w:val="00175AC0"/>
    <w:rsid w:val="00176B88"/>
    <w:rsid w:val="00180E62"/>
    <w:rsid w:val="001814CD"/>
    <w:rsid w:val="001861F9"/>
    <w:rsid w:val="00190E17"/>
    <w:rsid w:val="00194128"/>
    <w:rsid w:val="00194E1F"/>
    <w:rsid w:val="001965F0"/>
    <w:rsid w:val="00196A7B"/>
    <w:rsid w:val="001B3CD0"/>
    <w:rsid w:val="001B58A8"/>
    <w:rsid w:val="001C1714"/>
    <w:rsid w:val="001C4CA1"/>
    <w:rsid w:val="001D0D5A"/>
    <w:rsid w:val="001D2D1E"/>
    <w:rsid w:val="001D3EF0"/>
    <w:rsid w:val="001D430C"/>
    <w:rsid w:val="001D48E3"/>
    <w:rsid w:val="001D6667"/>
    <w:rsid w:val="001E052F"/>
    <w:rsid w:val="001E4EAB"/>
    <w:rsid w:val="001E5EC6"/>
    <w:rsid w:val="001E62E6"/>
    <w:rsid w:val="001E7424"/>
    <w:rsid w:val="001E7608"/>
    <w:rsid w:val="001F03C8"/>
    <w:rsid w:val="001F1284"/>
    <w:rsid w:val="001F72C5"/>
    <w:rsid w:val="001F7481"/>
    <w:rsid w:val="00200FB1"/>
    <w:rsid w:val="00203B77"/>
    <w:rsid w:val="00204E9C"/>
    <w:rsid w:val="00205AE1"/>
    <w:rsid w:val="00215BB2"/>
    <w:rsid w:val="002207C7"/>
    <w:rsid w:val="00223341"/>
    <w:rsid w:val="00225F50"/>
    <w:rsid w:val="00226F2B"/>
    <w:rsid w:val="0023062E"/>
    <w:rsid w:val="00240DA8"/>
    <w:rsid w:val="00244045"/>
    <w:rsid w:val="0024602F"/>
    <w:rsid w:val="0025246C"/>
    <w:rsid w:val="00254F5D"/>
    <w:rsid w:val="00255232"/>
    <w:rsid w:val="002566D0"/>
    <w:rsid w:val="00261832"/>
    <w:rsid w:val="002619B1"/>
    <w:rsid w:val="00262009"/>
    <w:rsid w:val="002636EB"/>
    <w:rsid w:val="002675F0"/>
    <w:rsid w:val="00267A6C"/>
    <w:rsid w:val="002728F2"/>
    <w:rsid w:val="00273F8C"/>
    <w:rsid w:val="002765B1"/>
    <w:rsid w:val="0028081A"/>
    <w:rsid w:val="0028154D"/>
    <w:rsid w:val="00281812"/>
    <w:rsid w:val="00281912"/>
    <w:rsid w:val="00282D3A"/>
    <w:rsid w:val="00284074"/>
    <w:rsid w:val="00284F2D"/>
    <w:rsid w:val="00285E3A"/>
    <w:rsid w:val="00286726"/>
    <w:rsid w:val="00286E1C"/>
    <w:rsid w:val="00286FA2"/>
    <w:rsid w:val="00291220"/>
    <w:rsid w:val="0029274E"/>
    <w:rsid w:val="002928B1"/>
    <w:rsid w:val="00292B6D"/>
    <w:rsid w:val="00295991"/>
    <w:rsid w:val="00296546"/>
    <w:rsid w:val="002A0615"/>
    <w:rsid w:val="002A373C"/>
    <w:rsid w:val="002A40C2"/>
    <w:rsid w:val="002A6FDA"/>
    <w:rsid w:val="002B163E"/>
    <w:rsid w:val="002B199A"/>
    <w:rsid w:val="002B2777"/>
    <w:rsid w:val="002B319E"/>
    <w:rsid w:val="002B32CE"/>
    <w:rsid w:val="002B67A2"/>
    <w:rsid w:val="002C3CFB"/>
    <w:rsid w:val="002C72DD"/>
    <w:rsid w:val="002D6406"/>
    <w:rsid w:val="002D71E1"/>
    <w:rsid w:val="002E34D9"/>
    <w:rsid w:val="002E5895"/>
    <w:rsid w:val="002E64F6"/>
    <w:rsid w:val="002F0604"/>
    <w:rsid w:val="002F189D"/>
    <w:rsid w:val="002F1B85"/>
    <w:rsid w:val="002F31AE"/>
    <w:rsid w:val="003046DD"/>
    <w:rsid w:val="00307055"/>
    <w:rsid w:val="003076C1"/>
    <w:rsid w:val="003076DA"/>
    <w:rsid w:val="003111FA"/>
    <w:rsid w:val="00313505"/>
    <w:rsid w:val="00313C49"/>
    <w:rsid w:val="003165A5"/>
    <w:rsid w:val="00317CF6"/>
    <w:rsid w:val="003227D1"/>
    <w:rsid w:val="0032499A"/>
    <w:rsid w:val="00327F50"/>
    <w:rsid w:val="00332E95"/>
    <w:rsid w:val="00334A90"/>
    <w:rsid w:val="003377E3"/>
    <w:rsid w:val="00345C4F"/>
    <w:rsid w:val="00346F52"/>
    <w:rsid w:val="003518E1"/>
    <w:rsid w:val="00352FE4"/>
    <w:rsid w:val="00357778"/>
    <w:rsid w:val="00357BE3"/>
    <w:rsid w:val="0036100A"/>
    <w:rsid w:val="003654C7"/>
    <w:rsid w:val="00366274"/>
    <w:rsid w:val="00366AFA"/>
    <w:rsid w:val="0037039C"/>
    <w:rsid w:val="003765FD"/>
    <w:rsid w:val="0037731E"/>
    <w:rsid w:val="00381242"/>
    <w:rsid w:val="003818C5"/>
    <w:rsid w:val="00383799"/>
    <w:rsid w:val="00385BDA"/>
    <w:rsid w:val="00386022"/>
    <w:rsid w:val="00392560"/>
    <w:rsid w:val="0039352C"/>
    <w:rsid w:val="00393A50"/>
    <w:rsid w:val="0039417B"/>
    <w:rsid w:val="0039470B"/>
    <w:rsid w:val="00395CBD"/>
    <w:rsid w:val="003A0C18"/>
    <w:rsid w:val="003A4099"/>
    <w:rsid w:val="003A4555"/>
    <w:rsid w:val="003A57E9"/>
    <w:rsid w:val="003A63D2"/>
    <w:rsid w:val="003A6817"/>
    <w:rsid w:val="003B4E1A"/>
    <w:rsid w:val="003B5377"/>
    <w:rsid w:val="003B53E5"/>
    <w:rsid w:val="003B5BD2"/>
    <w:rsid w:val="003C0A25"/>
    <w:rsid w:val="003C2FAF"/>
    <w:rsid w:val="003C6647"/>
    <w:rsid w:val="003D2DB4"/>
    <w:rsid w:val="003D346C"/>
    <w:rsid w:val="003D3804"/>
    <w:rsid w:val="003E3E71"/>
    <w:rsid w:val="003E4374"/>
    <w:rsid w:val="003E5E9A"/>
    <w:rsid w:val="003E6FFF"/>
    <w:rsid w:val="003E7D6C"/>
    <w:rsid w:val="003F130D"/>
    <w:rsid w:val="003F4733"/>
    <w:rsid w:val="003F7D8F"/>
    <w:rsid w:val="00402389"/>
    <w:rsid w:val="0040285B"/>
    <w:rsid w:val="00402D05"/>
    <w:rsid w:val="00403A40"/>
    <w:rsid w:val="00404727"/>
    <w:rsid w:val="004047E6"/>
    <w:rsid w:val="004134EA"/>
    <w:rsid w:val="00414B0D"/>
    <w:rsid w:val="00415BC7"/>
    <w:rsid w:val="00416F55"/>
    <w:rsid w:val="00417A96"/>
    <w:rsid w:val="00420E28"/>
    <w:rsid w:val="00425723"/>
    <w:rsid w:val="00445BA0"/>
    <w:rsid w:val="00445CFE"/>
    <w:rsid w:val="00446A18"/>
    <w:rsid w:val="0044740F"/>
    <w:rsid w:val="00450F3A"/>
    <w:rsid w:val="00452B2D"/>
    <w:rsid w:val="00453727"/>
    <w:rsid w:val="00453E11"/>
    <w:rsid w:val="004563F6"/>
    <w:rsid w:val="00457D39"/>
    <w:rsid w:val="00460891"/>
    <w:rsid w:val="004631DC"/>
    <w:rsid w:val="0046360B"/>
    <w:rsid w:val="00466F65"/>
    <w:rsid w:val="004673DF"/>
    <w:rsid w:val="00467DF7"/>
    <w:rsid w:val="0047002D"/>
    <w:rsid w:val="00470DB4"/>
    <w:rsid w:val="004759FC"/>
    <w:rsid w:val="00477B4A"/>
    <w:rsid w:val="00482B6A"/>
    <w:rsid w:val="004862DD"/>
    <w:rsid w:val="004909C2"/>
    <w:rsid w:val="0049148A"/>
    <w:rsid w:val="00492095"/>
    <w:rsid w:val="004961A0"/>
    <w:rsid w:val="004A0ABE"/>
    <w:rsid w:val="004A1D1E"/>
    <w:rsid w:val="004A389A"/>
    <w:rsid w:val="004A5228"/>
    <w:rsid w:val="004B090A"/>
    <w:rsid w:val="004B58B7"/>
    <w:rsid w:val="004C1D2D"/>
    <w:rsid w:val="004C24E0"/>
    <w:rsid w:val="004C337B"/>
    <w:rsid w:val="004C3A23"/>
    <w:rsid w:val="004C54D9"/>
    <w:rsid w:val="004D1E41"/>
    <w:rsid w:val="004D24E6"/>
    <w:rsid w:val="004E4475"/>
    <w:rsid w:val="004E458B"/>
    <w:rsid w:val="004E5D0F"/>
    <w:rsid w:val="004E5F1A"/>
    <w:rsid w:val="004E60E2"/>
    <w:rsid w:val="004F2946"/>
    <w:rsid w:val="004F3AEB"/>
    <w:rsid w:val="004F54DB"/>
    <w:rsid w:val="004F5B0D"/>
    <w:rsid w:val="00501008"/>
    <w:rsid w:val="0050136D"/>
    <w:rsid w:val="005014D9"/>
    <w:rsid w:val="0050661E"/>
    <w:rsid w:val="0051157D"/>
    <w:rsid w:val="005124B3"/>
    <w:rsid w:val="005127A0"/>
    <w:rsid w:val="00513AB0"/>
    <w:rsid w:val="0051432C"/>
    <w:rsid w:val="005160CB"/>
    <w:rsid w:val="005166F5"/>
    <w:rsid w:val="0051749E"/>
    <w:rsid w:val="005174BE"/>
    <w:rsid w:val="0052255D"/>
    <w:rsid w:val="00523F8D"/>
    <w:rsid w:val="00524081"/>
    <w:rsid w:val="00524C2C"/>
    <w:rsid w:val="00531EB5"/>
    <w:rsid w:val="00533759"/>
    <w:rsid w:val="00535ECD"/>
    <w:rsid w:val="005365F0"/>
    <w:rsid w:val="005403FD"/>
    <w:rsid w:val="00552BD3"/>
    <w:rsid w:val="005540F5"/>
    <w:rsid w:val="00554F7D"/>
    <w:rsid w:val="00555EE1"/>
    <w:rsid w:val="005600C7"/>
    <w:rsid w:val="00560486"/>
    <w:rsid w:val="005651B0"/>
    <w:rsid w:val="00572245"/>
    <w:rsid w:val="005723C2"/>
    <w:rsid w:val="005724E3"/>
    <w:rsid w:val="00576083"/>
    <w:rsid w:val="00590EF4"/>
    <w:rsid w:val="0059171D"/>
    <w:rsid w:val="005934B8"/>
    <w:rsid w:val="00593AD9"/>
    <w:rsid w:val="005A55BE"/>
    <w:rsid w:val="005A6744"/>
    <w:rsid w:val="005A6B8A"/>
    <w:rsid w:val="005B301E"/>
    <w:rsid w:val="005B571E"/>
    <w:rsid w:val="005B682E"/>
    <w:rsid w:val="005B7422"/>
    <w:rsid w:val="005B7FCC"/>
    <w:rsid w:val="005C29AA"/>
    <w:rsid w:val="005C6193"/>
    <w:rsid w:val="005D33D0"/>
    <w:rsid w:val="005D753B"/>
    <w:rsid w:val="005E13A1"/>
    <w:rsid w:val="005E265B"/>
    <w:rsid w:val="005F3ABE"/>
    <w:rsid w:val="005F4073"/>
    <w:rsid w:val="005F4DA9"/>
    <w:rsid w:val="005F5539"/>
    <w:rsid w:val="005F55B0"/>
    <w:rsid w:val="00611430"/>
    <w:rsid w:val="00615210"/>
    <w:rsid w:val="006207F8"/>
    <w:rsid w:val="006241B0"/>
    <w:rsid w:val="006328D4"/>
    <w:rsid w:val="00632FD7"/>
    <w:rsid w:val="006362E1"/>
    <w:rsid w:val="006374A4"/>
    <w:rsid w:val="00642CA8"/>
    <w:rsid w:val="00646969"/>
    <w:rsid w:val="006503DD"/>
    <w:rsid w:val="0065271B"/>
    <w:rsid w:val="006534DA"/>
    <w:rsid w:val="006564B0"/>
    <w:rsid w:val="00657DD7"/>
    <w:rsid w:val="00662E04"/>
    <w:rsid w:val="00665743"/>
    <w:rsid w:val="00665D64"/>
    <w:rsid w:val="006666DC"/>
    <w:rsid w:val="00667553"/>
    <w:rsid w:val="0067369E"/>
    <w:rsid w:val="0067797C"/>
    <w:rsid w:val="00677CBB"/>
    <w:rsid w:val="0068368D"/>
    <w:rsid w:val="00684206"/>
    <w:rsid w:val="00684B69"/>
    <w:rsid w:val="00686AB5"/>
    <w:rsid w:val="00687A9D"/>
    <w:rsid w:val="006A235E"/>
    <w:rsid w:val="006A4D27"/>
    <w:rsid w:val="006A5B35"/>
    <w:rsid w:val="006A6FD6"/>
    <w:rsid w:val="006B0613"/>
    <w:rsid w:val="006B2149"/>
    <w:rsid w:val="006B49B3"/>
    <w:rsid w:val="006B6EE9"/>
    <w:rsid w:val="006B7B20"/>
    <w:rsid w:val="006C1777"/>
    <w:rsid w:val="006C56D9"/>
    <w:rsid w:val="006C5A09"/>
    <w:rsid w:val="006D0C4D"/>
    <w:rsid w:val="006D50D9"/>
    <w:rsid w:val="006D5BDC"/>
    <w:rsid w:val="006E4328"/>
    <w:rsid w:val="006E4474"/>
    <w:rsid w:val="006E4E40"/>
    <w:rsid w:val="006E51A7"/>
    <w:rsid w:val="006E53DC"/>
    <w:rsid w:val="006E7A47"/>
    <w:rsid w:val="006F00B6"/>
    <w:rsid w:val="006F3DAA"/>
    <w:rsid w:val="006F4913"/>
    <w:rsid w:val="006F7BFA"/>
    <w:rsid w:val="007063B3"/>
    <w:rsid w:val="00706931"/>
    <w:rsid w:val="00716929"/>
    <w:rsid w:val="007203C4"/>
    <w:rsid w:val="00720927"/>
    <w:rsid w:val="0072211F"/>
    <w:rsid w:val="00724091"/>
    <w:rsid w:val="007248C7"/>
    <w:rsid w:val="0073789F"/>
    <w:rsid w:val="007416C4"/>
    <w:rsid w:val="00744046"/>
    <w:rsid w:val="007472EB"/>
    <w:rsid w:val="00750409"/>
    <w:rsid w:val="00753F3D"/>
    <w:rsid w:val="00754109"/>
    <w:rsid w:val="00754855"/>
    <w:rsid w:val="007568C1"/>
    <w:rsid w:val="0075763B"/>
    <w:rsid w:val="00757D5D"/>
    <w:rsid w:val="00760412"/>
    <w:rsid w:val="00762C5E"/>
    <w:rsid w:val="007667DC"/>
    <w:rsid w:val="00773DDA"/>
    <w:rsid w:val="00774F95"/>
    <w:rsid w:val="007768E1"/>
    <w:rsid w:val="0078105B"/>
    <w:rsid w:val="00783C9C"/>
    <w:rsid w:val="00790648"/>
    <w:rsid w:val="00791092"/>
    <w:rsid w:val="007920C0"/>
    <w:rsid w:val="0079538D"/>
    <w:rsid w:val="007A792F"/>
    <w:rsid w:val="007B0726"/>
    <w:rsid w:val="007B2FBB"/>
    <w:rsid w:val="007C07A3"/>
    <w:rsid w:val="007C2B74"/>
    <w:rsid w:val="007C2F61"/>
    <w:rsid w:val="007C4B87"/>
    <w:rsid w:val="007D087A"/>
    <w:rsid w:val="007E31AA"/>
    <w:rsid w:val="007E34F8"/>
    <w:rsid w:val="007E37CF"/>
    <w:rsid w:val="007E4DD9"/>
    <w:rsid w:val="007E5F70"/>
    <w:rsid w:val="007F02F1"/>
    <w:rsid w:val="007F3A2F"/>
    <w:rsid w:val="007F58F0"/>
    <w:rsid w:val="007F63C7"/>
    <w:rsid w:val="00801F50"/>
    <w:rsid w:val="00801F93"/>
    <w:rsid w:val="008048F5"/>
    <w:rsid w:val="0080494D"/>
    <w:rsid w:val="00815C0A"/>
    <w:rsid w:val="0082027F"/>
    <w:rsid w:val="00822777"/>
    <w:rsid w:val="00831D8F"/>
    <w:rsid w:val="0083593E"/>
    <w:rsid w:val="0083634B"/>
    <w:rsid w:val="00840287"/>
    <w:rsid w:val="00842188"/>
    <w:rsid w:val="00842A5C"/>
    <w:rsid w:val="00844447"/>
    <w:rsid w:val="00847BBC"/>
    <w:rsid w:val="00850FA8"/>
    <w:rsid w:val="0085196B"/>
    <w:rsid w:val="00856C91"/>
    <w:rsid w:val="00862CA7"/>
    <w:rsid w:val="008644FF"/>
    <w:rsid w:val="00865FDE"/>
    <w:rsid w:val="00870CEB"/>
    <w:rsid w:val="00872D7A"/>
    <w:rsid w:val="00872DDF"/>
    <w:rsid w:val="00873E46"/>
    <w:rsid w:val="008814B1"/>
    <w:rsid w:val="00882BEB"/>
    <w:rsid w:val="0088476F"/>
    <w:rsid w:val="00885562"/>
    <w:rsid w:val="00886D08"/>
    <w:rsid w:val="00886D73"/>
    <w:rsid w:val="008912F5"/>
    <w:rsid w:val="00892793"/>
    <w:rsid w:val="00894C10"/>
    <w:rsid w:val="0089622F"/>
    <w:rsid w:val="00896527"/>
    <w:rsid w:val="008A3063"/>
    <w:rsid w:val="008A5957"/>
    <w:rsid w:val="008B1E05"/>
    <w:rsid w:val="008B21F8"/>
    <w:rsid w:val="008B2C6C"/>
    <w:rsid w:val="008B4A47"/>
    <w:rsid w:val="008B68D0"/>
    <w:rsid w:val="008C2260"/>
    <w:rsid w:val="008C288D"/>
    <w:rsid w:val="008C2900"/>
    <w:rsid w:val="008C591D"/>
    <w:rsid w:val="008C68AA"/>
    <w:rsid w:val="008D650B"/>
    <w:rsid w:val="008D6E2D"/>
    <w:rsid w:val="008D6FAB"/>
    <w:rsid w:val="008F3BC1"/>
    <w:rsid w:val="008F7275"/>
    <w:rsid w:val="00900114"/>
    <w:rsid w:val="00903FF6"/>
    <w:rsid w:val="00904D4C"/>
    <w:rsid w:val="0091078C"/>
    <w:rsid w:val="00915143"/>
    <w:rsid w:val="00920A88"/>
    <w:rsid w:val="00922E6E"/>
    <w:rsid w:val="00927A47"/>
    <w:rsid w:val="0093017E"/>
    <w:rsid w:val="00930316"/>
    <w:rsid w:val="00930632"/>
    <w:rsid w:val="009327D2"/>
    <w:rsid w:val="009330E6"/>
    <w:rsid w:val="0093579C"/>
    <w:rsid w:val="00937ECB"/>
    <w:rsid w:val="00937FAB"/>
    <w:rsid w:val="009411DD"/>
    <w:rsid w:val="0094172A"/>
    <w:rsid w:val="009424C8"/>
    <w:rsid w:val="00942CBC"/>
    <w:rsid w:val="00944C14"/>
    <w:rsid w:val="009509D0"/>
    <w:rsid w:val="00951E9B"/>
    <w:rsid w:val="00952321"/>
    <w:rsid w:val="00952D7D"/>
    <w:rsid w:val="009532C1"/>
    <w:rsid w:val="00957868"/>
    <w:rsid w:val="00961A37"/>
    <w:rsid w:val="00963F95"/>
    <w:rsid w:val="009647A3"/>
    <w:rsid w:val="0096587D"/>
    <w:rsid w:val="0096608F"/>
    <w:rsid w:val="009663C5"/>
    <w:rsid w:val="00967C64"/>
    <w:rsid w:val="00970E33"/>
    <w:rsid w:val="00972B80"/>
    <w:rsid w:val="009731DF"/>
    <w:rsid w:val="009820F3"/>
    <w:rsid w:val="00982A57"/>
    <w:rsid w:val="00984026"/>
    <w:rsid w:val="0098427C"/>
    <w:rsid w:val="0098559D"/>
    <w:rsid w:val="00986577"/>
    <w:rsid w:val="00992B0E"/>
    <w:rsid w:val="00992DA5"/>
    <w:rsid w:val="009A320E"/>
    <w:rsid w:val="009A71FF"/>
    <w:rsid w:val="009A7616"/>
    <w:rsid w:val="009B2086"/>
    <w:rsid w:val="009B43DD"/>
    <w:rsid w:val="009C292A"/>
    <w:rsid w:val="009C3659"/>
    <w:rsid w:val="009C4DC1"/>
    <w:rsid w:val="009C5B73"/>
    <w:rsid w:val="009C641D"/>
    <w:rsid w:val="009D5F4B"/>
    <w:rsid w:val="009E0F3D"/>
    <w:rsid w:val="009E129C"/>
    <w:rsid w:val="009E2510"/>
    <w:rsid w:val="009E2612"/>
    <w:rsid w:val="009F1E09"/>
    <w:rsid w:val="00A00B98"/>
    <w:rsid w:val="00A01BCC"/>
    <w:rsid w:val="00A02012"/>
    <w:rsid w:val="00A0721C"/>
    <w:rsid w:val="00A07624"/>
    <w:rsid w:val="00A10524"/>
    <w:rsid w:val="00A110A9"/>
    <w:rsid w:val="00A14BE4"/>
    <w:rsid w:val="00A21242"/>
    <w:rsid w:val="00A219F8"/>
    <w:rsid w:val="00A2468F"/>
    <w:rsid w:val="00A25E4B"/>
    <w:rsid w:val="00A27F9F"/>
    <w:rsid w:val="00A318B4"/>
    <w:rsid w:val="00A33B9A"/>
    <w:rsid w:val="00A33E31"/>
    <w:rsid w:val="00A36A18"/>
    <w:rsid w:val="00A409AA"/>
    <w:rsid w:val="00A4456C"/>
    <w:rsid w:val="00A468E6"/>
    <w:rsid w:val="00A47E92"/>
    <w:rsid w:val="00A537DB"/>
    <w:rsid w:val="00A55E26"/>
    <w:rsid w:val="00A57557"/>
    <w:rsid w:val="00A64E1D"/>
    <w:rsid w:val="00A71A78"/>
    <w:rsid w:val="00A72D08"/>
    <w:rsid w:val="00A73634"/>
    <w:rsid w:val="00A73F22"/>
    <w:rsid w:val="00A754DA"/>
    <w:rsid w:val="00A773A5"/>
    <w:rsid w:val="00A867FD"/>
    <w:rsid w:val="00A87411"/>
    <w:rsid w:val="00A90CD4"/>
    <w:rsid w:val="00A92A5B"/>
    <w:rsid w:val="00A93A76"/>
    <w:rsid w:val="00A95901"/>
    <w:rsid w:val="00A97EFF"/>
    <w:rsid w:val="00AA0615"/>
    <w:rsid w:val="00AA2207"/>
    <w:rsid w:val="00AA37D3"/>
    <w:rsid w:val="00AA450A"/>
    <w:rsid w:val="00AA48CE"/>
    <w:rsid w:val="00AA525A"/>
    <w:rsid w:val="00AB19B8"/>
    <w:rsid w:val="00AC005D"/>
    <w:rsid w:val="00AC1EF2"/>
    <w:rsid w:val="00AC3557"/>
    <w:rsid w:val="00AC5046"/>
    <w:rsid w:val="00AC5498"/>
    <w:rsid w:val="00AC6784"/>
    <w:rsid w:val="00AD2ED5"/>
    <w:rsid w:val="00AD4758"/>
    <w:rsid w:val="00AD4C0D"/>
    <w:rsid w:val="00AE5E0F"/>
    <w:rsid w:val="00AE6206"/>
    <w:rsid w:val="00AF27D8"/>
    <w:rsid w:val="00AF4194"/>
    <w:rsid w:val="00AF5B93"/>
    <w:rsid w:val="00AF79BA"/>
    <w:rsid w:val="00B01A6D"/>
    <w:rsid w:val="00B10878"/>
    <w:rsid w:val="00B144C3"/>
    <w:rsid w:val="00B147CA"/>
    <w:rsid w:val="00B15279"/>
    <w:rsid w:val="00B15FF7"/>
    <w:rsid w:val="00B1610D"/>
    <w:rsid w:val="00B1659E"/>
    <w:rsid w:val="00B1687F"/>
    <w:rsid w:val="00B17679"/>
    <w:rsid w:val="00B17F05"/>
    <w:rsid w:val="00B23782"/>
    <w:rsid w:val="00B23955"/>
    <w:rsid w:val="00B25F58"/>
    <w:rsid w:val="00B263AA"/>
    <w:rsid w:val="00B26E6A"/>
    <w:rsid w:val="00B30898"/>
    <w:rsid w:val="00B33241"/>
    <w:rsid w:val="00B3406D"/>
    <w:rsid w:val="00B372B8"/>
    <w:rsid w:val="00B42CE9"/>
    <w:rsid w:val="00B44C81"/>
    <w:rsid w:val="00B4629F"/>
    <w:rsid w:val="00B47AA7"/>
    <w:rsid w:val="00B52CDA"/>
    <w:rsid w:val="00B55AFB"/>
    <w:rsid w:val="00B569E3"/>
    <w:rsid w:val="00B618E4"/>
    <w:rsid w:val="00B61A5F"/>
    <w:rsid w:val="00B62033"/>
    <w:rsid w:val="00B62E59"/>
    <w:rsid w:val="00B6735F"/>
    <w:rsid w:val="00B67DAC"/>
    <w:rsid w:val="00B70F27"/>
    <w:rsid w:val="00B713A8"/>
    <w:rsid w:val="00B74F02"/>
    <w:rsid w:val="00B82B36"/>
    <w:rsid w:val="00B91441"/>
    <w:rsid w:val="00B9279E"/>
    <w:rsid w:val="00B93A8F"/>
    <w:rsid w:val="00B9455A"/>
    <w:rsid w:val="00B95DE9"/>
    <w:rsid w:val="00BA039F"/>
    <w:rsid w:val="00BA551B"/>
    <w:rsid w:val="00BA592E"/>
    <w:rsid w:val="00BB3323"/>
    <w:rsid w:val="00BB5D6B"/>
    <w:rsid w:val="00BB6A1B"/>
    <w:rsid w:val="00BC1420"/>
    <w:rsid w:val="00BC15CE"/>
    <w:rsid w:val="00BC1AE1"/>
    <w:rsid w:val="00BC29AB"/>
    <w:rsid w:val="00BC2DF4"/>
    <w:rsid w:val="00BC3A5A"/>
    <w:rsid w:val="00BC7545"/>
    <w:rsid w:val="00BD2A43"/>
    <w:rsid w:val="00BD338B"/>
    <w:rsid w:val="00BD348D"/>
    <w:rsid w:val="00BD624E"/>
    <w:rsid w:val="00BE2DE3"/>
    <w:rsid w:val="00BE3093"/>
    <w:rsid w:val="00BE31AE"/>
    <w:rsid w:val="00BE4ED5"/>
    <w:rsid w:val="00BE7C62"/>
    <w:rsid w:val="00BF691A"/>
    <w:rsid w:val="00BF78BF"/>
    <w:rsid w:val="00C006E2"/>
    <w:rsid w:val="00C02B70"/>
    <w:rsid w:val="00C04D9A"/>
    <w:rsid w:val="00C11079"/>
    <w:rsid w:val="00C112C2"/>
    <w:rsid w:val="00C13DB8"/>
    <w:rsid w:val="00C14DBE"/>
    <w:rsid w:val="00C3061E"/>
    <w:rsid w:val="00C3261E"/>
    <w:rsid w:val="00C33032"/>
    <w:rsid w:val="00C3526F"/>
    <w:rsid w:val="00C36231"/>
    <w:rsid w:val="00C36BDB"/>
    <w:rsid w:val="00C478CF"/>
    <w:rsid w:val="00C52B15"/>
    <w:rsid w:val="00C53227"/>
    <w:rsid w:val="00C54ADB"/>
    <w:rsid w:val="00C57070"/>
    <w:rsid w:val="00C61A3F"/>
    <w:rsid w:val="00C635CC"/>
    <w:rsid w:val="00C65502"/>
    <w:rsid w:val="00C6608B"/>
    <w:rsid w:val="00C67699"/>
    <w:rsid w:val="00C7114D"/>
    <w:rsid w:val="00C720DB"/>
    <w:rsid w:val="00C7441A"/>
    <w:rsid w:val="00C74832"/>
    <w:rsid w:val="00C7612A"/>
    <w:rsid w:val="00C7728C"/>
    <w:rsid w:val="00C81EE5"/>
    <w:rsid w:val="00C830A5"/>
    <w:rsid w:val="00C83467"/>
    <w:rsid w:val="00C83F66"/>
    <w:rsid w:val="00C841EC"/>
    <w:rsid w:val="00C84691"/>
    <w:rsid w:val="00C84B7C"/>
    <w:rsid w:val="00C86FC9"/>
    <w:rsid w:val="00C93A67"/>
    <w:rsid w:val="00C9485A"/>
    <w:rsid w:val="00C951DF"/>
    <w:rsid w:val="00C95CD5"/>
    <w:rsid w:val="00C96EF1"/>
    <w:rsid w:val="00CA03ED"/>
    <w:rsid w:val="00CA047E"/>
    <w:rsid w:val="00CA161F"/>
    <w:rsid w:val="00CA225E"/>
    <w:rsid w:val="00CA327D"/>
    <w:rsid w:val="00CA4D8E"/>
    <w:rsid w:val="00CA5486"/>
    <w:rsid w:val="00CA7059"/>
    <w:rsid w:val="00CA7E19"/>
    <w:rsid w:val="00CB0CB1"/>
    <w:rsid w:val="00CB24F9"/>
    <w:rsid w:val="00CB2B4E"/>
    <w:rsid w:val="00CC37AD"/>
    <w:rsid w:val="00CC5270"/>
    <w:rsid w:val="00CC6517"/>
    <w:rsid w:val="00CD1F74"/>
    <w:rsid w:val="00CD5FAE"/>
    <w:rsid w:val="00CD6E97"/>
    <w:rsid w:val="00CD7888"/>
    <w:rsid w:val="00CE1957"/>
    <w:rsid w:val="00CE3C42"/>
    <w:rsid w:val="00CE462C"/>
    <w:rsid w:val="00CE7BD5"/>
    <w:rsid w:val="00CF32A8"/>
    <w:rsid w:val="00CF3AE7"/>
    <w:rsid w:val="00CF6322"/>
    <w:rsid w:val="00CF64EF"/>
    <w:rsid w:val="00CF7A19"/>
    <w:rsid w:val="00D02D34"/>
    <w:rsid w:val="00D031F6"/>
    <w:rsid w:val="00D04743"/>
    <w:rsid w:val="00D04802"/>
    <w:rsid w:val="00D04CBF"/>
    <w:rsid w:val="00D06DCD"/>
    <w:rsid w:val="00D144F1"/>
    <w:rsid w:val="00D173DD"/>
    <w:rsid w:val="00D217E1"/>
    <w:rsid w:val="00D24A8A"/>
    <w:rsid w:val="00D2554E"/>
    <w:rsid w:val="00D314D2"/>
    <w:rsid w:val="00D31791"/>
    <w:rsid w:val="00D326A5"/>
    <w:rsid w:val="00D3710C"/>
    <w:rsid w:val="00D43555"/>
    <w:rsid w:val="00D45E7F"/>
    <w:rsid w:val="00D46A02"/>
    <w:rsid w:val="00D54EEF"/>
    <w:rsid w:val="00D614A9"/>
    <w:rsid w:val="00D65079"/>
    <w:rsid w:val="00D65692"/>
    <w:rsid w:val="00D659EE"/>
    <w:rsid w:val="00D761E4"/>
    <w:rsid w:val="00D76760"/>
    <w:rsid w:val="00D77AB2"/>
    <w:rsid w:val="00D8035F"/>
    <w:rsid w:val="00D82A4F"/>
    <w:rsid w:val="00D84E4F"/>
    <w:rsid w:val="00D8540D"/>
    <w:rsid w:val="00D86AD7"/>
    <w:rsid w:val="00D910AA"/>
    <w:rsid w:val="00D917B4"/>
    <w:rsid w:val="00DA0F28"/>
    <w:rsid w:val="00DA3B41"/>
    <w:rsid w:val="00DA41CA"/>
    <w:rsid w:val="00DA4734"/>
    <w:rsid w:val="00DA549B"/>
    <w:rsid w:val="00DA575F"/>
    <w:rsid w:val="00DA6492"/>
    <w:rsid w:val="00DA6938"/>
    <w:rsid w:val="00DA6DE0"/>
    <w:rsid w:val="00DA7FF2"/>
    <w:rsid w:val="00DB0E4D"/>
    <w:rsid w:val="00DC2519"/>
    <w:rsid w:val="00DC4E30"/>
    <w:rsid w:val="00DC5277"/>
    <w:rsid w:val="00DC6CFB"/>
    <w:rsid w:val="00DD0086"/>
    <w:rsid w:val="00DD04E8"/>
    <w:rsid w:val="00DD20EF"/>
    <w:rsid w:val="00DD44D2"/>
    <w:rsid w:val="00DD499B"/>
    <w:rsid w:val="00DD551E"/>
    <w:rsid w:val="00DD5F27"/>
    <w:rsid w:val="00DE0715"/>
    <w:rsid w:val="00DF09C1"/>
    <w:rsid w:val="00DF2879"/>
    <w:rsid w:val="00DF4A3F"/>
    <w:rsid w:val="00DF6047"/>
    <w:rsid w:val="00E00C95"/>
    <w:rsid w:val="00E01F52"/>
    <w:rsid w:val="00E03866"/>
    <w:rsid w:val="00E038DF"/>
    <w:rsid w:val="00E03C48"/>
    <w:rsid w:val="00E05A67"/>
    <w:rsid w:val="00E075E7"/>
    <w:rsid w:val="00E1176C"/>
    <w:rsid w:val="00E158CD"/>
    <w:rsid w:val="00E20384"/>
    <w:rsid w:val="00E2351E"/>
    <w:rsid w:val="00E254DF"/>
    <w:rsid w:val="00E26450"/>
    <w:rsid w:val="00E3622C"/>
    <w:rsid w:val="00E3765A"/>
    <w:rsid w:val="00E37863"/>
    <w:rsid w:val="00E37B7E"/>
    <w:rsid w:val="00E40CED"/>
    <w:rsid w:val="00E411D1"/>
    <w:rsid w:val="00E43D3C"/>
    <w:rsid w:val="00E46772"/>
    <w:rsid w:val="00E46B3E"/>
    <w:rsid w:val="00E53A3A"/>
    <w:rsid w:val="00E60A8E"/>
    <w:rsid w:val="00E63E89"/>
    <w:rsid w:val="00E7066A"/>
    <w:rsid w:val="00E74363"/>
    <w:rsid w:val="00E978EF"/>
    <w:rsid w:val="00EA070B"/>
    <w:rsid w:val="00EA3CBB"/>
    <w:rsid w:val="00EA4DBB"/>
    <w:rsid w:val="00EA6032"/>
    <w:rsid w:val="00EA6BC6"/>
    <w:rsid w:val="00EA71C1"/>
    <w:rsid w:val="00EB7032"/>
    <w:rsid w:val="00EC0503"/>
    <w:rsid w:val="00EC1194"/>
    <w:rsid w:val="00ED3F51"/>
    <w:rsid w:val="00EE09B0"/>
    <w:rsid w:val="00EE165E"/>
    <w:rsid w:val="00EE44D7"/>
    <w:rsid w:val="00EE5C37"/>
    <w:rsid w:val="00EF34F2"/>
    <w:rsid w:val="00EF37D0"/>
    <w:rsid w:val="00EF4988"/>
    <w:rsid w:val="00EF4F53"/>
    <w:rsid w:val="00EF57B5"/>
    <w:rsid w:val="00F02809"/>
    <w:rsid w:val="00F054DB"/>
    <w:rsid w:val="00F12F61"/>
    <w:rsid w:val="00F16BE0"/>
    <w:rsid w:val="00F27648"/>
    <w:rsid w:val="00F27898"/>
    <w:rsid w:val="00F324F5"/>
    <w:rsid w:val="00F33B56"/>
    <w:rsid w:val="00F34058"/>
    <w:rsid w:val="00F4382D"/>
    <w:rsid w:val="00F44D5E"/>
    <w:rsid w:val="00F51358"/>
    <w:rsid w:val="00F531D3"/>
    <w:rsid w:val="00F532C8"/>
    <w:rsid w:val="00F5450D"/>
    <w:rsid w:val="00F619F4"/>
    <w:rsid w:val="00F63509"/>
    <w:rsid w:val="00F658A6"/>
    <w:rsid w:val="00F66A2E"/>
    <w:rsid w:val="00F70E03"/>
    <w:rsid w:val="00F71B43"/>
    <w:rsid w:val="00F71B73"/>
    <w:rsid w:val="00F7380D"/>
    <w:rsid w:val="00F744CE"/>
    <w:rsid w:val="00F75F96"/>
    <w:rsid w:val="00F86762"/>
    <w:rsid w:val="00F9229B"/>
    <w:rsid w:val="00F92B7D"/>
    <w:rsid w:val="00F92EED"/>
    <w:rsid w:val="00F96C68"/>
    <w:rsid w:val="00FA226D"/>
    <w:rsid w:val="00FA45DA"/>
    <w:rsid w:val="00FA4820"/>
    <w:rsid w:val="00FA620A"/>
    <w:rsid w:val="00FA6636"/>
    <w:rsid w:val="00FA663A"/>
    <w:rsid w:val="00FA6C0A"/>
    <w:rsid w:val="00FB0749"/>
    <w:rsid w:val="00FB3F1D"/>
    <w:rsid w:val="00FB4A09"/>
    <w:rsid w:val="00FB4A3B"/>
    <w:rsid w:val="00FB5A86"/>
    <w:rsid w:val="00FB6EAF"/>
    <w:rsid w:val="00FC0774"/>
    <w:rsid w:val="00FC10C3"/>
    <w:rsid w:val="00FC3AEE"/>
    <w:rsid w:val="00FC5564"/>
    <w:rsid w:val="00FC62F0"/>
    <w:rsid w:val="00FC7CB5"/>
    <w:rsid w:val="00FD0005"/>
    <w:rsid w:val="00FD2C2A"/>
    <w:rsid w:val="00FD2E7D"/>
    <w:rsid w:val="00FD34F2"/>
    <w:rsid w:val="00FE2B0D"/>
    <w:rsid w:val="00FE4BE0"/>
    <w:rsid w:val="00FE72B2"/>
    <w:rsid w:val="00FE72F2"/>
    <w:rsid w:val="00FE7CC7"/>
    <w:rsid w:val="00FE7DC4"/>
    <w:rsid w:val="00FF11B6"/>
    <w:rsid w:val="00FF207E"/>
    <w:rsid w:val="00FF2AD6"/>
    <w:rsid w:val="00FF45DD"/>
    <w:rsid w:val="00FF5D88"/>
    <w:rsid w:val="00FF6E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AE9FD"/>
  <w15:docId w15:val="{2463C4CC-67A8-46E4-A2D9-31714AEB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3" w:qFormat="1"/>
    <w:lsdException w:name="heading 5" w:semiHidden="1" w:uiPriority="2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9"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F324F5"/>
    <w:pPr>
      <w:spacing w:before="120" w:after="120" w:line="240" w:lineRule="auto"/>
      <w:jc w:val="both"/>
    </w:pPr>
    <w:rPr>
      <w:rFonts w:ascii="Franklin Gothic Book" w:hAnsi="Franklin Gothic Book"/>
      <w:sz w:val="20"/>
    </w:rPr>
  </w:style>
  <w:style w:type="paragraph" w:styleId="Heading1">
    <w:name w:val="heading 1"/>
    <w:basedOn w:val="Normal"/>
    <w:next w:val="Normal"/>
    <w:link w:val="Heading1Char"/>
    <w:uiPriority w:val="9"/>
    <w:qFormat/>
    <w:rsid w:val="00A57557"/>
    <w:pPr>
      <w:keepNext/>
      <w:keepLines/>
      <w:pageBreakBefore/>
      <w:spacing w:before="1200" w:after="24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A57557"/>
    <w:pPr>
      <w:keepNext/>
      <w:keepLines/>
      <w:spacing w:before="480" w:after="240"/>
      <w:outlineLvl w:val="1"/>
    </w:pPr>
    <w:rPr>
      <w:rFonts w:eastAsiaTheme="majorEastAsia" w:cstheme="majorBidi"/>
      <w:b/>
      <w:bCs/>
      <w:sz w:val="22"/>
      <w:szCs w:val="26"/>
    </w:rPr>
  </w:style>
  <w:style w:type="paragraph" w:styleId="Heading3">
    <w:name w:val="heading 3"/>
    <w:basedOn w:val="Normal"/>
    <w:next w:val="Normal"/>
    <w:link w:val="Heading3Char"/>
    <w:uiPriority w:val="9"/>
    <w:qFormat/>
    <w:rsid w:val="00A57557"/>
    <w:pPr>
      <w:keepNext/>
      <w:keepLines/>
      <w:spacing w:before="240" w:after="240"/>
      <w:outlineLvl w:val="2"/>
    </w:pPr>
    <w:rPr>
      <w:rFonts w:eastAsiaTheme="majorEastAsia" w:cstheme="majorBidi"/>
      <w:b/>
      <w:bCs/>
      <w:i/>
    </w:rPr>
  </w:style>
  <w:style w:type="paragraph" w:styleId="Heading4">
    <w:name w:val="heading 4"/>
    <w:basedOn w:val="Normal"/>
    <w:next w:val="Normal"/>
    <w:link w:val="Heading4Char"/>
    <w:uiPriority w:val="3"/>
    <w:qFormat/>
    <w:rsid w:val="00A57557"/>
    <w:pPr>
      <w:keepNext/>
      <w:keepLines/>
      <w:spacing w:before="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E4475"/>
    <w:pPr>
      <w:ind w:left="720"/>
      <w:contextualSpacing/>
    </w:pPr>
  </w:style>
  <w:style w:type="table" w:styleId="TableGrid">
    <w:name w:val="Table Grid"/>
    <w:basedOn w:val="TableNormal"/>
    <w:uiPriority w:val="59"/>
    <w:rsid w:val="0059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6F2B"/>
    <w:pPr>
      <w:tabs>
        <w:tab w:val="center" w:pos="4513"/>
        <w:tab w:val="right" w:pos="9026"/>
      </w:tabs>
      <w:spacing w:after="0"/>
    </w:pPr>
  </w:style>
  <w:style w:type="character" w:customStyle="1" w:styleId="HeaderChar">
    <w:name w:val="Header Char"/>
    <w:basedOn w:val="DefaultParagraphFont"/>
    <w:link w:val="Header"/>
    <w:rsid w:val="00E038DF"/>
    <w:rPr>
      <w:sz w:val="22"/>
    </w:rPr>
  </w:style>
  <w:style w:type="paragraph" w:styleId="Footer">
    <w:name w:val="footer"/>
    <w:basedOn w:val="Normal"/>
    <w:link w:val="FooterChar"/>
    <w:rsid w:val="00A57557"/>
    <w:pPr>
      <w:tabs>
        <w:tab w:val="center" w:pos="4513"/>
        <w:tab w:val="right" w:pos="9026"/>
      </w:tabs>
      <w:spacing w:before="0" w:after="0"/>
      <w:jc w:val="left"/>
    </w:pPr>
    <w:rPr>
      <w:sz w:val="16"/>
    </w:rPr>
  </w:style>
  <w:style w:type="character" w:customStyle="1" w:styleId="FooterChar">
    <w:name w:val="Footer Char"/>
    <w:basedOn w:val="DefaultParagraphFont"/>
    <w:link w:val="Footer"/>
    <w:rsid w:val="00A57557"/>
    <w:rPr>
      <w:rFonts w:ascii="Franklin Gothic Book" w:hAnsi="Franklin Gothic Book"/>
      <w:sz w:val="16"/>
    </w:rPr>
  </w:style>
  <w:style w:type="paragraph" w:styleId="BalloonText">
    <w:name w:val="Balloon Text"/>
    <w:basedOn w:val="Normal"/>
    <w:link w:val="BalloonTextChar"/>
    <w:unhideWhenUsed/>
    <w:rsid w:val="00560486"/>
    <w:pPr>
      <w:spacing w:after="0"/>
    </w:pPr>
    <w:rPr>
      <w:rFonts w:ascii="Tahoma" w:hAnsi="Tahoma" w:cs="Tahoma"/>
      <w:sz w:val="16"/>
      <w:szCs w:val="16"/>
    </w:rPr>
  </w:style>
  <w:style w:type="character" w:customStyle="1" w:styleId="BalloonTextChar">
    <w:name w:val="Balloon Text Char"/>
    <w:basedOn w:val="DefaultParagraphFont"/>
    <w:link w:val="BalloonText"/>
    <w:rsid w:val="00560486"/>
    <w:rPr>
      <w:rFonts w:ascii="Tahoma" w:hAnsi="Tahoma" w:cs="Tahoma"/>
      <w:sz w:val="16"/>
      <w:szCs w:val="16"/>
    </w:rPr>
  </w:style>
  <w:style w:type="character" w:styleId="Hyperlink">
    <w:name w:val="Hyperlink"/>
    <w:basedOn w:val="DefaultParagraphFont"/>
    <w:unhideWhenUsed/>
    <w:rsid w:val="002C3CFB"/>
    <w:rPr>
      <w:color w:val="0000FF" w:themeColor="hyperlink"/>
      <w:u w:val="single"/>
    </w:rPr>
  </w:style>
  <w:style w:type="character" w:customStyle="1" w:styleId="Heading1Char">
    <w:name w:val="Heading 1 Char"/>
    <w:basedOn w:val="DefaultParagraphFont"/>
    <w:link w:val="Heading1"/>
    <w:rsid w:val="00A57557"/>
    <w:rPr>
      <w:rFonts w:ascii="Franklin Gothic Book" w:eastAsiaTheme="majorEastAsia" w:hAnsi="Franklin Gothic Book" w:cstheme="majorBidi"/>
      <w:b/>
      <w:bCs/>
      <w:sz w:val="32"/>
      <w:szCs w:val="28"/>
    </w:rPr>
  </w:style>
  <w:style w:type="paragraph" w:customStyle="1" w:styleId="PPPbullet">
    <w:name w:val="PPP bullet"/>
    <w:basedOn w:val="ListParagraph"/>
    <w:link w:val="PPPbulletChar"/>
    <w:uiPriority w:val="6"/>
    <w:qFormat/>
    <w:rsid w:val="00A57557"/>
    <w:pPr>
      <w:numPr>
        <w:numId w:val="1"/>
      </w:numPr>
      <w:spacing w:before="0" w:after="60"/>
      <w:contextualSpacing w:val="0"/>
    </w:pPr>
  </w:style>
  <w:style w:type="character" w:customStyle="1" w:styleId="Heading2Char">
    <w:name w:val="Heading 2 Char"/>
    <w:basedOn w:val="DefaultParagraphFont"/>
    <w:link w:val="Heading2"/>
    <w:rsid w:val="00A57557"/>
    <w:rPr>
      <w:rFonts w:ascii="Franklin Gothic Book" w:eastAsiaTheme="majorEastAsia" w:hAnsi="Franklin Gothic Book" w:cstheme="majorBidi"/>
      <w:b/>
      <w:bCs/>
      <w:sz w:val="22"/>
      <w:szCs w:val="26"/>
    </w:rPr>
  </w:style>
  <w:style w:type="character" w:customStyle="1" w:styleId="ListParagraphChar">
    <w:name w:val="List Paragraph Char"/>
    <w:basedOn w:val="DefaultParagraphFont"/>
    <w:link w:val="ListParagraph"/>
    <w:uiPriority w:val="15"/>
    <w:semiHidden/>
    <w:rsid w:val="00E038DF"/>
    <w:rPr>
      <w:sz w:val="22"/>
    </w:rPr>
  </w:style>
  <w:style w:type="character" w:customStyle="1" w:styleId="PPPbulletChar">
    <w:name w:val="PPP bullet Char"/>
    <w:basedOn w:val="ListParagraphChar"/>
    <w:link w:val="PPPbullet"/>
    <w:uiPriority w:val="6"/>
    <w:rsid w:val="00A57557"/>
    <w:rPr>
      <w:rFonts w:ascii="Franklin Gothic Book" w:hAnsi="Franklin Gothic Book"/>
      <w:sz w:val="20"/>
    </w:rPr>
  </w:style>
  <w:style w:type="paragraph" w:customStyle="1" w:styleId="Paragraph">
    <w:name w:val="Paragraph"/>
    <w:basedOn w:val="Normal"/>
    <w:link w:val="ParagraphChar"/>
    <w:uiPriority w:val="4"/>
    <w:qFormat/>
    <w:rsid w:val="00A57557"/>
    <w:pPr>
      <w:ind w:firstLine="284"/>
    </w:pPr>
  </w:style>
  <w:style w:type="character" w:customStyle="1" w:styleId="Heading3Char">
    <w:name w:val="Heading 3 Char"/>
    <w:basedOn w:val="DefaultParagraphFont"/>
    <w:link w:val="Heading3"/>
    <w:uiPriority w:val="9"/>
    <w:rsid w:val="00A57557"/>
    <w:rPr>
      <w:rFonts w:ascii="Franklin Gothic Book" w:eastAsiaTheme="majorEastAsia" w:hAnsi="Franklin Gothic Book" w:cstheme="majorBidi"/>
      <w:b/>
      <w:bCs/>
      <w:i/>
      <w:sz w:val="20"/>
    </w:rPr>
  </w:style>
  <w:style w:type="paragraph" w:customStyle="1" w:styleId="Authorname">
    <w:name w:val="Author name"/>
    <w:basedOn w:val="Normal"/>
    <w:uiPriority w:val="4"/>
    <w:qFormat/>
    <w:rsid w:val="00A57557"/>
    <w:pPr>
      <w:spacing w:before="240" w:after="0"/>
    </w:pPr>
    <w:rPr>
      <w:b/>
      <w:sz w:val="26"/>
    </w:rPr>
  </w:style>
  <w:style w:type="paragraph" w:styleId="TOC2">
    <w:name w:val="toc 2"/>
    <w:basedOn w:val="Normal"/>
    <w:next w:val="Normal"/>
    <w:autoRedefine/>
    <w:uiPriority w:val="39"/>
    <w:unhideWhenUsed/>
    <w:rsid w:val="00922E6E"/>
    <w:pPr>
      <w:spacing w:after="100"/>
      <w:ind w:left="220"/>
    </w:pPr>
  </w:style>
  <w:style w:type="paragraph" w:styleId="TOC1">
    <w:name w:val="toc 1"/>
    <w:basedOn w:val="Normal"/>
    <w:next w:val="Normal"/>
    <w:autoRedefine/>
    <w:uiPriority w:val="39"/>
    <w:unhideWhenUsed/>
    <w:rsid w:val="00922E6E"/>
    <w:pPr>
      <w:spacing w:after="100"/>
    </w:pPr>
    <w:rPr>
      <w:b/>
    </w:rPr>
  </w:style>
  <w:style w:type="paragraph" w:customStyle="1" w:styleId="PPPbulletsub">
    <w:name w:val="PPP bullet (sub)"/>
    <w:basedOn w:val="ListParagraph"/>
    <w:link w:val="PPPbulletsubChar"/>
    <w:uiPriority w:val="6"/>
    <w:qFormat/>
    <w:rsid w:val="00A57557"/>
    <w:pPr>
      <w:numPr>
        <w:numId w:val="2"/>
      </w:numPr>
      <w:spacing w:before="0" w:after="60"/>
      <w:contextualSpacing w:val="0"/>
    </w:pPr>
  </w:style>
  <w:style w:type="paragraph" w:styleId="FootnoteText">
    <w:name w:val="footnote text"/>
    <w:basedOn w:val="Normal"/>
    <w:link w:val="FootnoteTextChar"/>
    <w:rsid w:val="00957868"/>
    <w:pPr>
      <w:spacing w:before="0" w:after="0"/>
    </w:pPr>
    <w:rPr>
      <w:sz w:val="18"/>
      <w:szCs w:val="20"/>
    </w:rPr>
  </w:style>
  <w:style w:type="character" w:customStyle="1" w:styleId="PPPbulletsubChar">
    <w:name w:val="PPP bullet (sub) Char"/>
    <w:basedOn w:val="ListParagraphChar"/>
    <w:link w:val="PPPbulletsub"/>
    <w:uiPriority w:val="6"/>
    <w:rsid w:val="00A57557"/>
    <w:rPr>
      <w:rFonts w:ascii="Franklin Gothic Book" w:hAnsi="Franklin Gothic Book"/>
      <w:sz w:val="20"/>
    </w:rPr>
  </w:style>
  <w:style w:type="character" w:customStyle="1" w:styleId="FootnoteTextChar">
    <w:name w:val="Footnote Text Char"/>
    <w:basedOn w:val="DefaultParagraphFont"/>
    <w:link w:val="FootnoteText"/>
    <w:rsid w:val="00EF4F53"/>
    <w:rPr>
      <w:sz w:val="18"/>
      <w:szCs w:val="20"/>
    </w:rPr>
  </w:style>
  <w:style w:type="paragraph" w:customStyle="1" w:styleId="Authorcompany">
    <w:name w:val="Author company"/>
    <w:basedOn w:val="Authorname"/>
    <w:uiPriority w:val="5"/>
    <w:qFormat/>
    <w:rsid w:val="00A57557"/>
    <w:pPr>
      <w:spacing w:before="0" w:after="240"/>
    </w:pPr>
    <w:rPr>
      <w:b w:val="0"/>
      <w:sz w:val="22"/>
    </w:rPr>
  </w:style>
  <w:style w:type="character" w:customStyle="1" w:styleId="Heading4Char">
    <w:name w:val="Heading 4 Char"/>
    <w:basedOn w:val="DefaultParagraphFont"/>
    <w:link w:val="Heading4"/>
    <w:uiPriority w:val="3"/>
    <w:rsid w:val="00A57557"/>
    <w:rPr>
      <w:rFonts w:ascii="Franklin Gothic Book" w:eastAsiaTheme="majorEastAsia" w:hAnsi="Franklin Gothic Book" w:cstheme="majorBidi"/>
      <w:bCs/>
      <w:i/>
      <w:iCs/>
      <w:sz w:val="20"/>
    </w:rPr>
  </w:style>
  <w:style w:type="paragraph" w:styleId="Quote">
    <w:name w:val="Quote"/>
    <w:basedOn w:val="Normal"/>
    <w:next w:val="Normal"/>
    <w:link w:val="QuoteChar"/>
    <w:uiPriority w:val="7"/>
    <w:qFormat/>
    <w:rsid w:val="006B49B3"/>
    <w:pPr>
      <w:spacing w:before="240" w:after="240"/>
      <w:ind w:left="454"/>
    </w:pPr>
    <w:rPr>
      <w:i/>
      <w:iCs/>
    </w:rPr>
  </w:style>
  <w:style w:type="character" w:customStyle="1" w:styleId="QuoteChar">
    <w:name w:val="Quote Char"/>
    <w:basedOn w:val="DefaultParagraphFont"/>
    <w:link w:val="Quote"/>
    <w:uiPriority w:val="7"/>
    <w:rsid w:val="006B49B3"/>
    <w:rPr>
      <w:rFonts w:ascii="Franklin Gothic Book" w:hAnsi="Franklin Gothic Book"/>
      <w:i/>
      <w:iCs/>
      <w:sz w:val="20"/>
    </w:rPr>
  </w:style>
  <w:style w:type="paragraph" w:customStyle="1" w:styleId="TableText">
    <w:name w:val="Table Text"/>
    <w:basedOn w:val="Normal"/>
    <w:uiPriority w:val="11"/>
    <w:qFormat/>
    <w:rsid w:val="00A57557"/>
    <w:pPr>
      <w:spacing w:before="60" w:after="60"/>
      <w:jc w:val="left"/>
    </w:pPr>
    <w:rPr>
      <w:sz w:val="19"/>
    </w:rPr>
  </w:style>
  <w:style w:type="paragraph" w:customStyle="1" w:styleId="TableGraphheading">
    <w:name w:val="Table/Graph heading"/>
    <w:basedOn w:val="Normal"/>
    <w:uiPriority w:val="10"/>
    <w:qFormat/>
    <w:rsid w:val="00A57557"/>
    <w:rPr>
      <w:b/>
    </w:rPr>
  </w:style>
  <w:style w:type="paragraph" w:customStyle="1" w:styleId="TableGraphSource">
    <w:name w:val="Table/Graph Source"/>
    <w:basedOn w:val="Normal"/>
    <w:link w:val="TableGraphSourceChar"/>
    <w:uiPriority w:val="11"/>
    <w:qFormat/>
    <w:rsid w:val="00A57557"/>
    <w:rPr>
      <w:sz w:val="18"/>
      <w:szCs w:val="18"/>
    </w:rPr>
  </w:style>
  <w:style w:type="character" w:customStyle="1" w:styleId="TableGraphSourceChar">
    <w:name w:val="Table/Graph Source Char"/>
    <w:basedOn w:val="DefaultParagraphFont"/>
    <w:link w:val="TableGraphSource"/>
    <w:uiPriority w:val="11"/>
    <w:rsid w:val="00A57557"/>
    <w:rPr>
      <w:rFonts w:ascii="Franklin Gothic Book" w:hAnsi="Franklin Gothic Book"/>
      <w:sz w:val="18"/>
      <w:szCs w:val="18"/>
    </w:rPr>
  </w:style>
  <w:style w:type="paragraph" w:customStyle="1" w:styleId="Topparagraph">
    <w:name w:val="Top paragraph"/>
    <w:basedOn w:val="Normal"/>
    <w:link w:val="TopparagraphChar"/>
    <w:uiPriority w:val="5"/>
    <w:qFormat/>
    <w:rsid w:val="00A57557"/>
  </w:style>
  <w:style w:type="character" w:customStyle="1" w:styleId="TopparagraphChar">
    <w:name w:val="Top paragraph Char"/>
    <w:basedOn w:val="DefaultParagraphFont"/>
    <w:link w:val="Topparagraph"/>
    <w:uiPriority w:val="5"/>
    <w:rsid w:val="00A57557"/>
    <w:rPr>
      <w:rFonts w:ascii="Franklin Gothic Book" w:hAnsi="Franklin Gothic Book"/>
      <w:sz w:val="20"/>
    </w:rPr>
  </w:style>
  <w:style w:type="paragraph" w:customStyle="1" w:styleId="Heading2Exec">
    <w:name w:val="Heading 2 (Exec)"/>
    <w:basedOn w:val="Heading2"/>
    <w:uiPriority w:val="4"/>
    <w:semiHidden/>
    <w:qFormat/>
    <w:rsid w:val="00F054DB"/>
    <w:pPr>
      <w:spacing w:before="240"/>
    </w:pPr>
    <w:rPr>
      <w:bCs w:val="0"/>
    </w:rPr>
  </w:style>
  <w:style w:type="paragraph" w:customStyle="1" w:styleId="BookReviewHeading1sub">
    <w:name w:val="Book Review Heading 1 (sub)"/>
    <w:basedOn w:val="Normal"/>
    <w:uiPriority w:val="1"/>
    <w:qFormat/>
    <w:rsid w:val="00A57557"/>
    <w:pPr>
      <w:spacing w:before="240" w:after="240"/>
    </w:pPr>
    <w:rPr>
      <w:b/>
      <w:bCs/>
      <w:sz w:val="32"/>
    </w:rPr>
  </w:style>
  <w:style w:type="paragraph" w:customStyle="1" w:styleId="References">
    <w:name w:val="References"/>
    <w:basedOn w:val="Topparagraph"/>
    <w:uiPriority w:val="7"/>
    <w:qFormat/>
    <w:rsid w:val="0049148A"/>
    <w:pPr>
      <w:spacing w:before="0" w:after="0"/>
      <w:ind w:left="454" w:hanging="454"/>
    </w:pPr>
  </w:style>
  <w:style w:type="paragraph" w:customStyle="1" w:styleId="CorrespondenceAddress">
    <w:name w:val="Correspondence Address"/>
    <w:basedOn w:val="References"/>
    <w:uiPriority w:val="8"/>
    <w:qFormat/>
    <w:rsid w:val="00200FB1"/>
    <w:pPr>
      <w:spacing w:before="240" w:after="240"/>
      <w:ind w:left="0" w:firstLine="0"/>
    </w:pPr>
  </w:style>
  <w:style w:type="paragraph" w:customStyle="1" w:styleId="PPPnumberedlist">
    <w:name w:val="PPP numbered list"/>
    <w:basedOn w:val="PPPbullet"/>
    <w:link w:val="PPPnumberedlistChar"/>
    <w:uiPriority w:val="7"/>
    <w:qFormat/>
    <w:rsid w:val="0049148A"/>
    <w:pPr>
      <w:numPr>
        <w:numId w:val="3"/>
      </w:numPr>
      <w:ind w:left="568" w:hanging="284"/>
    </w:pPr>
  </w:style>
  <w:style w:type="character" w:customStyle="1" w:styleId="PPPnumberedlistChar">
    <w:name w:val="PPP numbered list Char"/>
    <w:basedOn w:val="PPPbulletChar"/>
    <w:link w:val="PPPnumberedlist"/>
    <w:uiPriority w:val="7"/>
    <w:rsid w:val="0049148A"/>
    <w:rPr>
      <w:rFonts w:ascii="Franklin Gothic Book" w:hAnsi="Franklin Gothic Book"/>
      <w:sz w:val="20"/>
    </w:rPr>
  </w:style>
  <w:style w:type="character" w:styleId="CommentReference">
    <w:name w:val="annotation reference"/>
    <w:basedOn w:val="DefaultParagraphFont"/>
    <w:unhideWhenUsed/>
    <w:rsid w:val="00200FB1"/>
    <w:rPr>
      <w:sz w:val="16"/>
      <w:szCs w:val="16"/>
    </w:rPr>
  </w:style>
  <w:style w:type="paragraph" w:styleId="CommentText">
    <w:name w:val="annotation text"/>
    <w:basedOn w:val="Normal"/>
    <w:link w:val="CommentTextChar"/>
    <w:unhideWhenUsed/>
    <w:rsid w:val="00200FB1"/>
    <w:rPr>
      <w:szCs w:val="20"/>
    </w:rPr>
  </w:style>
  <w:style w:type="character" w:customStyle="1" w:styleId="CommentTextChar">
    <w:name w:val="Comment Text Char"/>
    <w:basedOn w:val="DefaultParagraphFont"/>
    <w:link w:val="CommentText"/>
    <w:rsid w:val="00200FB1"/>
    <w:rPr>
      <w:rFonts w:ascii="Franklin Gothic Book" w:hAnsi="Franklin Gothic Book"/>
      <w:sz w:val="20"/>
      <w:szCs w:val="20"/>
    </w:rPr>
  </w:style>
  <w:style w:type="paragraph" w:styleId="CommentSubject">
    <w:name w:val="annotation subject"/>
    <w:basedOn w:val="CommentText"/>
    <w:next w:val="CommentText"/>
    <w:link w:val="CommentSubjectChar"/>
    <w:unhideWhenUsed/>
    <w:rsid w:val="00200FB1"/>
    <w:rPr>
      <w:b/>
      <w:bCs/>
    </w:rPr>
  </w:style>
  <w:style w:type="character" w:customStyle="1" w:styleId="CommentSubjectChar">
    <w:name w:val="Comment Subject Char"/>
    <w:basedOn w:val="CommentTextChar"/>
    <w:link w:val="CommentSubject"/>
    <w:rsid w:val="00200FB1"/>
    <w:rPr>
      <w:rFonts w:ascii="Franklin Gothic Book" w:hAnsi="Franklin Gothic Book"/>
      <w:b/>
      <w:bCs/>
      <w:sz w:val="20"/>
      <w:szCs w:val="20"/>
    </w:rPr>
  </w:style>
  <w:style w:type="paragraph" w:styleId="NoSpacing">
    <w:name w:val="No Spacing"/>
    <w:qFormat/>
    <w:rsid w:val="00040A79"/>
    <w:pPr>
      <w:spacing w:after="0" w:line="240" w:lineRule="auto"/>
      <w:jc w:val="both"/>
    </w:pPr>
    <w:rPr>
      <w:rFonts w:asciiTheme="minorHAnsi" w:hAnsiTheme="minorHAnsi" w:cstheme="minorBidi"/>
      <w:sz w:val="22"/>
      <w:szCs w:val="22"/>
    </w:rPr>
  </w:style>
  <w:style w:type="paragraph" w:styleId="Title">
    <w:name w:val="Title"/>
    <w:basedOn w:val="Normal"/>
    <w:next w:val="Normal"/>
    <w:link w:val="TitleChar"/>
    <w:uiPriority w:val="10"/>
    <w:qFormat/>
    <w:rsid w:val="00040A7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40A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nhideWhenUsed/>
    <w:rsid w:val="00040A79"/>
    <w:rPr>
      <w:vertAlign w:val="superscript"/>
    </w:rPr>
  </w:style>
  <w:style w:type="character" w:styleId="FollowedHyperlink">
    <w:name w:val="FollowedHyperlink"/>
    <w:basedOn w:val="DefaultParagraphFont"/>
    <w:unhideWhenUsed/>
    <w:rsid w:val="00040A79"/>
    <w:rPr>
      <w:color w:val="800080" w:themeColor="followedHyperlink"/>
      <w:u w:val="single"/>
    </w:rPr>
  </w:style>
  <w:style w:type="paragraph" w:styleId="Revision">
    <w:name w:val="Revision"/>
    <w:hidden/>
    <w:rsid w:val="00040A79"/>
    <w:pPr>
      <w:spacing w:after="0" w:line="240" w:lineRule="auto"/>
    </w:pPr>
    <w:rPr>
      <w:rFonts w:asciiTheme="minorHAnsi" w:hAnsiTheme="minorHAnsi" w:cstheme="minorBidi"/>
      <w:sz w:val="22"/>
      <w:szCs w:val="22"/>
    </w:rPr>
  </w:style>
  <w:style w:type="character" w:styleId="Emphasis">
    <w:name w:val="Emphasis"/>
    <w:basedOn w:val="DefaultParagraphFont"/>
    <w:qFormat/>
    <w:rsid w:val="00040A79"/>
    <w:rPr>
      <w:b/>
      <w:bCs/>
      <w:i w:val="0"/>
      <w:iCs w:val="0"/>
    </w:rPr>
  </w:style>
  <w:style w:type="character" w:customStyle="1" w:styleId="st1">
    <w:name w:val="st1"/>
    <w:basedOn w:val="DefaultParagraphFont"/>
    <w:rsid w:val="00040A79"/>
  </w:style>
  <w:style w:type="character" w:customStyle="1" w:styleId="ParagraphChar">
    <w:name w:val="Paragraph Char"/>
    <w:basedOn w:val="DefaultParagraphFont"/>
    <w:link w:val="Paragraph"/>
    <w:uiPriority w:val="4"/>
    <w:rsid w:val="005014D9"/>
    <w:rPr>
      <w:rFonts w:ascii="Franklin Gothic Book" w:hAnsi="Franklin Gothic Book"/>
      <w:sz w:val="20"/>
    </w:rPr>
  </w:style>
  <w:style w:type="paragraph" w:customStyle="1" w:styleId="Heading2ExecAnnex">
    <w:name w:val="Heading 2 (Exec/Annex)"/>
    <w:basedOn w:val="Heading2"/>
    <w:uiPriority w:val="4"/>
    <w:qFormat/>
    <w:rsid w:val="005014D9"/>
    <w:pPr>
      <w:spacing w:before="240"/>
    </w:pPr>
    <w:rPr>
      <w:rFonts w:ascii="Arial" w:hAnsi="Arial"/>
      <w:bCs w:val="0"/>
      <w:color w:val="621B40"/>
      <w:sz w:val="24"/>
      <w:lang w:eastAsia="zh-CN"/>
    </w:rPr>
  </w:style>
  <w:style w:type="paragraph" w:customStyle="1" w:styleId="QuoteExecAnnex">
    <w:name w:val="Quote (Exec/Annex)"/>
    <w:basedOn w:val="Normal"/>
    <w:uiPriority w:val="9"/>
    <w:qFormat/>
    <w:rsid w:val="005014D9"/>
    <w:pPr>
      <w:spacing w:before="240" w:after="240"/>
      <w:ind w:left="454"/>
    </w:pPr>
    <w:rPr>
      <w:rFonts w:ascii="Arial" w:eastAsiaTheme="minorEastAsia" w:hAnsi="Arial"/>
      <w:i/>
      <w:sz w:val="22"/>
      <w:lang w:eastAsia="zh-CN"/>
    </w:rPr>
  </w:style>
  <w:style w:type="paragraph" w:styleId="NormalWeb">
    <w:name w:val="Normal (Web)"/>
    <w:basedOn w:val="Normal"/>
    <w:unhideWhenUsed/>
    <w:rsid w:val="00457D39"/>
    <w:pPr>
      <w:spacing w:before="0" w:after="0"/>
      <w:jc w:val="left"/>
    </w:pPr>
    <w:rPr>
      <w:rFonts w:ascii="Times New Roman" w:hAnsi="Times New Roman" w:cs="Times New Roman"/>
      <w:sz w:val="24"/>
      <w:lang w:eastAsia="en-GB"/>
    </w:rPr>
  </w:style>
  <w:style w:type="paragraph" w:styleId="PlainText">
    <w:name w:val="Plain Text"/>
    <w:basedOn w:val="Normal"/>
    <w:link w:val="PlainTextChar"/>
    <w:uiPriority w:val="99"/>
    <w:semiHidden/>
    <w:unhideWhenUsed/>
    <w:rsid w:val="001661F6"/>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1661F6"/>
    <w:rPr>
      <w:rFonts w:ascii="Calibri" w:hAnsi="Calibri" w:cstheme="minorBidi"/>
      <w:sz w:val="22"/>
      <w:szCs w:val="21"/>
    </w:rPr>
  </w:style>
  <w:style w:type="paragraph" w:customStyle="1" w:styleId="Default">
    <w:name w:val="Default"/>
    <w:rsid w:val="001661F6"/>
    <w:pPr>
      <w:autoSpaceDE w:val="0"/>
      <w:autoSpaceDN w:val="0"/>
      <w:adjustRightInd w:val="0"/>
      <w:spacing w:after="0" w:line="240" w:lineRule="auto"/>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1661F6"/>
    <w:rPr>
      <w:color w:val="605E5C"/>
      <w:shd w:val="clear" w:color="auto" w:fill="E1DFDD"/>
    </w:rPr>
  </w:style>
  <w:style w:type="paragraph" w:styleId="BodyText">
    <w:name w:val="Body Text"/>
    <w:basedOn w:val="Normal"/>
    <w:link w:val="BodyTextChar"/>
    <w:semiHidden/>
    <w:rsid w:val="001661F6"/>
    <w:pPr>
      <w:spacing w:before="0" w:after="0"/>
      <w:jc w:val="center"/>
    </w:pPr>
    <w:rPr>
      <w:rFonts w:ascii="Times New Roman" w:eastAsia="Times New Roman" w:hAnsi="Times New Roman" w:cs="Times New Roman"/>
      <w:b/>
      <w:bCs/>
      <w:sz w:val="40"/>
      <w:szCs w:val="20"/>
    </w:rPr>
  </w:style>
  <w:style w:type="character" w:customStyle="1" w:styleId="BodyTextChar">
    <w:name w:val="Body Text Char"/>
    <w:basedOn w:val="DefaultParagraphFont"/>
    <w:link w:val="BodyText"/>
    <w:semiHidden/>
    <w:rsid w:val="001661F6"/>
    <w:rPr>
      <w:rFonts w:ascii="Times New Roman" w:eastAsia="Times New Roman" w:hAnsi="Times New Roman" w:cs="Times New Roman"/>
      <w:b/>
      <w:bCs/>
      <w:sz w:val="40"/>
      <w:szCs w:val="20"/>
    </w:rPr>
  </w:style>
  <w:style w:type="character" w:customStyle="1" w:styleId="UnresolvedMention2">
    <w:name w:val="Unresolved Mention2"/>
    <w:basedOn w:val="DefaultParagraphFont"/>
    <w:uiPriority w:val="99"/>
    <w:semiHidden/>
    <w:unhideWhenUsed/>
    <w:rsid w:val="001661F6"/>
    <w:rPr>
      <w:color w:val="605E5C"/>
      <w:shd w:val="clear" w:color="auto" w:fill="E1DFDD"/>
    </w:rPr>
  </w:style>
  <w:style w:type="character" w:customStyle="1" w:styleId="UnresolvedMention3">
    <w:name w:val="Unresolved Mention3"/>
    <w:basedOn w:val="DefaultParagraphFont"/>
    <w:unhideWhenUsed/>
    <w:rsid w:val="001661F6"/>
    <w:rPr>
      <w:color w:val="605E5C"/>
      <w:shd w:val="clear" w:color="auto" w:fill="E1DFDD"/>
    </w:rPr>
  </w:style>
  <w:style w:type="character" w:customStyle="1" w:styleId="contribdegrees">
    <w:name w:val="contribdegrees"/>
    <w:basedOn w:val="DefaultParagraphFont"/>
    <w:rsid w:val="007F58F0"/>
  </w:style>
  <w:style w:type="character" w:customStyle="1" w:styleId="al-author-name-more">
    <w:name w:val="al-author-name-more"/>
    <w:basedOn w:val="DefaultParagraphFont"/>
    <w:rsid w:val="007F58F0"/>
  </w:style>
  <w:style w:type="character" w:customStyle="1" w:styleId="delimiter">
    <w:name w:val="delimiter"/>
    <w:basedOn w:val="DefaultParagraphFont"/>
    <w:rsid w:val="007F58F0"/>
  </w:style>
  <w:style w:type="character" w:styleId="Strong">
    <w:name w:val="Strong"/>
    <w:basedOn w:val="DefaultParagraphFont"/>
    <w:rsid w:val="007F58F0"/>
    <w:rPr>
      <w:b/>
      <w:bCs/>
    </w:rPr>
  </w:style>
  <w:style w:type="character" w:customStyle="1" w:styleId="ref-lnk">
    <w:name w:val="ref-lnk"/>
    <w:basedOn w:val="DefaultParagraphFont"/>
    <w:rsid w:val="007F58F0"/>
  </w:style>
  <w:style w:type="character" w:customStyle="1" w:styleId="hlfld-contribauthor">
    <w:name w:val="hlfld-contribauthor"/>
    <w:basedOn w:val="DefaultParagraphFont"/>
    <w:rsid w:val="007F58F0"/>
  </w:style>
  <w:style w:type="character" w:customStyle="1" w:styleId="nlmgiven-names">
    <w:name w:val="nlm_given-names"/>
    <w:basedOn w:val="DefaultParagraphFont"/>
    <w:rsid w:val="007F58F0"/>
  </w:style>
  <w:style w:type="character" w:customStyle="1" w:styleId="nlmyear">
    <w:name w:val="nlm_year"/>
    <w:basedOn w:val="DefaultParagraphFont"/>
    <w:rsid w:val="007F58F0"/>
  </w:style>
  <w:style w:type="character" w:customStyle="1" w:styleId="nlmarticle-title">
    <w:name w:val="nlm_article-title"/>
    <w:basedOn w:val="DefaultParagraphFont"/>
    <w:rsid w:val="007F58F0"/>
  </w:style>
  <w:style w:type="character" w:customStyle="1" w:styleId="nlmfpage">
    <w:name w:val="nlm_fpage"/>
    <w:basedOn w:val="DefaultParagraphFont"/>
    <w:rsid w:val="007F58F0"/>
  </w:style>
  <w:style w:type="character" w:customStyle="1" w:styleId="nlmlpage">
    <w:name w:val="nlm_lpage"/>
    <w:basedOn w:val="DefaultParagraphFont"/>
    <w:rsid w:val="007F58F0"/>
  </w:style>
  <w:style w:type="character" w:customStyle="1" w:styleId="nlmpub-id">
    <w:name w:val="nlm_pub-id"/>
    <w:basedOn w:val="DefaultParagraphFont"/>
    <w:rsid w:val="007F58F0"/>
  </w:style>
  <w:style w:type="character" w:customStyle="1" w:styleId="nlmpublisher-loc">
    <w:name w:val="nlm_publisher-loc"/>
    <w:basedOn w:val="DefaultParagraphFont"/>
    <w:rsid w:val="007F58F0"/>
  </w:style>
  <w:style w:type="character" w:customStyle="1" w:styleId="nlmpublisher-name">
    <w:name w:val="nlm_publisher-name"/>
    <w:basedOn w:val="DefaultParagraphFont"/>
    <w:rsid w:val="007F58F0"/>
  </w:style>
  <w:style w:type="character" w:customStyle="1" w:styleId="CommentTextChar1">
    <w:name w:val="Comment Text Char1"/>
    <w:basedOn w:val="DefaultParagraphFont"/>
    <w:rsid w:val="007F58F0"/>
    <w:rPr>
      <w:sz w:val="20"/>
      <w:szCs w:val="20"/>
    </w:rPr>
  </w:style>
  <w:style w:type="character" w:customStyle="1" w:styleId="reflink-block">
    <w:name w:val="reflink-block"/>
    <w:basedOn w:val="DefaultParagraphFont"/>
    <w:rsid w:val="007F5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1071">
      <w:bodyDiv w:val="1"/>
      <w:marLeft w:val="0"/>
      <w:marRight w:val="0"/>
      <w:marTop w:val="0"/>
      <w:marBottom w:val="0"/>
      <w:divBdr>
        <w:top w:val="none" w:sz="0" w:space="0" w:color="auto"/>
        <w:left w:val="none" w:sz="0" w:space="0" w:color="auto"/>
        <w:bottom w:val="none" w:sz="0" w:space="0" w:color="auto"/>
        <w:right w:val="none" w:sz="0" w:space="0" w:color="auto"/>
      </w:divBdr>
      <w:divsChild>
        <w:div w:id="1508669448">
          <w:marLeft w:val="0"/>
          <w:marRight w:val="0"/>
          <w:marTop w:val="90"/>
          <w:marBottom w:val="0"/>
          <w:divBdr>
            <w:top w:val="none" w:sz="0" w:space="0" w:color="auto"/>
            <w:left w:val="none" w:sz="0" w:space="0" w:color="auto"/>
            <w:bottom w:val="none" w:sz="0" w:space="0" w:color="auto"/>
            <w:right w:val="none" w:sz="0" w:space="0" w:color="auto"/>
          </w:divBdr>
          <w:divsChild>
            <w:div w:id="1032538620">
              <w:marLeft w:val="0"/>
              <w:marRight w:val="0"/>
              <w:marTop w:val="0"/>
              <w:marBottom w:val="420"/>
              <w:divBdr>
                <w:top w:val="none" w:sz="0" w:space="0" w:color="auto"/>
                <w:left w:val="none" w:sz="0" w:space="0" w:color="auto"/>
                <w:bottom w:val="none" w:sz="0" w:space="0" w:color="auto"/>
                <w:right w:val="none" w:sz="0" w:space="0" w:color="auto"/>
              </w:divBdr>
              <w:divsChild>
                <w:div w:id="1643926172">
                  <w:marLeft w:val="0"/>
                  <w:marRight w:val="0"/>
                  <w:marTop w:val="0"/>
                  <w:marBottom w:val="0"/>
                  <w:divBdr>
                    <w:top w:val="single" w:sz="6" w:space="0" w:color="DFE1E5"/>
                    <w:left w:val="single" w:sz="6" w:space="0" w:color="DFE1E5"/>
                    <w:bottom w:val="single" w:sz="6" w:space="1" w:color="DFE1E5"/>
                    <w:right w:val="single" w:sz="6" w:space="0" w:color="DFE1E5"/>
                  </w:divBdr>
                  <w:divsChild>
                    <w:div w:id="705524633">
                      <w:marLeft w:val="0"/>
                      <w:marRight w:val="0"/>
                      <w:marTop w:val="0"/>
                      <w:marBottom w:val="0"/>
                      <w:divBdr>
                        <w:top w:val="none" w:sz="0" w:space="0" w:color="auto"/>
                        <w:left w:val="none" w:sz="0" w:space="0" w:color="auto"/>
                        <w:bottom w:val="none" w:sz="0" w:space="0" w:color="auto"/>
                        <w:right w:val="none" w:sz="0" w:space="0" w:color="auto"/>
                      </w:divBdr>
                      <w:divsChild>
                        <w:div w:id="1304774498">
                          <w:marLeft w:val="0"/>
                          <w:marRight w:val="0"/>
                          <w:marTop w:val="0"/>
                          <w:marBottom w:val="0"/>
                          <w:divBdr>
                            <w:top w:val="none" w:sz="0" w:space="0" w:color="auto"/>
                            <w:left w:val="none" w:sz="0" w:space="0" w:color="auto"/>
                            <w:bottom w:val="none" w:sz="0" w:space="0" w:color="auto"/>
                            <w:right w:val="none" w:sz="0" w:space="0" w:color="auto"/>
                          </w:divBdr>
                          <w:divsChild>
                            <w:div w:id="787968874">
                              <w:marLeft w:val="0"/>
                              <w:marRight w:val="0"/>
                              <w:marTop w:val="0"/>
                              <w:marBottom w:val="0"/>
                              <w:divBdr>
                                <w:top w:val="none" w:sz="0" w:space="0" w:color="auto"/>
                                <w:left w:val="none" w:sz="0" w:space="0" w:color="auto"/>
                                <w:bottom w:val="none" w:sz="0" w:space="0" w:color="auto"/>
                                <w:right w:val="none" w:sz="0" w:space="0" w:color="auto"/>
                              </w:divBdr>
                              <w:divsChild>
                                <w:div w:id="998385534">
                                  <w:marLeft w:val="0"/>
                                  <w:marRight w:val="0"/>
                                  <w:marTop w:val="0"/>
                                  <w:marBottom w:val="0"/>
                                  <w:divBdr>
                                    <w:top w:val="none" w:sz="0" w:space="0" w:color="auto"/>
                                    <w:left w:val="none" w:sz="0" w:space="0" w:color="auto"/>
                                    <w:bottom w:val="none" w:sz="0" w:space="0" w:color="auto"/>
                                    <w:right w:val="none" w:sz="0" w:space="0" w:color="auto"/>
                                  </w:divBdr>
                                  <w:divsChild>
                                    <w:div w:id="1321158279">
                                      <w:marLeft w:val="0"/>
                                      <w:marRight w:val="0"/>
                                      <w:marTop w:val="0"/>
                                      <w:marBottom w:val="0"/>
                                      <w:divBdr>
                                        <w:top w:val="none" w:sz="0" w:space="0" w:color="auto"/>
                                        <w:left w:val="none" w:sz="0" w:space="0" w:color="auto"/>
                                        <w:bottom w:val="none" w:sz="0" w:space="0" w:color="auto"/>
                                        <w:right w:val="none" w:sz="0" w:space="0" w:color="auto"/>
                                      </w:divBdr>
                                      <w:divsChild>
                                        <w:div w:id="34895065">
                                          <w:marLeft w:val="0"/>
                                          <w:marRight w:val="0"/>
                                          <w:marTop w:val="0"/>
                                          <w:marBottom w:val="0"/>
                                          <w:divBdr>
                                            <w:top w:val="none" w:sz="0" w:space="0" w:color="auto"/>
                                            <w:left w:val="none" w:sz="0" w:space="0" w:color="auto"/>
                                            <w:bottom w:val="none" w:sz="0" w:space="0" w:color="auto"/>
                                            <w:right w:val="none" w:sz="0" w:space="0" w:color="auto"/>
                                          </w:divBdr>
                                          <w:divsChild>
                                            <w:div w:id="20077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doi.org/10.5255/UKDA-SN-8588-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camsis.stir.ac.uk/Data/Britain2010.html" TargetMode="External"/><Relationship Id="rId2" Type="http://schemas.openxmlformats.org/officeDocument/2006/relationships/numbering" Target="numbering.xml"/><Relationship Id="rId16" Type="http://schemas.openxmlformats.org/officeDocument/2006/relationships/hyperlink" Target="https://www.employment-studies.co.uk/news/young-people-still-struggle-thrive-todays-labour-market" TargetMode="External"/><Relationship Id="rId20" Type="http://schemas.openxmlformats.org/officeDocument/2006/relationships/hyperlink" Target="https://assets.publishing.service.gov.uk/government/uploads/system/uploads/attachment_data/file/326119/14.07.02._Youth_Report_for_web_V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ticerd.lse.ac.uk/dps/case/spcc/RR05.pdf"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ssrn.com/abstract=2029794"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formby@yorksj.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EDA4-4E7B-4516-A88F-9429409D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9181</Words>
  <Characters>52335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Ward</dc:creator>
  <cp:lastModifiedBy>Ruth Mardall (R.Mardall)</cp:lastModifiedBy>
  <cp:revision>2</cp:revision>
  <cp:lastPrinted>2012-11-26T16:07:00Z</cp:lastPrinted>
  <dcterms:created xsi:type="dcterms:W3CDTF">2020-07-14T10:41:00Z</dcterms:created>
  <dcterms:modified xsi:type="dcterms:W3CDTF">2020-07-14T10:41:00Z</dcterms:modified>
</cp:coreProperties>
</file>