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480DB" w14:textId="75FB3DF0" w:rsidR="00917251" w:rsidRDefault="00CC39FB" w:rsidP="00CC472C">
      <w:pPr>
        <w:jc w:val="center"/>
        <w:rPr>
          <w:b/>
          <w:sz w:val="28"/>
          <w:szCs w:val="28"/>
        </w:rPr>
      </w:pPr>
      <w:r>
        <w:rPr>
          <w:b/>
          <w:sz w:val="28"/>
          <w:szCs w:val="28"/>
        </w:rPr>
        <w:t>‘</w:t>
      </w:r>
      <w:r w:rsidR="00917251" w:rsidRPr="00DA1D84">
        <w:rPr>
          <w:b/>
          <w:sz w:val="28"/>
          <w:szCs w:val="28"/>
        </w:rPr>
        <w:t>Befriending</w:t>
      </w:r>
      <w:r>
        <w:rPr>
          <w:b/>
          <w:sz w:val="28"/>
          <w:szCs w:val="28"/>
        </w:rPr>
        <w:t>’</w:t>
      </w:r>
      <w:r w:rsidR="00917251" w:rsidRPr="00DA1D84">
        <w:rPr>
          <w:b/>
          <w:sz w:val="28"/>
          <w:szCs w:val="28"/>
        </w:rPr>
        <w:t xml:space="preserve"> risk</w:t>
      </w:r>
      <w:r>
        <w:rPr>
          <w:b/>
          <w:sz w:val="28"/>
          <w:szCs w:val="28"/>
        </w:rPr>
        <w:t>s, vulnerabilities and challenges</w:t>
      </w:r>
      <w:r w:rsidR="00917251" w:rsidRPr="00DA1D84">
        <w:rPr>
          <w:b/>
          <w:sz w:val="28"/>
          <w:szCs w:val="28"/>
        </w:rPr>
        <w:t xml:space="preserve">: </w:t>
      </w:r>
    </w:p>
    <w:p w14:paraId="57103849" w14:textId="227B75B2" w:rsidR="00917251" w:rsidRPr="00DA1D84" w:rsidRDefault="00CC39FB" w:rsidP="00CC472C">
      <w:pPr>
        <w:jc w:val="center"/>
        <w:rPr>
          <w:b/>
          <w:sz w:val="28"/>
          <w:szCs w:val="28"/>
        </w:rPr>
      </w:pPr>
      <w:r>
        <w:rPr>
          <w:b/>
          <w:sz w:val="28"/>
          <w:szCs w:val="28"/>
        </w:rPr>
        <w:t>Researching</w:t>
      </w:r>
      <w:r w:rsidR="00917251" w:rsidRPr="00DA1D84">
        <w:rPr>
          <w:b/>
          <w:sz w:val="28"/>
          <w:szCs w:val="28"/>
        </w:rPr>
        <w:t xml:space="preserve"> sexuality and language in educational sites</w:t>
      </w:r>
    </w:p>
    <w:p w14:paraId="006DF38D" w14:textId="77777777" w:rsidR="00021F87" w:rsidRDefault="00021F87" w:rsidP="00CC472C"/>
    <w:p w14:paraId="613BFE6A" w14:textId="3C3961E9" w:rsidR="00917251" w:rsidRPr="006C2857" w:rsidRDefault="00021F87" w:rsidP="00CC472C">
      <w:pPr>
        <w:rPr>
          <w:b/>
          <w:i/>
        </w:rPr>
      </w:pPr>
      <w:r w:rsidRPr="006C2857">
        <w:rPr>
          <w:b/>
          <w:i/>
        </w:rPr>
        <w:t>Helen Sauntson</w:t>
      </w:r>
    </w:p>
    <w:p w14:paraId="0D926530" w14:textId="07E8DBF0" w:rsidR="00021F87" w:rsidRPr="006C2857" w:rsidRDefault="00021F87" w:rsidP="00CC472C">
      <w:pPr>
        <w:rPr>
          <w:b/>
          <w:i/>
        </w:rPr>
      </w:pPr>
      <w:r w:rsidRPr="006C2857">
        <w:rPr>
          <w:b/>
          <w:i/>
        </w:rPr>
        <w:t>York St John University, UK</w:t>
      </w:r>
    </w:p>
    <w:p w14:paraId="0B4A4B5A" w14:textId="77777777" w:rsidR="00021F87" w:rsidRDefault="00021F87" w:rsidP="00CC472C"/>
    <w:p w14:paraId="2FE30073" w14:textId="263A622B" w:rsidR="00535972" w:rsidRDefault="004A1180" w:rsidP="00535972">
      <w:r>
        <w:t>In recent years, there has been a steadily g</w:t>
      </w:r>
      <w:r w:rsidR="00A90417">
        <w:t xml:space="preserve">rowing body of research </w:t>
      </w:r>
      <w:r>
        <w:t xml:space="preserve">on language and sexuality in educational settings. Research has developed </w:t>
      </w:r>
      <w:r w:rsidR="00A90417">
        <w:t>in response to social, cultural and legal changes relating to sexual diversity in many places around the world.</w:t>
      </w:r>
      <w:r w:rsidR="00C940F0">
        <w:t xml:space="preserve"> Sexuality is an important dimension of diversity and inclusion, yet in the broader field of applied linguistics, it often receives less attention that other dimensions of diversity, such as language background, nationality and ethnicity.</w:t>
      </w:r>
      <w:r w:rsidR="00535972">
        <w:t xml:space="preserve"> </w:t>
      </w:r>
      <w:r w:rsidR="00021F87">
        <w:t>For example, a</w:t>
      </w:r>
      <w:r w:rsidR="00B634EA" w:rsidRPr="00B634EA">
        <w:t xml:space="preserve"> simple search of</w:t>
      </w:r>
      <w:r w:rsidR="00535972" w:rsidRPr="00B634EA">
        <w:t xml:space="preserve"> Google Scholar</w:t>
      </w:r>
      <w:r w:rsidR="00B634EA" w:rsidRPr="00B634EA">
        <w:t xml:space="preserve"> for terms such as ‘language’, ‘linguistics’, ‘applied linguistics’ and ‘diversity’ in various configurations reveal a very limited focus on diversity in language(s) and in relation to race and ethnicity</w:t>
      </w:r>
      <w:r w:rsidR="00535972" w:rsidRPr="00B634EA">
        <w:t xml:space="preserve"> </w:t>
      </w:r>
      <w:r w:rsidR="00B634EA" w:rsidRPr="00B634EA">
        <w:t>(</w:t>
      </w:r>
      <w:r w:rsidR="00655673">
        <w:t>a</w:t>
      </w:r>
      <w:r w:rsidR="00B634EA" w:rsidRPr="00B634EA">
        <w:t xml:space="preserve">nd see Ahmed, 2007, for a useful discussion of the limited </w:t>
      </w:r>
      <w:r w:rsidR="000B1EC9">
        <w:t xml:space="preserve">and constrained </w:t>
      </w:r>
      <w:r w:rsidR="00B634EA" w:rsidRPr="00B634EA">
        <w:t>‘language of diversity’).</w:t>
      </w:r>
    </w:p>
    <w:p w14:paraId="57B45BFF" w14:textId="1B7C8ACF" w:rsidR="00A90417" w:rsidRDefault="00A90417" w:rsidP="00CC472C"/>
    <w:p w14:paraId="66EBCBEE" w14:textId="14013131" w:rsidR="000C47E3" w:rsidRDefault="00021F87" w:rsidP="00CC472C">
      <w:r>
        <w:t>Drawing on some of the most recent and ongoing research in the field, t</w:t>
      </w:r>
      <w:r w:rsidR="00535972">
        <w:t xml:space="preserve">his chapter proposes that one reason for the relative marginalisation of language and sexuality within applied linguistics more broadly </w:t>
      </w:r>
      <w:r w:rsidR="006F7693" w:rsidRPr="001360EA">
        <w:rPr>
          <w:color w:val="FF0000"/>
        </w:rPr>
        <w:t xml:space="preserve">(and </w:t>
      </w:r>
      <w:r w:rsidR="001360EA" w:rsidRPr="001360EA">
        <w:rPr>
          <w:color w:val="FF0000"/>
        </w:rPr>
        <w:t>in the field of human sciences as a whole)</w:t>
      </w:r>
      <w:r w:rsidR="001360EA">
        <w:t xml:space="preserve"> </w:t>
      </w:r>
      <w:r w:rsidR="00535972">
        <w:t xml:space="preserve">is that it is seen as a particularly ‘risky’ and challenging area of research for many scholars. Much language and sexuality work tends to focus on language practices as they relate to sexual minority populations. Some work does, of course, explore heterosexual language practices. But the main dimension of heterosexuality explored in the field is the way that discourses of heteronormativity prevail in society and function to validate (certain forms of) heterosexuality as the perceived norm whilst marginalising other sexual identities. Indeed, this is a key remit of queer linguistics, an approach which has developed over the past two decades as a means of systematically exploring various aspects of the relationship between language and sexuality. The prevailing focus on sexual minorities presents numerous challenges which are explored throughout this chapter. Drawing on the concept of ‘befriending’ introduced by Pakula (2018), I propose some ways of dealing with the vulnerabilities, challenges and risks relating to this area of applied linguistics, rather than seeing them as a barrier to </w:t>
      </w:r>
      <w:r>
        <w:t xml:space="preserve">conducting and </w:t>
      </w:r>
      <w:r w:rsidR="00535972">
        <w:t>engaging with research.</w:t>
      </w:r>
      <w:r>
        <w:t xml:space="preserve"> </w:t>
      </w:r>
      <w:r w:rsidR="000C4F81" w:rsidRPr="00056B43">
        <w:rPr>
          <w:color w:val="FF0000"/>
        </w:rPr>
        <w:t xml:space="preserve">Pakula recognises </w:t>
      </w:r>
      <w:r w:rsidR="004909A8" w:rsidRPr="00056B43">
        <w:rPr>
          <w:color w:val="FF0000"/>
        </w:rPr>
        <w:t xml:space="preserve">the negative connotations associated with ‘barriers’ and ‘risk’ and </w:t>
      </w:r>
      <w:r w:rsidR="00056B43" w:rsidRPr="00056B43">
        <w:rPr>
          <w:color w:val="FF0000"/>
        </w:rPr>
        <w:t>subsequently</w:t>
      </w:r>
      <w:r w:rsidR="004909A8" w:rsidRPr="00056B43">
        <w:rPr>
          <w:color w:val="FF0000"/>
        </w:rPr>
        <w:t xml:space="preserve"> reconceptualises them </w:t>
      </w:r>
      <w:r w:rsidR="00056B43" w:rsidRPr="00056B43">
        <w:rPr>
          <w:color w:val="FF0000"/>
        </w:rPr>
        <w:t xml:space="preserve">as ‘befriending’ </w:t>
      </w:r>
      <w:r w:rsidR="004909A8" w:rsidRPr="00056B43">
        <w:rPr>
          <w:color w:val="FF0000"/>
        </w:rPr>
        <w:t>in an effort to create a more positive discourse</w:t>
      </w:r>
      <w:r w:rsidR="00056B43" w:rsidRPr="00056B43">
        <w:rPr>
          <w:color w:val="FF0000"/>
        </w:rPr>
        <w:t xml:space="preserve"> of engagement in sensitive or taboo areas of applied linguistic research and practice. </w:t>
      </w:r>
      <w:r>
        <w:t>Pakula’s concept of befriending may ultimately be used as a way of addressing risks, vulnerabilities and challenges in other areas of applied linguistics</w:t>
      </w:r>
      <w:r w:rsidR="001360EA">
        <w:t xml:space="preserve"> </w:t>
      </w:r>
      <w:r w:rsidR="001360EA" w:rsidRPr="001360EA">
        <w:rPr>
          <w:color w:val="FF0000"/>
        </w:rPr>
        <w:t>and across the human sciences more broadly</w:t>
      </w:r>
      <w:r>
        <w:t>.</w:t>
      </w:r>
    </w:p>
    <w:p w14:paraId="7BE02047" w14:textId="77777777" w:rsidR="00535972" w:rsidRDefault="00535972" w:rsidP="00535972"/>
    <w:p w14:paraId="6E270931" w14:textId="65D29A8E" w:rsidR="00535972" w:rsidRDefault="00535972" w:rsidP="00535972">
      <w:r>
        <w:t xml:space="preserve">Researchers engaging in work exploring language and sexuality often report it as being risky and feeling vulnerable. These reports are often anecdotal, but there appear to be perhaps two key dimensions of perceived risk and vulnerability associated with conducting research in this area. The first dimension relates to riskiness in terms of engaging with a topic that is still seen as taboo in many contexts (despite </w:t>
      </w:r>
      <w:r w:rsidR="00021F87">
        <w:t xml:space="preserve">the many </w:t>
      </w:r>
      <w:r>
        <w:t xml:space="preserve">positive social, cultural and legal changes </w:t>
      </w:r>
      <w:r w:rsidR="00021F87">
        <w:t>taking place around the world</w:t>
      </w:r>
      <w:r>
        <w:t xml:space="preserve">). Researchers often report feeling that engaging in research on language and sexuality, as a taboo area, is potentially risky for their academic careers, particularly those who work in more conservative countries and contexts. This is particularly the case for those researchers in the field who, themselves, identify as </w:t>
      </w:r>
      <w:r w:rsidR="00D52A60">
        <w:t>LGBTQ+</w:t>
      </w:r>
      <w:r>
        <w:t xml:space="preserve"> which can already carry with it experiences of ‘minority </w:t>
      </w:r>
      <w:r w:rsidRPr="00B82FC1">
        <w:t>stress’ (</w:t>
      </w:r>
      <w:r w:rsidR="007D1856" w:rsidRPr="00B82FC1">
        <w:t>Balsam et al, 2013; Toomey, 2018</w:t>
      </w:r>
      <w:r w:rsidRPr="00B82FC1">
        <w:t>).</w:t>
      </w:r>
      <w:r>
        <w:t xml:space="preserve"> The second dimension of risk and vulnerability relates to the perceived and experienced </w:t>
      </w:r>
      <w:r>
        <w:lastRenderedPageBreak/>
        <w:t xml:space="preserve">vulnerability of research participants who identify as </w:t>
      </w:r>
      <w:r w:rsidR="00D52A60">
        <w:t>LGBTQ+</w:t>
      </w:r>
      <w:r>
        <w:t xml:space="preserve">. The vulnerability of </w:t>
      </w:r>
      <w:r w:rsidR="00D52A60">
        <w:t>LGBTQ+</w:t>
      </w:r>
      <w:r>
        <w:t xml:space="preserve"> populations </w:t>
      </w:r>
      <w:r w:rsidR="00300E7C">
        <w:t xml:space="preserve">in educational contexts </w:t>
      </w:r>
      <w:r w:rsidR="006C2E49">
        <w:t xml:space="preserve">is </w:t>
      </w:r>
      <w:r>
        <w:t>well-documented el</w:t>
      </w:r>
      <w:r w:rsidRPr="00744DE1">
        <w:t xml:space="preserve">sewhere </w:t>
      </w:r>
      <w:r w:rsidR="0017256C" w:rsidRPr="00744DE1">
        <w:t xml:space="preserve">(e.g. Birkett and Espelage, 2015; Bradlow </w:t>
      </w:r>
      <w:r w:rsidR="0017256C" w:rsidRPr="00744DE1">
        <w:rPr>
          <w:i/>
        </w:rPr>
        <w:t>et al</w:t>
      </w:r>
      <w:r w:rsidR="0017256C" w:rsidRPr="00744DE1">
        <w:t xml:space="preserve">, 2017; Bryan, 2012; DePalma and Francis, 2014; Gray, 2013; Kosciw </w:t>
      </w:r>
      <w:r w:rsidR="0017256C" w:rsidRPr="00744DE1">
        <w:rPr>
          <w:i/>
        </w:rPr>
        <w:t>et al</w:t>
      </w:r>
      <w:r w:rsidR="0017256C" w:rsidRPr="00744DE1">
        <w:t>, 2015; Meyer, 2010; Sauntson, 2013; 2018)</w:t>
      </w:r>
      <w:r>
        <w:t xml:space="preserve"> but less attention has been paid to those researching these populations, including those researchers who may also identify themselves as </w:t>
      </w:r>
      <w:r w:rsidR="00D52A60">
        <w:t>LGBTQ+</w:t>
      </w:r>
      <w:r>
        <w:t xml:space="preserve">. Therefore, the rest of this chapter focuses on the vulnerabilities of researchers and the perceived and actual risks they take in conducting research in the field of language and sexuality. </w:t>
      </w:r>
    </w:p>
    <w:p w14:paraId="33585F95" w14:textId="77777777" w:rsidR="00CD2911" w:rsidRDefault="00CD2911" w:rsidP="00CC472C"/>
    <w:p w14:paraId="3C33456E" w14:textId="08FE29DE" w:rsidR="000C47E3" w:rsidRDefault="00535972" w:rsidP="000C47E3">
      <w:r>
        <w:t xml:space="preserve">In the following section, I </w:t>
      </w:r>
      <w:r w:rsidR="00021F87">
        <w:t xml:space="preserve">firstly </w:t>
      </w:r>
      <w:r>
        <w:t xml:space="preserve">present some of my own personal reflections of conducting research in the field of language, sexuality and education (and within the broader academic context in the UK) over the past two decades. I then go on to consider some </w:t>
      </w:r>
      <w:r w:rsidR="000C47E3">
        <w:t xml:space="preserve">examples of </w:t>
      </w:r>
      <w:r>
        <w:t xml:space="preserve">current </w:t>
      </w:r>
      <w:r w:rsidR="000C47E3">
        <w:t xml:space="preserve">academic work in the field, which </w:t>
      </w:r>
      <w:r>
        <w:t xml:space="preserve">are particularly effective in terms of </w:t>
      </w:r>
      <w:r w:rsidR="000C47E3">
        <w:t>highlight</w:t>
      </w:r>
      <w:r>
        <w:t>ing</w:t>
      </w:r>
      <w:r w:rsidR="000C47E3">
        <w:t xml:space="preserve"> issues of risk</w:t>
      </w:r>
      <w:r>
        <w:t xml:space="preserve"> and</w:t>
      </w:r>
      <w:r w:rsidR="000C47E3">
        <w:t xml:space="preserve"> vulnerability </w:t>
      </w:r>
      <w:r>
        <w:t>as they</w:t>
      </w:r>
      <w:r w:rsidR="000C47E3">
        <w:t xml:space="preserve"> relat</w:t>
      </w:r>
      <w:r>
        <w:t>e</w:t>
      </w:r>
      <w:r w:rsidR="000C47E3">
        <w:t xml:space="preserve"> to this area of applied linguistics research</w:t>
      </w:r>
      <w:r>
        <w:t>. Finally, I return to Pakula’s notion of ‘befriending’ in order to consider how research in the area of lang</w:t>
      </w:r>
      <w:r w:rsidR="00635CA1">
        <w:t>u</w:t>
      </w:r>
      <w:r>
        <w:t xml:space="preserve">age, sexuality and education may </w:t>
      </w:r>
      <w:r w:rsidR="00635CA1">
        <w:t>address some of the risks and vulnerabilities addressed in the current research.</w:t>
      </w:r>
    </w:p>
    <w:p w14:paraId="7A4C37B0" w14:textId="7E5C814D" w:rsidR="00A90417" w:rsidRDefault="00A90417" w:rsidP="00CC472C"/>
    <w:p w14:paraId="3DD96860" w14:textId="10DBC1B9" w:rsidR="00433EDE" w:rsidRPr="00433EDE" w:rsidRDefault="00433EDE" w:rsidP="00CC472C">
      <w:pPr>
        <w:rPr>
          <w:b/>
          <w:bCs/>
        </w:rPr>
      </w:pPr>
      <w:r w:rsidRPr="00433EDE">
        <w:rPr>
          <w:b/>
          <w:bCs/>
        </w:rPr>
        <w:t>Personal reflections</w:t>
      </w:r>
    </w:p>
    <w:p w14:paraId="559C1FA5" w14:textId="7A49C35F" w:rsidR="00917251" w:rsidRDefault="007E0ED9" w:rsidP="00CC472C">
      <w:r>
        <w:t>In language and sexuality work which focuses on educational contexts, much work</w:t>
      </w:r>
      <w:r w:rsidR="00917251">
        <w:t xml:space="preserve"> point</w:t>
      </w:r>
      <w:r>
        <w:t>s</w:t>
      </w:r>
      <w:r w:rsidR="00917251">
        <w:t xml:space="preserve"> to the continuing ubiquity of discriminatory behaviours towards non-heteronormativity in educational settings. Yet applied linguistics research which investigates the linguistic forms of these discriminatory practices, and why they are so prevalent, is still in its relative infancy and conducted by relatively few scholars in a limited number of geographical contexts. A key reason for this, noted by Pakula</w:t>
      </w:r>
      <w:r w:rsidR="00C40DE2">
        <w:t xml:space="preserve"> (2018)</w:t>
      </w:r>
      <w:r w:rsidR="00917251">
        <w:t>, is the risks associated with doing this research.</w:t>
      </w:r>
      <w:r w:rsidR="00917251" w:rsidRPr="00955A64">
        <w:t xml:space="preserve"> </w:t>
      </w:r>
      <w:r w:rsidR="00917251">
        <w:t>We must acknowledge the important point that in certain geographies and temporalities educational settings constitute hazardous sites for exploring sexuality-related issues.</w:t>
      </w:r>
      <w:r w:rsidR="00917251" w:rsidRPr="00955A64">
        <w:t xml:space="preserve"> </w:t>
      </w:r>
      <w:r w:rsidR="0032372E">
        <w:t xml:space="preserve">Even in national contexts where same-sex relationships are legal </w:t>
      </w:r>
      <w:r w:rsidR="00D43DA9">
        <w:t xml:space="preserve">(including the legalisation of same-sex marriage and civil partnerships), negative social attitudes can still prevail. </w:t>
      </w:r>
      <w:r w:rsidR="00917251">
        <w:t>Such risks concern, amongst other things, putting the researcher’s career in jeopardy</w:t>
      </w:r>
      <w:r w:rsidR="00376887">
        <w:t xml:space="preserve"> and, thus, making ourselves professionally, as well as personally, ‘vulnerable’</w:t>
      </w:r>
      <w:r w:rsidR="00917251">
        <w:t xml:space="preserve">. </w:t>
      </w:r>
    </w:p>
    <w:p w14:paraId="2205B1E8" w14:textId="77777777" w:rsidR="007E0ED9" w:rsidRDefault="007E0ED9" w:rsidP="00CC472C"/>
    <w:p w14:paraId="4E5D9001" w14:textId="4C2132E0" w:rsidR="001521F6" w:rsidRDefault="00D43DA9" w:rsidP="00CC472C">
      <w:r>
        <w:t>This is relevant even in the UK context in which I have worked since 2000.</w:t>
      </w:r>
      <w:r w:rsidR="00917251">
        <w:t xml:space="preserve"> </w:t>
      </w:r>
      <w:r w:rsidR="00917251">
        <w:rPr>
          <w:rFonts w:cs="Times New Roman"/>
          <w:szCs w:val="24"/>
        </w:rPr>
        <w:t xml:space="preserve">There have been times when I have been explicitly advised </w:t>
      </w:r>
      <w:r w:rsidR="00917251" w:rsidRPr="00D43DA9">
        <w:rPr>
          <w:rFonts w:cs="Times New Roman"/>
          <w:szCs w:val="24"/>
        </w:rPr>
        <w:t>not</w:t>
      </w:r>
      <w:r w:rsidR="00917251">
        <w:rPr>
          <w:rFonts w:cs="Times New Roman"/>
          <w:szCs w:val="24"/>
        </w:rPr>
        <w:t xml:space="preserve"> to research gender and sexuality, and times when I have been </w:t>
      </w:r>
      <w:r w:rsidR="00C40DE2">
        <w:rPr>
          <w:rFonts w:cs="Times New Roman"/>
          <w:szCs w:val="24"/>
        </w:rPr>
        <w:t xml:space="preserve">intimidated and even overtly </w:t>
      </w:r>
      <w:r w:rsidR="00917251">
        <w:rPr>
          <w:rFonts w:cs="Times New Roman"/>
          <w:szCs w:val="24"/>
        </w:rPr>
        <w:t xml:space="preserve">bullied for being </w:t>
      </w:r>
      <w:r w:rsidR="00C40DE2">
        <w:rPr>
          <w:rFonts w:cs="Times New Roman"/>
          <w:szCs w:val="24"/>
        </w:rPr>
        <w:t xml:space="preserve">a </w:t>
      </w:r>
      <w:r w:rsidR="00917251">
        <w:rPr>
          <w:rFonts w:cs="Times New Roman"/>
          <w:szCs w:val="24"/>
        </w:rPr>
        <w:t>gay</w:t>
      </w:r>
      <w:r w:rsidR="00C40DE2">
        <w:rPr>
          <w:rFonts w:cs="Times New Roman"/>
          <w:szCs w:val="24"/>
        </w:rPr>
        <w:t xml:space="preserve"> woman</w:t>
      </w:r>
      <w:r w:rsidR="00917251">
        <w:rPr>
          <w:rFonts w:cs="Times New Roman"/>
          <w:szCs w:val="24"/>
        </w:rPr>
        <w:t xml:space="preserve"> and for pursuing social justice research. I have experienced environments characterised by hyper-competitiveness, aggression and fear. And, as Pakula stresses, </w:t>
      </w:r>
      <w:r w:rsidR="00917251">
        <w:t>both gender and sexuality are taboo concepts in the public discourse of some cultural contexts due to a politics of fear</w:t>
      </w:r>
      <w:r w:rsidR="00C40DE2">
        <w:t xml:space="preserve"> which, although subtle, is pervasive. This has manifested in a number of ways as I have been openly engaging in research projects which explore language and sexuality in educational settings, including schools.</w:t>
      </w:r>
    </w:p>
    <w:p w14:paraId="6968377B" w14:textId="77777777" w:rsidR="001521F6" w:rsidRDefault="001521F6" w:rsidP="00CC472C"/>
    <w:p w14:paraId="46E22654" w14:textId="0C158FD5" w:rsidR="001521F6" w:rsidRPr="00007E86" w:rsidRDefault="00C40DE2" w:rsidP="001521F6">
      <w:pPr>
        <w:rPr>
          <w:rFonts w:cs="Times New Roman"/>
        </w:rPr>
      </w:pPr>
      <w:r>
        <w:rPr>
          <w:rFonts w:cs="Times New Roman"/>
        </w:rPr>
        <w:t xml:space="preserve">For example, </w:t>
      </w:r>
      <w:r w:rsidR="00376887">
        <w:rPr>
          <w:rFonts w:cs="Times New Roman"/>
        </w:rPr>
        <w:t>I have been advised on more than one occasion</w:t>
      </w:r>
      <w:r w:rsidR="001521F6" w:rsidRPr="00007E86">
        <w:rPr>
          <w:rFonts w:cs="Times New Roman"/>
        </w:rPr>
        <w:t xml:space="preserve"> to </w:t>
      </w:r>
      <w:r w:rsidR="001521F6" w:rsidRPr="00D43DA9">
        <w:rPr>
          <w:rFonts w:cs="Times New Roman"/>
          <w:iCs/>
        </w:rPr>
        <w:t>not</w:t>
      </w:r>
      <w:r w:rsidR="001521F6" w:rsidRPr="00007E86">
        <w:rPr>
          <w:rFonts w:cs="Times New Roman"/>
        </w:rPr>
        <w:t xml:space="preserve"> have language, gender and sexuality as my only or primary research area – as this is generally considered a ‘risky’ research area (in that it is potentially taboo) and is also not taken as seriously as other areas of applied linguistics. This of course is a result of classic feminist backlashes against any work which strives to expose inequality and </w:t>
      </w:r>
      <w:r w:rsidR="001521F6" w:rsidRPr="0060211F">
        <w:rPr>
          <w:rFonts w:cs="Times New Roman"/>
        </w:rPr>
        <w:t>injustice</w:t>
      </w:r>
      <w:r w:rsidRPr="0060211F">
        <w:rPr>
          <w:rFonts w:cs="Times New Roman"/>
        </w:rPr>
        <w:t xml:space="preserve"> (</w:t>
      </w:r>
      <w:r w:rsidR="00847A01" w:rsidRPr="0060211F">
        <w:rPr>
          <w:rFonts w:cs="Times New Roman"/>
        </w:rPr>
        <w:t>Faludi, 1991; Silva and Mendes, 2015</w:t>
      </w:r>
      <w:r w:rsidRPr="0060211F">
        <w:rPr>
          <w:rFonts w:cs="Times New Roman"/>
        </w:rPr>
        <w:t>)</w:t>
      </w:r>
      <w:r w:rsidR="001521F6" w:rsidRPr="0060211F">
        <w:rPr>
          <w:rFonts w:cs="Times New Roman"/>
        </w:rPr>
        <w:t>.</w:t>
      </w:r>
      <w:r w:rsidR="001521F6" w:rsidRPr="00007E86">
        <w:rPr>
          <w:rFonts w:cs="Times New Roman"/>
        </w:rPr>
        <w:t xml:space="preserve"> </w:t>
      </w:r>
      <w:r w:rsidR="00D43DA9">
        <w:rPr>
          <w:rFonts w:cs="Times New Roman"/>
        </w:rPr>
        <w:t xml:space="preserve"> </w:t>
      </w:r>
      <w:r w:rsidR="001521F6" w:rsidRPr="00007E86">
        <w:rPr>
          <w:rFonts w:cs="Times New Roman"/>
        </w:rPr>
        <w:t xml:space="preserve">Even though I still have </w:t>
      </w:r>
      <w:r w:rsidR="00315CB1">
        <w:rPr>
          <w:rFonts w:cs="Times New Roman"/>
        </w:rPr>
        <w:t>much</w:t>
      </w:r>
      <w:r w:rsidR="001521F6" w:rsidRPr="00007E86">
        <w:rPr>
          <w:rFonts w:cs="Times New Roman"/>
        </w:rPr>
        <w:t xml:space="preserve"> respect for </w:t>
      </w:r>
      <w:r w:rsidR="00315CB1">
        <w:rPr>
          <w:rFonts w:cs="Times New Roman"/>
        </w:rPr>
        <w:t>the</w:t>
      </w:r>
      <w:r w:rsidR="001521F6" w:rsidRPr="00007E86">
        <w:rPr>
          <w:rFonts w:cs="Times New Roman"/>
        </w:rPr>
        <w:t xml:space="preserve"> people</w:t>
      </w:r>
      <w:r w:rsidR="00315CB1">
        <w:rPr>
          <w:rFonts w:cs="Times New Roman"/>
        </w:rPr>
        <w:t xml:space="preserve"> who have advised me to maintain a more ‘mainstream’ research specialism alongside language and sexuality (e.g. language and education, or discourse analysis)</w:t>
      </w:r>
      <w:r w:rsidR="001521F6" w:rsidRPr="00007E86">
        <w:rPr>
          <w:rFonts w:cs="Times New Roman"/>
        </w:rPr>
        <w:t xml:space="preserve">, I </w:t>
      </w:r>
      <w:r w:rsidR="00315CB1">
        <w:rPr>
          <w:rFonts w:cs="Times New Roman"/>
        </w:rPr>
        <w:t xml:space="preserve">have, for the large part, continued to openly maintain </w:t>
      </w:r>
      <w:r w:rsidR="00315CB1">
        <w:rPr>
          <w:rFonts w:cs="Times New Roman"/>
        </w:rPr>
        <w:lastRenderedPageBreak/>
        <w:t>language, sexuality and education as my research specialism.</w:t>
      </w:r>
      <w:r w:rsidR="001521F6" w:rsidRPr="00007E86">
        <w:rPr>
          <w:rFonts w:cs="Times New Roman"/>
        </w:rPr>
        <w:t xml:space="preserve"> Interestingly, </w:t>
      </w:r>
      <w:r w:rsidR="00315CB1">
        <w:rPr>
          <w:rFonts w:cs="Times New Roman"/>
        </w:rPr>
        <w:t xml:space="preserve">although </w:t>
      </w:r>
      <w:r w:rsidR="001521F6" w:rsidRPr="00007E86">
        <w:rPr>
          <w:rFonts w:cs="Times New Roman"/>
        </w:rPr>
        <w:t>this advice continued to be issued to be by different people throughout the early years of my career</w:t>
      </w:r>
      <w:r w:rsidR="00315CB1">
        <w:rPr>
          <w:rFonts w:cs="Times New Roman"/>
        </w:rPr>
        <w:t>, they ended when I took up my position at my current institution.</w:t>
      </w:r>
      <w:r w:rsidR="001521F6" w:rsidRPr="00007E86">
        <w:rPr>
          <w:rFonts w:cs="Times New Roman"/>
        </w:rPr>
        <w:t xml:space="preserve"> </w:t>
      </w:r>
      <w:r w:rsidR="00315CB1">
        <w:rPr>
          <w:rFonts w:cs="Times New Roman"/>
        </w:rPr>
        <w:t>This suggests there is variability around different levels of acceptance of the field of language and sexuality across different institutions even within the same country. For myself, a way of addressing the risks that had been presented very explicitly to me by colleagues early in my career was to simply move to a more liberal and social justice-focused institution.</w:t>
      </w:r>
      <w:r w:rsidR="00D43DA9">
        <w:rPr>
          <w:rFonts w:cs="Times New Roman"/>
        </w:rPr>
        <w:t xml:space="preserve"> However, it has to be acknowledged that this is not a viable option for many scholars for a variety of reasons.</w:t>
      </w:r>
    </w:p>
    <w:p w14:paraId="6CE53C7B" w14:textId="77777777" w:rsidR="001521F6" w:rsidRPr="00007E86" w:rsidRDefault="001521F6" w:rsidP="001521F6">
      <w:pPr>
        <w:rPr>
          <w:rFonts w:cs="Times New Roman"/>
        </w:rPr>
      </w:pPr>
    </w:p>
    <w:p w14:paraId="314E1DF7" w14:textId="18F2B3CC" w:rsidR="001521F6" w:rsidRPr="00007E86" w:rsidRDefault="00D43DA9" w:rsidP="001521F6">
      <w:pPr>
        <w:rPr>
          <w:rFonts w:cs="Times New Roman"/>
        </w:rPr>
      </w:pPr>
      <w:r>
        <w:rPr>
          <w:rFonts w:cs="Times New Roman"/>
        </w:rPr>
        <w:t xml:space="preserve">Even within social justice-oriented institutions, </w:t>
      </w:r>
      <w:r w:rsidR="001521F6">
        <w:rPr>
          <w:rFonts w:cs="Times New Roman"/>
        </w:rPr>
        <w:t>challenges do remain. One of the biggest challenges I continue to experience is that a</w:t>
      </w:r>
      <w:r w:rsidR="001521F6" w:rsidRPr="00007E86">
        <w:rPr>
          <w:rFonts w:cs="Times New Roman"/>
        </w:rPr>
        <w:t xml:space="preserve">udit </w:t>
      </w:r>
      <w:r w:rsidR="001521F6">
        <w:rPr>
          <w:rFonts w:cs="Times New Roman"/>
        </w:rPr>
        <w:t>is</w:t>
      </w:r>
      <w:r w:rsidR="001521F6" w:rsidRPr="00007E86">
        <w:rPr>
          <w:rFonts w:cs="Times New Roman"/>
        </w:rPr>
        <w:t xml:space="preserve"> an inescapable feature of life as a university academic to the extent that many feel their primary purpose is to provide measures and validation of their work over and above the performance of the work itself. </w:t>
      </w:r>
      <w:r w:rsidR="00155FB7">
        <w:rPr>
          <w:rFonts w:cs="Times New Roman"/>
        </w:rPr>
        <w:t>This happens even within the most liberal and progressive higher education contexts (for a discussion of the reasons for this, see</w:t>
      </w:r>
      <w:r w:rsidR="006E1409">
        <w:rPr>
          <w:rFonts w:cs="Times New Roman"/>
        </w:rPr>
        <w:t xml:space="preserve">, for </w:t>
      </w:r>
      <w:r w:rsidR="006E1409" w:rsidRPr="006E1409">
        <w:rPr>
          <w:rFonts w:cs="Times New Roman"/>
        </w:rPr>
        <w:t>example,</w:t>
      </w:r>
      <w:r w:rsidR="00155FB7" w:rsidRPr="006E1409">
        <w:rPr>
          <w:rFonts w:cs="Times New Roman"/>
        </w:rPr>
        <w:t xml:space="preserve"> </w:t>
      </w:r>
      <w:r w:rsidR="00763C7B" w:rsidRPr="006E1409">
        <w:rPr>
          <w:rFonts w:cs="Times New Roman"/>
        </w:rPr>
        <w:t>Hall, 2018; Morrish and Sauntson, 2020</w:t>
      </w:r>
      <w:r w:rsidR="00155FB7" w:rsidRPr="006E1409">
        <w:rPr>
          <w:rFonts w:cs="Times New Roman"/>
        </w:rPr>
        <w:t>).</w:t>
      </w:r>
      <w:r w:rsidR="00155FB7">
        <w:rPr>
          <w:rFonts w:cs="Times New Roman"/>
        </w:rPr>
        <w:t xml:space="preserve"> Within the overwhelmingly neoliberal context of British higher education, </w:t>
      </w:r>
      <w:r w:rsidR="001521F6">
        <w:rPr>
          <w:rFonts w:cs="Times New Roman"/>
        </w:rPr>
        <w:t xml:space="preserve">‘success’ </w:t>
      </w:r>
      <w:r w:rsidR="00155FB7">
        <w:rPr>
          <w:rFonts w:cs="Times New Roman"/>
        </w:rPr>
        <w:t xml:space="preserve">as an academic </w:t>
      </w:r>
      <w:r w:rsidR="001521F6">
        <w:rPr>
          <w:rFonts w:cs="Times New Roman"/>
        </w:rPr>
        <w:t xml:space="preserve">often becomes linked to </w:t>
      </w:r>
      <w:r w:rsidR="00D4665B">
        <w:rPr>
          <w:rFonts w:cs="Times New Roman"/>
        </w:rPr>
        <w:t xml:space="preserve">these </w:t>
      </w:r>
      <w:r w:rsidR="001521F6">
        <w:rPr>
          <w:rFonts w:cs="Times New Roman"/>
        </w:rPr>
        <w:t>proxy measures</w:t>
      </w:r>
      <w:r w:rsidR="00D4665B">
        <w:rPr>
          <w:rFonts w:cs="Times New Roman"/>
        </w:rPr>
        <w:t xml:space="preserve">. As Peseta </w:t>
      </w:r>
      <w:r w:rsidR="00D4665B" w:rsidRPr="00D43DA9">
        <w:rPr>
          <w:rFonts w:cs="Times New Roman"/>
          <w:i/>
        </w:rPr>
        <w:t>et al</w:t>
      </w:r>
      <w:r w:rsidR="00D4665B">
        <w:rPr>
          <w:rFonts w:cs="Times New Roman"/>
        </w:rPr>
        <w:t xml:space="preserve"> (2017) argue:</w:t>
      </w:r>
    </w:p>
    <w:p w14:paraId="1CE05A22" w14:textId="77777777" w:rsidR="001521F6" w:rsidRPr="00007E86" w:rsidRDefault="001521F6" w:rsidP="001521F6">
      <w:pPr>
        <w:ind w:left="720"/>
        <w:rPr>
          <w:rFonts w:eastAsia="Times New Roman" w:cs="Times New Roman"/>
        </w:rPr>
      </w:pPr>
    </w:p>
    <w:p w14:paraId="1560E0CB" w14:textId="31E8684F" w:rsidR="00792A14" w:rsidRPr="00792A14" w:rsidRDefault="00792A14" w:rsidP="00792A14">
      <w:pPr>
        <w:ind w:left="720"/>
        <w:rPr>
          <w:rFonts w:eastAsia="Times New Roman" w:cs="Times New Roman"/>
        </w:rPr>
      </w:pPr>
      <w:r w:rsidRPr="00792A14">
        <w:rPr>
          <w:rFonts w:eastAsia="Times New Roman" w:cs="Times New Roman"/>
        </w:rPr>
        <w:t xml:space="preserve">The demand to count, measure, rank, quantify, evaluate and judge the work of universities (along with those who labour and study in them) haunts virtually all aspects of our work: from the quality of research, to targets for income generation, counts of patents, citations of articles and public testimonies of policy impact made visible and likeable online; from the quality of curriculum, to teaching with technology, responding to student feedback, watching the employment destinations and salaries of graduates as a comment on the value of their education; to whether a university is healthy, sustainable, sufficiently globalized or doing enough to position itself as the world leader in this or that discipline. (Peseta </w:t>
      </w:r>
      <w:r w:rsidRPr="00792A14">
        <w:rPr>
          <w:rFonts w:eastAsia="Times New Roman" w:cs="Times New Roman"/>
          <w:i/>
          <w:iCs/>
        </w:rPr>
        <w:t>et al</w:t>
      </w:r>
      <w:r w:rsidRPr="00792A14">
        <w:rPr>
          <w:rFonts w:eastAsia="Times New Roman" w:cs="Times New Roman"/>
        </w:rPr>
        <w:t>, 2017)</w:t>
      </w:r>
    </w:p>
    <w:p w14:paraId="0D0435A9" w14:textId="77777777" w:rsidR="001521F6" w:rsidRPr="00007E86" w:rsidRDefault="001521F6" w:rsidP="001521F6">
      <w:pPr>
        <w:rPr>
          <w:rFonts w:cs="Times New Roman"/>
        </w:rPr>
      </w:pPr>
    </w:p>
    <w:p w14:paraId="595F5D89" w14:textId="52D19691" w:rsidR="001521F6" w:rsidRDefault="0027155F" w:rsidP="001521F6">
      <w:r>
        <w:rPr>
          <w:rFonts w:cs="Times New Roman"/>
        </w:rPr>
        <w:t>As individual scholars, we need to decide whether to</w:t>
      </w:r>
      <w:r w:rsidR="001521F6" w:rsidRPr="00007E86">
        <w:rPr>
          <w:rFonts w:cs="Times New Roman"/>
        </w:rPr>
        <w:t xml:space="preserve"> go along with this, or try to navigate an alternative path to ‘success’ which is more collegiate</w:t>
      </w:r>
      <w:r w:rsidR="001521F6">
        <w:rPr>
          <w:rFonts w:cs="Times New Roman"/>
        </w:rPr>
        <w:t xml:space="preserve">, </w:t>
      </w:r>
      <w:r w:rsidR="001521F6" w:rsidRPr="00007E86">
        <w:rPr>
          <w:rFonts w:cs="Times New Roman"/>
        </w:rPr>
        <w:t>less individualised</w:t>
      </w:r>
      <w:r w:rsidR="001521F6">
        <w:rPr>
          <w:rFonts w:cs="Times New Roman"/>
        </w:rPr>
        <w:t xml:space="preserve"> and more balanced with other aspects of life</w:t>
      </w:r>
      <w:r w:rsidR="001521F6" w:rsidRPr="00007E86">
        <w:rPr>
          <w:rFonts w:cs="Times New Roman"/>
        </w:rPr>
        <w:t>.</w:t>
      </w:r>
      <w:r w:rsidR="000F7A97">
        <w:rPr>
          <w:rFonts w:cs="Times New Roman"/>
        </w:rPr>
        <w:t xml:space="preserve"> These proxy measures of academic success can exacerbate the risks felt by researching particular topics in applied linguistics which are seen as marginal (and therefore less likely to be widely cited, achieve widespread and measurable ‘impact’ etc)</w:t>
      </w:r>
      <w:r w:rsidR="00D4665B">
        <w:rPr>
          <w:rFonts w:cs="Times New Roman"/>
        </w:rPr>
        <w:t xml:space="preserve"> and this is certainly something I have experienced as a challenge (and continue to experience) in my own professional life</w:t>
      </w:r>
      <w:r w:rsidR="00D43DA9">
        <w:rPr>
          <w:rFonts w:cs="Times New Roman"/>
        </w:rPr>
        <w:t>, particularly in relation to language and sexuality as a ‘marginal’ area within applied linguistics more broadly.</w:t>
      </w:r>
    </w:p>
    <w:p w14:paraId="646F4F19" w14:textId="77777777" w:rsidR="001521F6" w:rsidRDefault="001521F6" w:rsidP="00CC472C"/>
    <w:p w14:paraId="6176CF70" w14:textId="37744806" w:rsidR="00917251" w:rsidRDefault="00D4665B" w:rsidP="00CC472C">
      <w:r>
        <w:t>In some ways, t</w:t>
      </w:r>
      <w:r w:rsidR="00917251">
        <w:t xml:space="preserve">his </w:t>
      </w:r>
      <w:r w:rsidR="001521F6">
        <w:t>chapter</w:t>
      </w:r>
      <w:r w:rsidR="00917251">
        <w:t xml:space="preserve"> is, in itself, risky. </w:t>
      </w:r>
      <w:r>
        <w:t xml:space="preserve">In addition to focusing on the taboo topic of sexuality (especially in educational settings), it may be read as critical of applied linguistics, and of higher education more broadly. </w:t>
      </w:r>
      <w:r w:rsidR="00917251">
        <w:t xml:space="preserve">And, in other national and geographical contexts, </w:t>
      </w:r>
      <w:r>
        <w:t xml:space="preserve">this chapter </w:t>
      </w:r>
      <w:r w:rsidR="00917251">
        <w:t xml:space="preserve">simply </w:t>
      </w:r>
      <w:r>
        <w:t>could not be written</w:t>
      </w:r>
      <w:r w:rsidR="00917251">
        <w:t xml:space="preserve">. </w:t>
      </w:r>
      <w:r>
        <w:t xml:space="preserve">For example, colleagues in areas of South America are currently experiencing unprecedented amounts of pressure and prejudice since the emergence of the political far right which has effectively ‘closed down’ social justice focused research, especially that which is seen to potentially destabilise ideas of normative gender and (hetero)sexuality. </w:t>
      </w:r>
      <w:r w:rsidR="00917251">
        <w:t xml:space="preserve">But progress in any human endeavour can only happen if brave people take risks </w:t>
      </w:r>
      <w:r>
        <w:t>and</w:t>
      </w:r>
      <w:r w:rsidR="00917251">
        <w:t xml:space="preserve"> if they prioritise human advancement over their own personal safety and well-being.</w:t>
      </w:r>
      <w:r>
        <w:t xml:space="preserve"> And this is precisely what has happened (and continues to happen) in the field of language and sexuality, especially in relation to education.</w:t>
      </w:r>
    </w:p>
    <w:p w14:paraId="2600D501" w14:textId="36AFF2AA" w:rsidR="00917251" w:rsidRDefault="00917251" w:rsidP="00CC472C"/>
    <w:p w14:paraId="0277CA2F" w14:textId="5CD04070" w:rsidR="00F04FA8" w:rsidRPr="00E02D46" w:rsidRDefault="00E02D46" w:rsidP="00CC472C">
      <w:pPr>
        <w:rPr>
          <w:b/>
          <w:bCs/>
        </w:rPr>
      </w:pPr>
      <w:r w:rsidRPr="00E02D46">
        <w:rPr>
          <w:b/>
          <w:bCs/>
        </w:rPr>
        <w:t xml:space="preserve">Language, sexuality and education: Key issues in applied </w:t>
      </w:r>
      <w:r w:rsidR="00D43DA9">
        <w:rPr>
          <w:b/>
          <w:bCs/>
        </w:rPr>
        <w:t xml:space="preserve">linguistics </w:t>
      </w:r>
      <w:r w:rsidRPr="00E02D46">
        <w:rPr>
          <w:b/>
          <w:bCs/>
        </w:rPr>
        <w:t>research</w:t>
      </w:r>
    </w:p>
    <w:p w14:paraId="1111F620" w14:textId="209E75C3" w:rsidR="00377380" w:rsidRPr="00377380" w:rsidRDefault="00377380" w:rsidP="00CC472C">
      <w:pPr>
        <w:rPr>
          <w:lang w:val="en-US"/>
        </w:rPr>
      </w:pPr>
      <w:r w:rsidRPr="00377380">
        <w:rPr>
          <w:lang w:val="en-US"/>
        </w:rPr>
        <w:lastRenderedPageBreak/>
        <w:t xml:space="preserve">It is not the intention to provide a comprehensive overview of work on language, sexuality and education here. Reviews of work in this area can be found </w:t>
      </w:r>
      <w:r w:rsidRPr="00EE4479">
        <w:rPr>
          <w:lang w:val="en-US"/>
        </w:rPr>
        <w:t xml:space="preserve">in </w:t>
      </w:r>
      <w:r w:rsidR="009A1B0F" w:rsidRPr="00EE4479">
        <w:rPr>
          <w:lang w:val="en-US"/>
        </w:rPr>
        <w:t xml:space="preserve">(Pakula, </w:t>
      </w:r>
      <w:r w:rsidR="001E1BBB" w:rsidRPr="001E1BBB">
        <w:rPr>
          <w:color w:val="FF0000"/>
          <w:lang w:val="en-US"/>
        </w:rPr>
        <w:t>2021</w:t>
      </w:r>
      <w:r w:rsidR="009A1B0F" w:rsidRPr="00EE4479">
        <w:rPr>
          <w:lang w:val="en-US"/>
        </w:rPr>
        <w:t xml:space="preserve">; </w:t>
      </w:r>
      <w:r w:rsidR="00175E8F" w:rsidRPr="00EE4479">
        <w:rPr>
          <w:lang w:val="en-US"/>
        </w:rPr>
        <w:t>Sauntson, 2017; 2018</w:t>
      </w:r>
      <w:r w:rsidR="009A1B0F" w:rsidRPr="00EE4479">
        <w:rPr>
          <w:lang w:val="en-US"/>
        </w:rPr>
        <w:t>)</w:t>
      </w:r>
      <w:r w:rsidRPr="00EE4479">
        <w:rPr>
          <w:lang w:val="en-US"/>
        </w:rPr>
        <w:t>.</w:t>
      </w:r>
      <w:r w:rsidRPr="00377380">
        <w:rPr>
          <w:lang w:val="en-US"/>
        </w:rPr>
        <w:t xml:space="preserve"> In this section, I simply highlight some issues in this area of research which have prompted the need for more attention to be paid to elements of risk and vulnerability and which, therefore, are more directly relevant to the concerns of the present chapter.</w:t>
      </w:r>
    </w:p>
    <w:p w14:paraId="3CA4E420" w14:textId="77777777" w:rsidR="00377380" w:rsidRPr="004B75DF" w:rsidRDefault="00377380" w:rsidP="00CC472C">
      <w:pPr>
        <w:rPr>
          <w:lang w:val="en-US"/>
        </w:rPr>
      </w:pPr>
    </w:p>
    <w:p w14:paraId="75E2E56E" w14:textId="418A872A" w:rsidR="00E02D46" w:rsidRPr="004B75DF" w:rsidRDefault="004B75DF" w:rsidP="00CC472C">
      <w:r w:rsidRPr="004B75DF">
        <w:rPr>
          <w:lang w:val="en-US"/>
        </w:rPr>
        <w:t>A key issue which has emerged in the field in recent years is that, d</w:t>
      </w:r>
      <w:r w:rsidR="007D5249" w:rsidRPr="004B75DF">
        <w:rPr>
          <w:lang w:val="en-US"/>
        </w:rPr>
        <w:t xml:space="preserve">espite some context-specific claims that homophobia in schools is on the decline </w:t>
      </w:r>
      <w:r w:rsidR="007D5249" w:rsidRPr="004B75DF">
        <w:fldChar w:fldCharType="begin"/>
      </w:r>
      <w:r w:rsidR="007D5249" w:rsidRPr="004B75DF">
        <w:rPr>
          <w:lang w:val="en-US"/>
        </w:rPr>
        <w:instrText xml:space="preserve"> ADDIN ZOTERO_ITEM CSL_CITATION {"citationID":"xKbRQ6mL","properties":{"formattedCitation":"(McCormack 2012)","plainCitation":"(McCormack 2012)"},"citationItems":[{"id":865,"uris":["http://zotero.org/users/1159224/items/UPNIBQA8"],"uri":["http://zotero.org/users/1159224/items/UPNIBQA8"],"itemData":{"id":865,"type":"book","title":"The Declining Significance of Homophobia. How teenage boys are redefining masculinity and heterosexuality.","publisher":"Oxford University Press","publisher-place":"Oxford","number-of-pages":"198","source":"Amazon","event-place":"Oxford","abstract":"Research has traditionally shown high schools to be hostile environments for LGBT youth. Boys have used homophobia to prove their masculinity and distance themselves from homosexuality. Despite these findings over the last three decades, The Declining Significance of Homophobia tells a different story. Drawing on fieldwork and interviews of young men in three British high schools, Dr. Mark McCormack shows how heterosexual male students are inclusive of their gay peers and proud of their pro-gay attitudes. He finds that being gay does not negatively affect a boy's popularity, but being homophobic does.Yet this accessible book goes beyond documenting this important shift in attitudes towards homosexuality: McCormack examines how decreased homophobia results in the expansion of gendered behaviors available to young men. In the schools he examines, boys are able to develop meaningful and loving friendships across many social groups. They replace toughness and aggression with emotional intimacy and displays of affection for their male friends. Free from the constant threat of social marginalization, boys are able to speak about once feminized activities without censure. The Declining Significance of Homophobia is essential reading for all those interested in masculinities, education, and the decline of homophobia.","ISBN":"978-0-19-999094-8","language":"English","author":[{"family":"McCormack","given":"Mark"}],"issued":{"date-parts":[["2012"]]}}}],"schema":"https://github.com/citation-style-language/schema/raw/master/csl-citation.json"} </w:instrText>
      </w:r>
      <w:r w:rsidR="007D5249" w:rsidRPr="004B75DF">
        <w:fldChar w:fldCharType="separate"/>
      </w:r>
      <w:r w:rsidR="007D5249" w:rsidRPr="004B75DF">
        <w:rPr>
          <w:noProof/>
          <w:lang w:val="en-US"/>
        </w:rPr>
        <w:t>(e.g. McCormack</w:t>
      </w:r>
      <w:r w:rsidR="00774AF2">
        <w:rPr>
          <w:noProof/>
          <w:lang w:val="en-US"/>
        </w:rPr>
        <w:t>,</w:t>
      </w:r>
      <w:r w:rsidR="007D5249" w:rsidRPr="004B75DF">
        <w:rPr>
          <w:noProof/>
          <w:lang w:val="en-US"/>
        </w:rPr>
        <w:t xml:space="preserve"> 2012)</w:t>
      </w:r>
      <w:r w:rsidR="007D5249" w:rsidRPr="004B75DF">
        <w:fldChar w:fldCharType="end"/>
      </w:r>
      <w:r w:rsidR="007D5249" w:rsidRPr="004B75DF">
        <w:rPr>
          <w:lang w:val="en-US"/>
        </w:rPr>
        <w:t xml:space="preserve">, discriminatory behaviours, both verbal and non-verbal, in educational settings with reference to non-heteronormativity seem to </w:t>
      </w:r>
      <w:r w:rsidRPr="004B75DF">
        <w:rPr>
          <w:lang w:val="en-US"/>
        </w:rPr>
        <w:t xml:space="preserve">continue to </w:t>
      </w:r>
      <w:r w:rsidR="007D5249" w:rsidRPr="004B75DF">
        <w:rPr>
          <w:lang w:val="en-US"/>
        </w:rPr>
        <w:t xml:space="preserve">be ubiquitous </w:t>
      </w:r>
      <w:r w:rsidR="007D5249" w:rsidRPr="004B75DF">
        <w:fldChar w:fldCharType="begin"/>
      </w:r>
      <w:r w:rsidR="007D5249" w:rsidRPr="004B75DF">
        <w:rPr>
          <w:lang w:val="en-US"/>
        </w:rPr>
        <w:instrText xml:space="preserve"> ADDIN ZOTERO_ITEM CSL_CITATION {"citationID":"7RJ9f1D6","properties":{"formattedCitation":"(Bloomfield and Fisher 2016; Connell 2014; Meyer 2010; Pascoe 2011; Sauntson 2018)","plainCitation":"(Bloomfield and Fisher 2016; Connell 2014; Meyer 2010; Pascoe 2011; Sauntson 2018)"},"citationItems":[{"id":1168,"uris":["http://zotero.org/users/1159224/items/8UF4EXAR"],"uri":["http://zotero.org/users/1159224/items/8UF4EXAR"],"itemData":{"id":1168,"type":"book","title":"LGBTQ Voices in Education: Changing the Culture of Schooling","publisher":"Routledge","number-of-pages":"364","source":"Google Books","abstract</w:instrText>
      </w:r>
      <w:r w:rsidR="007D5249" w:rsidRPr="004B75DF">
        <w:instrText xml:space="preserve">":"LGBTQ Voices in Education: Changing the Culture of Schooling addresses the ways in which teachers can meet the needs of LGBTQ students and improve the culture surrounding gender, sexuality, and identity issues in formal learning environments. Written by experts from a variety of backgrounds including educational foundations, leadership, cultural studies, literacy, criminology, theology, media assessment, and more, these chapters are designed to help educators find the inspiration and support they need to become allies and advocates of queer students, whose safety, well-being, and academic performance are regularly and often systemically threatened. Emphasizing socially just curricula, supportive school climates, and transformative educational practices, this innovative book is applicable to K-12, college-level, and graduate settings, and beyond.","ISBN":"978-1-317-28590-8","note":"Google-Books-ID: amH7CwAAQBAJ","shortTitle":"LGBTQ Voices in Education","language":"en","author":[{"family":"Bloomfield","given":"Veronica E."},{"family":"Fisher","given":"Marni E."}],"issued":{"date-parts":[["2016",4,14]]}}},{"id":1166,"uris":["http://zotero.org/users/1159224/items/9S2EEPF4"],"uri":["http://zotero.org/users/1159224/items/9S2EEPF4"],"itemData":{"id":1166,"type":"book","title":"School's Out: Gay and Lesbian Teachers in the Classroom","publisher":"Univ of California Press","number-of-pages":"270","source":"Google Books","abstract":"How do gay and lesbian teachers negotiate their professional and sexual identities at work, given that these identities are constructed as mutually exclusive, even as mutually opposed? Using interviews and other ethnographic materials from Texas and California, School’s Out explores how teachers struggle to create a classroom persona that balances who they are and what’s expected of them in a climate of pervasive homophobia. Catherine Connell’s examination of the tension between the rhetoric of gay pride and the professional ethic of discretion insightfully connects and considers complicating factors, from local law and politics to gender privilege. She also describes how racialized discourses of homophobia thwart challenges to sexual injustices in schools. Written with ethnographic verve, School’s Out is essential reading for specialists and students of queer studies, gender studies, and educational politics.","ISBN":"978-0-520-95980-4","note":"Google-Books-ID: 1uGiBAAAQBAJ","shortTitle":"School's Out","language":"en","author":[{"family":"Connell","given":"Catherine"}],"issued":{"date-parts":[["2014",11,24]]}}},{"id":48,"uris":["http://zotero.org/users/1159224/items/4DJNM83T"],"uri":["http://zotero.org/users/1159224/items/4DJNM83T"],"itemData":{"id":48,"type":"book","title":"Gender and Sexual Diversity in Schools: An Introduction","publisher":"Springer","publisher-place":"London","number-of-pages":"157","source":"Google Books","event-place":"London","abstract":"Issues related to gender and sexual diversity in schools can generate a lot of controversy, with many educators and youth advocates under-prepared to address these topics in their school communities. This text offers an easy-to-read introduction to the subject, providing readers with definitions and research evidence, as well as the historical context for understanding the roots of bias in schools related to sex, gender, and sexuality. Additionally, the book offers tangible resources and advice on how to create more equitable learning environments. Topics such as working with same-sex parented families in elementary schools; integrating gender and sexual diversity topics into the curriculum; addressing homophobic bullying and sexual harassment; advising gay-straight alliances; and supporting a transgender or gender non-conforming student are addressed. The suggestions offered by this book are based on recent research evidence and legal decisions to help educators handle the various situations professionally and from an ethical and legally defensible perspective.","ISBN":"978-90-481-8559-7","shortTitle":"Gender and Sexual Diversity in Schools","language":"en","author":[{"family":"Meyer","given":"Elizabeth J."}],"issued":{"date-parts":[["2010",6,16]]}}},{"id":1170,"uris":["http://zotero.org/users/1159224/items/ZUZFHH9N"],"uri":["http://zotero.org/users/1159224/items/ZUZFHH9N"],"itemData":{"id":1170,"type":"book","title":"Dude, You're a Fag: Masculinity and Sexuality in High School, With a New Preface","publisher":"University of California Press","number-of-pages":"249","source":"Google Books","abstract":"High school and the difficult terrain of sexuality and gender identity are brilliantly explored in this smart, incisive ethnography. Based on eighteen months of fieldwork in a racially diverse working-class high school, Dude, You're a Fag sheds new light on masculinity both as a field of meaning and as a set of social practices. C. J. Pascoe's unorthodox approach analyzes masculinity as not only a gendered process but also a sexual one. She demonstrates how the \"specter of the fag\" becomes a </w:instrText>
      </w:r>
      <w:r w:rsidR="007D5249" w:rsidRPr="004B75DF">
        <w:rPr>
          <w:lang w:val="en-US"/>
        </w:rPr>
        <w:instrText xml:space="preserve">disciplinary mechanism for regulating heterosexual as well as homosexual boys and how the \"fag discourse\" is as much tied to gender as it is to sexuality.","ISBN":"978-0-520-95069-6","note":"Google-Books-ID: xexNxpemvBgC","shortTitle":"Dude, You're a Fag","language":"en","author":[{"family":"Pascoe","given":"C. J."}],"issued":{"date-parts":[["2011",11,1]]}}},{"id":1164,"uris":["http://zotero.org/users/1159224/items/54FCXGBU"],"uri":["http://zotero.org/users/1159224/items/54FCXGBU"],"itemData":{"id":1164,"type":"book","title":"Language, Sexuality and Education","publisher":"Cambridge University Press","number-of-pages":"217","source":"Google Books","abstract":"Presenting a range of data obtained from secondary schools in the UK and US, this path-breaking book explores the role played by language in constructing sexual identities. Analysing the often complex ways in which homophobia, heterosexism and heteronormativity are enacted within school contexts, it shows that by analysing language, we can discover much about how educators and students experience sexual diversity in their schools, how sexual identities are constructed through language, and how different statuses are ascribed to different sexual identities.","ISBN":"978-1-107-12687-9","note":"Google-Books-ID: sY5LDwAAQBAJ","language":"en","author":[{"family":"Sauntson","given":"Helen"}],"issued":{"date-parts":[["2018",3,15]]}}}],"schema":"https://github.com/citation-style-language/schema/raw/master/csl-citation.json"} </w:instrText>
      </w:r>
      <w:r w:rsidR="007D5249" w:rsidRPr="004B75DF">
        <w:fldChar w:fldCharType="separate"/>
      </w:r>
      <w:r w:rsidR="007D5249" w:rsidRPr="004B75DF">
        <w:rPr>
          <w:noProof/>
          <w:lang w:val="en-US"/>
        </w:rPr>
        <w:t>(e.g. Bloomfield and Fisher</w:t>
      </w:r>
      <w:r w:rsidR="00774AF2">
        <w:rPr>
          <w:noProof/>
          <w:lang w:val="en-US"/>
        </w:rPr>
        <w:t>,</w:t>
      </w:r>
      <w:r w:rsidR="007D5249" w:rsidRPr="004B75DF">
        <w:rPr>
          <w:noProof/>
          <w:lang w:val="en-US"/>
        </w:rPr>
        <w:t xml:space="preserve"> 2016; Connell</w:t>
      </w:r>
      <w:r w:rsidR="00774AF2">
        <w:rPr>
          <w:noProof/>
          <w:lang w:val="en-US"/>
        </w:rPr>
        <w:t>,</w:t>
      </w:r>
      <w:r w:rsidR="007D5249" w:rsidRPr="004B75DF">
        <w:rPr>
          <w:noProof/>
          <w:lang w:val="en-US"/>
        </w:rPr>
        <w:t xml:space="preserve"> 2014; Meyer</w:t>
      </w:r>
      <w:r w:rsidR="00774AF2">
        <w:rPr>
          <w:noProof/>
          <w:lang w:val="en-US"/>
        </w:rPr>
        <w:t>,</w:t>
      </w:r>
      <w:r w:rsidR="007D5249" w:rsidRPr="004B75DF">
        <w:rPr>
          <w:noProof/>
          <w:lang w:val="en-US"/>
        </w:rPr>
        <w:t xml:space="preserve"> 2010; Pascoe</w:t>
      </w:r>
      <w:r w:rsidR="00774AF2">
        <w:rPr>
          <w:noProof/>
          <w:lang w:val="en-US"/>
        </w:rPr>
        <w:t>,</w:t>
      </w:r>
      <w:r w:rsidR="007D5249" w:rsidRPr="004B75DF">
        <w:rPr>
          <w:noProof/>
          <w:lang w:val="en-US"/>
        </w:rPr>
        <w:t xml:space="preserve"> 2011; Sauntson</w:t>
      </w:r>
      <w:r w:rsidR="00774AF2">
        <w:rPr>
          <w:noProof/>
          <w:lang w:val="en-US"/>
        </w:rPr>
        <w:t>,</w:t>
      </w:r>
      <w:r w:rsidR="007D5249" w:rsidRPr="004B75DF">
        <w:rPr>
          <w:noProof/>
          <w:lang w:val="en-US"/>
        </w:rPr>
        <w:t xml:space="preserve"> 2018)</w:t>
      </w:r>
      <w:r w:rsidR="007D5249" w:rsidRPr="004B75DF">
        <w:fldChar w:fldCharType="end"/>
      </w:r>
      <w:r w:rsidR="007D5249" w:rsidRPr="004B75DF">
        <w:rPr>
          <w:lang w:val="en-US"/>
        </w:rPr>
        <w:t xml:space="preserve">. This observation especially applies to secondary schools where maturing individuals enter the (hetero)sexual marketplace </w:t>
      </w:r>
      <w:r w:rsidR="007D5249" w:rsidRPr="004B75DF">
        <w:fldChar w:fldCharType="begin"/>
      </w:r>
      <w:r w:rsidR="007D5249" w:rsidRPr="004B75DF">
        <w:rPr>
          <w:lang w:val="en-US"/>
        </w:rPr>
        <w:instrText xml:space="preserve"> ADDIN ZOTERO_ITEM CSL_CITATION {"citationID":"NSOOuvGr","properties":{"formattedCitation":"(Eckert 1996)","plainCitation":"(Eckert 1996)"},"citationItems":[{"id":106,"uris":["http://zotero.org/users/1159224/items/7QNFHE75"],"uri":["http://zotero.org/users/1159224/items/7QNFHE75"],"itemData":{"id":106,"type":"chapter","title":"Vowels and nail polish: The emergence of linguistic style in the preadolescent heterosexual marketplace","container-title":"Gender and Belief Systems","publisher":"Berkley Women and Language Group","publisher-place":"Berkley","page":"183-190","event-place":"Berkley","author":[{"family":"Eckert","given":"Penelope"}],"issued":{"date-parts":[["1996"]]}}}],"schema":"https://github.com/citation-style-language/schema/raw/master/csl-citation.json"} </w:instrText>
      </w:r>
      <w:r w:rsidR="007D5249" w:rsidRPr="004B75DF">
        <w:fldChar w:fldCharType="separate"/>
      </w:r>
      <w:r w:rsidR="007D5249" w:rsidRPr="004B75DF">
        <w:rPr>
          <w:noProof/>
          <w:lang w:val="en-US"/>
        </w:rPr>
        <w:t>(Eckert 1996)</w:t>
      </w:r>
      <w:r w:rsidR="007D5249" w:rsidRPr="004B75DF">
        <w:fldChar w:fldCharType="end"/>
      </w:r>
      <w:r w:rsidR="007D5249" w:rsidRPr="004B75DF">
        <w:rPr>
          <w:lang w:val="en-US"/>
        </w:rPr>
        <w:t>.</w:t>
      </w:r>
      <w:r w:rsidRPr="004B75DF">
        <w:rPr>
          <w:lang w:val="en-US"/>
        </w:rPr>
        <w:t xml:space="preserve"> Moreover, it is a finding which spans a range of international school contexts.</w:t>
      </w:r>
    </w:p>
    <w:p w14:paraId="5D6DA100" w14:textId="77777777" w:rsidR="007D5249" w:rsidRPr="008432C8" w:rsidRDefault="007D5249" w:rsidP="00CC472C">
      <w:pPr>
        <w:rPr>
          <w:highlight w:val="yellow"/>
        </w:rPr>
      </w:pPr>
    </w:p>
    <w:p w14:paraId="08F84EA0" w14:textId="1102B845" w:rsidR="00917251" w:rsidRPr="008432C8" w:rsidRDefault="004B75DF" w:rsidP="00CC472C">
      <w:pPr>
        <w:rPr>
          <w:highlight w:val="yellow"/>
        </w:rPr>
      </w:pPr>
      <w:r w:rsidRPr="004B75DF">
        <w:t>These findings have led to an examination of homophobic language and behaviour in schools from a range of disciplinary perspectives. Within applied linguistics, a valuable</w:t>
      </w:r>
      <w:r w:rsidR="00917251" w:rsidRPr="004B75DF">
        <w:t xml:space="preserve"> </w:t>
      </w:r>
      <w:r w:rsidRPr="004B75DF">
        <w:t>element of work</w:t>
      </w:r>
      <w:r w:rsidR="00917251" w:rsidRPr="004B75DF">
        <w:t xml:space="preserve"> </w:t>
      </w:r>
      <w:r w:rsidR="007B4A17" w:rsidRPr="004B75DF">
        <w:t>in the field</w:t>
      </w:r>
      <w:r w:rsidR="00917251" w:rsidRPr="004B75DF">
        <w:t xml:space="preserve"> is </w:t>
      </w:r>
      <w:r w:rsidR="007B4A17" w:rsidRPr="004B75DF">
        <w:t>that it</w:t>
      </w:r>
      <w:r w:rsidR="00917251" w:rsidRPr="004B75DF">
        <w:t xml:space="preserve"> do</w:t>
      </w:r>
      <w:r w:rsidR="007B4A17" w:rsidRPr="004B75DF">
        <w:t>es</w:t>
      </w:r>
      <w:r w:rsidR="00917251" w:rsidRPr="004B75DF">
        <w:t xml:space="preserve"> not </w:t>
      </w:r>
      <w:r w:rsidR="007B4A17" w:rsidRPr="004B75DF">
        <w:t>ex</w:t>
      </w:r>
      <w:r w:rsidR="00322F41" w:rsidRPr="004B75DF">
        <w:t>c</w:t>
      </w:r>
      <w:r w:rsidR="007B4A17" w:rsidRPr="004B75DF">
        <w:t>lu</w:t>
      </w:r>
      <w:r w:rsidR="00322F41" w:rsidRPr="004B75DF">
        <w:t>s</w:t>
      </w:r>
      <w:r w:rsidR="007B4A17" w:rsidRPr="004B75DF">
        <w:t>ively focus on homophobic language and</w:t>
      </w:r>
      <w:r w:rsidR="00917251" w:rsidRPr="004B75DF">
        <w:t xml:space="preserve"> bullying</w:t>
      </w:r>
      <w:r w:rsidR="007B4A17" w:rsidRPr="004B75DF">
        <w:t xml:space="preserve"> (although this </w:t>
      </w:r>
      <w:r w:rsidRPr="004B75DF">
        <w:t>does, of course, continue to be an important</w:t>
      </w:r>
      <w:r w:rsidR="007B4A17" w:rsidRPr="004B75DF">
        <w:t xml:space="preserve"> element of research)</w:t>
      </w:r>
      <w:r w:rsidR="00917251" w:rsidRPr="004B75DF">
        <w:t xml:space="preserve">. </w:t>
      </w:r>
      <w:r w:rsidRPr="004B75DF">
        <w:t xml:space="preserve">There is acknowledgement that to </w:t>
      </w:r>
      <w:r w:rsidR="00917251" w:rsidRPr="004B75DF">
        <w:t>focus exclusively on homophobic bullying</w:t>
      </w:r>
      <w:r w:rsidRPr="004B75DF">
        <w:t xml:space="preserve"> and explicit homophobic language</w:t>
      </w:r>
      <w:r w:rsidR="00917251" w:rsidRPr="004B75DF">
        <w:t xml:space="preserve"> can only get us so far and often ‘misses the point’ about how and why heteronormative discourse prevail in educational contexts. </w:t>
      </w:r>
      <w:r w:rsidR="00D9242E">
        <w:t>The case studies of current research discussed in the following section shed light on why this may be the case, as well as revealing some of the risks associated with engaging with research that addresses these issues.</w:t>
      </w:r>
    </w:p>
    <w:p w14:paraId="2D2CBD34" w14:textId="77777777" w:rsidR="00322F41" w:rsidRPr="00D9242E" w:rsidRDefault="00322F41" w:rsidP="00CC472C"/>
    <w:p w14:paraId="542A4D1E" w14:textId="4F3A59A5" w:rsidR="00090E65" w:rsidRPr="007C3A96" w:rsidRDefault="00322F41" w:rsidP="00090E65">
      <w:pPr>
        <w:rPr>
          <w:highlight w:val="yellow"/>
        </w:rPr>
      </w:pPr>
      <w:r w:rsidRPr="00D9242E">
        <w:t xml:space="preserve">A shortcoming of existing work </w:t>
      </w:r>
      <w:r w:rsidR="00D9242E" w:rsidRPr="00D9242E">
        <w:t>which focuses exclusively or</w:t>
      </w:r>
      <w:r w:rsidRPr="00D9242E">
        <w:t xml:space="preserve"> overwhelming</w:t>
      </w:r>
      <w:r w:rsidR="00D9242E" w:rsidRPr="00D9242E">
        <w:t>ly</w:t>
      </w:r>
      <w:r w:rsidRPr="00D9242E">
        <w:t xml:space="preserve"> on homophobia </w:t>
      </w:r>
      <w:r w:rsidR="00D9242E" w:rsidRPr="00D9242E">
        <w:t>language and</w:t>
      </w:r>
      <w:r w:rsidRPr="00D9242E">
        <w:t xml:space="preserve"> homophobic bullying</w:t>
      </w:r>
      <w:r w:rsidR="00D9242E" w:rsidRPr="00D9242E">
        <w:t xml:space="preserve"> is that the field can become </w:t>
      </w:r>
      <w:r w:rsidRPr="00D9242E">
        <w:t>dominated by discourses about homophobia. Monk (2011) observes that homophobic bullying has become a legitimate object of social concern in recent years (to the point where it has become ‘mainstreamed’), and this has become reflected in</w:t>
      </w:r>
      <w:r w:rsidR="00D9242E" w:rsidRPr="00D9242E">
        <w:t xml:space="preserve"> </w:t>
      </w:r>
      <w:r w:rsidR="00D43DA9">
        <w:t xml:space="preserve">much </w:t>
      </w:r>
      <w:r w:rsidRPr="00D9242E">
        <w:t>sexualities and education research</w:t>
      </w:r>
      <w:r w:rsidR="00D43DA9">
        <w:t xml:space="preserve"> outside linguistics</w:t>
      </w:r>
      <w:r w:rsidRPr="00D9242E">
        <w:t xml:space="preserve">. </w:t>
      </w:r>
      <w:r w:rsidRPr="008A382F">
        <w:t>Monk notes how, from the late 2000s in the UK, all three major political parties expressed concerns about homophobic bullying. A result of this mainstreaming is that homophobic bullying has been enabled to become a harm that can be spoken of</w:t>
      </w:r>
      <w:r w:rsidR="008A382F" w:rsidRPr="008A382F">
        <w:t xml:space="preserve"> with a concurrent breaking of taboos around sexual diversity which can mitigate the risk of researching it.</w:t>
      </w:r>
      <w:r w:rsidRPr="008A382F">
        <w:t xml:space="preserve"> </w:t>
      </w:r>
      <w:r w:rsidRPr="007C3A96">
        <w:t xml:space="preserve">However, Monk goes on to explain how homophobic bullying is a complex phenomenon and is actually a productive process contingent on various cultural and political factors. The dominant discourse of bullying in schools is one which is </w:t>
      </w:r>
      <w:r w:rsidR="007C3A96" w:rsidRPr="007C3A96">
        <w:t xml:space="preserve">largely </w:t>
      </w:r>
      <w:r w:rsidRPr="007C3A96">
        <w:t xml:space="preserve">individualised – bullies are pathologised and victims are held responsible for the effects of bullying through having a displaying ‘resilience’. Thus, homophobic bullying becomes situated within a broader ‘law and order’ discourse where there are clear ‘perpetrators’ and ‘victims’. Monk argues that, within this discursive conceptualisation of bullying, </w:t>
      </w:r>
      <w:r w:rsidRPr="007C3A96">
        <w:rPr>
          <w:i/>
        </w:rPr>
        <w:t>structural</w:t>
      </w:r>
      <w:r w:rsidRPr="007C3A96">
        <w:t xml:space="preserve"> forms of homophobia </w:t>
      </w:r>
      <w:r w:rsidR="007C3A96" w:rsidRPr="007C3A96">
        <w:t xml:space="preserve">(and other forms of sexuality-based discrimination and harassment) </w:t>
      </w:r>
      <w:r w:rsidRPr="007C3A96">
        <w:t xml:space="preserve">get largely overlooked. </w:t>
      </w:r>
      <w:r w:rsidR="00090E65" w:rsidRPr="007C3A96">
        <w:t xml:space="preserve">Bullying </w:t>
      </w:r>
      <w:r w:rsidR="007C3A96">
        <w:t xml:space="preserve">at school (and in other contexts) </w:t>
      </w:r>
      <w:r w:rsidR="00090E65" w:rsidRPr="007C3A96">
        <w:t xml:space="preserve">is, in fact, the end point – it is what happens when sexuality and gender are not understood and when they are presented in constrained and highly limited ways. The </w:t>
      </w:r>
      <w:r w:rsidR="007C3A96" w:rsidRPr="007C3A96">
        <w:t>examples of research discussed in the next section</w:t>
      </w:r>
      <w:r w:rsidR="00090E65" w:rsidRPr="007C3A96">
        <w:t xml:space="preserve"> all explore this lack of understanding </w:t>
      </w:r>
      <w:r w:rsidR="00D43DA9">
        <w:t xml:space="preserve">of how certain sexual identities become ‘minoritised’ </w:t>
      </w:r>
      <w:r w:rsidR="00090E65" w:rsidRPr="007C3A96">
        <w:t xml:space="preserve">from a linguistic perspective in different educational </w:t>
      </w:r>
      <w:r w:rsidR="00090E65" w:rsidRPr="00041122">
        <w:t xml:space="preserve">settings – in schools, children’s picturebooks, language textbooks, and ESOL classrooms. </w:t>
      </w:r>
      <w:r w:rsidR="00D43DA9">
        <w:t>T</w:t>
      </w:r>
      <w:r w:rsidR="00041122" w:rsidRPr="00041122">
        <w:t>he</w:t>
      </w:r>
      <w:r w:rsidR="00D43DA9">
        <w:t>se</w:t>
      </w:r>
      <w:r w:rsidR="00041122" w:rsidRPr="00041122">
        <w:t xml:space="preserve"> examples</w:t>
      </w:r>
      <w:r w:rsidR="00D43DA9">
        <w:t xml:space="preserve"> of current research</w:t>
      </w:r>
      <w:r w:rsidR="00041122" w:rsidRPr="00041122">
        <w:t xml:space="preserve"> all </w:t>
      </w:r>
      <w:r w:rsidR="00090E65" w:rsidRPr="00041122">
        <w:t xml:space="preserve">highlight </w:t>
      </w:r>
      <w:r w:rsidR="00041122" w:rsidRPr="00041122">
        <w:t xml:space="preserve">different kinds of </w:t>
      </w:r>
      <w:r w:rsidR="00090E65" w:rsidRPr="00041122">
        <w:t xml:space="preserve">vulnerability and risk in their approach to researching </w:t>
      </w:r>
      <w:r w:rsidR="00090E65" w:rsidRPr="00041122">
        <w:lastRenderedPageBreak/>
        <w:t>language and sexuality in educational contexts.</w:t>
      </w:r>
      <w:r w:rsidR="00D43DA9">
        <w:t xml:space="preserve"> In drawing attention to these issues, I hope to emphasise the important contribution that applied linguistics can make to developing understanding of sexual diversity in educational settings and, ultimately, how to create more inclusive environments for both researchers and participants.</w:t>
      </w:r>
    </w:p>
    <w:p w14:paraId="5A10FEA1" w14:textId="77777777" w:rsidR="00974B50" w:rsidRDefault="00974B50" w:rsidP="00CC472C">
      <w:pPr>
        <w:rPr>
          <w:b/>
          <w:bCs/>
        </w:rPr>
      </w:pPr>
    </w:p>
    <w:p w14:paraId="709B3F1E" w14:textId="23D268F3" w:rsidR="00433EDE" w:rsidRPr="00433EDE" w:rsidRDefault="00433EDE" w:rsidP="00CC472C">
      <w:pPr>
        <w:rPr>
          <w:b/>
          <w:bCs/>
        </w:rPr>
      </w:pPr>
      <w:r w:rsidRPr="00433EDE">
        <w:rPr>
          <w:b/>
          <w:bCs/>
        </w:rPr>
        <w:t>‘Taxonomies of risk’ in researching language and sexuality</w:t>
      </w:r>
    </w:p>
    <w:p w14:paraId="0441223E" w14:textId="0C8DF4EC" w:rsidR="00A746BC" w:rsidRDefault="00A54792" w:rsidP="00A54792">
      <w:pPr>
        <w:autoSpaceDE w:val="0"/>
        <w:autoSpaceDN w:val="0"/>
        <w:adjustRightInd w:val="0"/>
        <w:rPr>
          <w:lang w:val="en-US"/>
        </w:rPr>
      </w:pPr>
      <w:r>
        <w:rPr>
          <w:lang w:val="en-US"/>
        </w:rPr>
        <w:t>Pakula (2018) importantly observes that, s</w:t>
      </w:r>
      <w:r w:rsidRPr="00544714">
        <w:rPr>
          <w:lang w:val="en-US"/>
        </w:rPr>
        <w:t xml:space="preserve">ince language </w:t>
      </w:r>
      <w:r>
        <w:rPr>
          <w:lang w:val="en-US"/>
        </w:rPr>
        <w:t>is</w:t>
      </w:r>
      <w:r w:rsidRPr="00544714">
        <w:rPr>
          <w:lang w:val="en-US"/>
        </w:rPr>
        <w:t xml:space="preserve"> conceived as a conduit of ideologies, </w:t>
      </w:r>
      <w:r>
        <w:rPr>
          <w:lang w:val="en-US"/>
        </w:rPr>
        <w:t>which</w:t>
      </w:r>
      <w:r w:rsidRPr="00544714">
        <w:rPr>
          <w:lang w:val="en-US"/>
        </w:rPr>
        <w:t xml:space="preserve"> pertain to sexuality </w:t>
      </w:r>
      <w:r>
        <w:rPr>
          <w:lang w:val="en-US"/>
        </w:rPr>
        <w:t>just as to other forms of social identity</w:t>
      </w:r>
      <w:r w:rsidR="00D43DA9">
        <w:rPr>
          <w:lang w:val="en-US"/>
        </w:rPr>
        <w:t xml:space="preserve"> </w:t>
      </w:r>
      <w:r w:rsidRPr="00544714">
        <w:rPr>
          <w:lang w:val="en-US"/>
        </w:rPr>
        <w:t xml:space="preserve">(see </w:t>
      </w:r>
      <w:r>
        <w:fldChar w:fldCharType="begin"/>
      </w:r>
      <w:r w:rsidRPr="00544714">
        <w:rPr>
          <w:lang w:val="en-US"/>
        </w:rPr>
        <w:instrText xml:space="preserve"> ADDIN ZOTERO_ITEM CSL_CITATION {"citationID":"Arjn0WDy","properties":{"formattedCitation":"(King 2015)","plainCitation":"(King 2015)"},"citationItems":[{"id":849,"uris":["http://zotero.org/users/1159224/items/3EPGTPCX"],"uri":["http://zotero.org/users/1159224/items/3EPGTPCX"],"itemData":{"id":849,"type":"chapter","title":"Language and sexuality in education","container-title":"The International Encyclopedia of Human Sexuality","publisher":"Wiley-Blackwell","publisher-place":"Oxford and New York","page":"649-719","event-place":"Oxford and New York","author":[{"family":"King","given":"Brian W."}],"editor":[{"family":"Whelehan","given":"Patricia"},{"family":"Bolin","given":"Anne"}],"issued":{"date-parts":[["2015"]]}}}],"schema":"https://github.com/citation-style-language/schema/raw/master/csl-citation.json"} </w:instrText>
      </w:r>
      <w:r>
        <w:fldChar w:fldCharType="separate"/>
      </w:r>
      <w:r w:rsidRPr="00544714">
        <w:rPr>
          <w:noProof/>
          <w:lang w:val="en-US"/>
        </w:rPr>
        <w:t>King</w:t>
      </w:r>
      <w:r w:rsidR="00477673">
        <w:rPr>
          <w:noProof/>
          <w:lang w:val="en-US"/>
        </w:rPr>
        <w:t>,</w:t>
      </w:r>
      <w:r w:rsidRPr="00544714">
        <w:rPr>
          <w:noProof/>
          <w:lang w:val="en-US"/>
        </w:rPr>
        <w:t xml:space="preserve"> 2015)</w:t>
      </w:r>
      <w:r>
        <w:fldChar w:fldCharType="end"/>
      </w:r>
      <w:r w:rsidRPr="00544714">
        <w:rPr>
          <w:lang w:val="en-US"/>
        </w:rPr>
        <w:t xml:space="preserve">, what is somewhat baffling to many is the fact that </w:t>
      </w:r>
      <w:r>
        <w:rPr>
          <w:lang w:val="en-US"/>
        </w:rPr>
        <w:t>‘</w:t>
      </w:r>
      <w:r w:rsidRPr="00544714">
        <w:rPr>
          <w:lang w:val="en-US"/>
        </w:rPr>
        <w:t>much current work on sexuality and education lacks […] an explicit focus on the role that language plays in constructing discourses around sexuality in schools</w:t>
      </w:r>
      <w:r>
        <w:rPr>
          <w:lang w:val="en-US"/>
        </w:rPr>
        <w:t>’</w:t>
      </w:r>
      <w:r w:rsidRPr="00544714">
        <w:rPr>
          <w:lang w:val="en-US"/>
        </w:rPr>
        <w:t xml:space="preserve"> </w:t>
      </w:r>
      <w:r>
        <w:fldChar w:fldCharType="begin"/>
      </w:r>
      <w:r w:rsidRPr="00544714">
        <w:rPr>
          <w:lang w:val="en-US"/>
        </w:rPr>
        <w:instrText xml:space="preserve"> ADDIN ZOTERO_ITEM CSL_CITATION {"citationID":"g8EcSXL9","properties":{"formattedCitation":"(Sauntson 2017: 147)","plainCitation":"(Sauntson 2017: 147)"},"citationItems":[{"id":1144,"uris":["http://zotero.org/users/1159224/items/39T48HRQ"],"uri":["http://zotero.org/users/1159224/items/39T48HRQ"],"itemData":{"id":1144,"type":"chapter","title":"Language, S</w:instrText>
      </w:r>
      <w:r>
        <w:instrText>exuality, and Education","container-title":"Discourse and Education","collection-title":"Encyclopedia of Language and Education","publisher":"Springer, Cham","page":"147-159","source":"link.springer.com","abstract":"Studies which examine intersections between language, sexuality, and education are relatively few in number and this field is still arguably in its relative infancy. With a few exceptions, what much current work on sexuality and education lacks is an explicit focus on the role that language plays in constructing discourses around sexuality in schools. And while work in the field of language and sexuality has examined the diverse ways in which sexual identity can be linguistically enacted, little of this research has yet been applied to educational settings. In the work on language, sexuality, and education that does exist, most major contribution</w:instrText>
      </w:r>
      <w:r w:rsidRPr="00544714">
        <w:rPr>
          <w:lang w:val="en-US"/>
        </w:rPr>
        <w:instrText xml:space="preserve">s fall into two broad areas: those which focus on discriminatory language practices relating to sexuality (especially homophobic language); and those which investigate more broadly the discursive construction of sexuality in educational settings. Within the first area, a number of studies have examined homophobic language use in schools and other educational settings. Some work has examined how homophobia is not always overt and is more often construed as a discursive effect of silence and invisibility. In work which examines the discursive construction of sexuality in educational contexts, some use has been made of narrative analysis and classroom interaction analysis. This chapter provides an overview of work within these two broad areas. Alongside work which focuses on schools, there is a growing body of work which examines the discursive construction of sexual identities specifically within language education (especially English language education). This chapter also provides an overview of work which examines language and sexuality in these different educational settings.","URL":"https://link.springer.com/referenceworkentry/10.1007/978-3-319-02243-7_14","ISBN":"978-3-319-02242-0","note":"DOI: 10.1007/978-3-319-02243-7_14","language":"en","author":[{"family":"Sauntson","given":"Helen"}],"issued":{"date-parts":[["2017"]]},"accessed":{"date-parts":[["2018",2,26]]}},"locator":"147"}],"schema":"https://github.com/citation-style-language/schema/raw/master/csl-citation.json"} </w:instrText>
      </w:r>
      <w:r>
        <w:fldChar w:fldCharType="separate"/>
      </w:r>
      <w:r w:rsidRPr="00544714">
        <w:rPr>
          <w:noProof/>
          <w:lang w:val="en-US"/>
        </w:rPr>
        <w:t>(Sauntson</w:t>
      </w:r>
      <w:r w:rsidR="00477673">
        <w:rPr>
          <w:noProof/>
          <w:lang w:val="en-US"/>
        </w:rPr>
        <w:t>,</w:t>
      </w:r>
      <w:r w:rsidRPr="00544714">
        <w:rPr>
          <w:noProof/>
          <w:lang w:val="en-US"/>
        </w:rPr>
        <w:t xml:space="preserve"> 2017: 147)</w:t>
      </w:r>
      <w:r>
        <w:fldChar w:fldCharType="end"/>
      </w:r>
      <w:r w:rsidRPr="00544714">
        <w:rPr>
          <w:lang w:val="en-US"/>
        </w:rPr>
        <w:t xml:space="preserve">. </w:t>
      </w:r>
      <w:r>
        <w:rPr>
          <w:lang w:val="en-US"/>
        </w:rPr>
        <w:t>Pakula</w:t>
      </w:r>
      <w:r w:rsidRPr="00544714">
        <w:rPr>
          <w:lang w:val="en-US"/>
        </w:rPr>
        <w:t xml:space="preserve"> </w:t>
      </w:r>
      <w:r>
        <w:rPr>
          <w:lang w:val="en-US"/>
        </w:rPr>
        <w:t>offers</w:t>
      </w:r>
      <w:r w:rsidRPr="00544714">
        <w:rPr>
          <w:lang w:val="en-US"/>
        </w:rPr>
        <w:t xml:space="preserve"> several possible reasons for this. One </w:t>
      </w:r>
      <w:r>
        <w:rPr>
          <w:lang w:val="en-US"/>
        </w:rPr>
        <w:t>reason is that</w:t>
      </w:r>
      <w:r w:rsidRPr="00544714">
        <w:rPr>
          <w:lang w:val="en-US"/>
        </w:rPr>
        <w:t xml:space="preserve"> the field is in its </w:t>
      </w:r>
      <w:r>
        <w:rPr>
          <w:lang w:val="en-US"/>
        </w:rPr>
        <w:t xml:space="preserve">relatively </w:t>
      </w:r>
      <w:r w:rsidRPr="00544714">
        <w:rPr>
          <w:lang w:val="en-US"/>
        </w:rPr>
        <w:t>early stage</w:t>
      </w:r>
      <w:r>
        <w:rPr>
          <w:lang w:val="en-US"/>
        </w:rPr>
        <w:t>s</w:t>
      </w:r>
      <w:r w:rsidRPr="00544714">
        <w:rPr>
          <w:lang w:val="en-US"/>
        </w:rPr>
        <w:t xml:space="preserve"> of development</w:t>
      </w:r>
      <w:r>
        <w:rPr>
          <w:lang w:val="en-US"/>
        </w:rPr>
        <w:t xml:space="preserve"> when compared with other areas of applied linguistics which have a much longer history.</w:t>
      </w:r>
      <w:r w:rsidRPr="00544714">
        <w:rPr>
          <w:lang w:val="en-US"/>
        </w:rPr>
        <w:t xml:space="preserve"> </w:t>
      </w:r>
      <w:r w:rsidR="00E056C5">
        <w:rPr>
          <w:lang w:val="en-US"/>
        </w:rPr>
        <w:t>Related to this temporal issue, Pakula suggests that the role of language more broadly has been underestimated in certain contexts. In Poland, for example, langu</w:t>
      </w:r>
      <w:r w:rsidR="00E056C5" w:rsidRPr="00E056C5">
        <w:rPr>
          <w:lang w:val="en-US"/>
        </w:rPr>
        <w:t xml:space="preserve">age has </w:t>
      </w:r>
      <w:r w:rsidR="00E056C5" w:rsidRPr="008831EF">
        <w:rPr>
          <w:lang w:val="en-US"/>
        </w:rPr>
        <w:t xml:space="preserve">frequently </w:t>
      </w:r>
      <w:r w:rsidR="00E056C5" w:rsidRPr="00E056C5">
        <w:rPr>
          <w:lang w:val="en-US"/>
        </w:rPr>
        <w:t xml:space="preserve">been </w:t>
      </w:r>
      <w:r w:rsidR="00E056C5" w:rsidRPr="008831EF">
        <w:rPr>
          <w:lang w:val="en-US"/>
        </w:rPr>
        <w:t xml:space="preserve">perceived merely as a medium of instruction and not </w:t>
      </w:r>
      <w:r w:rsidR="00E056C5" w:rsidRPr="00E056C5">
        <w:rPr>
          <w:lang w:val="en-US"/>
        </w:rPr>
        <w:t xml:space="preserve">in terms of its constitutive functions i.e. as </w:t>
      </w:r>
      <w:r w:rsidR="00E056C5" w:rsidRPr="008831EF">
        <w:rPr>
          <w:lang w:val="en-US"/>
        </w:rPr>
        <w:t>a conduit of constructing, deconstructing, normalizing and othering social relationships, identities and behavio</w:t>
      </w:r>
      <w:r w:rsidR="00E056C5" w:rsidRPr="00E056C5">
        <w:rPr>
          <w:lang w:val="en-US"/>
        </w:rPr>
        <w:t>u</w:t>
      </w:r>
      <w:r w:rsidR="00E056C5" w:rsidRPr="008831EF">
        <w:rPr>
          <w:lang w:val="en-US"/>
        </w:rPr>
        <w:t xml:space="preserve">rs. </w:t>
      </w:r>
    </w:p>
    <w:p w14:paraId="0265F962" w14:textId="77777777" w:rsidR="00A746BC" w:rsidRDefault="00A746BC" w:rsidP="00A54792">
      <w:pPr>
        <w:autoSpaceDE w:val="0"/>
        <w:autoSpaceDN w:val="0"/>
        <w:adjustRightInd w:val="0"/>
        <w:rPr>
          <w:lang w:val="en-US"/>
        </w:rPr>
      </w:pPr>
    </w:p>
    <w:p w14:paraId="566B6A7A" w14:textId="702FE346" w:rsidR="00A54792" w:rsidRDefault="00A54792" w:rsidP="00A54792">
      <w:pPr>
        <w:autoSpaceDE w:val="0"/>
        <w:autoSpaceDN w:val="0"/>
        <w:adjustRightInd w:val="0"/>
        <w:rPr>
          <w:lang w:val="en-US"/>
        </w:rPr>
      </w:pPr>
      <w:r>
        <w:rPr>
          <w:lang w:val="en-US"/>
        </w:rPr>
        <w:t>A</w:t>
      </w:r>
      <w:r w:rsidRPr="00544714">
        <w:rPr>
          <w:lang w:val="en-US"/>
        </w:rPr>
        <w:t>nother</w:t>
      </w:r>
      <w:r>
        <w:rPr>
          <w:lang w:val="en-US"/>
        </w:rPr>
        <w:t xml:space="preserve"> related reason</w:t>
      </w:r>
      <w:r w:rsidRPr="00544714">
        <w:rPr>
          <w:lang w:val="en-US"/>
        </w:rPr>
        <w:t>,</w:t>
      </w:r>
      <w:r>
        <w:rPr>
          <w:lang w:val="en-US"/>
        </w:rPr>
        <w:t xml:space="preserve"> according to Pakula</w:t>
      </w:r>
      <w:r w:rsidRPr="00544714">
        <w:rPr>
          <w:lang w:val="en-US"/>
        </w:rPr>
        <w:t xml:space="preserve">, is the risks associated with </w:t>
      </w:r>
      <w:r>
        <w:rPr>
          <w:lang w:val="en-US"/>
        </w:rPr>
        <w:t>conducting research in this area</w:t>
      </w:r>
      <w:r w:rsidRPr="00544714">
        <w:rPr>
          <w:lang w:val="en-US"/>
        </w:rPr>
        <w:t xml:space="preserve">. </w:t>
      </w:r>
      <w:r>
        <w:rPr>
          <w:lang w:val="en-US"/>
        </w:rPr>
        <w:t>As I suggested earlier in my reflections of my own early career, s</w:t>
      </w:r>
      <w:r w:rsidRPr="00544714">
        <w:rPr>
          <w:lang w:val="en-US"/>
        </w:rPr>
        <w:t xml:space="preserve">uch risks </w:t>
      </w:r>
      <w:r>
        <w:rPr>
          <w:lang w:val="en-US"/>
        </w:rPr>
        <w:t xml:space="preserve">may </w:t>
      </w:r>
      <w:r w:rsidRPr="00544714">
        <w:rPr>
          <w:lang w:val="en-US"/>
        </w:rPr>
        <w:t>concern putting the researcher’s career in jeopardy</w:t>
      </w:r>
      <w:r>
        <w:rPr>
          <w:lang w:val="en-US"/>
        </w:rPr>
        <w:t>. If this is the case even in the UK which is generally liberal in its attitudes towards sexual diversity, then in other geographies and</w:t>
      </w:r>
      <w:r w:rsidRPr="00544714">
        <w:rPr>
          <w:lang w:val="en-US"/>
        </w:rPr>
        <w:t xml:space="preserve"> temporalities</w:t>
      </w:r>
      <w:r>
        <w:rPr>
          <w:lang w:val="en-US"/>
        </w:rPr>
        <w:t>,</w:t>
      </w:r>
      <w:r w:rsidRPr="00544714">
        <w:rPr>
          <w:lang w:val="en-US"/>
        </w:rPr>
        <w:t xml:space="preserve"> educational settings constitute </w:t>
      </w:r>
      <w:r>
        <w:rPr>
          <w:lang w:val="en-US"/>
        </w:rPr>
        <w:t xml:space="preserve">extremely </w:t>
      </w:r>
      <w:r w:rsidRPr="00544714">
        <w:rPr>
          <w:lang w:val="en-US"/>
        </w:rPr>
        <w:t>hazardous sites for exploring sexuality-related issues. Both gender and sexuality are taboo concepts in the public discourse of some cultural contexts (</w:t>
      </w:r>
      <w:r w:rsidR="00A746BC">
        <w:rPr>
          <w:lang w:val="en-US"/>
        </w:rPr>
        <w:t>for example,</w:t>
      </w:r>
      <w:r w:rsidRPr="00544714">
        <w:rPr>
          <w:rFonts w:cs="Times New Roman"/>
          <w:lang w:val="en-US"/>
        </w:rPr>
        <w:t xml:space="preserve"> Pakuła </w:t>
      </w:r>
      <w:r w:rsidRPr="00A746BC">
        <w:rPr>
          <w:rFonts w:cs="Times New Roman"/>
          <w:i/>
          <w:iCs/>
          <w:lang w:val="en-US"/>
        </w:rPr>
        <w:t>et al</w:t>
      </w:r>
      <w:r w:rsidR="00477673">
        <w:rPr>
          <w:rFonts w:cs="Times New Roman"/>
          <w:lang w:val="en-US"/>
        </w:rPr>
        <w:t>,</w:t>
      </w:r>
      <w:r w:rsidRPr="00544714">
        <w:rPr>
          <w:rFonts w:cs="Times New Roman"/>
          <w:lang w:val="en-US"/>
        </w:rPr>
        <w:t xml:space="preserve"> 2015)</w:t>
      </w:r>
      <w:r>
        <w:rPr>
          <w:rFonts w:cs="Times New Roman"/>
        </w:rPr>
        <w:fldChar w:fldCharType="begin"/>
      </w:r>
      <w:r w:rsidRPr="00544714">
        <w:rPr>
          <w:rFonts w:cs="Times New Roman"/>
          <w:lang w:val="en-US"/>
        </w:rPr>
        <w:instrText xml:space="preserve"> ADDIN ZOTERO_ITEM CSL_CITATION {"citationID":"EhNCsOPI","properties":{"formattedCitation":"{\\rtf (Paku\\uc0\\u322{}a et al. 2015)}","plainCitation":""},"citationItems":[{"id":342,"uris":["http://zotero.org/users/1159224/items/NPFBXE4P"],"uri":["http://zotero.org/users/1159224/items/NPFBXE4P"],"itemData":{"id":342,"type":"book","title":"Gender and sexuality in English language education: Focus on Poland","publisher":"British Council","publisher-place":"London","event-place":"London","author":[{"family":"Pakuła","given":"Łukasz"},{"family":"Pawelczyk","given":"Joanna"},{"family":"Sunderland","given":"Jane"}],"issued":{"date-parts":[["2015"]]}}}],"schema":"https://github.com/citation-style-language/schema/raw/master/csl-citation.json"} </w:instrText>
      </w:r>
      <w:r>
        <w:rPr>
          <w:rFonts w:cs="Times New Roman"/>
        </w:rPr>
        <w:fldChar w:fldCharType="end"/>
      </w:r>
      <w:r w:rsidRPr="00544714">
        <w:rPr>
          <w:rFonts w:cs="Times New Roman"/>
          <w:lang w:val="en-US"/>
        </w:rPr>
        <w:t xml:space="preserve"> </w:t>
      </w:r>
      <w:r w:rsidRPr="00544714">
        <w:rPr>
          <w:lang w:val="en-US"/>
        </w:rPr>
        <w:t xml:space="preserve">due to a politics of fear </w:t>
      </w:r>
      <w:r>
        <w:fldChar w:fldCharType="begin"/>
      </w:r>
      <w:r w:rsidRPr="00544714">
        <w:rPr>
          <w:lang w:val="en-US"/>
        </w:rPr>
        <w:instrText xml:space="preserve"> ADDIN ZOTERO_ITEM CSL_CITATION {"citationID":"If4TExJK","properties":{"formattedCitation":"(Wodak 2015)","plainCitation":"(Wodak 2015)"},"citationItems":[{"id":875,"uris":["http://zotero.org/users/1159224/items/KKG2SNEV"],"uri":["http://zotero.org/users/1159224/items/KKG2SNEV"],"itemData":{"id":875,"type":"book","title":"The Politics of Fear: What Right-Wing Populist Discourses Mean","publisher":"SAGE Publications Ltd","publisher-place":"London","number-of-pages":"256","edition":"1 edition","source":"Amazon","event-place":"London","abstract":"Winner of the Austrian Book Prize for the 2016 German translation, in the category of Humanities and Social Sciences.  Populist right-wing politics is moving centre-stage, with some parties reaching the very top of the electoral ladder: but do we know why, and why now?  In this book Ruth Wodak traces the trajectories of such parties from the margins of the political landscape to its centre, to understand and explain how they are transforming from fringe voices to persuasive political actors who set the agenda and frame media debates. Laying bare the normalization of nationalistic, xenophobic, racist and antisemitic rhetoric, she builds a new framework for this ‘politics of fear’ that is entrenching new social divides of nation, gender and body.   The result reveals the micro-politics of right-wing populism: how discourses, genres, images and texts are performed and manipulated in both formal and also everyday contexts with profound consequences. This book is a must-read for scholars and students of linguistics, media and politics wishing to understand these dynamics that are re-shaping our political space.","ISBN":"978-1-4462-4700-6","shortTitle":"The Politics of Fear","language":"English","author":[{"family":"Wodak","given":"Ruth"}],"issued":{"date-parts":[["2015",10,29]]}}}],"schema":"https://github.com/citation-style-language/schema/raw/master/csl-citation.json"} </w:instrText>
      </w:r>
      <w:r>
        <w:fldChar w:fldCharType="separate"/>
      </w:r>
      <w:r w:rsidRPr="00544714">
        <w:rPr>
          <w:noProof/>
          <w:lang w:val="en-US"/>
        </w:rPr>
        <w:t>(Wodak</w:t>
      </w:r>
      <w:r w:rsidR="00477673">
        <w:rPr>
          <w:noProof/>
          <w:lang w:val="en-US"/>
        </w:rPr>
        <w:t>,</w:t>
      </w:r>
      <w:r w:rsidRPr="00544714">
        <w:rPr>
          <w:noProof/>
          <w:lang w:val="en-US"/>
        </w:rPr>
        <w:t xml:space="preserve"> 2015)</w:t>
      </w:r>
      <w:r>
        <w:fldChar w:fldCharType="end"/>
      </w:r>
      <w:r w:rsidRPr="00544714">
        <w:rPr>
          <w:lang w:val="en-US"/>
        </w:rPr>
        <w:t xml:space="preserve">. </w:t>
      </w:r>
      <w:r>
        <w:rPr>
          <w:lang w:val="en-US"/>
        </w:rPr>
        <w:t xml:space="preserve">Pakula posits that a further </w:t>
      </w:r>
      <w:r w:rsidRPr="00544714">
        <w:rPr>
          <w:lang w:val="en-US"/>
        </w:rPr>
        <w:t xml:space="preserve">type of risk regards exploring innovative paradigms which may, or may not, enable the researcher to arrive at a fuller picture the language plays in shaping, constructing, and negotiating sexuality in and out of </w:t>
      </w:r>
      <w:r>
        <w:rPr>
          <w:lang w:val="en-US"/>
        </w:rPr>
        <w:t>educational settings</w:t>
      </w:r>
      <w:r w:rsidRPr="00544714">
        <w:rPr>
          <w:lang w:val="en-US"/>
        </w:rPr>
        <w:t xml:space="preserve">. </w:t>
      </w:r>
    </w:p>
    <w:p w14:paraId="5321E56D" w14:textId="77777777" w:rsidR="00A54792" w:rsidRDefault="00A54792" w:rsidP="00CC472C"/>
    <w:p w14:paraId="0E0CBA2F" w14:textId="5D4D790F" w:rsidR="00873CF7" w:rsidRPr="00814D27" w:rsidRDefault="00577C1D" w:rsidP="00873CF7">
      <w:r>
        <w:t>Pakula</w:t>
      </w:r>
      <w:r w:rsidR="00CC472C">
        <w:t xml:space="preserve"> (2018)</w:t>
      </w:r>
      <w:r w:rsidR="00A54792">
        <w:t xml:space="preserve"> goes on to</w:t>
      </w:r>
      <w:r w:rsidR="00CC472C">
        <w:t xml:space="preserve"> propose the idea of</w:t>
      </w:r>
      <w:r w:rsidR="00917251">
        <w:t xml:space="preserve"> a ‘taxonomy of risk’ </w:t>
      </w:r>
      <w:r w:rsidR="00A54792">
        <w:t>relating to the study of language and sexuality in educational settings.</w:t>
      </w:r>
      <w:r w:rsidR="00917251">
        <w:t xml:space="preserve"> </w:t>
      </w:r>
      <w:r w:rsidR="00A54792">
        <w:t>I</w:t>
      </w:r>
      <w:r w:rsidR="00917251">
        <w:t xml:space="preserve">n doing so, </w:t>
      </w:r>
      <w:r w:rsidR="00A54792">
        <w:t xml:space="preserve">he </w:t>
      </w:r>
      <w:r w:rsidR="00CC472C">
        <w:t>begins</w:t>
      </w:r>
      <w:r w:rsidR="00917251">
        <w:t xml:space="preserve"> to theorise ‘risk’ from an applied linguistic perspective. Importantly, </w:t>
      </w:r>
      <w:r w:rsidR="008D7844">
        <w:t xml:space="preserve">Pakula </w:t>
      </w:r>
      <w:r w:rsidR="00917251">
        <w:t xml:space="preserve">encourages researchers to be self-reflexive in asking whether the ‘risk’ is perceived or real, and in ‘locating’ the risk. He notes that language and sexuality is both </w:t>
      </w:r>
      <w:r w:rsidR="00917251" w:rsidRPr="00292E66">
        <w:rPr>
          <w:i/>
        </w:rPr>
        <w:t>overtly</w:t>
      </w:r>
      <w:r w:rsidR="00917251">
        <w:t xml:space="preserve"> and </w:t>
      </w:r>
      <w:r w:rsidR="00917251" w:rsidRPr="00292E66">
        <w:rPr>
          <w:i/>
        </w:rPr>
        <w:t>covertly present</w:t>
      </w:r>
      <w:r w:rsidR="00917251">
        <w:t xml:space="preserve"> in educational contexts and reviews work which has examined different linguistic manifestations of this</w:t>
      </w:r>
      <w:r w:rsidR="00B85E99">
        <w:t xml:space="preserve"> and the ways that these manifestations may impact the researcher and their perceptions of ‘risk’ and ‘feelings of ‘vulnerability’</w:t>
      </w:r>
      <w:r w:rsidR="00917251">
        <w:t>.</w:t>
      </w:r>
      <w:r w:rsidR="00403DD0">
        <w:t xml:space="preserve"> </w:t>
      </w:r>
      <w:r w:rsidR="00592C2A">
        <w:t>In incorporating these issues into a taxonomy of risk, Pakula draws on the work of Renn and Klinke (2005) who conceptualise risk and risk management from a scienti</w:t>
      </w:r>
      <w:r w:rsidR="007629E8">
        <w:t>fic</w:t>
      </w:r>
      <w:r w:rsidR="00592C2A">
        <w:t xml:space="preserve"> perspective.</w:t>
      </w:r>
      <w:r w:rsidR="007629E8">
        <w:t xml:space="preserve"> Pakula draws specific attention </w:t>
      </w:r>
      <w:r w:rsidR="007629E8" w:rsidRPr="007629E8">
        <w:t>to t</w:t>
      </w:r>
      <w:r w:rsidR="008831EF" w:rsidRPr="008831EF">
        <w:t xml:space="preserve">he opening paragraph of Renn and Klinke’s paper </w:t>
      </w:r>
      <w:r w:rsidR="007629E8" w:rsidRPr="007629E8">
        <w:t>where they posit that</w:t>
      </w:r>
      <w:r w:rsidR="008831EF" w:rsidRPr="008831EF">
        <w:t xml:space="preserve"> </w:t>
      </w:r>
      <w:r w:rsidR="007629E8" w:rsidRPr="007629E8">
        <w:t>‘</w:t>
      </w:r>
      <w:r w:rsidR="008831EF" w:rsidRPr="008831EF">
        <w:t xml:space="preserve">risks must be considered as heterogeneous phenomena that preclude standardized evaluation and </w:t>
      </w:r>
      <w:r w:rsidR="008831EF" w:rsidRPr="001C5DA3">
        <w:t>handling</w:t>
      </w:r>
      <w:r w:rsidR="007629E8" w:rsidRPr="001C5DA3">
        <w:t>’</w:t>
      </w:r>
      <w:r w:rsidR="00F64852" w:rsidRPr="001C5DA3">
        <w:t xml:space="preserve"> (</w:t>
      </w:r>
      <w:r w:rsidR="001C5DA3" w:rsidRPr="001C5DA3">
        <w:t>Renn and Klinke, 2005: S41</w:t>
      </w:r>
      <w:r w:rsidR="00F64852" w:rsidRPr="001C5DA3">
        <w:t>)</w:t>
      </w:r>
      <w:r w:rsidR="007629E8" w:rsidRPr="001C5DA3">
        <w:t>.</w:t>
      </w:r>
      <w:r w:rsidR="007629E8" w:rsidRPr="007629E8">
        <w:t xml:space="preserve"> </w:t>
      </w:r>
      <w:r w:rsidR="006962DB">
        <w:t xml:space="preserve">What this means in practice is that, </w:t>
      </w:r>
      <w:r w:rsidR="006962DB" w:rsidRPr="00AC6EFA">
        <w:t>a</w:t>
      </w:r>
      <w:r w:rsidR="008831EF" w:rsidRPr="00AC6EFA">
        <w:t xml:space="preserve">lthough </w:t>
      </w:r>
      <w:r w:rsidR="006962DB" w:rsidRPr="00AC6EFA">
        <w:t>broad</w:t>
      </w:r>
      <w:r w:rsidR="008831EF" w:rsidRPr="00AC6EFA">
        <w:t xml:space="preserve"> criteria for risk management can be drafted at a very general level, each research project should take on board not only theoretical </w:t>
      </w:r>
      <w:r w:rsidR="00AC6EFA" w:rsidRPr="00AC6EFA">
        <w:t>perspectives of</w:t>
      </w:r>
      <w:r w:rsidR="008831EF" w:rsidRPr="00AC6EFA">
        <w:t xml:space="preserve"> risk but </w:t>
      </w:r>
      <w:r w:rsidR="00AC6EFA" w:rsidRPr="00AC6EFA">
        <w:t>also</w:t>
      </w:r>
      <w:r w:rsidR="008831EF" w:rsidRPr="00AC6EFA">
        <w:t xml:space="preserve"> the </w:t>
      </w:r>
      <w:r w:rsidR="00AC6EFA" w:rsidRPr="00AC6EFA">
        <w:t xml:space="preserve">project-specific </w:t>
      </w:r>
      <w:r w:rsidR="008831EF" w:rsidRPr="00AC6EFA">
        <w:t xml:space="preserve">practical applications of such theorisations. </w:t>
      </w:r>
      <w:r w:rsidR="00AC6EFA">
        <w:t>And an overriding principle is that applied linguists engaging in language, sexuality and education research (and other areas of research that entail risk and vulnerability</w:t>
      </w:r>
      <w:r w:rsidR="00AC6EFA" w:rsidRPr="00AC6EFA">
        <w:t xml:space="preserve">) </w:t>
      </w:r>
      <w:r w:rsidR="008831EF" w:rsidRPr="00AC6EFA">
        <w:t>need to see themselves as risk manager</w:t>
      </w:r>
      <w:r w:rsidR="008831EF" w:rsidRPr="00814D27">
        <w:t xml:space="preserve">s. </w:t>
      </w:r>
      <w:r w:rsidR="00873CF7" w:rsidRPr="00814D27">
        <w:t>And an integral part of going about risks in any research project is firstly their identification, followed by analysis</w:t>
      </w:r>
      <w:r w:rsidR="00814D27" w:rsidRPr="00814D27">
        <w:t xml:space="preserve"> of them</w:t>
      </w:r>
      <w:r w:rsidR="00873CF7" w:rsidRPr="00814D27">
        <w:t xml:space="preserve">, and </w:t>
      </w:r>
      <w:r w:rsidR="00814D27" w:rsidRPr="00814D27">
        <w:t xml:space="preserve">then coming up with </w:t>
      </w:r>
      <w:r w:rsidR="00873CF7" w:rsidRPr="00814D27">
        <w:t>ways of tackling them.</w:t>
      </w:r>
      <w:r w:rsidR="00873CF7" w:rsidRPr="008831EF">
        <w:t xml:space="preserve"> </w:t>
      </w:r>
      <w:r w:rsidR="004110D1">
        <w:t xml:space="preserve">Within this overarching framework, Pakula proposes two stages in applying a </w:t>
      </w:r>
      <w:r w:rsidR="004110D1">
        <w:lastRenderedPageBreak/>
        <w:t xml:space="preserve">‘taxonomy of risk’ to a research project in language, sexuality and education. The first stage involves assessing whether the risk is perceived or </w:t>
      </w:r>
      <w:r w:rsidR="004110D1" w:rsidRPr="00873CF7">
        <w:t>real.</w:t>
      </w:r>
      <w:r w:rsidR="00873CF7" w:rsidRPr="00873CF7">
        <w:t xml:space="preserve"> For example, as researchers (especially those who identify as </w:t>
      </w:r>
      <w:r w:rsidR="00D52A60">
        <w:t>LGBTQ+</w:t>
      </w:r>
      <w:r w:rsidR="00873CF7" w:rsidRPr="00873CF7">
        <w:t xml:space="preserve">), are we mapping our own fears onto the research process or is it a potential risk predicated on real-life social attitudes, political situations or the culture of the issue(s) under research? If the latter is the case, are we able to minimise the likelihood of such risks to enable the feasibility of the project? </w:t>
      </w:r>
    </w:p>
    <w:p w14:paraId="56BE9BE1" w14:textId="696EDE54" w:rsidR="00873CF7" w:rsidRDefault="00873CF7" w:rsidP="008831EF"/>
    <w:p w14:paraId="5D542351" w14:textId="596AF59D" w:rsidR="00873CF7" w:rsidRDefault="00873CF7" w:rsidP="008831EF">
      <w:r>
        <w:t>The second stage in the taxonomy proposed by Pakula asks the question ‘where is the locus of risk?’. Pakula proposes that there are three potential loci of risk in applied linguistics research on language, gender and sexuality</w:t>
      </w:r>
      <w:r w:rsidR="007B7CB7">
        <w:t>: existential risk; linguistic and conceptual risk; and risk that involves experimenting with research paradigms.</w:t>
      </w:r>
      <w:r w:rsidR="00132E8B">
        <w:t xml:space="preserve"> The first of these loci, existential risk, may be internal or external, according to Pakula. Internal existential risk involves engaging in research which has the potential to jeopardise the researcher’s own career (see Weeks, 2006, for a discussion of how this is a particularly pertinent issue in sexuality-focused research). External risk refers to the research participants and their feelings of possibly feeling uncomfortable or endangered through their involvement in the research.</w:t>
      </w:r>
    </w:p>
    <w:p w14:paraId="775D707B" w14:textId="56B126D4" w:rsidR="00132E8B" w:rsidRDefault="00132E8B" w:rsidP="008831EF"/>
    <w:p w14:paraId="652B6E80" w14:textId="18FB3758" w:rsidR="00132E8B" w:rsidRDefault="00132E8B" w:rsidP="008831EF">
      <w:r>
        <w:t xml:space="preserve">Linguistic and/or conceptual risks are the second locus of risk identified by Pakula. These risks relate to the use of particular words or concepts within a research project which may be perceived as taboo in the context under scrutiny. Pakula refers to his own work on analysing sexuality in English Language textbooks in Poland as an example of this locus of risk. Within this research project (Pakula </w:t>
      </w:r>
      <w:r w:rsidRPr="00477673">
        <w:rPr>
          <w:i/>
          <w:iCs/>
        </w:rPr>
        <w:t>et al</w:t>
      </w:r>
      <w:r>
        <w:t>, 2015), the researchers experienced resistance from participants in relation to the use of words which overtly describe non-heterosexual identity categories (e.g. gay, lesbian). This hostility can feel threatening for the researchers and may limit what they feel they are able to do or say in the research.</w:t>
      </w:r>
    </w:p>
    <w:p w14:paraId="7886FA51" w14:textId="6D3DDCF9" w:rsidR="00132E8B" w:rsidRDefault="00132E8B" w:rsidP="008831EF"/>
    <w:p w14:paraId="79533DDB" w14:textId="211E52B8" w:rsidR="00132E8B" w:rsidRPr="008831EF" w:rsidRDefault="00132E8B" w:rsidP="008831EF">
      <w:r>
        <w:t>The third locus of risk in Pakula’s approach focuses on experimenting with research paradigms.</w:t>
      </w:r>
      <w:r w:rsidR="00330D27">
        <w:t xml:space="preserve"> Language and sexuality has provided a platform for the development of new methodologies in applied linguistics research (e.g. queer linguistics and queer applied linguistics</w:t>
      </w:r>
      <w:r w:rsidR="00DE5F30">
        <w:t xml:space="preserve"> </w:t>
      </w:r>
      <w:r w:rsidR="003200FA" w:rsidRPr="003200FA">
        <w:t>– see Leap, 2013; Motschenbacher, 2011; Motshenbacher and Stegu, 2013</w:t>
      </w:r>
      <w:r w:rsidR="00330D27" w:rsidRPr="003200FA">
        <w:t>)</w:t>
      </w:r>
      <w:r w:rsidR="00330D27">
        <w:t xml:space="preserve"> as well as being known as a welcoming field for experimenting with innovative approaches and methods. </w:t>
      </w:r>
      <w:r w:rsidR="002144B4">
        <w:t xml:space="preserve">In fact, a tenet of queer linguistics (and the queer theory that informs it) is that it resists methodological constraint, dominance or categorisation. It is, rather, characterised by what Leap </w:t>
      </w:r>
      <w:r w:rsidR="002144B4" w:rsidRPr="00175E8F">
        <w:t>(</w:t>
      </w:r>
      <w:r w:rsidR="00F51AEA" w:rsidRPr="00175E8F">
        <w:t>2020</w:t>
      </w:r>
      <w:r w:rsidR="002144B4" w:rsidRPr="00175E8F">
        <w:t>)</w:t>
      </w:r>
      <w:r w:rsidR="002144B4">
        <w:t xml:space="preserve"> terms a ‘scavenger methodology’ which allows for a great amount of variety in methodological approaches as well as encouraging experimentation with new approaches. But this can still feel risky to the researcher and leave them feeling vulnerable and open to criticism. And even if no criticism is forthcoming, Pakula argues researchers can still experience vulnerable feelings about whether their methods and approaches will ‘catch on’ with the wider scholarly community.</w:t>
      </w:r>
    </w:p>
    <w:p w14:paraId="1B61F9E7" w14:textId="77777777" w:rsidR="008831EF" w:rsidRDefault="008831EF" w:rsidP="00CC472C"/>
    <w:p w14:paraId="16289FC1" w14:textId="65C90C2F" w:rsidR="00B85E99" w:rsidRDefault="00B85E99" w:rsidP="00CC472C">
      <w:r>
        <w:t>These issues can be further explored through references to examples of current work which examines different dimensions of language, sexuality and education but which have in common a shared focus on analysing manifestations of the overt and covert presence of heteronormativity in education.</w:t>
      </w:r>
      <w:r w:rsidR="008432C8">
        <w:t xml:space="preserve"> </w:t>
      </w:r>
      <w:r w:rsidR="00F64852">
        <w:t xml:space="preserve">All of the projects go beyond a simple focus on language and bullying, and </w:t>
      </w:r>
      <w:r w:rsidR="008432C8">
        <w:t>they also entail addressing various issues within Pakula’s taxonomy of risk outlined above.</w:t>
      </w:r>
    </w:p>
    <w:p w14:paraId="6AE60F54" w14:textId="77777777" w:rsidR="00917251" w:rsidRPr="00977912" w:rsidRDefault="00917251" w:rsidP="00CC472C"/>
    <w:p w14:paraId="0AC71E56" w14:textId="2E22264D" w:rsidR="00DA5074" w:rsidRDefault="00B85E99" w:rsidP="00CC472C">
      <w:r>
        <w:t xml:space="preserve">Firstly, work by </w:t>
      </w:r>
      <w:r w:rsidR="00917251" w:rsidRPr="00977912">
        <w:t xml:space="preserve">McGlashan </w:t>
      </w:r>
      <w:r>
        <w:t xml:space="preserve">(2018) </w:t>
      </w:r>
      <w:r w:rsidR="00917251" w:rsidRPr="00977912">
        <w:t>examines children’s picturebooks featuring same-sex parents/caregivers</w:t>
      </w:r>
      <w:r>
        <w:t xml:space="preserve"> and their use in UK schools. McGlashan</w:t>
      </w:r>
      <w:r w:rsidR="00917251" w:rsidRPr="00977912">
        <w:t xml:space="preserve"> not</w:t>
      </w:r>
      <w:r>
        <w:t>es</w:t>
      </w:r>
      <w:r w:rsidR="00917251" w:rsidRPr="00977912">
        <w:t xml:space="preserve"> that </w:t>
      </w:r>
      <w:r>
        <w:t>these books</w:t>
      </w:r>
      <w:r w:rsidR="00917251" w:rsidRPr="00977912">
        <w:t xml:space="preserve"> have become some of the most requested-to-be-banned books of modern times. </w:t>
      </w:r>
      <w:r>
        <w:t xml:space="preserve">This strongly </w:t>
      </w:r>
      <w:r>
        <w:lastRenderedPageBreak/>
        <w:t>suggests that, even in relatively liberal national contexts such as the UK, h</w:t>
      </w:r>
      <w:r w:rsidR="00917251" w:rsidRPr="00977912">
        <w:t>omosexuality and its representations in public life continues to be arguably the most controversial aspect of identity representation</w:t>
      </w:r>
      <w:r w:rsidR="00917251" w:rsidRPr="003F0DAE">
        <w:t>.</w:t>
      </w:r>
      <w:r>
        <w:t xml:space="preserve"> </w:t>
      </w:r>
      <w:r w:rsidR="00917251">
        <w:t xml:space="preserve">Homosexuality is </w:t>
      </w:r>
      <w:r>
        <w:t xml:space="preserve">perceived as </w:t>
      </w:r>
      <w:r w:rsidR="00917251">
        <w:t xml:space="preserve">extremely threatening relative to </w:t>
      </w:r>
      <w:r>
        <w:t>other aspects of identity such as</w:t>
      </w:r>
      <w:r w:rsidR="00917251">
        <w:t xml:space="preserve"> race and disability. </w:t>
      </w:r>
      <w:r>
        <w:t xml:space="preserve">This is probably due largely to </w:t>
      </w:r>
      <w:r w:rsidR="001D5A4D">
        <w:t xml:space="preserve">problematic but </w:t>
      </w:r>
      <w:r>
        <w:t>pervasive discourses of sexuality as a</w:t>
      </w:r>
      <w:r w:rsidR="00917251">
        <w:t xml:space="preserve"> ‘choice’. </w:t>
      </w:r>
      <w:r w:rsidR="00917251" w:rsidRPr="003F0DAE">
        <w:t>McGlashan’s research is innovative and risk-taking not just in terms of the topic, but also in its ambitious but extremely valuable use of corpus-assisted multimodal critical discourse analysis.</w:t>
      </w:r>
    </w:p>
    <w:p w14:paraId="1842FB62" w14:textId="77777777" w:rsidR="00DA5074" w:rsidRDefault="00DA5074" w:rsidP="00CC472C"/>
    <w:p w14:paraId="24A57878" w14:textId="7915AF2B" w:rsidR="00917251" w:rsidRDefault="00917251" w:rsidP="00CC472C">
      <w:r w:rsidRPr="003F0DAE">
        <w:t xml:space="preserve">McGlashan’s findings suggest that the representations of </w:t>
      </w:r>
      <w:r w:rsidR="00DA5074">
        <w:t>same-sex parent families (</w:t>
      </w:r>
      <w:r w:rsidRPr="003F0DAE">
        <w:t>SSPFs</w:t>
      </w:r>
      <w:r w:rsidR="00DA5074">
        <w:t>)</w:t>
      </w:r>
      <w:r w:rsidRPr="003F0DAE">
        <w:t xml:space="preserve"> in </w:t>
      </w:r>
      <w:r w:rsidR="00DA5074">
        <w:t>his</w:t>
      </w:r>
      <w:r w:rsidRPr="003F0DAE">
        <w:t xml:space="preserve"> picturebook corpus are underpinned by discourses of homonormativity and attempt to position families with same-sex parents as ‘a different kind of family’ rather than as something radically different from families with heterosexual parents. </w:t>
      </w:r>
      <w:r>
        <w:t>So SSPFs are still marked and therefore non-normative</w:t>
      </w:r>
      <w:r w:rsidR="008A413D">
        <w:t xml:space="preserve"> in the books comprising McGlashan’s corpus</w:t>
      </w:r>
      <w:r>
        <w:t xml:space="preserve">. Normativity is premised upon things being </w:t>
      </w:r>
      <w:r w:rsidRPr="003F0DAE">
        <w:rPr>
          <w:i/>
        </w:rPr>
        <w:t>unmarked</w:t>
      </w:r>
      <w:r>
        <w:t xml:space="preserve"> in discourse. </w:t>
      </w:r>
      <w:r w:rsidRPr="0005288D">
        <w:t xml:space="preserve">Despite this, McGlashan posits that provision of SSPF picturebooks in primary schools could provide educators </w:t>
      </w:r>
      <w:r w:rsidR="005E513E" w:rsidRPr="005E513E">
        <w:rPr>
          <w:color w:val="FF0000"/>
        </w:rPr>
        <w:t xml:space="preserve">with </w:t>
      </w:r>
      <w:r w:rsidRPr="0005288D">
        <w:t>a vital resource for talking about familial and sexuality diversity</w:t>
      </w:r>
      <w:r>
        <w:t>.</w:t>
      </w:r>
    </w:p>
    <w:p w14:paraId="0D487F0F" w14:textId="77777777" w:rsidR="00B85E99" w:rsidRPr="0005288D" w:rsidRDefault="00B85E99" w:rsidP="00CC472C"/>
    <w:p w14:paraId="72222530" w14:textId="0ED51193" w:rsidR="00634AD0" w:rsidRPr="00634AD0" w:rsidRDefault="008A413D" w:rsidP="00634AD0">
      <w:pPr>
        <w:rPr>
          <w:lang w:val="en-US"/>
        </w:rPr>
      </w:pPr>
      <w:r>
        <w:t>Therefore, c</w:t>
      </w:r>
      <w:r w:rsidR="00837637" w:rsidRPr="00837637">
        <w:t>hildren’s picturebooks contain</w:t>
      </w:r>
      <w:r>
        <w:t>ing</w:t>
      </w:r>
      <w:r w:rsidR="00837637" w:rsidRPr="00837637">
        <w:t xml:space="preserve"> SSPF representations may be one way of ‘befriending the risks’ associated with addressing sexual diversity through language practices in schools. The use of particular language teaching textbooks may be another way.</w:t>
      </w:r>
      <w:r w:rsidR="00C94753">
        <w:t xml:space="preserve"> </w:t>
      </w:r>
      <w:r w:rsidR="00837637" w:rsidRPr="0005288D">
        <w:t xml:space="preserve">In contrast to the huge number of analyses of gender representation in language textbooks, Sunderland </w:t>
      </w:r>
      <w:r w:rsidR="00837637">
        <w:t xml:space="preserve">(2018) </w:t>
      </w:r>
      <w:r w:rsidR="00837637" w:rsidRPr="0005288D">
        <w:t xml:space="preserve">observes </w:t>
      </w:r>
      <w:r w:rsidR="00837637">
        <w:t>that</w:t>
      </w:r>
      <w:r w:rsidR="00837637" w:rsidRPr="0005288D">
        <w:t xml:space="preserve"> there have been very few on the representation of sexuality. </w:t>
      </w:r>
      <w:r w:rsidR="006B3644">
        <w:t xml:space="preserve">Moreover, she notes that </w:t>
      </w:r>
      <w:r w:rsidR="00837637" w:rsidRPr="00824C1C">
        <w:rPr>
          <w:lang w:val="en-US"/>
        </w:rPr>
        <w:t>the lack of critical commentary on heteronormativity in language textbooks has been notable (</w:t>
      </w:r>
      <w:r w:rsidR="00634AD0">
        <w:rPr>
          <w:lang w:val="en-US"/>
        </w:rPr>
        <w:t xml:space="preserve">some </w:t>
      </w:r>
      <w:r w:rsidR="00837637" w:rsidRPr="00824C1C">
        <w:rPr>
          <w:lang w:val="en-US"/>
        </w:rPr>
        <w:t xml:space="preserve">exceptions </w:t>
      </w:r>
      <w:r w:rsidR="006B3644">
        <w:rPr>
          <w:lang w:val="en-US"/>
        </w:rPr>
        <w:t>are</w:t>
      </w:r>
      <w:r w:rsidR="00634AD0">
        <w:rPr>
          <w:lang w:val="en-US"/>
        </w:rPr>
        <w:t>:</w:t>
      </w:r>
      <w:r w:rsidR="00837637" w:rsidRPr="00824C1C">
        <w:rPr>
          <w:lang w:val="en-US"/>
        </w:rPr>
        <w:t xml:space="preserve"> Thornbury</w:t>
      </w:r>
      <w:r w:rsidR="006B3644">
        <w:rPr>
          <w:lang w:val="en-US"/>
        </w:rPr>
        <w:t xml:space="preserve">, </w:t>
      </w:r>
      <w:r w:rsidR="00837637" w:rsidRPr="00824C1C">
        <w:rPr>
          <w:lang w:val="en-US"/>
        </w:rPr>
        <w:t>1999</w:t>
      </w:r>
      <w:r w:rsidR="006B3644">
        <w:rPr>
          <w:lang w:val="en-US"/>
        </w:rPr>
        <w:t>;</w:t>
      </w:r>
      <w:r w:rsidR="00837637" w:rsidRPr="00824C1C">
        <w:rPr>
          <w:lang w:val="en-US"/>
        </w:rPr>
        <w:t xml:space="preserve"> Gray</w:t>
      </w:r>
      <w:r w:rsidR="006B3644">
        <w:rPr>
          <w:lang w:val="en-US"/>
        </w:rPr>
        <w:t>,</w:t>
      </w:r>
      <w:r w:rsidR="00837637" w:rsidRPr="00824C1C">
        <w:rPr>
          <w:lang w:val="en-US"/>
        </w:rPr>
        <w:t xml:space="preserve"> 2013</w:t>
      </w:r>
      <w:r w:rsidR="006B3644">
        <w:rPr>
          <w:lang w:val="en-US"/>
        </w:rPr>
        <w:t>;</w:t>
      </w:r>
      <w:r w:rsidR="00837637" w:rsidRPr="00824C1C">
        <w:rPr>
          <w:lang w:val="en-US"/>
        </w:rPr>
        <w:t xml:space="preserve"> Pakula </w:t>
      </w:r>
      <w:r w:rsidR="00837637" w:rsidRPr="00477673">
        <w:rPr>
          <w:i/>
          <w:iCs/>
          <w:lang w:val="en-US"/>
        </w:rPr>
        <w:t>et al</w:t>
      </w:r>
      <w:r w:rsidR="006B3644">
        <w:rPr>
          <w:lang w:val="en-US"/>
        </w:rPr>
        <w:t>,</w:t>
      </w:r>
      <w:r w:rsidR="00837637" w:rsidRPr="00824C1C">
        <w:rPr>
          <w:lang w:val="en-US"/>
        </w:rPr>
        <w:t xml:space="preserve"> 2015</w:t>
      </w:r>
      <w:r w:rsidR="006B3644">
        <w:rPr>
          <w:lang w:val="en-US"/>
        </w:rPr>
        <w:t>;</w:t>
      </w:r>
      <w:r w:rsidR="00837637" w:rsidRPr="00824C1C">
        <w:rPr>
          <w:lang w:val="en-US"/>
        </w:rPr>
        <w:t xml:space="preserve"> Sunderland</w:t>
      </w:r>
      <w:r w:rsidR="006B3644">
        <w:rPr>
          <w:lang w:val="en-US"/>
        </w:rPr>
        <w:t>,</w:t>
      </w:r>
      <w:r w:rsidR="00837637" w:rsidRPr="00824C1C">
        <w:rPr>
          <w:lang w:val="en-US"/>
        </w:rPr>
        <w:t xml:space="preserve"> 2015). </w:t>
      </w:r>
      <w:r w:rsidR="00634AD0" w:rsidRPr="00634AD0">
        <w:rPr>
          <w:lang w:val="en-US"/>
        </w:rPr>
        <w:t xml:space="preserve">Sunderland claims this is particularly surprising given Thornbury’s accurate observation that </w:t>
      </w:r>
      <w:r w:rsidR="00634AD0" w:rsidRPr="00634AD0">
        <w:t>‘[g]ayness is about as omitted [from foreign language textbooks] as anything can be’ (Thornbury 1999: 15).</w:t>
      </w:r>
    </w:p>
    <w:p w14:paraId="630AEE7D" w14:textId="77777777" w:rsidR="006B3644" w:rsidRDefault="006B3644" w:rsidP="00CC472C">
      <w:pPr>
        <w:rPr>
          <w:lang w:val="en-US"/>
        </w:rPr>
      </w:pPr>
    </w:p>
    <w:p w14:paraId="37447A0C" w14:textId="1AE4DC0D" w:rsidR="008432C8" w:rsidRDefault="00837637" w:rsidP="006B3644">
      <w:r w:rsidRPr="00824C1C">
        <w:rPr>
          <w:lang w:val="en-US"/>
        </w:rPr>
        <w:t xml:space="preserve">To partially address this, </w:t>
      </w:r>
      <w:r w:rsidR="006B3644">
        <w:rPr>
          <w:lang w:val="en-US"/>
        </w:rPr>
        <w:t>Sunderland’s research</w:t>
      </w:r>
      <w:r w:rsidRPr="00824C1C">
        <w:rPr>
          <w:lang w:val="en-US"/>
        </w:rPr>
        <w:t xml:space="preserve"> consider</w:t>
      </w:r>
      <w:r w:rsidR="006B3644">
        <w:rPr>
          <w:lang w:val="en-US"/>
        </w:rPr>
        <w:t>s</w:t>
      </w:r>
      <w:r w:rsidRPr="00824C1C">
        <w:rPr>
          <w:lang w:val="en-US"/>
        </w:rPr>
        <w:t xml:space="preserve"> and exemplif</w:t>
      </w:r>
      <w:r w:rsidR="006B3644">
        <w:rPr>
          <w:lang w:val="en-US"/>
        </w:rPr>
        <w:t>ies</w:t>
      </w:r>
      <w:r w:rsidRPr="00824C1C">
        <w:rPr>
          <w:lang w:val="en-US"/>
        </w:rPr>
        <w:t xml:space="preserve"> the notion of ‘degrees of heteronormativity’. </w:t>
      </w:r>
      <w:r w:rsidR="006B3644">
        <w:rPr>
          <w:lang w:val="en-US"/>
        </w:rPr>
        <w:t>She</w:t>
      </w:r>
      <w:r w:rsidRPr="00824C1C">
        <w:rPr>
          <w:lang w:val="en-US"/>
        </w:rPr>
        <w:t xml:space="preserve"> contend</w:t>
      </w:r>
      <w:r w:rsidR="006B3644">
        <w:rPr>
          <w:lang w:val="en-US"/>
        </w:rPr>
        <w:t>s</w:t>
      </w:r>
      <w:r w:rsidRPr="00824C1C">
        <w:rPr>
          <w:lang w:val="en-US"/>
        </w:rPr>
        <w:t xml:space="preserve"> that language textbook heteronormativity is not a monolithic entity, but can be ‘more’ or ‘less’. </w:t>
      </w:r>
      <w:r w:rsidR="006B3644">
        <w:rPr>
          <w:lang w:val="en-US"/>
        </w:rPr>
        <w:t>An example provided by Sunderland to illustrate this idea is as follows.</w:t>
      </w:r>
      <w:r w:rsidRPr="00824C1C">
        <w:rPr>
          <w:lang w:val="en-US"/>
        </w:rPr>
        <w:t xml:space="preserve"> </w:t>
      </w:r>
      <w:r w:rsidR="006B3644">
        <w:rPr>
          <w:lang w:val="en-US"/>
        </w:rPr>
        <w:t>A</w:t>
      </w:r>
      <w:r w:rsidRPr="00824C1C">
        <w:rPr>
          <w:lang w:val="en-US"/>
        </w:rPr>
        <w:t xml:space="preserve"> highly heteronormative text/image combination would be a two-parent nuclear family, mother and father who are sitting down to dinner with their teenage son and daughter, who are talking about the son’s girlfriend and the daughter’s boyfriend. Much less heteronormative would be a text/image concerning a group of female and male friends – no ‘pairings’ specified </w:t>
      </w:r>
      <w:r w:rsidR="008A413D">
        <w:rPr>
          <w:lang w:val="en-US"/>
        </w:rPr>
        <w:t>–</w:t>
      </w:r>
      <w:r w:rsidRPr="00824C1C">
        <w:rPr>
          <w:lang w:val="en-US"/>
        </w:rPr>
        <w:t xml:space="preserve"> enjoying a ‘gender-neutral’ activity such as hillwalking, which allows a range of readings in class about the different possible relationships between these people. </w:t>
      </w:r>
      <w:r w:rsidR="006B3644">
        <w:rPr>
          <w:lang w:val="en-US"/>
        </w:rPr>
        <w:t>Sunderland argues that t</w:t>
      </w:r>
      <w:r w:rsidRPr="00824C1C">
        <w:rPr>
          <w:lang w:val="en-US"/>
        </w:rPr>
        <w:t>extbook analysts can then consider a given textbook and look at the range and degrees of heteronormativities represented.</w:t>
      </w:r>
      <w:r w:rsidR="006B3644">
        <w:rPr>
          <w:lang w:val="en-US"/>
        </w:rPr>
        <w:t xml:space="preserve"> </w:t>
      </w:r>
      <w:r w:rsidR="008432C8">
        <w:rPr>
          <w:lang w:val="en-US"/>
        </w:rPr>
        <w:t xml:space="preserve">Publishers themselves also have a degree of choice over what representations to </w:t>
      </w:r>
      <w:r w:rsidR="008A413D">
        <w:rPr>
          <w:lang w:val="en-US"/>
        </w:rPr>
        <w:t xml:space="preserve">include. </w:t>
      </w:r>
      <w:r w:rsidR="008A413D">
        <w:t>T</w:t>
      </w:r>
      <w:r w:rsidR="006B3644">
        <w:t xml:space="preserve">exts </w:t>
      </w:r>
      <w:r w:rsidR="008A413D">
        <w:t>themselves may</w:t>
      </w:r>
      <w:r w:rsidR="006B3644" w:rsidRPr="0005288D">
        <w:t xml:space="preserve"> legitimately be considered as discriminatory</w:t>
      </w:r>
      <w:r w:rsidR="006B3644">
        <w:t xml:space="preserve"> under the 2010 Equality Act</w:t>
      </w:r>
      <w:r w:rsidR="008A413D">
        <w:t xml:space="preserve"> in that they can omit representation of particular identities and relationships, and/or misrepresent certain groups and identities, or present them in a negative way</w:t>
      </w:r>
      <w:r w:rsidR="006B3644" w:rsidRPr="0005288D">
        <w:t xml:space="preserve">. </w:t>
      </w:r>
      <w:r w:rsidR="008432C8">
        <w:t xml:space="preserve">Aldridge-Morris (2016: 80) highlights this issue and draws attention to the following specific paragraph in the </w:t>
      </w:r>
      <w:r w:rsidR="008432C8" w:rsidRPr="008432C8">
        <w:rPr>
          <w:i/>
          <w:iCs/>
        </w:rPr>
        <w:t>Equality and Diversity UK Post-16 Education Toolkit</w:t>
      </w:r>
      <w:r w:rsidR="008432C8">
        <w:t xml:space="preserve"> document:</w:t>
      </w:r>
    </w:p>
    <w:p w14:paraId="128214F4" w14:textId="72BFC56F" w:rsidR="008432C8" w:rsidRDefault="008432C8" w:rsidP="006B3644"/>
    <w:p w14:paraId="42063241" w14:textId="16FF3AAD" w:rsidR="008432C8" w:rsidRPr="008432C8" w:rsidRDefault="008432C8" w:rsidP="008432C8">
      <w:pPr>
        <w:ind w:left="720"/>
      </w:pPr>
      <w:r w:rsidRPr="008432C8">
        <w:t xml:space="preserve">Equality and diversity have to be embedded into all aspects of the curriculum: […] from inclusive resources and materials to teaching which explores the nature and impact of discrimination, harassment and victimisation because of disability, race, sex, sexual orientation, transgender, religion or belief, age and so on </w:t>
      </w:r>
    </w:p>
    <w:p w14:paraId="4B841B15" w14:textId="77777777" w:rsidR="008432C8" w:rsidRDefault="008432C8" w:rsidP="006B3644"/>
    <w:p w14:paraId="05462A6D" w14:textId="154EF8FB" w:rsidR="00C17103" w:rsidRPr="00D935AC" w:rsidRDefault="008432C8" w:rsidP="00CC472C">
      <w:r>
        <w:t>Given this legal context,</w:t>
      </w:r>
      <w:r w:rsidR="006B3644" w:rsidRPr="0005288D">
        <w:t xml:space="preserve"> Sunderland</w:t>
      </w:r>
      <w:r>
        <w:t>,</w:t>
      </w:r>
      <w:r w:rsidR="006B3644" w:rsidRPr="0005288D">
        <w:t xml:space="preserve"> </w:t>
      </w:r>
      <w:r>
        <w:t xml:space="preserve">perhaps </w:t>
      </w:r>
      <w:r w:rsidRPr="0005288D">
        <w:t xml:space="preserve">optimistically, </w:t>
      </w:r>
      <w:r w:rsidR="006B3644" w:rsidRPr="0005288D">
        <w:t xml:space="preserve">concludes that publishers can make a choice about what degrees of heteronormativity they want (or don’t want) to represent. </w:t>
      </w:r>
      <w:r w:rsidR="006B3644" w:rsidRPr="009D778A">
        <w:t xml:space="preserve">Like the picturebooks discussed by McGlashan, Sunderland importantly reminds us that language textbooks and children’s picturebooks are, of course, guided by market forces and financial imperatives. </w:t>
      </w:r>
      <w:r>
        <w:t xml:space="preserve">It is arguably for this key reason that international textbooks are unlikely to feature non-heterosexual characters. </w:t>
      </w:r>
      <w:r w:rsidR="006B3644" w:rsidRPr="009D778A">
        <w:t>Publishers will have to be willing to take (financial) risks if things really are to change in the future.</w:t>
      </w:r>
      <w:r w:rsidR="006B3644">
        <w:t xml:space="preserve"> </w:t>
      </w:r>
      <w:r w:rsidR="00D935AC">
        <w:t xml:space="preserve">But considering ‘degrees of heteronormativity’ may help publishers. Sunderland suggests one strategy they may implement is simply to move away from representations of extreme heteronormativity towards lower or lesser degrees of heteronormativity. Rather than directly including overt representations of same-sex romantic relationships, this may include, for example, more </w:t>
      </w:r>
      <w:r w:rsidR="00D935AC" w:rsidRPr="00FE5287">
        <w:t xml:space="preserve">portrayals of </w:t>
      </w:r>
      <w:r w:rsidR="00C17103" w:rsidRPr="00FE5287">
        <w:t xml:space="preserve">single parents, same-sex friends and friendship groups (which allow a range of readings) </w:t>
      </w:r>
      <w:r w:rsidR="00D935AC" w:rsidRPr="00FE5287">
        <w:t xml:space="preserve">and the inclusion of fewer </w:t>
      </w:r>
      <w:r w:rsidR="00C17103" w:rsidRPr="00FE5287">
        <w:t>explicitly heterosexual interest narratives</w:t>
      </w:r>
      <w:r w:rsidR="00D935AC" w:rsidRPr="00FE5287">
        <w:t>.</w:t>
      </w:r>
    </w:p>
    <w:p w14:paraId="5A30F910" w14:textId="77777777" w:rsidR="00C17103" w:rsidRDefault="00C17103" w:rsidP="00CC472C">
      <w:pPr>
        <w:rPr>
          <w:lang w:val="en-US"/>
        </w:rPr>
      </w:pPr>
    </w:p>
    <w:p w14:paraId="414DAFF5" w14:textId="3951C153" w:rsidR="00837637" w:rsidRPr="00C94753" w:rsidRDefault="006B3644" w:rsidP="00CC472C">
      <w:r>
        <w:rPr>
          <w:lang w:val="en-US"/>
        </w:rPr>
        <w:t xml:space="preserve">This approach is potentially less risky </w:t>
      </w:r>
      <w:r w:rsidR="00D935AC">
        <w:rPr>
          <w:lang w:val="en-US"/>
        </w:rPr>
        <w:t xml:space="preserve">to publishers in terms of the market forces they are driven by. The risks to researchers may also be reduced by this approach – </w:t>
      </w:r>
      <w:r w:rsidR="00FE5287">
        <w:rPr>
          <w:lang w:val="en-US"/>
        </w:rPr>
        <w:t>analyzing degrees of heteronormativity</w:t>
      </w:r>
      <w:r w:rsidR="00D935AC">
        <w:rPr>
          <w:lang w:val="en-US"/>
        </w:rPr>
        <w:t xml:space="preserve"> may open up possibilities which are</w:t>
      </w:r>
      <w:r>
        <w:rPr>
          <w:lang w:val="en-US"/>
        </w:rPr>
        <w:t xml:space="preserve"> more liberating that setting out to analyse language textbooks in ways which focus only on the exclusion of non-heterosexual identities. </w:t>
      </w:r>
    </w:p>
    <w:p w14:paraId="071C757E" w14:textId="77777777" w:rsidR="00917251" w:rsidRPr="009D778A" w:rsidRDefault="00917251" w:rsidP="00CC472C"/>
    <w:p w14:paraId="11122838" w14:textId="72523B8E" w:rsidR="00CC1C60" w:rsidRDefault="009E5BD7" w:rsidP="00CC1C60">
      <w:r>
        <w:t xml:space="preserve">A final case study of current research on language, sexuality and education considered here is </w:t>
      </w:r>
      <w:r w:rsidR="00AE4ABD" w:rsidRPr="00371F49">
        <w:t xml:space="preserve">Baynham’s </w:t>
      </w:r>
      <w:r>
        <w:t>ongoing work which explores</w:t>
      </w:r>
      <w:r w:rsidR="00AE4ABD" w:rsidRPr="00371F49">
        <w:t xml:space="preserve"> LGBTQ</w:t>
      </w:r>
      <w:r w:rsidR="00B67C9D">
        <w:t>+</w:t>
      </w:r>
      <w:r w:rsidR="00AE4ABD" w:rsidRPr="00371F49">
        <w:t xml:space="preserve"> inclusion issues in ESOL</w:t>
      </w:r>
      <w:r w:rsidR="00715BB2">
        <w:t xml:space="preserve"> (English for Speakers of Other Languages)</w:t>
      </w:r>
      <w:r w:rsidR="00AE4ABD" w:rsidRPr="00371F49">
        <w:t xml:space="preserve"> classrooms</w:t>
      </w:r>
      <w:r>
        <w:t>. Baynham</w:t>
      </w:r>
      <w:r w:rsidR="00AE4ABD" w:rsidRPr="00371F49">
        <w:t xml:space="preserve"> argu</w:t>
      </w:r>
      <w:r>
        <w:t>es,</w:t>
      </w:r>
      <w:r w:rsidR="00AE4ABD" w:rsidRPr="00371F49">
        <w:t xml:space="preserve"> quite rightly</w:t>
      </w:r>
      <w:r>
        <w:t>,</w:t>
      </w:r>
      <w:r w:rsidR="00AE4ABD" w:rsidRPr="00371F49">
        <w:t xml:space="preserve"> that this issue arises in the UK as a consequence of the 2010 Equality Act. </w:t>
      </w:r>
      <w:r w:rsidR="00C45D43">
        <w:t xml:space="preserve">This act </w:t>
      </w:r>
      <w:r w:rsidR="00CC1C60" w:rsidRPr="00C45D43">
        <w:t>consolidate</w:t>
      </w:r>
      <w:r w:rsidR="00C45D43" w:rsidRPr="00C45D43">
        <w:t>d</w:t>
      </w:r>
      <w:r w:rsidR="00CC1C60" w:rsidRPr="00C45D43">
        <w:t xml:space="preserve"> nine previous pieces of legislation to create the UK</w:t>
      </w:r>
      <w:r w:rsidR="00C45D43" w:rsidRPr="00C45D43">
        <w:t>’</w:t>
      </w:r>
      <w:r w:rsidR="00CC1C60" w:rsidRPr="00C45D43">
        <w:t xml:space="preserve">s first unified equalities legislation. </w:t>
      </w:r>
      <w:r w:rsidR="00C45D43" w:rsidRPr="00C45D43">
        <w:t>The Equality Act</w:t>
      </w:r>
      <w:r w:rsidR="00CC1C60" w:rsidRPr="00C45D43">
        <w:t xml:space="preserve"> places a new duty on public services to:</w:t>
      </w:r>
      <w:r w:rsidR="00C45D43" w:rsidRPr="00C45D43">
        <w:t xml:space="preserve"> ‘</w:t>
      </w:r>
      <w:r w:rsidR="00CC1C60" w:rsidRPr="00C45D43">
        <w:t>have due regard to the need to</w:t>
      </w:r>
      <w:r w:rsidR="00C45D43" w:rsidRPr="00C45D43">
        <w:t>’</w:t>
      </w:r>
      <w:r w:rsidR="00CC1C60" w:rsidRPr="00C45D43">
        <w:t xml:space="preserve">: </w:t>
      </w:r>
    </w:p>
    <w:p w14:paraId="08CB8137" w14:textId="77777777" w:rsidR="00C45D43" w:rsidRPr="00C45D43" w:rsidRDefault="00C45D43" w:rsidP="00CC1C60"/>
    <w:p w14:paraId="009DAE0F" w14:textId="77777777" w:rsidR="00CC1C60" w:rsidRPr="00C45D43" w:rsidRDefault="00CC1C60" w:rsidP="00CC1C60">
      <w:pPr>
        <w:numPr>
          <w:ilvl w:val="0"/>
          <w:numId w:val="7"/>
        </w:numPr>
      </w:pPr>
      <w:r w:rsidRPr="00C45D43">
        <w:t xml:space="preserve">eliminate discrimination, harassment and victimisation; </w:t>
      </w:r>
    </w:p>
    <w:p w14:paraId="3C2B3464" w14:textId="77777777" w:rsidR="00CC1C60" w:rsidRPr="00C45D43" w:rsidRDefault="00CC1C60" w:rsidP="00CC1C60">
      <w:pPr>
        <w:numPr>
          <w:ilvl w:val="0"/>
          <w:numId w:val="7"/>
        </w:numPr>
      </w:pPr>
      <w:r w:rsidRPr="00C45D43">
        <w:t xml:space="preserve">advance equality of opportunity between persons who share a relevant protected characteristic and persons who do not share it; </w:t>
      </w:r>
    </w:p>
    <w:p w14:paraId="6085A9FB" w14:textId="77777777" w:rsidR="00CC1C60" w:rsidRPr="00C45D43" w:rsidRDefault="00CC1C60" w:rsidP="00C45D43">
      <w:pPr>
        <w:ind w:left="360"/>
      </w:pPr>
      <w:r w:rsidRPr="00C45D43">
        <w:t xml:space="preserve">(c) foster good relations between persons who share a relevant protected characteristic and persons who do not share it.' </w:t>
      </w:r>
    </w:p>
    <w:p w14:paraId="02D6FCB2" w14:textId="0F7A038F" w:rsidR="00CC1C60" w:rsidRPr="00CC1C60" w:rsidRDefault="00CC1C60" w:rsidP="00C45D43">
      <w:pPr>
        <w:ind w:firstLine="360"/>
        <w:jc w:val="right"/>
      </w:pPr>
      <w:r w:rsidRPr="00C45D43">
        <w:t>(</w:t>
      </w:r>
      <w:r w:rsidR="001E575C">
        <w:t>Equality Act,</w:t>
      </w:r>
      <w:r w:rsidRPr="00C45D43">
        <w:t xml:space="preserve"> 2010: 96)</w:t>
      </w:r>
    </w:p>
    <w:p w14:paraId="6955A4A8" w14:textId="77777777" w:rsidR="00CC1C60" w:rsidRDefault="00CC1C60" w:rsidP="00AE4ABD"/>
    <w:p w14:paraId="225D918E" w14:textId="03C1BAF8" w:rsidR="00AE4ABD" w:rsidRDefault="00C45D43" w:rsidP="00AE4ABD">
      <w:r>
        <w:t xml:space="preserve">These legal edicts, Baynham argues, are relevant to the highly diverse ESOL student population in the UK. </w:t>
      </w:r>
      <w:r w:rsidR="00715BB2">
        <w:t>In considering ESOL classrooms as a specific educational setting</w:t>
      </w:r>
      <w:r>
        <w:t xml:space="preserve"> within this legal framework</w:t>
      </w:r>
      <w:r w:rsidR="00715BB2">
        <w:t xml:space="preserve">, </w:t>
      </w:r>
      <w:r w:rsidR="00AE4ABD" w:rsidRPr="00371F49">
        <w:t>Baynham discusses three ways of understanding the positioning of LGBTQ</w:t>
      </w:r>
      <w:r w:rsidR="00B67C9D">
        <w:t>+</w:t>
      </w:r>
      <w:r w:rsidR="00AE4ABD" w:rsidRPr="00371F49">
        <w:t xml:space="preserve"> teachers and students in a sexually normative world: </w:t>
      </w:r>
    </w:p>
    <w:p w14:paraId="5913F2B6" w14:textId="77777777" w:rsidR="00A53763" w:rsidRPr="00371F49" w:rsidRDefault="00A53763" w:rsidP="00AE4ABD"/>
    <w:p w14:paraId="7AA5C727" w14:textId="57C3A69A" w:rsidR="00AE4ABD" w:rsidRPr="00371F49" w:rsidRDefault="00AE4ABD" w:rsidP="00A53763">
      <w:pPr>
        <w:ind w:left="720"/>
      </w:pPr>
      <w:r w:rsidRPr="00371F49">
        <w:t xml:space="preserve">1. </w:t>
      </w:r>
      <w:r w:rsidR="00A53763">
        <w:t>I</w:t>
      </w:r>
      <w:r w:rsidRPr="00371F49">
        <w:t xml:space="preserve">nvisibility/visibility: </w:t>
      </w:r>
      <w:r w:rsidR="00A53763">
        <w:t>Within this dimension of the positioning of LGBTQ</w:t>
      </w:r>
      <w:r w:rsidR="00B67C9D">
        <w:t>+</w:t>
      </w:r>
      <w:r w:rsidR="00A53763">
        <w:t xml:space="preserve"> subjects, Baynham asks </w:t>
      </w:r>
      <w:r w:rsidRPr="00371F49">
        <w:t xml:space="preserve">how visible LGBTQ lives </w:t>
      </w:r>
      <w:r w:rsidR="00A53763">
        <w:t xml:space="preserve">are </w:t>
      </w:r>
      <w:r w:rsidRPr="00371F49">
        <w:t>in the activities, practices and artefacts of the ESOL classroom</w:t>
      </w:r>
      <w:r w:rsidR="00A53763">
        <w:t>.</w:t>
      </w:r>
      <w:r w:rsidRPr="00371F49">
        <w:t xml:space="preserve"> </w:t>
      </w:r>
    </w:p>
    <w:p w14:paraId="44D629D0" w14:textId="07DB5111" w:rsidR="00AE4ABD" w:rsidRPr="00371F49" w:rsidRDefault="00AE4ABD" w:rsidP="00A53763">
      <w:pPr>
        <w:ind w:left="720"/>
      </w:pPr>
      <w:r w:rsidRPr="00371F49">
        <w:t xml:space="preserve">2. </w:t>
      </w:r>
      <w:r w:rsidR="00A53763">
        <w:t>S</w:t>
      </w:r>
      <w:r w:rsidRPr="00371F49">
        <w:t xml:space="preserve">ilencing and voice: </w:t>
      </w:r>
      <w:r w:rsidR="00A53763">
        <w:t xml:space="preserve">This dimension of Baynham’s work focuses on how audible </w:t>
      </w:r>
      <w:r w:rsidRPr="00371F49">
        <w:t>LGBTQ</w:t>
      </w:r>
      <w:r w:rsidR="00B67C9D">
        <w:t>+</w:t>
      </w:r>
      <w:r w:rsidRPr="00371F49">
        <w:t xml:space="preserve"> voices </w:t>
      </w:r>
      <w:r w:rsidR="00A53763">
        <w:t xml:space="preserve">(including both teachers, students and representations) are </w:t>
      </w:r>
      <w:r w:rsidRPr="00371F49">
        <w:t>in ESOL classrooms and artefacts</w:t>
      </w:r>
      <w:r w:rsidR="00A53763">
        <w:t>,</w:t>
      </w:r>
      <w:r w:rsidRPr="00371F49">
        <w:t xml:space="preserve"> or </w:t>
      </w:r>
      <w:r w:rsidR="00A53763">
        <w:t xml:space="preserve">to what extent there </w:t>
      </w:r>
      <w:r w:rsidRPr="00371F49">
        <w:t>is a culture of silence around manifestations of non-normative sexuality</w:t>
      </w:r>
      <w:r w:rsidR="00A53763">
        <w:t>.</w:t>
      </w:r>
    </w:p>
    <w:p w14:paraId="670EFA22" w14:textId="75D8BF91" w:rsidR="00AE4ABD" w:rsidRDefault="00AE4ABD" w:rsidP="00A53763">
      <w:pPr>
        <w:ind w:left="720"/>
      </w:pPr>
      <w:r w:rsidRPr="00371F49">
        <w:t xml:space="preserve">3. </w:t>
      </w:r>
      <w:r w:rsidR="00A53763">
        <w:t>S</w:t>
      </w:r>
      <w:r w:rsidRPr="00371F49">
        <w:t xml:space="preserve">pace: </w:t>
      </w:r>
      <w:r w:rsidR="00A53763">
        <w:t xml:space="preserve">In this third dimension, Baynham considers whether </w:t>
      </w:r>
      <w:r w:rsidRPr="00371F49">
        <w:t xml:space="preserve">ESOL classrooms </w:t>
      </w:r>
      <w:r w:rsidR="00A53763">
        <w:t xml:space="preserve">are </w:t>
      </w:r>
      <w:r w:rsidRPr="00371F49">
        <w:t>safe, inclusive spaces for students and teachers whose sexuality is non-normative</w:t>
      </w:r>
      <w:r w:rsidR="00A53763">
        <w:t>.</w:t>
      </w:r>
    </w:p>
    <w:p w14:paraId="2A3B196E" w14:textId="77777777" w:rsidR="00A53763" w:rsidRPr="00371F49" w:rsidRDefault="00A53763" w:rsidP="00AE4ABD"/>
    <w:p w14:paraId="3F197DF2" w14:textId="63CAE7F5" w:rsidR="00663175" w:rsidRDefault="00AE4ABD" w:rsidP="00AE4ABD">
      <w:r w:rsidRPr="00371F49">
        <w:lastRenderedPageBreak/>
        <w:t xml:space="preserve">Baynham considers the ESOL classroom as </w:t>
      </w:r>
      <w:r w:rsidR="008A413D">
        <w:t>an element of the</w:t>
      </w:r>
      <w:r w:rsidRPr="00371F49">
        <w:t xml:space="preserve"> queer migration</w:t>
      </w:r>
      <w:r w:rsidR="008A413D">
        <w:t xml:space="preserve"> process</w:t>
      </w:r>
      <w:r w:rsidRPr="00371F49">
        <w:t xml:space="preserve">, and students’ narratives of migration and adaptation to life in the UK as part of a process of </w:t>
      </w:r>
      <w:r w:rsidR="008A413D">
        <w:t>‘</w:t>
      </w:r>
      <w:r w:rsidRPr="00371F49">
        <w:t>queering</w:t>
      </w:r>
      <w:r w:rsidR="008A413D">
        <w:t>’</w:t>
      </w:r>
      <w:r w:rsidRPr="00371F49">
        <w:t xml:space="preserve"> the ESOL classroom. </w:t>
      </w:r>
      <w:r w:rsidR="00663175">
        <w:t xml:space="preserve">The ESOL classroom, of course, is an educational site in which </w:t>
      </w:r>
      <w:r w:rsidR="00D52A60">
        <w:t>LGBTQ+</w:t>
      </w:r>
      <w:r w:rsidR="00663175">
        <w:t xml:space="preserve"> asylum seekers have access to learning English. Given that asylum seekers may have escaped severely traumatic and potentially life-threatening situations when coming to the UK, it may well be quite alarming (and possibly trauma triggering) for these populations to then experience, at best, invisibility of </w:t>
      </w:r>
      <w:r w:rsidR="00D52A60">
        <w:t>LGBTQ+</w:t>
      </w:r>
      <w:r w:rsidR="00663175">
        <w:t xml:space="preserve"> identities and, at worse, explicit discrimination from others in the ESOL classroom. </w:t>
      </w:r>
      <w:r w:rsidR="00734493">
        <w:t xml:space="preserve">This may be confounded by parallel instances of implicit and overt racism and other forms </w:t>
      </w:r>
      <w:r w:rsidR="00734493" w:rsidRPr="00734493">
        <w:t xml:space="preserve">of discrimination </w:t>
      </w:r>
      <w:r w:rsidR="00663175" w:rsidRPr="00734493">
        <w:t>(</w:t>
      </w:r>
      <w:r w:rsidR="00734493" w:rsidRPr="00734493">
        <w:t>see, for example,</w:t>
      </w:r>
      <w:r w:rsidR="00663175" w:rsidRPr="00734493">
        <w:t xml:space="preserve"> </w:t>
      </w:r>
      <w:r w:rsidR="00285CA1" w:rsidRPr="00734493">
        <w:t>Motha, 2006; 2014</w:t>
      </w:r>
      <w:r w:rsidR="00663175" w:rsidRPr="00734493">
        <w:t>)</w:t>
      </w:r>
      <w:r w:rsidR="00734493" w:rsidRPr="00734493">
        <w:t>.</w:t>
      </w:r>
    </w:p>
    <w:p w14:paraId="67E011A9" w14:textId="77777777" w:rsidR="00663175" w:rsidRDefault="00663175" w:rsidP="00AE4ABD"/>
    <w:p w14:paraId="449EE7EE" w14:textId="3A2E5BA4" w:rsidR="00AE4ABD" w:rsidRPr="00371F49" w:rsidRDefault="00F11CE3" w:rsidP="00AE4ABD">
      <w:r>
        <w:t xml:space="preserve">Against this backdrop, </w:t>
      </w:r>
      <w:r w:rsidR="00AE4ABD">
        <w:t xml:space="preserve">Baynham considers a number of important questions </w:t>
      </w:r>
      <w:r w:rsidR="008A413D">
        <w:t>pertaining</w:t>
      </w:r>
      <w:r>
        <w:t xml:space="preserve"> to issues of vulnerability and risk in relation to sexuality issues in ESOL classrooms. He asks who should be responsible for addressing these issues and what ethical and political issues (which may themselves be considered ‘risky’) are involved. A further question centres around h</w:t>
      </w:r>
      <w:r w:rsidR="00AE4ABD" w:rsidRPr="00371F49">
        <w:t xml:space="preserve">ow </w:t>
      </w:r>
      <w:r>
        <w:t>to</w:t>
      </w:r>
      <w:r w:rsidR="00AE4ABD" w:rsidRPr="00371F49">
        <w:t xml:space="preserve"> protect the privacy of LGBTQ</w:t>
      </w:r>
      <w:r w:rsidR="00B67C9D">
        <w:t>+</w:t>
      </w:r>
      <w:r w:rsidR="00AE4ABD" w:rsidRPr="00371F49">
        <w:t xml:space="preserve"> teachers and students, including their right not to be out if they don’t want to be</w:t>
      </w:r>
      <w:r>
        <w:t>.</w:t>
      </w:r>
      <w:r w:rsidR="00AE4ABD" w:rsidRPr="00371F49">
        <w:t xml:space="preserve"> </w:t>
      </w:r>
      <w:r>
        <w:t>Baynham also draws explicit attention to research situations in which</w:t>
      </w:r>
      <w:r w:rsidR="00AE4ABD" w:rsidRPr="00371F49">
        <w:t xml:space="preserve"> the classroom conversation </w:t>
      </w:r>
      <w:r>
        <w:t xml:space="preserve">may </w:t>
      </w:r>
      <w:r w:rsidR="00AE4ABD" w:rsidRPr="00371F49">
        <w:t xml:space="preserve">turn </w:t>
      </w:r>
      <w:r w:rsidR="00AE4ABD">
        <w:t>hostile</w:t>
      </w:r>
      <w:r w:rsidR="00D04F27">
        <w:t xml:space="preserve">, </w:t>
      </w:r>
      <w:r w:rsidR="00AE4ABD">
        <w:t xml:space="preserve">threatening </w:t>
      </w:r>
      <w:r>
        <w:t xml:space="preserve">and </w:t>
      </w:r>
      <w:r w:rsidR="00AE4ABD">
        <w:t xml:space="preserve">revealing </w:t>
      </w:r>
      <w:r>
        <w:t xml:space="preserve">of </w:t>
      </w:r>
      <w:r w:rsidR="00AE4ABD">
        <w:t xml:space="preserve">homophobic attitudes and </w:t>
      </w:r>
      <w:r w:rsidR="00AE4ABD" w:rsidRPr="00371F49">
        <w:t xml:space="preserve">behaviour. </w:t>
      </w:r>
    </w:p>
    <w:p w14:paraId="3C171232" w14:textId="77777777" w:rsidR="00AE4ABD" w:rsidRPr="00371F49" w:rsidRDefault="00AE4ABD" w:rsidP="00AE4ABD"/>
    <w:p w14:paraId="5C21C946" w14:textId="0BAE6DDD" w:rsidR="00AE4ABD" w:rsidRDefault="00F11CE3" w:rsidP="00AE4ABD">
      <w:r>
        <w:t xml:space="preserve">More positively, and as a potential way of befriending these risks, </w:t>
      </w:r>
      <w:r w:rsidR="00AE4ABD" w:rsidRPr="00371F49">
        <w:t xml:space="preserve">Baynham makes reference to the creative arts and their place in </w:t>
      </w:r>
      <w:r w:rsidR="00AE4ABD">
        <w:t>ESOL and in applied linguistics</w:t>
      </w:r>
      <w:r w:rsidR="008A413D">
        <w:t xml:space="preserve"> more broadly</w:t>
      </w:r>
      <w:r>
        <w:t>.</w:t>
      </w:r>
      <w:r w:rsidR="00AE4ABD">
        <w:t xml:space="preserve"> </w:t>
      </w:r>
      <w:r w:rsidR="008A413D">
        <w:t>This particular befriending strategy resonates with some of</w:t>
      </w:r>
      <w:r w:rsidR="00AE4ABD">
        <w:t xml:space="preserve"> my own </w:t>
      </w:r>
      <w:r>
        <w:t xml:space="preserve">research </w:t>
      </w:r>
      <w:r w:rsidR="00AE4ABD">
        <w:t>data</w:t>
      </w:r>
      <w:r>
        <w:t xml:space="preserve"> </w:t>
      </w:r>
      <w:r w:rsidR="008A413D">
        <w:t>from</w:t>
      </w:r>
      <w:r>
        <w:t xml:space="preserve"> UK secondary schools</w:t>
      </w:r>
      <w:r w:rsidR="00AE4ABD">
        <w:t xml:space="preserve">, in which </w:t>
      </w:r>
      <w:r w:rsidR="00D52A60">
        <w:t>LGBTQ+</w:t>
      </w:r>
      <w:r w:rsidR="00AE4ABD">
        <w:t>-identified young people</w:t>
      </w:r>
      <w:r w:rsidR="008A413D">
        <w:t>, who</w:t>
      </w:r>
      <w:r w:rsidR="00AE4ABD">
        <w:t xml:space="preserve"> often report feeling ignored and invisible in school</w:t>
      </w:r>
      <w:r w:rsidR="008A413D">
        <w:t>,</w:t>
      </w:r>
      <w:r w:rsidR="00AE4ABD">
        <w:t xml:space="preserve"> </w:t>
      </w:r>
      <w:r w:rsidR="008A413D">
        <w:t>also</w:t>
      </w:r>
      <w:r w:rsidR="00AE4ABD">
        <w:t xml:space="preserve"> report making use of creative arts to increase their visibility and to authenticate themselves, esp</w:t>
      </w:r>
      <w:r>
        <w:t>ecially</w:t>
      </w:r>
      <w:r w:rsidR="00AE4ABD">
        <w:t xml:space="preserve"> through literature, music</w:t>
      </w:r>
      <w:r>
        <w:t>, drama</w:t>
      </w:r>
      <w:r w:rsidR="00AE4ABD">
        <w:t xml:space="preserve"> and art. </w:t>
      </w:r>
      <w:r w:rsidR="00106BDA">
        <w:t xml:space="preserve">Other scholars, too, have identified the use of creative arts in schools as a means of befriending the risks associated with </w:t>
      </w:r>
      <w:r w:rsidR="00D52A60">
        <w:t>LGBTQ+</w:t>
      </w:r>
      <w:r w:rsidR="00106BDA">
        <w:t xml:space="preserve"> visibility and positive inclusion. Kjaran, Francis and Oddsson (2020), for example, explore the use of drama in schools in Iceland and South Africa to explore issues around sexual diversity. Calvelhe Panizo examines young gay men’s aesthetic experiences of engaging with media texts in schools in Spain and finds that such an approach can be transformative (2020) and effective in terms of producing a ‘queer counter-space’ in schools.</w:t>
      </w:r>
    </w:p>
    <w:p w14:paraId="733A237B" w14:textId="509C28FF" w:rsidR="00917251" w:rsidRDefault="00917251" w:rsidP="00CC472C"/>
    <w:p w14:paraId="11DDAD16" w14:textId="05C3EAFF" w:rsidR="00A2428D" w:rsidRPr="00A2428D" w:rsidRDefault="00A2428D" w:rsidP="00CC472C">
      <w:pPr>
        <w:rPr>
          <w:b/>
          <w:bCs/>
        </w:rPr>
      </w:pPr>
      <w:r w:rsidRPr="00A2428D">
        <w:rPr>
          <w:b/>
          <w:bCs/>
        </w:rPr>
        <w:t>Ways forward?</w:t>
      </w:r>
      <w:r w:rsidR="004B3463">
        <w:rPr>
          <w:b/>
          <w:bCs/>
        </w:rPr>
        <w:t xml:space="preserve"> Strategies of ‘befriending’</w:t>
      </w:r>
    </w:p>
    <w:p w14:paraId="77631D02" w14:textId="51AC1D47" w:rsidR="00071B6C" w:rsidRDefault="00071B6C" w:rsidP="00CC472C">
      <w:pPr>
        <w:rPr>
          <w:iCs/>
        </w:rPr>
      </w:pPr>
      <w:r>
        <w:rPr>
          <w:iCs/>
        </w:rPr>
        <w:t xml:space="preserve">The illustrative case studies on current and ongoing work in the field of language, sexuality and education discussed above reveal a number of possible ‘befriending’ strategies that could be explored and implemented as a means of addressing the frequent risks, vulnerabilities and challenges which pervade this area of applied linguistics research. </w:t>
      </w:r>
      <w:r w:rsidR="00D04A49">
        <w:rPr>
          <w:iCs/>
        </w:rPr>
        <w:t xml:space="preserve">These strategies could be of benefit to both researchers and participants (as well as to </w:t>
      </w:r>
      <w:r w:rsidR="003F78A9" w:rsidRPr="003F78A9">
        <w:rPr>
          <w:iCs/>
          <w:color w:val="FF0000"/>
        </w:rPr>
        <w:t>those</w:t>
      </w:r>
      <w:r w:rsidR="00D04A49" w:rsidRPr="003F78A9">
        <w:rPr>
          <w:iCs/>
          <w:color w:val="FF0000"/>
        </w:rPr>
        <w:t xml:space="preserve"> </w:t>
      </w:r>
      <w:r w:rsidR="00D04A49">
        <w:rPr>
          <w:iCs/>
        </w:rPr>
        <w:t xml:space="preserve">participating in education beyond specific research projects). </w:t>
      </w:r>
      <w:r>
        <w:rPr>
          <w:iCs/>
        </w:rPr>
        <w:t>Within the educational contexts studied, the strategies identified include: the use of creative arts in classrooms (Baynham); the use of children’s books containing representations of same-sex families (McGlashan); and greater exploitation of degrees of heteronormativity (and its concurrent alternatives) in language (and other kinds of) textbooks in schools. Beyond the educational research contexts themselves, I would suggest a number of wider befriending strategies, all of which require varying acts of bravery not just from researchers themselves, but from allies and colleagues working in other areas of applied linguistics.</w:t>
      </w:r>
    </w:p>
    <w:p w14:paraId="4060D7EE" w14:textId="5E489782" w:rsidR="00071B6C" w:rsidRDefault="00071B6C" w:rsidP="00CC472C">
      <w:pPr>
        <w:rPr>
          <w:iCs/>
        </w:rPr>
      </w:pPr>
    </w:p>
    <w:p w14:paraId="2133A999" w14:textId="221F03E3" w:rsidR="00917251" w:rsidRDefault="00071B6C" w:rsidP="00CC472C">
      <w:r>
        <w:rPr>
          <w:iCs/>
        </w:rPr>
        <w:lastRenderedPageBreak/>
        <w:t xml:space="preserve">Firstly, as argued by Sunderland, </w:t>
      </w:r>
      <w:r w:rsidR="00917251">
        <w:t xml:space="preserve">publishers </w:t>
      </w:r>
      <w:r>
        <w:t xml:space="preserve">must be willing </w:t>
      </w:r>
      <w:r w:rsidR="00917251">
        <w:t>to take more risks in terms of including positive representations of diverse gender and sexual identities</w:t>
      </w:r>
      <w:r>
        <w:t xml:space="preserve"> in their materials, including books for both children and adults (e.g. adult learners of English). Whilst publishers are generally supportive of publishing research work in the field of language, sexuality and education, this has yet to translate into publishers’ pedagogic material for use in schools and other kinds of educational settings.</w:t>
      </w:r>
    </w:p>
    <w:p w14:paraId="1AE4F2C2" w14:textId="7DDC162A" w:rsidR="00071B6C" w:rsidRDefault="00071B6C" w:rsidP="00CC472C"/>
    <w:p w14:paraId="2E0FE392" w14:textId="0DEE04C1" w:rsidR="005B7361" w:rsidRDefault="005B7361" w:rsidP="00CC472C">
      <w:r>
        <w:t xml:space="preserve">My own personal reflections </w:t>
      </w:r>
      <w:r w:rsidR="00F14763">
        <w:t xml:space="preserve">also </w:t>
      </w:r>
      <w:r>
        <w:t xml:space="preserve">reveal a need for institutional support for those conducting research in the field of language, sexuality and education (and, arguably, language and sexuality more broadly). The institutions in which researchers are employed must be willing to befriend the inevitable risks associated with the research field, in ways that ensure their employees </w:t>
      </w:r>
      <w:r w:rsidR="00050E32">
        <w:t xml:space="preserve">and students </w:t>
      </w:r>
      <w:r>
        <w:t>are fully supported.</w:t>
      </w:r>
      <w:r w:rsidR="003038DE">
        <w:t xml:space="preserve"> </w:t>
      </w:r>
      <w:r w:rsidR="008B08DC">
        <w:t xml:space="preserve">This may entail a straightforward checking in with practices that already take place, such as ensuring colleagues engaged in sexuality-based research are being supported through conference funding, the fair allocation of research leave and so on. But beyond this, institutions could also consider ways of </w:t>
      </w:r>
      <w:r w:rsidR="008B08DC" w:rsidRPr="008B08DC">
        <w:t xml:space="preserve">providing </w:t>
      </w:r>
      <w:r w:rsidR="003038DE" w:rsidRPr="008B08DC">
        <w:t>space</w:t>
      </w:r>
      <w:r w:rsidR="008B08DC" w:rsidRPr="008B08DC">
        <w:t>s and systems of</w:t>
      </w:r>
      <w:r w:rsidR="003038DE" w:rsidRPr="008B08DC">
        <w:t xml:space="preserve"> support where</w:t>
      </w:r>
      <w:r w:rsidR="008B08DC" w:rsidRPr="008B08DC">
        <w:t>by</w:t>
      </w:r>
      <w:r w:rsidR="003038DE" w:rsidRPr="008B08DC">
        <w:t xml:space="preserve"> </w:t>
      </w:r>
      <w:r w:rsidR="008B08DC" w:rsidRPr="008B08DC">
        <w:t>researchers</w:t>
      </w:r>
      <w:r w:rsidR="003038DE" w:rsidRPr="008B08DC">
        <w:t xml:space="preserve"> can ‘offload’ after and during engagement with risky research</w:t>
      </w:r>
      <w:r w:rsidR="008B08DC" w:rsidRPr="008B08DC">
        <w:t>. This is already established practice in some professional areas such as psychology and counselling. Extending this to researchers in linguistics</w:t>
      </w:r>
      <w:r w:rsidR="00050E32">
        <w:t>,</w:t>
      </w:r>
      <w:r w:rsidR="008B08DC" w:rsidRPr="008B08DC">
        <w:t xml:space="preserve"> and </w:t>
      </w:r>
      <w:r w:rsidR="00050E32">
        <w:t xml:space="preserve">in </w:t>
      </w:r>
      <w:r w:rsidR="008B08DC" w:rsidRPr="008B08DC">
        <w:t>any other discipline</w:t>
      </w:r>
      <w:r w:rsidR="00050E32">
        <w:t>,</w:t>
      </w:r>
      <w:r w:rsidR="008B08DC" w:rsidRPr="008B08DC">
        <w:t xml:space="preserve"> who may be engaged in research that exposes risks and vulnerabilities could help to create a context which is less isolating for those researchers.</w:t>
      </w:r>
      <w:r w:rsidR="003038DE" w:rsidRPr="008B08DC">
        <w:t xml:space="preserve"> </w:t>
      </w:r>
      <w:r w:rsidR="008B08DC">
        <w:t xml:space="preserve">There may be a case to </w:t>
      </w:r>
      <w:r w:rsidR="008B08DC" w:rsidRPr="008B08DC">
        <w:t>be made for a</w:t>
      </w:r>
      <w:r w:rsidR="004A494F" w:rsidRPr="008B08DC">
        <w:t xml:space="preserve">dditional support </w:t>
      </w:r>
      <w:r w:rsidR="008B08DC" w:rsidRPr="008B08DC">
        <w:t>to be made available to</w:t>
      </w:r>
      <w:r w:rsidR="004A494F" w:rsidRPr="008B08DC">
        <w:t xml:space="preserve"> </w:t>
      </w:r>
      <w:r w:rsidR="00D52A60">
        <w:t>LGBTQ+</w:t>
      </w:r>
      <w:r w:rsidR="004A494F" w:rsidRPr="008B08DC">
        <w:t xml:space="preserve"> researchers which take into account experiences frequently associated with ‘minority stress’</w:t>
      </w:r>
      <w:r w:rsidR="008B08DC" w:rsidRPr="008B08DC">
        <w:t xml:space="preserve"> as well as the vulnerabilities which may be exposed through the research being conducted.</w:t>
      </w:r>
      <w:r w:rsidR="00EB629B">
        <w:t xml:space="preserve"> Another suggestion for institutions may be for issues around researcher risk and vulnerability to be explicitly addressed through ethics processes and practices, if this is not currently the case.</w:t>
      </w:r>
    </w:p>
    <w:p w14:paraId="21DB4DC1" w14:textId="7542972A" w:rsidR="005B7361" w:rsidRDefault="005B7361" w:rsidP="00CC472C"/>
    <w:p w14:paraId="0D665D2F" w14:textId="3B1A8143" w:rsidR="00917251" w:rsidRDefault="004C4969" w:rsidP="00CC472C">
      <w:r>
        <w:rPr>
          <w:iCs/>
        </w:rPr>
        <w:t xml:space="preserve">As well as individual institutional support, researchers in this area would benefit from </w:t>
      </w:r>
      <w:r>
        <w:t>o</w:t>
      </w:r>
      <w:r w:rsidR="00917251" w:rsidRPr="00687134">
        <w:t xml:space="preserve">rganisational support from </w:t>
      </w:r>
      <w:r>
        <w:t xml:space="preserve">professional </w:t>
      </w:r>
      <w:r w:rsidR="00CD2911">
        <w:t xml:space="preserve">organisations such as </w:t>
      </w:r>
      <w:r w:rsidR="00917251" w:rsidRPr="00687134">
        <w:t>BAAL</w:t>
      </w:r>
      <w:r w:rsidR="00CD2911">
        <w:t xml:space="preserve"> </w:t>
      </w:r>
      <w:r>
        <w:t xml:space="preserve">(and parallel organisations in other countries) </w:t>
      </w:r>
      <w:r w:rsidR="00CD2911">
        <w:t>and AILA</w:t>
      </w:r>
      <w:r w:rsidR="00917251" w:rsidRPr="00687134">
        <w:t>.</w:t>
      </w:r>
      <w:r w:rsidR="000C3A64">
        <w:t xml:space="preserve"> Professional organisation</w:t>
      </w:r>
      <w:r w:rsidR="00216977" w:rsidRPr="00216977">
        <w:rPr>
          <w:color w:val="FF0000"/>
        </w:rPr>
        <w:t>s</w:t>
      </w:r>
      <w:r w:rsidR="000C3A64">
        <w:t xml:space="preserve"> may therefore be asked to befriend the risks and vulnerabilities associated with their members conducting research in the area of language, sexuality and education.</w:t>
      </w:r>
      <w:r w:rsidR="00BB190B">
        <w:t xml:space="preserve"> </w:t>
      </w:r>
      <w:r w:rsidR="001B61EC">
        <w:t xml:space="preserve">Practical suggestions for achieving this may include organisations including sections </w:t>
      </w:r>
      <w:r w:rsidR="001B61EC" w:rsidRPr="001B61EC">
        <w:t>on</w:t>
      </w:r>
      <w:r w:rsidR="00BB190B" w:rsidRPr="001B61EC">
        <w:t xml:space="preserve"> ‘vulnerable populations’ in their ethics guidelines</w:t>
      </w:r>
      <w:r w:rsidR="001B61EC" w:rsidRPr="001B61EC">
        <w:t>. Organisations could operate peer support networks for researchers engaging in risky research, along similar lines to the way that some professional organisations already operate mentoring schemes for researchers.</w:t>
      </w:r>
      <w:r w:rsidR="00BB190B" w:rsidRPr="001B61EC">
        <w:t xml:space="preserve"> </w:t>
      </w:r>
      <w:r w:rsidR="001B61EC" w:rsidRPr="001B61EC">
        <w:t>It may even be possible for organisations to hold specific events</w:t>
      </w:r>
      <w:r w:rsidR="00BB190B" w:rsidRPr="001B61EC">
        <w:t xml:space="preserve"> </w:t>
      </w:r>
      <w:r w:rsidR="001B61EC" w:rsidRPr="001B61EC">
        <w:t>(e.g. workshops, conferences)</w:t>
      </w:r>
      <w:r w:rsidR="00BB190B" w:rsidRPr="001B61EC">
        <w:t xml:space="preserve"> dedicated to exploring these kinds of issues</w:t>
      </w:r>
      <w:r w:rsidR="001B61EC" w:rsidRPr="001B61EC">
        <w:t>.</w:t>
      </w:r>
    </w:p>
    <w:p w14:paraId="1D42FAAF" w14:textId="5B40CC29" w:rsidR="004C4969" w:rsidRDefault="004C4969" w:rsidP="00CC472C"/>
    <w:p w14:paraId="0DA86571" w14:textId="614DA8BC" w:rsidR="003A42ED" w:rsidRPr="000D01D2" w:rsidRDefault="00941A55" w:rsidP="00CC472C">
      <w:r>
        <w:t>Beyond institutional and professional organisational befriending practices, we should also consider the wider higher education context.</w:t>
      </w:r>
      <w:r w:rsidR="007232F3">
        <w:t xml:space="preserve"> As briefly discussed earlier, w</w:t>
      </w:r>
      <w:r w:rsidR="00917251" w:rsidRPr="00687134">
        <w:t xml:space="preserve">e know that in a neoliberal era, academic freedom, ethics, social justice, democracy and humanitarian practices are all increasingly under threat. But </w:t>
      </w:r>
      <w:r w:rsidR="007232F3">
        <w:t xml:space="preserve">within the neoliberal system, </w:t>
      </w:r>
      <w:r w:rsidR="00917251" w:rsidRPr="00687134">
        <w:t>there are</w:t>
      </w:r>
      <w:r w:rsidR="007232F3">
        <w:t>, arguably,</w:t>
      </w:r>
      <w:r w:rsidR="00917251" w:rsidRPr="00687134">
        <w:t xml:space="preserve"> small pockets of resistance </w:t>
      </w:r>
      <w:r w:rsidR="007232F3">
        <w:t xml:space="preserve">that can be found in places such as </w:t>
      </w:r>
      <w:r w:rsidR="00917251" w:rsidRPr="00687134">
        <w:t>co-operative universities</w:t>
      </w:r>
      <w:r w:rsidR="007232F3">
        <w:t xml:space="preserve">, liberal arts colleges, small specialist universities and some Cathedrals group universities (which have an avowed commitment to faith </w:t>
      </w:r>
      <w:r w:rsidR="00050E32">
        <w:t xml:space="preserve">and social justice </w:t>
      </w:r>
      <w:r w:rsidR="007232F3">
        <w:t>values as part of their mission)</w:t>
      </w:r>
      <w:r w:rsidR="00917251" w:rsidRPr="00687134">
        <w:t xml:space="preserve">. Can </w:t>
      </w:r>
      <w:r w:rsidR="007232F3">
        <w:t>these kinds of educational contexts</w:t>
      </w:r>
      <w:r w:rsidR="00917251" w:rsidRPr="00687134">
        <w:t xml:space="preserve"> provide safe</w:t>
      </w:r>
      <w:r w:rsidR="007232F3">
        <w:t>r</w:t>
      </w:r>
      <w:r w:rsidR="00917251" w:rsidRPr="00687134">
        <w:t xml:space="preserve"> platform</w:t>
      </w:r>
      <w:r w:rsidR="007232F3">
        <w:t>s</w:t>
      </w:r>
      <w:r w:rsidR="00917251" w:rsidRPr="00687134">
        <w:t xml:space="preserve"> from which research </w:t>
      </w:r>
      <w:r w:rsidR="007232F3">
        <w:t xml:space="preserve">on language, sexuality and education </w:t>
      </w:r>
      <w:r w:rsidR="00917251" w:rsidRPr="00687134">
        <w:t xml:space="preserve">can truly develop, flourish and make a real difference? </w:t>
      </w:r>
      <w:r w:rsidR="00917251">
        <w:t xml:space="preserve">This </w:t>
      </w:r>
      <w:r w:rsidR="007232F3">
        <w:t xml:space="preserve">final question perhaps embodies </w:t>
      </w:r>
      <w:r w:rsidR="00917251">
        <w:t xml:space="preserve">an appeal to </w:t>
      </w:r>
      <w:r w:rsidR="00050E32">
        <w:t>vice-chancellors</w:t>
      </w:r>
      <w:r w:rsidR="00917251">
        <w:t xml:space="preserve"> to be brave</w:t>
      </w:r>
      <w:r w:rsidR="007232F3">
        <w:t xml:space="preserve"> and to befriend the risks involved in </w:t>
      </w:r>
      <w:r w:rsidR="000D01D2">
        <w:t xml:space="preserve">applied linguistics (and other) </w:t>
      </w:r>
      <w:r w:rsidR="007232F3">
        <w:t xml:space="preserve">research driven </w:t>
      </w:r>
      <w:r w:rsidR="000D01D2">
        <w:t xml:space="preserve">primarily </w:t>
      </w:r>
      <w:r w:rsidR="007232F3">
        <w:t>by an emancipatory and social justice agenda</w:t>
      </w:r>
      <w:r w:rsidR="00917251">
        <w:t>.</w:t>
      </w:r>
    </w:p>
    <w:p w14:paraId="4CE30996" w14:textId="77777777" w:rsidR="003A42ED" w:rsidRDefault="003A42ED" w:rsidP="00CC472C"/>
    <w:p w14:paraId="3191B2D4" w14:textId="77777777" w:rsidR="00917251" w:rsidRDefault="00917251" w:rsidP="00CC472C"/>
    <w:p w14:paraId="0862A5D8" w14:textId="77777777" w:rsidR="00CC472C" w:rsidRPr="00544714" w:rsidRDefault="00CC472C" w:rsidP="00CC472C">
      <w:pPr>
        <w:autoSpaceDE w:val="0"/>
        <w:autoSpaceDN w:val="0"/>
        <w:adjustRightInd w:val="0"/>
        <w:rPr>
          <w:rFonts w:ascii="Times" w:hAnsi="Times" w:cs="Times"/>
          <w:b/>
          <w:color w:val="000000"/>
          <w:lang w:val="en-US"/>
        </w:rPr>
      </w:pPr>
      <w:r w:rsidRPr="00544714">
        <w:rPr>
          <w:rFonts w:ascii="Times" w:hAnsi="Times" w:cs="Times"/>
          <w:b/>
          <w:color w:val="000000"/>
          <w:lang w:val="en-US"/>
        </w:rPr>
        <w:t xml:space="preserve">References: </w:t>
      </w:r>
    </w:p>
    <w:p w14:paraId="0F8113EB" w14:textId="50E293A0" w:rsidR="00B634EA" w:rsidRPr="00B634EA" w:rsidRDefault="00B634EA" w:rsidP="00CC472C">
      <w:pPr>
        <w:widowControl w:val="0"/>
        <w:autoSpaceDE w:val="0"/>
        <w:autoSpaceDN w:val="0"/>
        <w:adjustRightInd w:val="0"/>
      </w:pPr>
      <w:r w:rsidRPr="00B634EA">
        <w:t xml:space="preserve">Ahmed, S. 2007. The language of diversity. </w:t>
      </w:r>
      <w:r w:rsidRPr="00B634EA">
        <w:rPr>
          <w:i/>
        </w:rPr>
        <w:t>Ethnic and Racial Studies</w:t>
      </w:r>
      <w:r w:rsidRPr="00B634EA">
        <w:t xml:space="preserve"> 30 (2): 235-256.</w:t>
      </w:r>
    </w:p>
    <w:p w14:paraId="4343BD7E" w14:textId="2D8E426F" w:rsidR="0055259B" w:rsidRPr="0055259B" w:rsidRDefault="0055259B" w:rsidP="0055259B">
      <w:pPr>
        <w:widowControl w:val="0"/>
        <w:autoSpaceDE w:val="0"/>
        <w:autoSpaceDN w:val="0"/>
        <w:adjustRightInd w:val="0"/>
        <w:rPr>
          <w:highlight w:val="yellow"/>
        </w:rPr>
      </w:pPr>
      <w:r w:rsidRPr="00FB1573">
        <w:t>Aldridge-Morris, K</w:t>
      </w:r>
      <w:r w:rsidR="00A65B6F" w:rsidRPr="00FB1573">
        <w:t>.</w:t>
      </w:r>
      <w:r w:rsidRPr="00FB1573">
        <w:t xml:space="preserve"> 2016</w:t>
      </w:r>
      <w:r w:rsidR="00A65B6F" w:rsidRPr="00FB1573">
        <w:t>.</w:t>
      </w:r>
      <w:r w:rsidRPr="00FB1573">
        <w:t xml:space="preserve"> </w:t>
      </w:r>
      <w:r w:rsidRPr="00FB1573">
        <w:rPr>
          <w:i/>
          <w:iCs/>
        </w:rPr>
        <w:t xml:space="preserve">How to </w:t>
      </w:r>
      <w:r w:rsidR="00FB1573" w:rsidRPr="00FB1573">
        <w:rPr>
          <w:i/>
          <w:iCs/>
        </w:rPr>
        <w:t>W</w:t>
      </w:r>
      <w:r w:rsidRPr="00FB1573">
        <w:rPr>
          <w:i/>
          <w:iCs/>
        </w:rPr>
        <w:t xml:space="preserve">rite ESOL </w:t>
      </w:r>
      <w:r w:rsidR="00FB1573" w:rsidRPr="00FB1573">
        <w:rPr>
          <w:i/>
          <w:iCs/>
        </w:rPr>
        <w:t>M</w:t>
      </w:r>
      <w:r w:rsidRPr="00FB1573">
        <w:rPr>
          <w:i/>
          <w:iCs/>
        </w:rPr>
        <w:t>aterials</w:t>
      </w:r>
      <w:r w:rsidRPr="00FB1573">
        <w:t xml:space="preserve">. </w:t>
      </w:r>
      <w:r w:rsidR="00FB1573" w:rsidRPr="00FB1573">
        <w:t xml:space="preserve">Oxford: </w:t>
      </w:r>
      <w:r w:rsidRPr="00FB1573">
        <w:t>ELT Teacher 2</w:t>
      </w:r>
      <w:r w:rsidR="00FB1573" w:rsidRPr="00FB1573">
        <w:t xml:space="preserve"> </w:t>
      </w:r>
      <w:r w:rsidRPr="00FB1573">
        <w:t>Writer.</w:t>
      </w:r>
    </w:p>
    <w:p w14:paraId="773CB4E3" w14:textId="78429B2B" w:rsidR="007D1856" w:rsidRPr="00171C75" w:rsidRDefault="007D1856" w:rsidP="00171C75">
      <w:pPr>
        <w:widowControl w:val="0"/>
        <w:autoSpaceDE w:val="0"/>
        <w:autoSpaceDN w:val="0"/>
        <w:adjustRightInd w:val="0"/>
        <w:rPr>
          <w:rFonts w:cs="Times New Roman"/>
          <w:lang w:val="en-US"/>
        </w:rPr>
      </w:pPr>
      <w:r>
        <w:rPr>
          <w:rFonts w:cs="Times New Roman"/>
          <w:lang w:val="en-US"/>
        </w:rPr>
        <w:t xml:space="preserve">Balsam, K., Beadnell, B. and Molina, Y. 2013. The daily heterosexist experiences </w:t>
      </w:r>
      <w:r w:rsidRPr="00171C75">
        <w:rPr>
          <w:rFonts w:cs="Times New Roman"/>
          <w:lang w:val="en-US"/>
        </w:rPr>
        <w:t xml:space="preserve">questionnaire: Measuring minority stress among lesbian, gay, bisexual, and transgender adults. </w:t>
      </w:r>
      <w:r w:rsidRPr="00171C75">
        <w:rPr>
          <w:rFonts w:cs="Times New Roman"/>
          <w:i/>
          <w:lang w:val="en-US"/>
        </w:rPr>
        <w:t>Measurement and Evaluation in Counseling and Development</w:t>
      </w:r>
      <w:r w:rsidRPr="00171C75">
        <w:rPr>
          <w:rFonts w:cs="Times New Roman"/>
          <w:lang w:val="en-US"/>
        </w:rPr>
        <w:t xml:space="preserve"> </w:t>
      </w:r>
      <w:r w:rsidR="00B82FC1" w:rsidRPr="00171C75">
        <w:rPr>
          <w:rFonts w:cs="Times New Roman"/>
          <w:lang w:val="en-US"/>
        </w:rPr>
        <w:t>46 (1): 3-25.</w:t>
      </w:r>
    </w:p>
    <w:p w14:paraId="27773C5F" w14:textId="3DC1D78D" w:rsidR="00D26737" w:rsidRPr="00171C75" w:rsidRDefault="00D26737" w:rsidP="00171C75">
      <w:pPr>
        <w:widowControl w:val="0"/>
        <w:autoSpaceDE w:val="0"/>
        <w:autoSpaceDN w:val="0"/>
        <w:adjustRightInd w:val="0"/>
        <w:rPr>
          <w:rFonts w:cs="Times New Roman"/>
        </w:rPr>
      </w:pPr>
      <w:r w:rsidRPr="00171C75">
        <w:rPr>
          <w:rFonts w:cs="Times New Roman"/>
          <w:lang w:val="en-US"/>
        </w:rPr>
        <w:t>Baynham, M. 2018.</w:t>
      </w:r>
      <w:r w:rsidR="00EA6F52" w:rsidRPr="00171C75">
        <w:rPr>
          <w:rFonts w:cs="Times New Roman"/>
          <w:lang w:val="en-US"/>
        </w:rPr>
        <w:t xml:space="preserve"> Queer voices in the ESOL classroom. </w:t>
      </w:r>
      <w:r w:rsidR="00EA6F52" w:rsidRPr="00171C75">
        <w:rPr>
          <w:rFonts w:cs="Times New Roman"/>
        </w:rPr>
        <w:t xml:space="preserve">Paper presented at the </w:t>
      </w:r>
      <w:r w:rsidR="00EA6F52" w:rsidRPr="00171C75">
        <w:rPr>
          <w:rFonts w:cs="Times New Roman"/>
          <w:i/>
          <w:iCs/>
        </w:rPr>
        <w:t>British Association of Applied Linguistics Annual Meeting</w:t>
      </w:r>
      <w:r w:rsidR="00EA6F52" w:rsidRPr="00171C75">
        <w:rPr>
          <w:rFonts w:cs="Times New Roman"/>
        </w:rPr>
        <w:t>, York St John University, UK, 6-8 September 2018.</w:t>
      </w:r>
    </w:p>
    <w:p w14:paraId="50771A1B" w14:textId="5E71DE97" w:rsidR="00171C75" w:rsidRPr="00171C75" w:rsidRDefault="00171C75" w:rsidP="00171C75">
      <w:bookmarkStart w:id="0" w:name="ref_bib1_16"/>
      <w:r w:rsidRPr="00171C75">
        <w:t xml:space="preserve">Birkett, M. and Espelage, D. 2015. Homophobic name-calling, peer-groups, and masculinity: The socialization of homophobic behaviour in adolescents. </w:t>
      </w:r>
      <w:r w:rsidRPr="00171C75">
        <w:rPr>
          <w:i/>
        </w:rPr>
        <w:t>Social Development</w:t>
      </w:r>
      <w:r w:rsidRPr="00171C75">
        <w:t xml:space="preserve"> 24 (1): 184–205.</w:t>
      </w:r>
      <w:bookmarkEnd w:id="0"/>
    </w:p>
    <w:p w14:paraId="4B810172" w14:textId="0BAD618D" w:rsidR="00CC472C" w:rsidRDefault="00CC472C" w:rsidP="00171C75">
      <w:pPr>
        <w:widowControl w:val="0"/>
        <w:autoSpaceDE w:val="0"/>
        <w:autoSpaceDN w:val="0"/>
        <w:adjustRightInd w:val="0"/>
        <w:rPr>
          <w:rFonts w:cs="Times New Roman"/>
          <w:lang w:val="en-US"/>
        </w:rPr>
      </w:pPr>
      <w:r w:rsidRPr="00171C75">
        <w:rPr>
          <w:rFonts w:cs="Times New Roman"/>
          <w:lang w:val="en-US"/>
        </w:rPr>
        <w:t>Bloomfield, V. and Fisher</w:t>
      </w:r>
      <w:r w:rsidR="00574F12" w:rsidRPr="00171C75">
        <w:rPr>
          <w:rFonts w:cs="Times New Roman"/>
          <w:lang w:val="en-US"/>
        </w:rPr>
        <w:t>, M.</w:t>
      </w:r>
      <w:r w:rsidRPr="00171C75">
        <w:rPr>
          <w:rFonts w:cs="Times New Roman"/>
          <w:lang w:val="en-US"/>
        </w:rPr>
        <w:t xml:space="preserve"> 2016. </w:t>
      </w:r>
      <w:r w:rsidRPr="00171C75">
        <w:rPr>
          <w:rFonts w:cs="Times New Roman"/>
          <w:i/>
          <w:iCs/>
          <w:lang w:val="en-US"/>
        </w:rPr>
        <w:t>LGBTQ Voices in Education: Changing the Culture of Schooling</w:t>
      </w:r>
      <w:r w:rsidRPr="00171C75">
        <w:rPr>
          <w:rFonts w:cs="Times New Roman"/>
          <w:lang w:val="en-US"/>
        </w:rPr>
        <w:t xml:space="preserve">. </w:t>
      </w:r>
      <w:r w:rsidR="00574F12" w:rsidRPr="00171C75">
        <w:rPr>
          <w:rFonts w:cs="Times New Roman"/>
          <w:lang w:val="en-US"/>
        </w:rPr>
        <w:t xml:space="preserve">London: </w:t>
      </w:r>
      <w:r w:rsidRPr="00171C75">
        <w:rPr>
          <w:rFonts w:cs="Times New Roman"/>
          <w:lang w:val="en-US"/>
        </w:rPr>
        <w:t>Routledge.</w:t>
      </w:r>
    </w:p>
    <w:p w14:paraId="15841A8C" w14:textId="6C2C7DCC" w:rsidR="0055259B" w:rsidRPr="0055259B" w:rsidRDefault="0055259B" w:rsidP="0055259B">
      <w:r w:rsidRPr="00655275">
        <w:t xml:space="preserve">Bradlow, J., Bartram, F., Guasp, A. and Jadva, V. 2017. </w:t>
      </w:r>
      <w:r w:rsidRPr="00655275">
        <w:rPr>
          <w:i/>
        </w:rPr>
        <w:t>School Report: The Experiences of Lesbian, Gay, Bi and Trans Young People in Britain’s Schools in 2017</w:t>
      </w:r>
      <w:r w:rsidRPr="00655275">
        <w:t>. London: Stonewall.</w:t>
      </w:r>
    </w:p>
    <w:p w14:paraId="1C2B1110" w14:textId="18617960" w:rsidR="00171C75" w:rsidRDefault="00171C75" w:rsidP="00171C75">
      <w:bookmarkStart w:id="1" w:name="ref_bib1_19"/>
      <w:r w:rsidRPr="00171C75">
        <w:t xml:space="preserve">Bryan, J. 2012. </w:t>
      </w:r>
      <w:r w:rsidRPr="00171C75">
        <w:rPr>
          <w:i/>
        </w:rPr>
        <w:t>From the Dress-up Corner to the Senior Prom</w:t>
      </w:r>
      <w:r w:rsidRPr="00171C75">
        <w:t>. Plymouth: Rowman and Littlefield.</w:t>
      </w:r>
      <w:bookmarkEnd w:id="1"/>
    </w:p>
    <w:p w14:paraId="6E7A268C" w14:textId="2E23901C" w:rsidR="00106BDA" w:rsidRPr="00171C75" w:rsidRDefault="00106BDA" w:rsidP="00171C75">
      <w:r>
        <w:t xml:space="preserve">Calvelhe Panizo, L. 2020. Gay teenage boys’ experiences and usages of the media in Spain: Educational implications. </w:t>
      </w:r>
      <w:r>
        <w:rPr>
          <w:rFonts w:cs="Times New Roman"/>
          <w:lang w:val="en-US"/>
        </w:rPr>
        <w:t xml:space="preserve">In J.I. Kjaran and H. Sauntson (eds) </w:t>
      </w:r>
      <w:r w:rsidRPr="00106BDA">
        <w:rPr>
          <w:rFonts w:cs="Times New Roman"/>
          <w:i/>
          <w:lang w:val="en-US"/>
        </w:rPr>
        <w:t>Schools as Queer Transformative Spaces: Global Narratives on Sexualities and Genders</w:t>
      </w:r>
      <w:r>
        <w:rPr>
          <w:rFonts w:cs="Times New Roman"/>
          <w:lang w:val="en-US"/>
        </w:rPr>
        <w:t>. London: Routledge. 178-188.</w:t>
      </w:r>
    </w:p>
    <w:p w14:paraId="2F21522C" w14:textId="36CBF82F" w:rsidR="00CC472C" w:rsidRPr="00171C75" w:rsidRDefault="00CC472C" w:rsidP="00171C75">
      <w:pPr>
        <w:widowControl w:val="0"/>
        <w:autoSpaceDE w:val="0"/>
        <w:autoSpaceDN w:val="0"/>
        <w:adjustRightInd w:val="0"/>
        <w:rPr>
          <w:rFonts w:cs="Times New Roman"/>
          <w:lang w:val="en-US"/>
        </w:rPr>
      </w:pPr>
      <w:r w:rsidRPr="00171C75">
        <w:rPr>
          <w:rFonts w:cs="Times New Roman"/>
          <w:lang w:val="en-US"/>
        </w:rPr>
        <w:t xml:space="preserve">Connell, C. 2014. </w:t>
      </w:r>
      <w:r w:rsidRPr="00171C75">
        <w:rPr>
          <w:rFonts w:cs="Times New Roman"/>
          <w:i/>
          <w:iCs/>
          <w:lang w:val="en-US"/>
        </w:rPr>
        <w:t>School’s Out: Gay and Lesbian Teachers in the Classroom</w:t>
      </w:r>
      <w:r w:rsidRPr="00171C75">
        <w:rPr>
          <w:rFonts w:cs="Times New Roman"/>
          <w:lang w:val="en-US"/>
        </w:rPr>
        <w:t xml:space="preserve">. </w:t>
      </w:r>
      <w:r w:rsidR="00574F12" w:rsidRPr="00171C75">
        <w:rPr>
          <w:rFonts w:cs="Times New Roman"/>
          <w:lang w:val="en-US"/>
        </w:rPr>
        <w:t xml:space="preserve">Berkeley, CA: </w:t>
      </w:r>
      <w:r w:rsidRPr="00171C75">
        <w:rPr>
          <w:rFonts w:cs="Times New Roman"/>
          <w:lang w:val="en-US"/>
        </w:rPr>
        <w:t>Univ</w:t>
      </w:r>
      <w:r w:rsidR="00574F12" w:rsidRPr="00171C75">
        <w:rPr>
          <w:rFonts w:cs="Times New Roman"/>
          <w:lang w:val="en-US"/>
        </w:rPr>
        <w:t>ersity</w:t>
      </w:r>
      <w:r w:rsidRPr="00171C75">
        <w:rPr>
          <w:rFonts w:cs="Times New Roman"/>
          <w:lang w:val="en-US"/>
        </w:rPr>
        <w:t xml:space="preserve"> of California Press.</w:t>
      </w:r>
    </w:p>
    <w:p w14:paraId="49FCF366" w14:textId="62F4DCF0" w:rsidR="00171C75" w:rsidRPr="00171C75" w:rsidRDefault="00171C75" w:rsidP="00171C75">
      <w:bookmarkStart w:id="2" w:name="ref_bib1_42"/>
      <w:r w:rsidRPr="00171C75">
        <w:t xml:space="preserve">DePalma, R. and Francis, D. 2014. The gendered nature of South African teachers’ discourse on sex education. </w:t>
      </w:r>
      <w:r w:rsidRPr="00171C75">
        <w:rPr>
          <w:i/>
        </w:rPr>
        <w:t>Health Education Research</w:t>
      </w:r>
      <w:r w:rsidRPr="00171C75">
        <w:t xml:space="preserve"> 29(4): 624–32.</w:t>
      </w:r>
      <w:bookmarkEnd w:id="2"/>
    </w:p>
    <w:p w14:paraId="2C5A4112" w14:textId="58E77B7A" w:rsidR="00CC472C" w:rsidRDefault="00CC472C" w:rsidP="00171C75">
      <w:pPr>
        <w:widowControl w:val="0"/>
        <w:autoSpaceDE w:val="0"/>
        <w:autoSpaceDN w:val="0"/>
        <w:adjustRightInd w:val="0"/>
        <w:rPr>
          <w:rFonts w:cs="Times New Roman"/>
          <w:lang w:val="en-US"/>
        </w:rPr>
      </w:pPr>
      <w:r w:rsidRPr="00171C75">
        <w:rPr>
          <w:rFonts w:cs="Times New Roman"/>
          <w:lang w:val="en-US"/>
        </w:rPr>
        <w:t>Eckert, P. 1996. Vowels and nail polish: The emergence of linguistic style in the preadolescent heterosexual marketplace</w:t>
      </w:r>
      <w:r w:rsidR="00574F12" w:rsidRPr="00171C75">
        <w:rPr>
          <w:rFonts w:cs="Times New Roman"/>
          <w:lang w:val="en-US"/>
        </w:rPr>
        <w:t>.</w:t>
      </w:r>
      <w:r w:rsidRPr="00171C75">
        <w:rPr>
          <w:rFonts w:cs="Times New Roman"/>
          <w:lang w:val="en-US"/>
        </w:rPr>
        <w:t xml:space="preserve"> </w:t>
      </w:r>
      <w:r w:rsidR="00574F12" w:rsidRPr="00171C75">
        <w:rPr>
          <w:rFonts w:cs="Times New Roman"/>
          <w:lang w:val="en-US"/>
        </w:rPr>
        <w:t>I</w:t>
      </w:r>
      <w:r w:rsidRPr="00171C75">
        <w:rPr>
          <w:rFonts w:cs="Times New Roman"/>
          <w:lang w:val="en-US"/>
        </w:rPr>
        <w:t>n</w:t>
      </w:r>
      <w:r w:rsidR="00574F12" w:rsidRPr="00171C75">
        <w:rPr>
          <w:rFonts w:cs="Times New Roman"/>
          <w:lang w:val="en-US"/>
        </w:rPr>
        <w:t xml:space="preserve"> </w:t>
      </w:r>
      <w:r w:rsidR="00023B82">
        <w:rPr>
          <w:rFonts w:cs="Times New Roman"/>
          <w:lang w:val="en-US"/>
        </w:rPr>
        <w:t xml:space="preserve">N. Warner </w:t>
      </w:r>
      <w:r w:rsidR="00023B82" w:rsidRPr="00023B82">
        <w:rPr>
          <w:rFonts w:cs="Times New Roman"/>
          <w:i/>
          <w:lang w:val="en-US"/>
        </w:rPr>
        <w:t>et al</w:t>
      </w:r>
      <w:r w:rsidR="00023B82">
        <w:rPr>
          <w:rFonts w:cs="Times New Roman"/>
          <w:lang w:val="en-US"/>
        </w:rPr>
        <w:t xml:space="preserve"> (eds) </w:t>
      </w:r>
      <w:r w:rsidRPr="00171C75">
        <w:rPr>
          <w:rFonts w:cs="Times New Roman"/>
          <w:i/>
          <w:iCs/>
          <w:lang w:val="en-US"/>
        </w:rPr>
        <w:t>Gender and Belief Systems</w:t>
      </w:r>
      <w:r w:rsidRPr="00171C75">
        <w:rPr>
          <w:rFonts w:cs="Times New Roman"/>
          <w:lang w:val="en-US"/>
        </w:rPr>
        <w:t>. Berkley: Berkley Women and Language Group, 183–190.</w:t>
      </w:r>
    </w:p>
    <w:p w14:paraId="4378CB17" w14:textId="0A9D785B" w:rsidR="0052319F" w:rsidRPr="00171C75" w:rsidRDefault="0052319F" w:rsidP="00171C75">
      <w:pPr>
        <w:widowControl w:val="0"/>
        <w:autoSpaceDE w:val="0"/>
        <w:autoSpaceDN w:val="0"/>
        <w:adjustRightInd w:val="0"/>
        <w:rPr>
          <w:rFonts w:cs="Times New Roman"/>
          <w:lang w:val="en-US"/>
        </w:rPr>
      </w:pPr>
      <w:r>
        <w:rPr>
          <w:rFonts w:cs="Times New Roman"/>
          <w:lang w:val="en-US"/>
        </w:rPr>
        <w:t xml:space="preserve">Equality Act (UK) 2010. </w:t>
      </w:r>
      <w:hyperlink r:id="rId10" w:history="1">
        <w:r>
          <w:rPr>
            <w:rStyle w:val="Hyperlink"/>
          </w:rPr>
          <w:t>http://www.legislation.gov.uk/ukpga/2010/15/contents</w:t>
        </w:r>
      </w:hyperlink>
      <w:r>
        <w:t xml:space="preserve"> </w:t>
      </w:r>
    </w:p>
    <w:p w14:paraId="36BFC055" w14:textId="5D3276F6" w:rsidR="00847A01" w:rsidRDefault="00847A01" w:rsidP="00171C75">
      <w:bookmarkStart w:id="3" w:name="ref_bib1_66"/>
      <w:r>
        <w:t xml:space="preserve">Faludi, S. 1991. </w:t>
      </w:r>
      <w:r w:rsidRPr="00847A01">
        <w:rPr>
          <w:i/>
        </w:rPr>
        <w:t>Backlash: The Undeclared War Against Women</w:t>
      </w:r>
      <w:r>
        <w:t>. London: Vintage.</w:t>
      </w:r>
    </w:p>
    <w:p w14:paraId="414C877B" w14:textId="1BE33890" w:rsidR="00171C75" w:rsidRDefault="00171C75" w:rsidP="00171C75">
      <w:r w:rsidRPr="00171C75">
        <w:t xml:space="preserve">Gray, J. (ed) 2013. </w:t>
      </w:r>
      <w:r w:rsidRPr="00171C75">
        <w:rPr>
          <w:i/>
        </w:rPr>
        <w:t>Critical Perspectives on Language Learning Materials</w:t>
      </w:r>
      <w:r w:rsidRPr="00171C75">
        <w:t>. Basingstoke: Palgrave.</w:t>
      </w:r>
      <w:bookmarkEnd w:id="3"/>
    </w:p>
    <w:p w14:paraId="76FDB6CA" w14:textId="35CEFB88" w:rsidR="006E1409" w:rsidRPr="00171C75" w:rsidRDefault="006E1409" w:rsidP="00171C75">
      <w:r>
        <w:t xml:space="preserve">Hall, R. 2018. </w:t>
      </w:r>
      <w:r w:rsidRPr="006E1409">
        <w:rPr>
          <w:i/>
        </w:rPr>
        <w:t>The Alienated Academic: The Struggle for Autonomy Inside the University</w:t>
      </w:r>
      <w:r>
        <w:t>. Basingstoke: Palgrave.</w:t>
      </w:r>
    </w:p>
    <w:p w14:paraId="1D7F1646" w14:textId="11A43008" w:rsidR="00CC472C" w:rsidRDefault="00CC472C" w:rsidP="00171C75">
      <w:pPr>
        <w:widowControl w:val="0"/>
        <w:autoSpaceDE w:val="0"/>
        <w:autoSpaceDN w:val="0"/>
        <w:adjustRightInd w:val="0"/>
        <w:rPr>
          <w:rFonts w:cs="Times New Roman"/>
          <w:lang w:val="en-US"/>
        </w:rPr>
      </w:pPr>
      <w:r w:rsidRPr="00171C75">
        <w:rPr>
          <w:rFonts w:cs="Times New Roman"/>
          <w:lang w:val="en-US"/>
        </w:rPr>
        <w:t>King, B. 2015. Language and sexuality in education</w:t>
      </w:r>
      <w:r w:rsidR="00574F12" w:rsidRPr="00171C75">
        <w:rPr>
          <w:rFonts w:cs="Times New Roman"/>
          <w:lang w:val="en-US"/>
        </w:rPr>
        <w:t>.</w:t>
      </w:r>
      <w:r w:rsidRPr="00171C75">
        <w:rPr>
          <w:rFonts w:cs="Times New Roman"/>
          <w:lang w:val="en-US"/>
        </w:rPr>
        <w:t xml:space="preserve"> </w:t>
      </w:r>
      <w:r w:rsidR="00574F12" w:rsidRPr="00171C75">
        <w:rPr>
          <w:rFonts w:cs="Times New Roman"/>
          <w:lang w:val="en-US"/>
        </w:rPr>
        <w:t>I</w:t>
      </w:r>
      <w:r w:rsidRPr="00171C75">
        <w:rPr>
          <w:rFonts w:cs="Times New Roman"/>
          <w:lang w:val="en-US"/>
        </w:rPr>
        <w:t>n P</w:t>
      </w:r>
      <w:r w:rsidR="00574F12" w:rsidRPr="00171C75">
        <w:rPr>
          <w:rFonts w:cs="Times New Roman"/>
          <w:lang w:val="en-US"/>
        </w:rPr>
        <w:t>.</w:t>
      </w:r>
      <w:r w:rsidRPr="00171C75">
        <w:rPr>
          <w:rFonts w:cs="Times New Roman"/>
          <w:lang w:val="en-US"/>
        </w:rPr>
        <w:t xml:space="preserve"> Whelehan and A</w:t>
      </w:r>
      <w:r w:rsidR="00574F12" w:rsidRPr="00171C75">
        <w:rPr>
          <w:rFonts w:cs="Times New Roman"/>
          <w:lang w:val="en-US"/>
        </w:rPr>
        <w:t>.</w:t>
      </w:r>
      <w:r w:rsidRPr="00171C75">
        <w:rPr>
          <w:rFonts w:cs="Times New Roman"/>
          <w:lang w:val="en-US"/>
        </w:rPr>
        <w:t xml:space="preserve"> Bolin (eds) </w:t>
      </w:r>
      <w:r w:rsidRPr="00171C75">
        <w:rPr>
          <w:rFonts w:cs="Times New Roman"/>
          <w:i/>
          <w:iCs/>
          <w:lang w:val="en-US"/>
        </w:rPr>
        <w:t>The International Encyclopedia of Human Sexuality</w:t>
      </w:r>
      <w:r w:rsidRPr="00171C75">
        <w:rPr>
          <w:rFonts w:cs="Times New Roman"/>
          <w:lang w:val="en-US"/>
        </w:rPr>
        <w:t>. New York: Wiley-Blackwell</w:t>
      </w:r>
      <w:r w:rsidR="00574F12" w:rsidRPr="00171C75">
        <w:rPr>
          <w:rFonts w:cs="Times New Roman"/>
          <w:lang w:val="en-US"/>
        </w:rPr>
        <w:t>.</w:t>
      </w:r>
      <w:r w:rsidRPr="00171C75">
        <w:rPr>
          <w:rFonts w:cs="Times New Roman"/>
          <w:lang w:val="en-US"/>
        </w:rPr>
        <w:t xml:space="preserve"> 649–719.</w:t>
      </w:r>
    </w:p>
    <w:p w14:paraId="62D3552E" w14:textId="141F23D3" w:rsidR="00106BDA" w:rsidRPr="00171C75" w:rsidRDefault="00106BDA" w:rsidP="00171C75">
      <w:pPr>
        <w:widowControl w:val="0"/>
        <w:autoSpaceDE w:val="0"/>
        <w:autoSpaceDN w:val="0"/>
        <w:adjustRightInd w:val="0"/>
        <w:rPr>
          <w:rFonts w:cs="Times New Roman"/>
          <w:lang w:val="en-US"/>
        </w:rPr>
      </w:pPr>
      <w:r>
        <w:rPr>
          <w:rFonts w:cs="Times New Roman"/>
          <w:lang w:val="en-US"/>
        </w:rPr>
        <w:t xml:space="preserve">Kjaran, J.I., Francis, D. and Oddsson, A.H. 2020. Creating a queer counter-space in high schools in Iceland and South Africa: A drama-inspired pedagogical approach. In J.I. Kjaran and H. Sauntson (eds) </w:t>
      </w:r>
      <w:r w:rsidRPr="00106BDA">
        <w:rPr>
          <w:rFonts w:cs="Times New Roman"/>
          <w:i/>
          <w:lang w:val="en-US"/>
        </w:rPr>
        <w:t>Schools as Queer Transformative Spaces: Global Narratives on Sexualities and Genders</w:t>
      </w:r>
      <w:r>
        <w:rPr>
          <w:rFonts w:cs="Times New Roman"/>
          <w:lang w:val="en-US"/>
        </w:rPr>
        <w:t>. London: Routledge. 17-34.</w:t>
      </w:r>
    </w:p>
    <w:p w14:paraId="2BAE9C61" w14:textId="583E96B8" w:rsidR="00171C75" w:rsidRDefault="00171C75" w:rsidP="00171C75">
      <w:bookmarkStart w:id="4" w:name="ref_bib1_88"/>
      <w:r w:rsidRPr="00171C75">
        <w:t xml:space="preserve">Kosciw, J., Greytak, E., Giga, N., Villenas, C. and Danischewski, D. 2015. </w:t>
      </w:r>
      <w:r w:rsidRPr="00171C75">
        <w:rPr>
          <w:i/>
        </w:rPr>
        <w:t>The 2015 National School Climate Survey: The Experiences of Lesbian, Gay, Bisexual, Transgender, and Queer Youth in Our Nation’s Schools</w:t>
      </w:r>
      <w:r w:rsidRPr="00171C75">
        <w:t>. New York: GLSEN.</w:t>
      </w:r>
      <w:bookmarkEnd w:id="4"/>
    </w:p>
    <w:p w14:paraId="7428F039" w14:textId="235828E6" w:rsidR="003200FA" w:rsidRDefault="003200FA" w:rsidP="00171C75">
      <w:r w:rsidRPr="003200FA">
        <w:t xml:space="preserve">Leap, W. 2013. Commentary II: Queering language and normativity. </w:t>
      </w:r>
      <w:r w:rsidRPr="003200FA">
        <w:rPr>
          <w:i/>
          <w:iCs/>
        </w:rPr>
        <w:t>Discourse and Society</w:t>
      </w:r>
      <w:r w:rsidRPr="003200FA">
        <w:t xml:space="preserve"> 24 (5): 643-648.</w:t>
      </w:r>
    </w:p>
    <w:p w14:paraId="0825C10C" w14:textId="228E8F01" w:rsidR="00F51AEA" w:rsidRPr="00171C75" w:rsidRDefault="00F51AEA" w:rsidP="00171C75">
      <w:r>
        <w:t xml:space="preserve">Leap, W. 2020. </w:t>
      </w:r>
      <w:r w:rsidRPr="00F51AEA">
        <w:rPr>
          <w:i/>
        </w:rPr>
        <w:t>Language Before Stonewall: Language, Sexuality, History</w:t>
      </w:r>
      <w:r>
        <w:t>. Basingstoke: Palgrave.</w:t>
      </w:r>
    </w:p>
    <w:p w14:paraId="2F8640E4" w14:textId="1CB86B4F" w:rsidR="00CC472C" w:rsidRPr="00171C75" w:rsidRDefault="00CC472C" w:rsidP="00171C75">
      <w:pPr>
        <w:widowControl w:val="0"/>
        <w:autoSpaceDE w:val="0"/>
        <w:autoSpaceDN w:val="0"/>
        <w:adjustRightInd w:val="0"/>
        <w:rPr>
          <w:rFonts w:cs="Times New Roman"/>
          <w:lang w:val="en-US"/>
        </w:rPr>
      </w:pPr>
      <w:r w:rsidRPr="00171C75">
        <w:rPr>
          <w:rFonts w:cs="Times New Roman"/>
          <w:lang w:val="en-US"/>
        </w:rPr>
        <w:t xml:space="preserve">McCormack, M. 2012. </w:t>
      </w:r>
      <w:r w:rsidRPr="00171C75">
        <w:rPr>
          <w:rFonts w:cs="Times New Roman"/>
          <w:i/>
          <w:iCs/>
          <w:lang w:val="en-US"/>
        </w:rPr>
        <w:t xml:space="preserve">The Declining Significance of Homophobia. How </w:t>
      </w:r>
      <w:r w:rsidR="00574F12" w:rsidRPr="00171C75">
        <w:rPr>
          <w:rFonts w:cs="Times New Roman"/>
          <w:i/>
          <w:iCs/>
          <w:lang w:val="en-US"/>
        </w:rPr>
        <w:t>T</w:t>
      </w:r>
      <w:r w:rsidRPr="00171C75">
        <w:rPr>
          <w:rFonts w:cs="Times New Roman"/>
          <w:i/>
          <w:iCs/>
          <w:lang w:val="en-US"/>
        </w:rPr>
        <w:t xml:space="preserve">eenage </w:t>
      </w:r>
      <w:r w:rsidR="00574F12" w:rsidRPr="00171C75">
        <w:rPr>
          <w:rFonts w:cs="Times New Roman"/>
          <w:i/>
          <w:iCs/>
          <w:lang w:val="en-US"/>
        </w:rPr>
        <w:t>B</w:t>
      </w:r>
      <w:r w:rsidRPr="00171C75">
        <w:rPr>
          <w:rFonts w:cs="Times New Roman"/>
          <w:i/>
          <w:iCs/>
          <w:lang w:val="en-US"/>
        </w:rPr>
        <w:t xml:space="preserve">oys are </w:t>
      </w:r>
      <w:r w:rsidR="00574F12" w:rsidRPr="00171C75">
        <w:rPr>
          <w:rFonts w:cs="Times New Roman"/>
          <w:i/>
          <w:iCs/>
          <w:lang w:val="en-US"/>
        </w:rPr>
        <w:lastRenderedPageBreak/>
        <w:t>R</w:t>
      </w:r>
      <w:r w:rsidRPr="00171C75">
        <w:rPr>
          <w:rFonts w:cs="Times New Roman"/>
          <w:i/>
          <w:iCs/>
          <w:lang w:val="en-US"/>
        </w:rPr>
        <w:t xml:space="preserve">edefining </w:t>
      </w:r>
      <w:r w:rsidR="00574F12" w:rsidRPr="00171C75">
        <w:rPr>
          <w:rFonts w:cs="Times New Roman"/>
          <w:i/>
          <w:iCs/>
          <w:lang w:val="en-US"/>
        </w:rPr>
        <w:t>M</w:t>
      </w:r>
      <w:r w:rsidRPr="00171C75">
        <w:rPr>
          <w:rFonts w:cs="Times New Roman"/>
          <w:i/>
          <w:iCs/>
          <w:lang w:val="en-US"/>
        </w:rPr>
        <w:t xml:space="preserve">asculinity and </w:t>
      </w:r>
      <w:r w:rsidR="00574F12" w:rsidRPr="00171C75">
        <w:rPr>
          <w:rFonts w:cs="Times New Roman"/>
          <w:i/>
          <w:iCs/>
          <w:lang w:val="en-US"/>
        </w:rPr>
        <w:t>H</w:t>
      </w:r>
      <w:r w:rsidRPr="00171C75">
        <w:rPr>
          <w:rFonts w:cs="Times New Roman"/>
          <w:i/>
          <w:iCs/>
          <w:lang w:val="en-US"/>
        </w:rPr>
        <w:t>eterosexuality.</w:t>
      </w:r>
      <w:r w:rsidRPr="00171C75">
        <w:rPr>
          <w:rFonts w:cs="Times New Roman"/>
          <w:lang w:val="en-US"/>
        </w:rPr>
        <w:t xml:space="preserve"> Oxford: Oxford University Press.</w:t>
      </w:r>
    </w:p>
    <w:p w14:paraId="4B5DC7F2" w14:textId="136933B2" w:rsidR="00D26737" w:rsidRPr="00171C75" w:rsidRDefault="00D26737" w:rsidP="00171C75">
      <w:pPr>
        <w:rPr>
          <w:rFonts w:cs="Times New Roman"/>
          <w:b/>
        </w:rPr>
      </w:pPr>
      <w:r w:rsidRPr="00171C75">
        <w:rPr>
          <w:rFonts w:cs="Times New Roman"/>
          <w:lang w:val="en-US"/>
        </w:rPr>
        <w:t>McGlashan, M. 2018.</w:t>
      </w:r>
      <w:r w:rsidR="00EA6F52" w:rsidRPr="00171C75">
        <w:rPr>
          <w:rFonts w:cs="Times New Roman"/>
          <w:lang w:val="en-US"/>
        </w:rPr>
        <w:t xml:space="preserve"> Same-sex parents in children’s picturebooks: Examining representations and their place in the curriculum. </w:t>
      </w:r>
      <w:r w:rsidR="00EA6F52" w:rsidRPr="00171C75">
        <w:rPr>
          <w:rFonts w:cs="Times New Roman"/>
        </w:rPr>
        <w:t xml:space="preserve">Paper presented at the </w:t>
      </w:r>
      <w:r w:rsidR="00EA6F52" w:rsidRPr="00171C75">
        <w:rPr>
          <w:rFonts w:cs="Times New Roman"/>
          <w:i/>
          <w:iCs/>
        </w:rPr>
        <w:t>British Association of Applied Linguistics Annual Meeting</w:t>
      </w:r>
      <w:r w:rsidR="00EA6F52" w:rsidRPr="00171C75">
        <w:rPr>
          <w:rFonts w:cs="Times New Roman"/>
        </w:rPr>
        <w:t>, York St John University, UK, 6-8 September 2018.</w:t>
      </w:r>
    </w:p>
    <w:p w14:paraId="4C742CEA" w14:textId="5CCD7193" w:rsidR="00CC472C" w:rsidRPr="00171C75" w:rsidRDefault="00CC472C" w:rsidP="00171C75">
      <w:pPr>
        <w:widowControl w:val="0"/>
        <w:autoSpaceDE w:val="0"/>
        <w:autoSpaceDN w:val="0"/>
        <w:adjustRightInd w:val="0"/>
        <w:rPr>
          <w:rFonts w:cs="Times New Roman"/>
          <w:lang w:val="en-US"/>
        </w:rPr>
      </w:pPr>
      <w:r w:rsidRPr="00171C75">
        <w:rPr>
          <w:rFonts w:cs="Times New Roman"/>
          <w:lang w:val="en-US"/>
        </w:rPr>
        <w:t xml:space="preserve">Meyer, E. 2010. </w:t>
      </w:r>
      <w:r w:rsidRPr="00171C75">
        <w:rPr>
          <w:rFonts w:cs="Times New Roman"/>
          <w:i/>
          <w:iCs/>
          <w:lang w:val="en-US"/>
        </w:rPr>
        <w:t>Gender and Sexual Diversity in Schools: An Introduction</w:t>
      </w:r>
      <w:r w:rsidRPr="00171C75">
        <w:rPr>
          <w:rFonts w:cs="Times New Roman"/>
          <w:lang w:val="en-US"/>
        </w:rPr>
        <w:t>. London: Springer.</w:t>
      </w:r>
    </w:p>
    <w:p w14:paraId="508B0A90" w14:textId="60944F32" w:rsidR="00EB6553" w:rsidRDefault="00EB6553" w:rsidP="00171C75">
      <w:pPr>
        <w:widowControl w:val="0"/>
        <w:autoSpaceDE w:val="0"/>
        <w:autoSpaceDN w:val="0"/>
        <w:adjustRightInd w:val="0"/>
        <w:rPr>
          <w:rFonts w:cs="Times New Roman"/>
          <w:lang w:val="en-US"/>
        </w:rPr>
      </w:pPr>
      <w:r w:rsidRPr="00171C75">
        <w:rPr>
          <w:rFonts w:cs="Times New Roman"/>
          <w:lang w:val="en-US"/>
        </w:rPr>
        <w:t xml:space="preserve">Monk, D. 2011. Challenging homophobic bullying in schools: The politics of progress. </w:t>
      </w:r>
      <w:r w:rsidRPr="00171C75">
        <w:rPr>
          <w:rFonts w:cs="Times New Roman"/>
          <w:i/>
          <w:iCs/>
          <w:lang w:val="en-US"/>
        </w:rPr>
        <w:t>International Journal of Law in Context</w:t>
      </w:r>
      <w:r w:rsidRPr="00171C75">
        <w:rPr>
          <w:rFonts w:cs="Times New Roman"/>
          <w:lang w:val="en-US"/>
        </w:rPr>
        <w:t xml:space="preserve"> 7 (2): 181-207.</w:t>
      </w:r>
    </w:p>
    <w:p w14:paraId="34AF133F" w14:textId="2D9B3FCA" w:rsidR="006E1409" w:rsidRPr="00171C75" w:rsidRDefault="006E1409" w:rsidP="00171C75">
      <w:pPr>
        <w:widowControl w:val="0"/>
        <w:autoSpaceDE w:val="0"/>
        <w:autoSpaceDN w:val="0"/>
        <w:adjustRightInd w:val="0"/>
        <w:rPr>
          <w:rFonts w:cs="Times New Roman"/>
          <w:lang w:val="en-US"/>
        </w:rPr>
      </w:pPr>
      <w:r>
        <w:rPr>
          <w:rFonts w:cs="Times New Roman"/>
          <w:lang w:val="en-US"/>
        </w:rPr>
        <w:t xml:space="preserve">Morrish, L. and Sauntson, H. 2020. </w:t>
      </w:r>
      <w:r w:rsidRPr="006E1409">
        <w:rPr>
          <w:rFonts w:cs="Times New Roman"/>
          <w:i/>
          <w:lang w:val="en-US"/>
        </w:rPr>
        <w:t>Academic Irregularities: Language and Neoliberalism in Higher Education</w:t>
      </w:r>
      <w:r>
        <w:rPr>
          <w:rFonts w:cs="Times New Roman"/>
          <w:lang w:val="en-US"/>
        </w:rPr>
        <w:t>. London: Routledge.</w:t>
      </w:r>
    </w:p>
    <w:p w14:paraId="413C4E36" w14:textId="40CD1E61" w:rsidR="00285CA1" w:rsidRPr="00171C75" w:rsidRDefault="00285CA1" w:rsidP="00171C75">
      <w:pPr>
        <w:widowControl w:val="0"/>
        <w:autoSpaceDE w:val="0"/>
        <w:autoSpaceDN w:val="0"/>
        <w:adjustRightInd w:val="0"/>
        <w:rPr>
          <w:rFonts w:cs="Times New Roman"/>
          <w:lang w:val="en-US"/>
        </w:rPr>
      </w:pPr>
      <w:r w:rsidRPr="00171C75">
        <w:rPr>
          <w:rFonts w:cs="Times New Roman"/>
          <w:lang w:val="en-US"/>
        </w:rPr>
        <w:t xml:space="preserve">Motha, S. 2006. Racializing ESOL teacher identities in US K-12 public schools. </w:t>
      </w:r>
      <w:r w:rsidRPr="00171C75">
        <w:rPr>
          <w:rFonts w:cs="Times New Roman"/>
          <w:i/>
          <w:iCs/>
          <w:lang w:val="en-US"/>
        </w:rPr>
        <w:t xml:space="preserve">TESOL Quarterly </w:t>
      </w:r>
      <w:r w:rsidRPr="00171C75">
        <w:rPr>
          <w:rFonts w:cs="Times New Roman"/>
          <w:lang w:val="en-US"/>
        </w:rPr>
        <w:t>40 (3): 495-518.</w:t>
      </w:r>
    </w:p>
    <w:p w14:paraId="18135405" w14:textId="3529E162" w:rsidR="00285CA1" w:rsidRDefault="00285CA1" w:rsidP="00171C75">
      <w:pPr>
        <w:widowControl w:val="0"/>
        <w:autoSpaceDE w:val="0"/>
        <w:autoSpaceDN w:val="0"/>
        <w:adjustRightInd w:val="0"/>
        <w:rPr>
          <w:rFonts w:cs="Times New Roman"/>
          <w:lang w:val="en-US"/>
        </w:rPr>
      </w:pPr>
      <w:r w:rsidRPr="00171C75">
        <w:rPr>
          <w:rFonts w:cs="Times New Roman"/>
          <w:lang w:val="en-US"/>
        </w:rPr>
        <w:t xml:space="preserve">Motha, S. 2014. </w:t>
      </w:r>
      <w:r w:rsidRPr="00171C75">
        <w:rPr>
          <w:rFonts w:cs="Times New Roman"/>
          <w:i/>
          <w:iCs/>
          <w:lang w:val="en-US"/>
        </w:rPr>
        <w:t>Race, Empire, and English Language Teaching: Creating Responsible and Ethical Anti-Racist Practice</w:t>
      </w:r>
      <w:r w:rsidRPr="00171C75">
        <w:rPr>
          <w:rFonts w:cs="Times New Roman"/>
          <w:lang w:val="en-US"/>
        </w:rPr>
        <w:t>. New York: Teachers College Press.</w:t>
      </w:r>
    </w:p>
    <w:p w14:paraId="265B74F0" w14:textId="77777777" w:rsidR="003200FA" w:rsidRPr="003200FA" w:rsidRDefault="003200FA" w:rsidP="003200FA">
      <w:pPr>
        <w:widowControl w:val="0"/>
        <w:autoSpaceDE w:val="0"/>
        <w:autoSpaceDN w:val="0"/>
        <w:adjustRightInd w:val="0"/>
        <w:rPr>
          <w:rFonts w:cs="Times New Roman"/>
        </w:rPr>
      </w:pPr>
      <w:r w:rsidRPr="003200FA">
        <w:rPr>
          <w:rFonts w:cs="Times New Roman"/>
        </w:rPr>
        <w:t xml:space="preserve">Motschenbacher, H. 2011. Taking queer linguistics further: Sociolinguistics and critical heteronormativity research. </w:t>
      </w:r>
      <w:r w:rsidRPr="003200FA">
        <w:rPr>
          <w:rFonts w:cs="Times New Roman"/>
          <w:i/>
          <w:iCs/>
        </w:rPr>
        <w:t>International Journal of the Sociology of Language</w:t>
      </w:r>
      <w:r w:rsidRPr="003200FA">
        <w:rPr>
          <w:rFonts w:cs="Times New Roman"/>
        </w:rPr>
        <w:t xml:space="preserve"> 212: 149-179.</w:t>
      </w:r>
    </w:p>
    <w:p w14:paraId="22B84F0F" w14:textId="3DE33EA1" w:rsidR="003200FA" w:rsidRPr="003200FA" w:rsidRDefault="003200FA" w:rsidP="00171C75">
      <w:pPr>
        <w:widowControl w:val="0"/>
        <w:autoSpaceDE w:val="0"/>
        <w:autoSpaceDN w:val="0"/>
        <w:adjustRightInd w:val="0"/>
        <w:rPr>
          <w:rFonts w:cs="Times New Roman"/>
        </w:rPr>
      </w:pPr>
      <w:r w:rsidRPr="003200FA">
        <w:rPr>
          <w:rFonts w:cs="Times New Roman"/>
        </w:rPr>
        <w:t xml:space="preserve">Motschenbacher, H. and Stegu, M. 2013. Queer linguistic approaches to discourse: Introduction. </w:t>
      </w:r>
      <w:r w:rsidRPr="003200FA">
        <w:rPr>
          <w:rFonts w:cs="Times New Roman"/>
          <w:i/>
          <w:iCs/>
        </w:rPr>
        <w:t>Discourse and Society</w:t>
      </w:r>
      <w:r w:rsidRPr="003200FA">
        <w:rPr>
          <w:rFonts w:cs="Times New Roman"/>
        </w:rPr>
        <w:t xml:space="preserve"> 24 (5): 519-535.</w:t>
      </w:r>
    </w:p>
    <w:p w14:paraId="3301C37D" w14:textId="29BD101A" w:rsidR="00D26737" w:rsidRDefault="00D26737" w:rsidP="00171C75">
      <w:pPr>
        <w:widowControl w:val="0"/>
        <w:autoSpaceDE w:val="0"/>
        <w:autoSpaceDN w:val="0"/>
        <w:adjustRightInd w:val="0"/>
        <w:rPr>
          <w:rFonts w:cs="Times New Roman"/>
        </w:rPr>
      </w:pPr>
      <w:r w:rsidRPr="00171C75">
        <w:rPr>
          <w:rFonts w:cs="Times New Roman"/>
          <w:lang w:val="en-US"/>
        </w:rPr>
        <w:t>Pakula, L. 2018.</w:t>
      </w:r>
      <w:r w:rsidR="00EA6F52" w:rsidRPr="00171C75">
        <w:rPr>
          <w:rFonts w:cs="Times New Roman"/>
          <w:lang w:val="en-US"/>
        </w:rPr>
        <w:t xml:space="preserve"> Befriending the risk(s): Exploring sexuality and language in educational sites. </w:t>
      </w:r>
      <w:r w:rsidR="00EA6F52" w:rsidRPr="00171C75">
        <w:rPr>
          <w:rFonts w:cs="Times New Roman"/>
        </w:rPr>
        <w:t xml:space="preserve">Paper presented at the </w:t>
      </w:r>
      <w:r w:rsidR="00EA6F52" w:rsidRPr="00171C75">
        <w:rPr>
          <w:rFonts w:cs="Times New Roman"/>
          <w:i/>
          <w:iCs/>
        </w:rPr>
        <w:t>British Association of Applied Linguistics Annual Meeting</w:t>
      </w:r>
      <w:r w:rsidR="00EA6F52" w:rsidRPr="00171C75">
        <w:rPr>
          <w:rFonts w:cs="Times New Roman"/>
        </w:rPr>
        <w:t>, York St John University, UK, 6-8 September 2018.</w:t>
      </w:r>
    </w:p>
    <w:p w14:paraId="653D7BB2" w14:textId="312FA881" w:rsidR="003E2B08" w:rsidRPr="003E2B08" w:rsidRDefault="00EE4479" w:rsidP="00171C75">
      <w:pPr>
        <w:widowControl w:val="0"/>
        <w:autoSpaceDE w:val="0"/>
        <w:autoSpaceDN w:val="0"/>
        <w:adjustRightInd w:val="0"/>
        <w:rPr>
          <w:rFonts w:cs="Times New Roman"/>
          <w:lang w:val="en-US"/>
        </w:rPr>
      </w:pPr>
      <w:r w:rsidRPr="003E2B08">
        <w:rPr>
          <w:rFonts w:cs="Times New Roman"/>
          <w:lang w:val="en-US"/>
        </w:rPr>
        <w:t xml:space="preserve">Pakula, L. (ed) </w:t>
      </w:r>
      <w:r w:rsidR="001E1BBB" w:rsidRPr="001E1BBB">
        <w:rPr>
          <w:rFonts w:cs="Times New Roman"/>
          <w:color w:val="FF0000"/>
          <w:lang w:val="en-US"/>
        </w:rPr>
        <w:t>2021</w:t>
      </w:r>
      <w:r w:rsidRPr="003E2B08">
        <w:rPr>
          <w:rFonts w:cs="Times New Roman"/>
          <w:lang w:val="en-US"/>
        </w:rPr>
        <w:t>.</w:t>
      </w:r>
      <w:r w:rsidR="003E2B08" w:rsidRPr="003E2B08">
        <w:rPr>
          <w:rFonts w:cs="Times New Roman"/>
          <w:lang w:val="en-US"/>
        </w:rPr>
        <w:t xml:space="preserve"> </w:t>
      </w:r>
      <w:r w:rsidR="003E2B08" w:rsidRPr="003E2B08">
        <w:rPr>
          <w:rFonts w:cs="Times New Roman"/>
          <w:i/>
          <w:lang w:val="en-US"/>
        </w:rPr>
        <w:t>Linguistic Perspectives on Sexuality in Education: Representations, Constructions, and Negotiations</w:t>
      </w:r>
      <w:r w:rsidR="003E2B08" w:rsidRPr="003E2B08">
        <w:rPr>
          <w:rFonts w:cs="Times New Roman"/>
          <w:lang w:val="en-US"/>
        </w:rPr>
        <w:t>. Basingstoke: Palgrave.</w:t>
      </w:r>
    </w:p>
    <w:p w14:paraId="1FEBEECB" w14:textId="4569A28D" w:rsidR="00CC472C" w:rsidRPr="00171C75" w:rsidRDefault="00CC472C" w:rsidP="00171C75">
      <w:pPr>
        <w:widowControl w:val="0"/>
        <w:autoSpaceDE w:val="0"/>
        <w:autoSpaceDN w:val="0"/>
        <w:adjustRightInd w:val="0"/>
        <w:rPr>
          <w:rFonts w:cs="Times New Roman"/>
          <w:lang w:val="en-US"/>
        </w:rPr>
      </w:pPr>
      <w:r w:rsidRPr="00171C75">
        <w:rPr>
          <w:rFonts w:cs="Times New Roman"/>
          <w:lang w:val="en-US"/>
        </w:rPr>
        <w:t>Pakuła, Ł</w:t>
      </w:r>
      <w:r w:rsidR="00574F12" w:rsidRPr="00171C75">
        <w:rPr>
          <w:rFonts w:cs="Times New Roman"/>
          <w:lang w:val="en-US"/>
        </w:rPr>
        <w:t>.</w:t>
      </w:r>
      <w:r w:rsidRPr="00171C75">
        <w:rPr>
          <w:rFonts w:cs="Times New Roman"/>
          <w:lang w:val="en-US"/>
        </w:rPr>
        <w:t>, Pawelczyk</w:t>
      </w:r>
      <w:r w:rsidR="00574F12" w:rsidRPr="00171C75">
        <w:rPr>
          <w:rFonts w:cs="Times New Roman"/>
          <w:lang w:val="en-US"/>
        </w:rPr>
        <w:t>, J.</w:t>
      </w:r>
      <w:r w:rsidRPr="00171C75">
        <w:rPr>
          <w:rFonts w:cs="Times New Roman"/>
          <w:lang w:val="en-US"/>
        </w:rPr>
        <w:t xml:space="preserve"> and Sunderland</w:t>
      </w:r>
      <w:r w:rsidR="00574F12" w:rsidRPr="00171C75">
        <w:rPr>
          <w:rFonts w:cs="Times New Roman"/>
          <w:lang w:val="en-US"/>
        </w:rPr>
        <w:t>, J.</w:t>
      </w:r>
      <w:r w:rsidRPr="00171C75">
        <w:rPr>
          <w:rFonts w:cs="Times New Roman"/>
          <w:lang w:val="en-US"/>
        </w:rPr>
        <w:t xml:space="preserve"> 2015. </w:t>
      </w:r>
      <w:r w:rsidRPr="00171C75">
        <w:rPr>
          <w:rFonts w:cs="Times New Roman"/>
          <w:i/>
          <w:iCs/>
          <w:lang w:val="en-US"/>
        </w:rPr>
        <w:t>Gender and Sexuality in English Language Education: Focus on Poland</w:t>
      </w:r>
      <w:r w:rsidRPr="00171C75">
        <w:rPr>
          <w:rFonts w:cs="Times New Roman"/>
          <w:lang w:val="en-US"/>
        </w:rPr>
        <w:t>. London: British Council.</w:t>
      </w:r>
    </w:p>
    <w:p w14:paraId="393496CC" w14:textId="406B2AEF" w:rsidR="00CC472C" w:rsidRPr="00171C75" w:rsidRDefault="00CC472C" w:rsidP="00171C75">
      <w:pPr>
        <w:widowControl w:val="0"/>
        <w:autoSpaceDE w:val="0"/>
        <w:autoSpaceDN w:val="0"/>
        <w:adjustRightInd w:val="0"/>
        <w:rPr>
          <w:rFonts w:cs="Times New Roman"/>
          <w:lang w:val="en-US"/>
        </w:rPr>
      </w:pPr>
      <w:r w:rsidRPr="00171C75">
        <w:rPr>
          <w:rFonts w:cs="Times New Roman"/>
          <w:lang w:val="en-US"/>
        </w:rPr>
        <w:t xml:space="preserve">Pascoe, C. J. 2011. </w:t>
      </w:r>
      <w:r w:rsidRPr="00171C75">
        <w:rPr>
          <w:rFonts w:cs="Times New Roman"/>
          <w:i/>
          <w:iCs/>
          <w:lang w:val="en-US"/>
        </w:rPr>
        <w:t>Dude, You’re a Fag: Masculinity and Sexuality in High Schoo</w:t>
      </w:r>
      <w:r w:rsidR="00574F12" w:rsidRPr="00171C75">
        <w:rPr>
          <w:rFonts w:cs="Times New Roman"/>
          <w:i/>
          <w:iCs/>
          <w:lang w:val="en-US"/>
        </w:rPr>
        <w:t>l</w:t>
      </w:r>
      <w:r w:rsidRPr="00171C75">
        <w:rPr>
          <w:rFonts w:cs="Times New Roman"/>
          <w:lang w:val="en-US"/>
        </w:rPr>
        <w:t xml:space="preserve">. </w:t>
      </w:r>
      <w:r w:rsidR="00574F12" w:rsidRPr="00171C75">
        <w:rPr>
          <w:rFonts w:cs="Times New Roman"/>
          <w:lang w:val="en-US"/>
        </w:rPr>
        <w:t xml:space="preserve">Berkeley, CA: </w:t>
      </w:r>
      <w:r w:rsidRPr="00171C75">
        <w:rPr>
          <w:rFonts w:cs="Times New Roman"/>
          <w:lang w:val="en-US"/>
        </w:rPr>
        <w:t>University of California Press.</w:t>
      </w:r>
    </w:p>
    <w:p w14:paraId="466485DB" w14:textId="6A5AF368" w:rsidR="00792A14" w:rsidRPr="00171C75" w:rsidRDefault="00792A14" w:rsidP="00171C75">
      <w:pPr>
        <w:rPr>
          <w:rFonts w:eastAsia="Times New Roman" w:cs="Times New Roman"/>
        </w:rPr>
      </w:pPr>
      <w:r w:rsidRPr="00171C75">
        <w:rPr>
          <w:rFonts w:eastAsia="Times New Roman" w:cs="Times New Roman"/>
        </w:rPr>
        <w:t xml:space="preserve">Peseta, T., Barrie, S. and McLean, J.  2017. Academic life in the measured university: Pleasures, paradoxes and politics. </w:t>
      </w:r>
      <w:r w:rsidRPr="00171C75">
        <w:rPr>
          <w:rFonts w:eastAsia="Times New Roman" w:cs="Times New Roman"/>
          <w:i/>
          <w:iCs/>
        </w:rPr>
        <w:t>Higher Education Research and Development</w:t>
      </w:r>
      <w:r w:rsidRPr="00171C75">
        <w:rPr>
          <w:rFonts w:eastAsia="Times New Roman" w:cs="Times New Roman"/>
        </w:rPr>
        <w:t xml:space="preserve"> 36 (3): 453-457. </w:t>
      </w:r>
    </w:p>
    <w:p w14:paraId="397BEFC4" w14:textId="2D133D3B" w:rsidR="002115E5" w:rsidRPr="00171C75" w:rsidRDefault="002115E5" w:rsidP="00171C75">
      <w:pPr>
        <w:rPr>
          <w:rFonts w:eastAsia="Times New Roman" w:cs="Times New Roman"/>
          <w:lang w:val="en-US"/>
        </w:rPr>
      </w:pPr>
      <w:r w:rsidRPr="00D47A69">
        <w:rPr>
          <w:rFonts w:eastAsia="Times New Roman" w:cs="Times New Roman"/>
        </w:rPr>
        <w:t xml:space="preserve">Renn, O. and Klinke, A. </w:t>
      </w:r>
      <w:r w:rsidRPr="00171C75">
        <w:rPr>
          <w:rFonts w:eastAsia="Times New Roman" w:cs="Times New Roman"/>
          <w:lang w:val="en-US"/>
        </w:rPr>
        <w:t xml:space="preserve">2004. Systemic risks: A new challenge for risk management. </w:t>
      </w:r>
      <w:r w:rsidRPr="00171C75">
        <w:rPr>
          <w:rFonts w:eastAsia="Times New Roman" w:cs="Times New Roman"/>
          <w:i/>
          <w:iCs/>
          <w:lang w:val="en-US"/>
        </w:rPr>
        <w:t>EMBO Reports</w:t>
      </w:r>
      <w:r w:rsidRPr="00171C75">
        <w:rPr>
          <w:rFonts w:eastAsia="Times New Roman" w:cs="Times New Roman"/>
          <w:lang w:val="en-US"/>
        </w:rPr>
        <w:t xml:space="preserve"> 5 (Supplement 1): S41–S46.</w:t>
      </w:r>
    </w:p>
    <w:p w14:paraId="5620D613" w14:textId="4ED8156F" w:rsidR="00171C75" w:rsidRPr="00171C75" w:rsidRDefault="00171C75" w:rsidP="00171C75">
      <w:bookmarkStart w:id="5" w:name="ref_bib1_157"/>
      <w:r w:rsidRPr="00171C75">
        <w:t xml:space="preserve">Sauntson, H. 2013. Sexual diversity and illocutionary silencing in the English National Curriculum. </w:t>
      </w:r>
      <w:r w:rsidRPr="00171C75">
        <w:rPr>
          <w:i/>
        </w:rPr>
        <w:t>Sex Education: Sexuality, Society and Learning</w:t>
      </w:r>
      <w:r w:rsidRPr="00171C75">
        <w:t xml:space="preserve"> 13(4): 395–408.</w:t>
      </w:r>
      <w:bookmarkEnd w:id="5"/>
    </w:p>
    <w:p w14:paraId="3189DAAA" w14:textId="601479FC" w:rsidR="00CC472C" w:rsidRPr="00171C75" w:rsidRDefault="00CC472C" w:rsidP="00171C75">
      <w:pPr>
        <w:widowControl w:val="0"/>
        <w:autoSpaceDE w:val="0"/>
        <w:autoSpaceDN w:val="0"/>
        <w:adjustRightInd w:val="0"/>
        <w:rPr>
          <w:rFonts w:cs="Times New Roman"/>
          <w:lang w:val="en-US"/>
        </w:rPr>
      </w:pPr>
      <w:r w:rsidRPr="00171C75">
        <w:rPr>
          <w:rFonts w:cs="Times New Roman"/>
          <w:lang w:val="en-US"/>
        </w:rPr>
        <w:t xml:space="preserve">Sauntson, H. 2017. Language, </w:t>
      </w:r>
      <w:r w:rsidR="00574F12" w:rsidRPr="00171C75">
        <w:rPr>
          <w:rFonts w:cs="Times New Roman"/>
          <w:lang w:val="en-US"/>
        </w:rPr>
        <w:t>s</w:t>
      </w:r>
      <w:r w:rsidRPr="00171C75">
        <w:rPr>
          <w:rFonts w:cs="Times New Roman"/>
          <w:lang w:val="en-US"/>
        </w:rPr>
        <w:t xml:space="preserve">exuality and </w:t>
      </w:r>
      <w:r w:rsidR="00574F12" w:rsidRPr="00171C75">
        <w:rPr>
          <w:rFonts w:cs="Times New Roman"/>
          <w:lang w:val="en-US"/>
        </w:rPr>
        <w:t>e</w:t>
      </w:r>
      <w:r w:rsidRPr="00171C75">
        <w:rPr>
          <w:rFonts w:cs="Times New Roman"/>
          <w:lang w:val="en-US"/>
        </w:rPr>
        <w:t>ducation</w:t>
      </w:r>
      <w:r w:rsidR="00574F12" w:rsidRPr="00171C75">
        <w:rPr>
          <w:rFonts w:cs="Times New Roman"/>
          <w:lang w:val="en-US"/>
        </w:rPr>
        <w:t>.</w:t>
      </w:r>
      <w:r w:rsidRPr="00171C75">
        <w:rPr>
          <w:rFonts w:cs="Times New Roman"/>
          <w:lang w:val="en-US"/>
        </w:rPr>
        <w:t xml:space="preserve"> </w:t>
      </w:r>
      <w:r w:rsidR="00574F12" w:rsidRPr="00171C75">
        <w:rPr>
          <w:rFonts w:cs="Times New Roman"/>
          <w:lang w:val="en-US"/>
        </w:rPr>
        <w:t>I</w:t>
      </w:r>
      <w:r w:rsidRPr="00171C75">
        <w:rPr>
          <w:rFonts w:cs="Times New Roman"/>
          <w:lang w:val="en-US"/>
        </w:rPr>
        <w:t>n</w:t>
      </w:r>
      <w:r w:rsidR="00574F12" w:rsidRPr="00171C75">
        <w:rPr>
          <w:rFonts w:cs="Times New Roman"/>
          <w:lang w:val="en-US"/>
        </w:rPr>
        <w:t xml:space="preserve"> </w:t>
      </w:r>
      <w:r w:rsidR="00171C75" w:rsidRPr="00171C75">
        <w:rPr>
          <w:rFonts w:cs="Times New Roman"/>
          <w:lang w:val="en-US"/>
        </w:rPr>
        <w:t xml:space="preserve">S. Wortham et al (eds) </w:t>
      </w:r>
      <w:r w:rsidR="00171C75" w:rsidRPr="00171C75">
        <w:rPr>
          <w:rFonts w:cs="Times New Roman"/>
          <w:i/>
          <w:lang w:val="en-US"/>
        </w:rPr>
        <w:t>Encyclopedia of Language and Education:</w:t>
      </w:r>
      <w:r w:rsidR="00171C75" w:rsidRPr="00171C75">
        <w:rPr>
          <w:rFonts w:cs="Times New Roman"/>
          <w:lang w:val="en-US"/>
        </w:rPr>
        <w:t xml:space="preserve"> </w:t>
      </w:r>
      <w:r w:rsidRPr="00171C75">
        <w:rPr>
          <w:rFonts w:cs="Times New Roman"/>
          <w:i/>
          <w:iCs/>
          <w:lang w:val="en-US"/>
        </w:rPr>
        <w:t>Discourse and Education</w:t>
      </w:r>
      <w:r w:rsidRPr="00171C75">
        <w:rPr>
          <w:rFonts w:cs="Times New Roman"/>
          <w:lang w:val="en-US"/>
        </w:rPr>
        <w:t xml:space="preserve">. </w:t>
      </w:r>
      <w:r w:rsidR="00171C75" w:rsidRPr="00171C75">
        <w:rPr>
          <w:rFonts w:cs="Times New Roman"/>
          <w:lang w:val="en-US"/>
        </w:rPr>
        <w:t xml:space="preserve">New York: </w:t>
      </w:r>
      <w:r w:rsidRPr="00171C75">
        <w:rPr>
          <w:rFonts w:cs="Times New Roman"/>
          <w:lang w:val="en-US"/>
        </w:rPr>
        <w:t>Springe</w:t>
      </w:r>
      <w:r w:rsidR="00171C75" w:rsidRPr="00171C75">
        <w:rPr>
          <w:rFonts w:cs="Times New Roman"/>
          <w:lang w:val="en-US"/>
        </w:rPr>
        <w:t xml:space="preserve">r. </w:t>
      </w:r>
      <w:r w:rsidRPr="00171C75">
        <w:rPr>
          <w:rFonts w:cs="Times New Roman"/>
          <w:lang w:val="en-US"/>
        </w:rPr>
        <w:t xml:space="preserve">147–159. </w:t>
      </w:r>
    </w:p>
    <w:p w14:paraId="10967B56" w14:textId="45C4B53C" w:rsidR="00CC472C" w:rsidRDefault="00CC472C" w:rsidP="00171C75">
      <w:r w:rsidRPr="00171C75">
        <w:rPr>
          <w:lang w:val="en-US"/>
        </w:rPr>
        <w:t xml:space="preserve">Sauntson, H. 2018. </w:t>
      </w:r>
      <w:r w:rsidRPr="00171C75">
        <w:rPr>
          <w:i/>
          <w:iCs/>
          <w:lang w:val="en-US"/>
        </w:rPr>
        <w:t>Language, Sexuality and Education</w:t>
      </w:r>
      <w:r w:rsidRPr="00171C75">
        <w:rPr>
          <w:lang w:val="en-US"/>
        </w:rPr>
        <w:t xml:space="preserve">. </w:t>
      </w:r>
      <w:r w:rsidR="00574F12" w:rsidRPr="00171C75">
        <w:rPr>
          <w:lang w:val="en-US"/>
        </w:rPr>
        <w:t xml:space="preserve">Cambridge: </w:t>
      </w:r>
      <w:r w:rsidRPr="00171C75">
        <w:t>Cambridge University Press.</w:t>
      </w:r>
    </w:p>
    <w:p w14:paraId="266985AE" w14:textId="65A2A52D" w:rsidR="00847A01" w:rsidRPr="00171C75" w:rsidRDefault="00847A01" w:rsidP="00171C75">
      <w:r>
        <w:t xml:space="preserve">Silva, K. and Mendes, K. (eds) 2015. </w:t>
      </w:r>
      <w:r w:rsidRPr="00847A01">
        <w:rPr>
          <w:i/>
        </w:rPr>
        <w:t>Feminist Erasures: Challenging Backlash Culture</w:t>
      </w:r>
      <w:r>
        <w:t>. Basingstoke: Palgrave.</w:t>
      </w:r>
    </w:p>
    <w:p w14:paraId="04FE229C" w14:textId="10446259" w:rsidR="00171C75" w:rsidRPr="00171C75" w:rsidRDefault="00171C75" w:rsidP="00171C75">
      <w:bookmarkStart w:id="6" w:name="ref_bib1_171"/>
      <w:r w:rsidRPr="00171C75">
        <w:t xml:space="preserve">Sunderland, J. 2015. Gender (representation) in foreign language textbooks: Avoiding pitfalls and moving on. In S. Mustapha and S. Mills (eds) </w:t>
      </w:r>
      <w:r w:rsidRPr="00171C75">
        <w:rPr>
          <w:i/>
        </w:rPr>
        <w:t>Gender Representations in Learning Materials: International Perspectives</w:t>
      </w:r>
      <w:r w:rsidRPr="00171C75">
        <w:t>. London: Routledge. 19–34.</w:t>
      </w:r>
      <w:bookmarkEnd w:id="6"/>
    </w:p>
    <w:p w14:paraId="16B22015" w14:textId="5846A3CB" w:rsidR="00D26737" w:rsidRDefault="00D26737" w:rsidP="00171C75">
      <w:pPr>
        <w:widowControl w:val="0"/>
        <w:autoSpaceDE w:val="0"/>
        <w:autoSpaceDN w:val="0"/>
        <w:adjustRightInd w:val="0"/>
        <w:rPr>
          <w:rFonts w:cs="Times New Roman"/>
        </w:rPr>
      </w:pPr>
      <w:r w:rsidRPr="00171C75">
        <w:rPr>
          <w:rFonts w:cs="Times New Roman"/>
        </w:rPr>
        <w:t>Sunderland, J. 2018.</w:t>
      </w:r>
      <w:r w:rsidR="00EA6F52" w:rsidRPr="00171C75">
        <w:rPr>
          <w:rFonts w:cs="Times New Roman"/>
        </w:rPr>
        <w:t xml:space="preserve"> Exploring the representation of sexuality in foreign language textbooks. Paper presented at the </w:t>
      </w:r>
      <w:r w:rsidR="00EA6F52" w:rsidRPr="00171C75">
        <w:rPr>
          <w:rFonts w:cs="Times New Roman"/>
          <w:i/>
          <w:iCs/>
        </w:rPr>
        <w:t>British Association of Applied Linguistics Annual Meeting</w:t>
      </w:r>
      <w:r w:rsidR="00EA6F52" w:rsidRPr="00171C75">
        <w:rPr>
          <w:rFonts w:cs="Times New Roman"/>
        </w:rPr>
        <w:t>, York St John University, UK, 6-8 September 2018.</w:t>
      </w:r>
    </w:p>
    <w:p w14:paraId="29069709" w14:textId="2221BE8A" w:rsidR="0055259B" w:rsidRPr="00171C75" w:rsidRDefault="0055259B" w:rsidP="00171C75">
      <w:pPr>
        <w:widowControl w:val="0"/>
        <w:autoSpaceDE w:val="0"/>
        <w:autoSpaceDN w:val="0"/>
        <w:adjustRightInd w:val="0"/>
        <w:rPr>
          <w:rFonts w:cs="Times New Roman"/>
        </w:rPr>
      </w:pPr>
      <w:r w:rsidRPr="0055259B">
        <w:rPr>
          <w:rFonts w:cs="Times New Roman"/>
        </w:rPr>
        <w:t>Thornbury, S</w:t>
      </w:r>
      <w:r w:rsidR="00A65B6F">
        <w:rPr>
          <w:rFonts w:cs="Times New Roman"/>
        </w:rPr>
        <w:t>.</w:t>
      </w:r>
      <w:r w:rsidRPr="0055259B">
        <w:rPr>
          <w:rFonts w:cs="Times New Roman"/>
        </w:rPr>
        <w:t xml:space="preserve"> 1999</w:t>
      </w:r>
      <w:r w:rsidR="00A65B6F">
        <w:rPr>
          <w:rFonts w:cs="Times New Roman"/>
        </w:rPr>
        <w:t>.</w:t>
      </w:r>
      <w:r w:rsidRPr="0055259B">
        <w:rPr>
          <w:rFonts w:cs="Times New Roman"/>
        </w:rPr>
        <w:t xml:space="preserve"> Window-dressing vs. cross-dressing in the EFL sub-culture. </w:t>
      </w:r>
      <w:r w:rsidRPr="0055259B">
        <w:rPr>
          <w:rFonts w:cs="Times New Roman"/>
          <w:i/>
          <w:iCs/>
        </w:rPr>
        <w:t>Folio</w:t>
      </w:r>
      <w:r w:rsidRPr="0055259B">
        <w:rPr>
          <w:rFonts w:cs="Times New Roman"/>
        </w:rPr>
        <w:t xml:space="preserve"> 5</w:t>
      </w:r>
      <w:r w:rsidR="00A65B6F">
        <w:rPr>
          <w:rFonts w:cs="Times New Roman"/>
        </w:rPr>
        <w:t xml:space="preserve"> (</w:t>
      </w:r>
      <w:r w:rsidRPr="0055259B">
        <w:rPr>
          <w:rFonts w:cs="Times New Roman"/>
        </w:rPr>
        <w:t>2</w:t>
      </w:r>
      <w:r w:rsidR="00A65B6F">
        <w:rPr>
          <w:rFonts w:cs="Times New Roman"/>
        </w:rPr>
        <w:t>)</w:t>
      </w:r>
      <w:r w:rsidRPr="0055259B">
        <w:rPr>
          <w:rFonts w:cs="Times New Roman"/>
        </w:rPr>
        <w:t>: 15-17.</w:t>
      </w:r>
    </w:p>
    <w:p w14:paraId="74A356A3" w14:textId="3DAA3262" w:rsidR="007D1856" w:rsidRPr="00171C75" w:rsidRDefault="007D1856" w:rsidP="00171C75">
      <w:pPr>
        <w:widowControl w:val="0"/>
        <w:autoSpaceDE w:val="0"/>
        <w:autoSpaceDN w:val="0"/>
        <w:adjustRightInd w:val="0"/>
        <w:rPr>
          <w:rFonts w:cs="Times New Roman"/>
        </w:rPr>
      </w:pPr>
      <w:r w:rsidRPr="00171C75">
        <w:rPr>
          <w:rFonts w:cs="Times New Roman"/>
        </w:rPr>
        <w:t xml:space="preserve">Toomey, R. 2018. Coping with sexual orientation-related minority stress. </w:t>
      </w:r>
      <w:r w:rsidRPr="00171C75">
        <w:rPr>
          <w:rFonts w:cs="Times New Roman"/>
          <w:i/>
        </w:rPr>
        <w:t xml:space="preserve">Journal of </w:t>
      </w:r>
      <w:r w:rsidRPr="00171C75">
        <w:rPr>
          <w:rFonts w:cs="Times New Roman"/>
          <w:i/>
        </w:rPr>
        <w:lastRenderedPageBreak/>
        <w:t>Homosexuality</w:t>
      </w:r>
      <w:r w:rsidRPr="00171C75">
        <w:rPr>
          <w:rFonts w:cs="Times New Roman"/>
        </w:rPr>
        <w:t xml:space="preserve"> 65 (4): 484-500.</w:t>
      </w:r>
    </w:p>
    <w:p w14:paraId="780641F8" w14:textId="431582C0" w:rsidR="00CC472C" w:rsidRPr="00171C75" w:rsidRDefault="00CC472C" w:rsidP="00171C75">
      <w:pPr>
        <w:widowControl w:val="0"/>
        <w:autoSpaceDE w:val="0"/>
        <w:autoSpaceDN w:val="0"/>
        <w:adjustRightInd w:val="0"/>
        <w:rPr>
          <w:rFonts w:cs="Times New Roman"/>
          <w:lang w:val="en-US"/>
        </w:rPr>
      </w:pPr>
      <w:r w:rsidRPr="00171C75">
        <w:rPr>
          <w:rFonts w:cs="Times New Roman"/>
          <w:lang w:val="en-US"/>
        </w:rPr>
        <w:t>Weeks, J. 2006. The social construction of sexuality</w:t>
      </w:r>
      <w:r w:rsidR="00574F12" w:rsidRPr="00171C75">
        <w:rPr>
          <w:rFonts w:cs="Times New Roman"/>
          <w:lang w:val="en-US"/>
        </w:rPr>
        <w:t>.</w:t>
      </w:r>
      <w:r w:rsidRPr="00171C75">
        <w:rPr>
          <w:rFonts w:cs="Times New Roman"/>
          <w:lang w:val="en-US"/>
        </w:rPr>
        <w:t xml:space="preserve"> </w:t>
      </w:r>
      <w:r w:rsidR="00574F12" w:rsidRPr="00171C75">
        <w:rPr>
          <w:rFonts w:cs="Times New Roman"/>
          <w:lang w:val="en-US"/>
        </w:rPr>
        <w:t>I</w:t>
      </w:r>
      <w:r w:rsidRPr="00171C75">
        <w:rPr>
          <w:rFonts w:cs="Times New Roman"/>
          <w:lang w:val="en-US"/>
        </w:rPr>
        <w:t>n S</w:t>
      </w:r>
      <w:r w:rsidR="00574F12" w:rsidRPr="00171C75">
        <w:rPr>
          <w:rFonts w:cs="Times New Roman"/>
          <w:lang w:val="en-US"/>
        </w:rPr>
        <w:t>.</w:t>
      </w:r>
      <w:r w:rsidRPr="00171C75">
        <w:rPr>
          <w:rFonts w:cs="Times New Roman"/>
          <w:lang w:val="en-US"/>
        </w:rPr>
        <w:t xml:space="preserve"> Seidman, N</w:t>
      </w:r>
      <w:r w:rsidR="00574F12" w:rsidRPr="00171C75">
        <w:rPr>
          <w:rFonts w:cs="Times New Roman"/>
          <w:lang w:val="en-US"/>
        </w:rPr>
        <w:t>.</w:t>
      </w:r>
      <w:r w:rsidRPr="00171C75">
        <w:rPr>
          <w:rFonts w:cs="Times New Roman"/>
          <w:lang w:val="en-US"/>
        </w:rPr>
        <w:t xml:space="preserve"> Fischer and C</w:t>
      </w:r>
      <w:r w:rsidR="00574F12" w:rsidRPr="00171C75">
        <w:rPr>
          <w:rFonts w:cs="Times New Roman"/>
          <w:lang w:val="en-US"/>
        </w:rPr>
        <w:t>.</w:t>
      </w:r>
      <w:r w:rsidRPr="00171C75">
        <w:rPr>
          <w:rFonts w:cs="Times New Roman"/>
          <w:lang w:val="en-US"/>
        </w:rPr>
        <w:t xml:space="preserve"> Meeks (eds) </w:t>
      </w:r>
      <w:r w:rsidR="00574F12" w:rsidRPr="00171C75">
        <w:rPr>
          <w:rFonts w:cs="Times New Roman"/>
          <w:i/>
          <w:iCs/>
          <w:lang w:val="en-US"/>
        </w:rPr>
        <w:t>The</w:t>
      </w:r>
      <w:r w:rsidR="00574F12" w:rsidRPr="00171C75">
        <w:rPr>
          <w:rFonts w:cs="Times New Roman"/>
          <w:lang w:val="en-US"/>
        </w:rPr>
        <w:t xml:space="preserve"> </w:t>
      </w:r>
      <w:r w:rsidRPr="00171C75">
        <w:rPr>
          <w:rFonts w:cs="Times New Roman"/>
          <w:i/>
          <w:iCs/>
          <w:lang w:val="en-US"/>
        </w:rPr>
        <w:t>Handbook of the New Sexuality Studies</w:t>
      </w:r>
      <w:r w:rsidRPr="00171C75">
        <w:rPr>
          <w:rFonts w:cs="Times New Roman"/>
          <w:lang w:val="en-US"/>
        </w:rPr>
        <w:t>. London: Routledge</w:t>
      </w:r>
      <w:r w:rsidR="00574F12" w:rsidRPr="00171C75">
        <w:rPr>
          <w:rFonts w:cs="Times New Roman"/>
          <w:lang w:val="en-US"/>
        </w:rPr>
        <w:t>.</w:t>
      </w:r>
      <w:r w:rsidRPr="00171C75">
        <w:rPr>
          <w:rFonts w:cs="Times New Roman"/>
          <w:lang w:val="en-US"/>
        </w:rPr>
        <w:t xml:space="preserve"> 14–20.</w:t>
      </w:r>
    </w:p>
    <w:p w14:paraId="08AD6448" w14:textId="2E339389" w:rsidR="00917251" w:rsidRPr="00171C75" w:rsidRDefault="00CC472C" w:rsidP="00171C75">
      <w:pPr>
        <w:widowControl w:val="0"/>
        <w:autoSpaceDE w:val="0"/>
        <w:autoSpaceDN w:val="0"/>
        <w:adjustRightInd w:val="0"/>
        <w:rPr>
          <w:rFonts w:cs="Times New Roman"/>
          <w:lang w:val="en-US"/>
        </w:rPr>
      </w:pPr>
      <w:r w:rsidRPr="00171C75">
        <w:rPr>
          <w:rFonts w:cs="Times New Roman"/>
          <w:lang w:val="en-US"/>
        </w:rPr>
        <w:t xml:space="preserve">Wodak, R. 2015. </w:t>
      </w:r>
      <w:r w:rsidRPr="00171C75">
        <w:rPr>
          <w:rFonts w:cs="Times New Roman"/>
          <w:i/>
          <w:iCs/>
          <w:lang w:val="en-US"/>
        </w:rPr>
        <w:t>The Politics of Fear: What Right-Wing Populist Discourses Mean</w:t>
      </w:r>
      <w:r w:rsidRPr="00171C75">
        <w:rPr>
          <w:rFonts w:cs="Times New Roman"/>
          <w:lang w:val="en-US"/>
        </w:rPr>
        <w:t xml:space="preserve">. London: </w:t>
      </w:r>
      <w:r w:rsidR="00574F12" w:rsidRPr="00171C75">
        <w:rPr>
          <w:rFonts w:cs="Times New Roman"/>
          <w:lang w:val="en-US"/>
        </w:rPr>
        <w:t>Sage</w:t>
      </w:r>
      <w:r w:rsidRPr="00171C75">
        <w:rPr>
          <w:rFonts w:cs="Times New Roman"/>
          <w:lang w:val="en-US"/>
        </w:rPr>
        <w:t>.</w:t>
      </w:r>
    </w:p>
    <w:p w14:paraId="706A6AEB" w14:textId="51E66CEC" w:rsidR="00477673" w:rsidRDefault="00477673" w:rsidP="00CC472C"/>
    <w:sectPr w:rsidR="0047767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2B28A" w14:textId="77777777" w:rsidR="0042004C" w:rsidRDefault="0042004C" w:rsidP="00326CF0">
      <w:r>
        <w:separator/>
      </w:r>
    </w:p>
  </w:endnote>
  <w:endnote w:type="continuationSeparator" w:id="0">
    <w:p w14:paraId="4BAA37B8" w14:textId="77777777" w:rsidR="0042004C" w:rsidRDefault="0042004C" w:rsidP="0032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946783"/>
      <w:docPartObj>
        <w:docPartGallery w:val="Page Numbers (Bottom of Page)"/>
        <w:docPartUnique/>
      </w:docPartObj>
    </w:sdtPr>
    <w:sdtEndPr>
      <w:rPr>
        <w:noProof/>
      </w:rPr>
    </w:sdtEndPr>
    <w:sdtContent>
      <w:p w14:paraId="47B0B614" w14:textId="545F15E5" w:rsidR="00326CF0" w:rsidRDefault="00326C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2F6CDE" w14:textId="77777777" w:rsidR="00326CF0" w:rsidRDefault="00326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3B4D7" w14:textId="77777777" w:rsidR="0042004C" w:rsidRDefault="0042004C" w:rsidP="00326CF0">
      <w:r>
        <w:separator/>
      </w:r>
    </w:p>
  </w:footnote>
  <w:footnote w:type="continuationSeparator" w:id="0">
    <w:p w14:paraId="63263089" w14:textId="77777777" w:rsidR="0042004C" w:rsidRDefault="0042004C" w:rsidP="00326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064"/>
    <w:multiLevelType w:val="hybridMultilevel"/>
    <w:tmpl w:val="5B8EC422"/>
    <w:lvl w:ilvl="0" w:tplc="C638E8C8">
      <w:start w:val="1"/>
      <w:numFmt w:val="bullet"/>
      <w:lvlText w:val="•"/>
      <w:lvlJc w:val="left"/>
      <w:pPr>
        <w:tabs>
          <w:tab w:val="num" w:pos="720"/>
        </w:tabs>
        <w:ind w:left="720" w:hanging="360"/>
      </w:pPr>
      <w:rPr>
        <w:rFonts w:ascii="Arial" w:hAnsi="Arial" w:hint="default"/>
      </w:rPr>
    </w:lvl>
    <w:lvl w:ilvl="1" w:tplc="D982F132" w:tentative="1">
      <w:start w:val="1"/>
      <w:numFmt w:val="bullet"/>
      <w:lvlText w:val="•"/>
      <w:lvlJc w:val="left"/>
      <w:pPr>
        <w:tabs>
          <w:tab w:val="num" w:pos="1440"/>
        </w:tabs>
        <w:ind w:left="1440" w:hanging="360"/>
      </w:pPr>
      <w:rPr>
        <w:rFonts w:ascii="Arial" w:hAnsi="Arial" w:hint="default"/>
      </w:rPr>
    </w:lvl>
    <w:lvl w:ilvl="2" w:tplc="B4908510" w:tentative="1">
      <w:start w:val="1"/>
      <w:numFmt w:val="bullet"/>
      <w:lvlText w:val="•"/>
      <w:lvlJc w:val="left"/>
      <w:pPr>
        <w:tabs>
          <w:tab w:val="num" w:pos="2160"/>
        </w:tabs>
        <w:ind w:left="2160" w:hanging="360"/>
      </w:pPr>
      <w:rPr>
        <w:rFonts w:ascii="Arial" w:hAnsi="Arial" w:hint="default"/>
      </w:rPr>
    </w:lvl>
    <w:lvl w:ilvl="3" w:tplc="33E09B60" w:tentative="1">
      <w:start w:val="1"/>
      <w:numFmt w:val="bullet"/>
      <w:lvlText w:val="•"/>
      <w:lvlJc w:val="left"/>
      <w:pPr>
        <w:tabs>
          <w:tab w:val="num" w:pos="2880"/>
        </w:tabs>
        <w:ind w:left="2880" w:hanging="360"/>
      </w:pPr>
      <w:rPr>
        <w:rFonts w:ascii="Arial" w:hAnsi="Arial" w:hint="default"/>
      </w:rPr>
    </w:lvl>
    <w:lvl w:ilvl="4" w:tplc="4B2099C0" w:tentative="1">
      <w:start w:val="1"/>
      <w:numFmt w:val="bullet"/>
      <w:lvlText w:val="•"/>
      <w:lvlJc w:val="left"/>
      <w:pPr>
        <w:tabs>
          <w:tab w:val="num" w:pos="3600"/>
        </w:tabs>
        <w:ind w:left="3600" w:hanging="360"/>
      </w:pPr>
      <w:rPr>
        <w:rFonts w:ascii="Arial" w:hAnsi="Arial" w:hint="default"/>
      </w:rPr>
    </w:lvl>
    <w:lvl w:ilvl="5" w:tplc="FA9CB6CC" w:tentative="1">
      <w:start w:val="1"/>
      <w:numFmt w:val="bullet"/>
      <w:lvlText w:val="•"/>
      <w:lvlJc w:val="left"/>
      <w:pPr>
        <w:tabs>
          <w:tab w:val="num" w:pos="4320"/>
        </w:tabs>
        <w:ind w:left="4320" w:hanging="360"/>
      </w:pPr>
      <w:rPr>
        <w:rFonts w:ascii="Arial" w:hAnsi="Arial" w:hint="default"/>
      </w:rPr>
    </w:lvl>
    <w:lvl w:ilvl="6" w:tplc="410CB6D0" w:tentative="1">
      <w:start w:val="1"/>
      <w:numFmt w:val="bullet"/>
      <w:lvlText w:val="•"/>
      <w:lvlJc w:val="left"/>
      <w:pPr>
        <w:tabs>
          <w:tab w:val="num" w:pos="5040"/>
        </w:tabs>
        <w:ind w:left="5040" w:hanging="360"/>
      </w:pPr>
      <w:rPr>
        <w:rFonts w:ascii="Arial" w:hAnsi="Arial" w:hint="default"/>
      </w:rPr>
    </w:lvl>
    <w:lvl w:ilvl="7" w:tplc="015095A2" w:tentative="1">
      <w:start w:val="1"/>
      <w:numFmt w:val="bullet"/>
      <w:lvlText w:val="•"/>
      <w:lvlJc w:val="left"/>
      <w:pPr>
        <w:tabs>
          <w:tab w:val="num" w:pos="5760"/>
        </w:tabs>
        <w:ind w:left="5760" w:hanging="360"/>
      </w:pPr>
      <w:rPr>
        <w:rFonts w:ascii="Arial" w:hAnsi="Arial" w:hint="default"/>
      </w:rPr>
    </w:lvl>
    <w:lvl w:ilvl="8" w:tplc="F22403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65085"/>
    <w:multiLevelType w:val="hybridMultilevel"/>
    <w:tmpl w:val="C04EF7BE"/>
    <w:lvl w:ilvl="0" w:tplc="52DE6146">
      <w:start w:val="1"/>
      <w:numFmt w:val="bullet"/>
      <w:lvlText w:val="•"/>
      <w:lvlJc w:val="left"/>
      <w:pPr>
        <w:tabs>
          <w:tab w:val="num" w:pos="720"/>
        </w:tabs>
        <w:ind w:left="720" w:hanging="360"/>
      </w:pPr>
      <w:rPr>
        <w:rFonts w:ascii="Arial" w:hAnsi="Arial" w:hint="default"/>
      </w:rPr>
    </w:lvl>
    <w:lvl w:ilvl="1" w:tplc="F4C84A76">
      <w:start w:val="1"/>
      <w:numFmt w:val="lowerRoman"/>
      <w:lvlText w:val="%2."/>
      <w:lvlJc w:val="left"/>
      <w:pPr>
        <w:tabs>
          <w:tab w:val="num" w:pos="1440"/>
        </w:tabs>
        <w:ind w:left="1440" w:hanging="360"/>
      </w:pPr>
      <w:rPr>
        <w:rFonts w:ascii="Times New Roman" w:eastAsiaTheme="minorHAnsi" w:hAnsi="Times New Roman" w:cstheme="minorBidi"/>
      </w:rPr>
    </w:lvl>
    <w:lvl w:ilvl="2" w:tplc="EB629B14">
      <w:numFmt w:val="bullet"/>
      <w:lvlText w:val="•"/>
      <w:lvlJc w:val="left"/>
      <w:pPr>
        <w:tabs>
          <w:tab w:val="num" w:pos="2160"/>
        </w:tabs>
        <w:ind w:left="2160" w:hanging="360"/>
      </w:pPr>
      <w:rPr>
        <w:rFonts w:ascii="Arial" w:hAnsi="Arial" w:hint="default"/>
      </w:rPr>
    </w:lvl>
    <w:lvl w:ilvl="3" w:tplc="CF92AF2E" w:tentative="1">
      <w:start w:val="1"/>
      <w:numFmt w:val="bullet"/>
      <w:lvlText w:val="•"/>
      <w:lvlJc w:val="left"/>
      <w:pPr>
        <w:tabs>
          <w:tab w:val="num" w:pos="2880"/>
        </w:tabs>
        <w:ind w:left="2880" w:hanging="360"/>
      </w:pPr>
      <w:rPr>
        <w:rFonts w:ascii="Arial" w:hAnsi="Arial" w:hint="default"/>
      </w:rPr>
    </w:lvl>
    <w:lvl w:ilvl="4" w:tplc="19E6100E" w:tentative="1">
      <w:start w:val="1"/>
      <w:numFmt w:val="bullet"/>
      <w:lvlText w:val="•"/>
      <w:lvlJc w:val="left"/>
      <w:pPr>
        <w:tabs>
          <w:tab w:val="num" w:pos="3600"/>
        </w:tabs>
        <w:ind w:left="3600" w:hanging="360"/>
      </w:pPr>
      <w:rPr>
        <w:rFonts w:ascii="Arial" w:hAnsi="Arial" w:hint="default"/>
      </w:rPr>
    </w:lvl>
    <w:lvl w:ilvl="5" w:tplc="6A18B9B2" w:tentative="1">
      <w:start w:val="1"/>
      <w:numFmt w:val="bullet"/>
      <w:lvlText w:val="•"/>
      <w:lvlJc w:val="left"/>
      <w:pPr>
        <w:tabs>
          <w:tab w:val="num" w:pos="4320"/>
        </w:tabs>
        <w:ind w:left="4320" w:hanging="360"/>
      </w:pPr>
      <w:rPr>
        <w:rFonts w:ascii="Arial" w:hAnsi="Arial" w:hint="default"/>
      </w:rPr>
    </w:lvl>
    <w:lvl w:ilvl="6" w:tplc="83F8472E" w:tentative="1">
      <w:start w:val="1"/>
      <w:numFmt w:val="bullet"/>
      <w:lvlText w:val="•"/>
      <w:lvlJc w:val="left"/>
      <w:pPr>
        <w:tabs>
          <w:tab w:val="num" w:pos="5040"/>
        </w:tabs>
        <w:ind w:left="5040" w:hanging="360"/>
      </w:pPr>
      <w:rPr>
        <w:rFonts w:ascii="Arial" w:hAnsi="Arial" w:hint="default"/>
      </w:rPr>
    </w:lvl>
    <w:lvl w:ilvl="7" w:tplc="0E5AE28E" w:tentative="1">
      <w:start w:val="1"/>
      <w:numFmt w:val="bullet"/>
      <w:lvlText w:val="•"/>
      <w:lvlJc w:val="left"/>
      <w:pPr>
        <w:tabs>
          <w:tab w:val="num" w:pos="5760"/>
        </w:tabs>
        <w:ind w:left="5760" w:hanging="360"/>
      </w:pPr>
      <w:rPr>
        <w:rFonts w:ascii="Arial" w:hAnsi="Arial" w:hint="default"/>
      </w:rPr>
    </w:lvl>
    <w:lvl w:ilvl="8" w:tplc="FEC219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0330FF"/>
    <w:multiLevelType w:val="hybridMultilevel"/>
    <w:tmpl w:val="D58E3AAE"/>
    <w:lvl w:ilvl="0" w:tplc="8EFE1E06">
      <w:start w:val="1"/>
      <w:numFmt w:val="bullet"/>
      <w:lvlText w:val="•"/>
      <w:lvlJc w:val="left"/>
      <w:pPr>
        <w:tabs>
          <w:tab w:val="num" w:pos="720"/>
        </w:tabs>
        <w:ind w:left="720" w:hanging="360"/>
      </w:pPr>
      <w:rPr>
        <w:rFonts w:ascii="Arial" w:hAnsi="Arial" w:hint="default"/>
      </w:rPr>
    </w:lvl>
    <w:lvl w:ilvl="1" w:tplc="0FDCE594" w:tentative="1">
      <w:start w:val="1"/>
      <w:numFmt w:val="bullet"/>
      <w:lvlText w:val="•"/>
      <w:lvlJc w:val="left"/>
      <w:pPr>
        <w:tabs>
          <w:tab w:val="num" w:pos="1440"/>
        </w:tabs>
        <w:ind w:left="1440" w:hanging="360"/>
      </w:pPr>
      <w:rPr>
        <w:rFonts w:ascii="Arial" w:hAnsi="Arial" w:hint="default"/>
      </w:rPr>
    </w:lvl>
    <w:lvl w:ilvl="2" w:tplc="0B12F880" w:tentative="1">
      <w:start w:val="1"/>
      <w:numFmt w:val="bullet"/>
      <w:lvlText w:val="•"/>
      <w:lvlJc w:val="left"/>
      <w:pPr>
        <w:tabs>
          <w:tab w:val="num" w:pos="2160"/>
        </w:tabs>
        <w:ind w:left="2160" w:hanging="360"/>
      </w:pPr>
      <w:rPr>
        <w:rFonts w:ascii="Arial" w:hAnsi="Arial" w:hint="default"/>
      </w:rPr>
    </w:lvl>
    <w:lvl w:ilvl="3" w:tplc="1042F13C" w:tentative="1">
      <w:start w:val="1"/>
      <w:numFmt w:val="bullet"/>
      <w:lvlText w:val="•"/>
      <w:lvlJc w:val="left"/>
      <w:pPr>
        <w:tabs>
          <w:tab w:val="num" w:pos="2880"/>
        </w:tabs>
        <w:ind w:left="2880" w:hanging="360"/>
      </w:pPr>
      <w:rPr>
        <w:rFonts w:ascii="Arial" w:hAnsi="Arial" w:hint="default"/>
      </w:rPr>
    </w:lvl>
    <w:lvl w:ilvl="4" w:tplc="22044980" w:tentative="1">
      <w:start w:val="1"/>
      <w:numFmt w:val="bullet"/>
      <w:lvlText w:val="•"/>
      <w:lvlJc w:val="left"/>
      <w:pPr>
        <w:tabs>
          <w:tab w:val="num" w:pos="3600"/>
        </w:tabs>
        <w:ind w:left="3600" w:hanging="360"/>
      </w:pPr>
      <w:rPr>
        <w:rFonts w:ascii="Arial" w:hAnsi="Arial" w:hint="default"/>
      </w:rPr>
    </w:lvl>
    <w:lvl w:ilvl="5" w:tplc="1D28D91C" w:tentative="1">
      <w:start w:val="1"/>
      <w:numFmt w:val="bullet"/>
      <w:lvlText w:val="•"/>
      <w:lvlJc w:val="left"/>
      <w:pPr>
        <w:tabs>
          <w:tab w:val="num" w:pos="4320"/>
        </w:tabs>
        <w:ind w:left="4320" w:hanging="360"/>
      </w:pPr>
      <w:rPr>
        <w:rFonts w:ascii="Arial" w:hAnsi="Arial" w:hint="default"/>
      </w:rPr>
    </w:lvl>
    <w:lvl w:ilvl="6" w:tplc="9F342A5A" w:tentative="1">
      <w:start w:val="1"/>
      <w:numFmt w:val="bullet"/>
      <w:lvlText w:val="•"/>
      <w:lvlJc w:val="left"/>
      <w:pPr>
        <w:tabs>
          <w:tab w:val="num" w:pos="5040"/>
        </w:tabs>
        <w:ind w:left="5040" w:hanging="360"/>
      </w:pPr>
      <w:rPr>
        <w:rFonts w:ascii="Arial" w:hAnsi="Arial" w:hint="default"/>
      </w:rPr>
    </w:lvl>
    <w:lvl w:ilvl="7" w:tplc="34C4D410" w:tentative="1">
      <w:start w:val="1"/>
      <w:numFmt w:val="bullet"/>
      <w:lvlText w:val="•"/>
      <w:lvlJc w:val="left"/>
      <w:pPr>
        <w:tabs>
          <w:tab w:val="num" w:pos="5760"/>
        </w:tabs>
        <w:ind w:left="5760" w:hanging="360"/>
      </w:pPr>
      <w:rPr>
        <w:rFonts w:ascii="Arial" w:hAnsi="Arial" w:hint="default"/>
      </w:rPr>
    </w:lvl>
    <w:lvl w:ilvl="8" w:tplc="25E642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C95B02"/>
    <w:multiLevelType w:val="hybridMultilevel"/>
    <w:tmpl w:val="3496BEAC"/>
    <w:lvl w:ilvl="0" w:tplc="82741756">
      <w:start w:val="1"/>
      <w:numFmt w:val="lowerLetter"/>
      <w:lvlText w:val="(%1)"/>
      <w:lvlJc w:val="left"/>
      <w:pPr>
        <w:tabs>
          <w:tab w:val="num" w:pos="720"/>
        </w:tabs>
        <w:ind w:left="720" w:hanging="360"/>
      </w:pPr>
    </w:lvl>
    <w:lvl w:ilvl="1" w:tplc="832A4E34" w:tentative="1">
      <w:start w:val="1"/>
      <w:numFmt w:val="lowerLetter"/>
      <w:lvlText w:val="(%2)"/>
      <w:lvlJc w:val="left"/>
      <w:pPr>
        <w:tabs>
          <w:tab w:val="num" w:pos="1440"/>
        </w:tabs>
        <w:ind w:left="1440" w:hanging="360"/>
      </w:pPr>
    </w:lvl>
    <w:lvl w:ilvl="2" w:tplc="78A0221A" w:tentative="1">
      <w:start w:val="1"/>
      <w:numFmt w:val="lowerLetter"/>
      <w:lvlText w:val="(%3)"/>
      <w:lvlJc w:val="left"/>
      <w:pPr>
        <w:tabs>
          <w:tab w:val="num" w:pos="2160"/>
        </w:tabs>
        <w:ind w:left="2160" w:hanging="360"/>
      </w:pPr>
    </w:lvl>
    <w:lvl w:ilvl="3" w:tplc="837234FC" w:tentative="1">
      <w:start w:val="1"/>
      <w:numFmt w:val="lowerLetter"/>
      <w:lvlText w:val="(%4)"/>
      <w:lvlJc w:val="left"/>
      <w:pPr>
        <w:tabs>
          <w:tab w:val="num" w:pos="2880"/>
        </w:tabs>
        <w:ind w:left="2880" w:hanging="360"/>
      </w:pPr>
    </w:lvl>
    <w:lvl w:ilvl="4" w:tplc="2772ADD6" w:tentative="1">
      <w:start w:val="1"/>
      <w:numFmt w:val="lowerLetter"/>
      <w:lvlText w:val="(%5)"/>
      <w:lvlJc w:val="left"/>
      <w:pPr>
        <w:tabs>
          <w:tab w:val="num" w:pos="3600"/>
        </w:tabs>
        <w:ind w:left="3600" w:hanging="360"/>
      </w:pPr>
    </w:lvl>
    <w:lvl w:ilvl="5" w:tplc="7680923C" w:tentative="1">
      <w:start w:val="1"/>
      <w:numFmt w:val="lowerLetter"/>
      <w:lvlText w:val="(%6)"/>
      <w:lvlJc w:val="left"/>
      <w:pPr>
        <w:tabs>
          <w:tab w:val="num" w:pos="4320"/>
        </w:tabs>
        <w:ind w:left="4320" w:hanging="360"/>
      </w:pPr>
    </w:lvl>
    <w:lvl w:ilvl="6" w:tplc="9E76AA80" w:tentative="1">
      <w:start w:val="1"/>
      <w:numFmt w:val="lowerLetter"/>
      <w:lvlText w:val="(%7)"/>
      <w:lvlJc w:val="left"/>
      <w:pPr>
        <w:tabs>
          <w:tab w:val="num" w:pos="5040"/>
        </w:tabs>
        <w:ind w:left="5040" w:hanging="360"/>
      </w:pPr>
    </w:lvl>
    <w:lvl w:ilvl="7" w:tplc="7FB8266E" w:tentative="1">
      <w:start w:val="1"/>
      <w:numFmt w:val="lowerLetter"/>
      <w:lvlText w:val="(%8)"/>
      <w:lvlJc w:val="left"/>
      <w:pPr>
        <w:tabs>
          <w:tab w:val="num" w:pos="5760"/>
        </w:tabs>
        <w:ind w:left="5760" w:hanging="360"/>
      </w:pPr>
    </w:lvl>
    <w:lvl w:ilvl="8" w:tplc="AF84E6EC" w:tentative="1">
      <w:start w:val="1"/>
      <w:numFmt w:val="lowerLetter"/>
      <w:lvlText w:val="(%9)"/>
      <w:lvlJc w:val="left"/>
      <w:pPr>
        <w:tabs>
          <w:tab w:val="num" w:pos="6480"/>
        </w:tabs>
        <w:ind w:left="6480" w:hanging="360"/>
      </w:pPr>
    </w:lvl>
  </w:abstractNum>
  <w:abstractNum w:abstractNumId="4" w15:restartNumberingAfterBreak="0">
    <w:nsid w:val="60020477"/>
    <w:multiLevelType w:val="hybridMultilevel"/>
    <w:tmpl w:val="D46CE882"/>
    <w:lvl w:ilvl="0" w:tplc="54B4FAE0">
      <w:start w:val="1"/>
      <w:numFmt w:val="bullet"/>
      <w:lvlText w:val="•"/>
      <w:lvlJc w:val="left"/>
      <w:pPr>
        <w:tabs>
          <w:tab w:val="num" w:pos="720"/>
        </w:tabs>
        <w:ind w:left="720" w:hanging="360"/>
      </w:pPr>
      <w:rPr>
        <w:rFonts w:ascii="Arial" w:hAnsi="Arial" w:hint="default"/>
      </w:rPr>
    </w:lvl>
    <w:lvl w:ilvl="1" w:tplc="E76CABA4" w:tentative="1">
      <w:start w:val="1"/>
      <w:numFmt w:val="bullet"/>
      <w:lvlText w:val="•"/>
      <w:lvlJc w:val="left"/>
      <w:pPr>
        <w:tabs>
          <w:tab w:val="num" w:pos="1440"/>
        </w:tabs>
        <w:ind w:left="1440" w:hanging="360"/>
      </w:pPr>
      <w:rPr>
        <w:rFonts w:ascii="Arial" w:hAnsi="Arial" w:hint="default"/>
      </w:rPr>
    </w:lvl>
    <w:lvl w:ilvl="2" w:tplc="1CBEED20" w:tentative="1">
      <w:start w:val="1"/>
      <w:numFmt w:val="bullet"/>
      <w:lvlText w:val="•"/>
      <w:lvlJc w:val="left"/>
      <w:pPr>
        <w:tabs>
          <w:tab w:val="num" w:pos="2160"/>
        </w:tabs>
        <w:ind w:left="2160" w:hanging="360"/>
      </w:pPr>
      <w:rPr>
        <w:rFonts w:ascii="Arial" w:hAnsi="Arial" w:hint="default"/>
      </w:rPr>
    </w:lvl>
    <w:lvl w:ilvl="3" w:tplc="74E0131E" w:tentative="1">
      <w:start w:val="1"/>
      <w:numFmt w:val="bullet"/>
      <w:lvlText w:val="•"/>
      <w:lvlJc w:val="left"/>
      <w:pPr>
        <w:tabs>
          <w:tab w:val="num" w:pos="2880"/>
        </w:tabs>
        <w:ind w:left="2880" w:hanging="360"/>
      </w:pPr>
      <w:rPr>
        <w:rFonts w:ascii="Arial" w:hAnsi="Arial" w:hint="default"/>
      </w:rPr>
    </w:lvl>
    <w:lvl w:ilvl="4" w:tplc="AC3853A4" w:tentative="1">
      <w:start w:val="1"/>
      <w:numFmt w:val="bullet"/>
      <w:lvlText w:val="•"/>
      <w:lvlJc w:val="left"/>
      <w:pPr>
        <w:tabs>
          <w:tab w:val="num" w:pos="3600"/>
        </w:tabs>
        <w:ind w:left="3600" w:hanging="360"/>
      </w:pPr>
      <w:rPr>
        <w:rFonts w:ascii="Arial" w:hAnsi="Arial" w:hint="default"/>
      </w:rPr>
    </w:lvl>
    <w:lvl w:ilvl="5" w:tplc="392C9716" w:tentative="1">
      <w:start w:val="1"/>
      <w:numFmt w:val="bullet"/>
      <w:lvlText w:val="•"/>
      <w:lvlJc w:val="left"/>
      <w:pPr>
        <w:tabs>
          <w:tab w:val="num" w:pos="4320"/>
        </w:tabs>
        <w:ind w:left="4320" w:hanging="360"/>
      </w:pPr>
      <w:rPr>
        <w:rFonts w:ascii="Arial" w:hAnsi="Arial" w:hint="default"/>
      </w:rPr>
    </w:lvl>
    <w:lvl w:ilvl="6" w:tplc="BF1413EC" w:tentative="1">
      <w:start w:val="1"/>
      <w:numFmt w:val="bullet"/>
      <w:lvlText w:val="•"/>
      <w:lvlJc w:val="left"/>
      <w:pPr>
        <w:tabs>
          <w:tab w:val="num" w:pos="5040"/>
        </w:tabs>
        <w:ind w:left="5040" w:hanging="360"/>
      </w:pPr>
      <w:rPr>
        <w:rFonts w:ascii="Arial" w:hAnsi="Arial" w:hint="default"/>
      </w:rPr>
    </w:lvl>
    <w:lvl w:ilvl="7" w:tplc="B64C10A6" w:tentative="1">
      <w:start w:val="1"/>
      <w:numFmt w:val="bullet"/>
      <w:lvlText w:val="•"/>
      <w:lvlJc w:val="left"/>
      <w:pPr>
        <w:tabs>
          <w:tab w:val="num" w:pos="5760"/>
        </w:tabs>
        <w:ind w:left="5760" w:hanging="360"/>
      </w:pPr>
      <w:rPr>
        <w:rFonts w:ascii="Arial" w:hAnsi="Arial" w:hint="default"/>
      </w:rPr>
    </w:lvl>
    <w:lvl w:ilvl="8" w:tplc="F4BA44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717755"/>
    <w:multiLevelType w:val="hybridMultilevel"/>
    <w:tmpl w:val="CCCE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9307D"/>
    <w:multiLevelType w:val="hybridMultilevel"/>
    <w:tmpl w:val="C3B6D38A"/>
    <w:lvl w:ilvl="0" w:tplc="DD64FB46">
      <w:start w:val="1"/>
      <w:numFmt w:val="bullet"/>
      <w:lvlText w:val="•"/>
      <w:lvlJc w:val="left"/>
      <w:pPr>
        <w:tabs>
          <w:tab w:val="num" w:pos="720"/>
        </w:tabs>
        <w:ind w:left="720" w:hanging="360"/>
      </w:pPr>
      <w:rPr>
        <w:rFonts w:ascii="Arial" w:hAnsi="Arial" w:hint="default"/>
      </w:rPr>
    </w:lvl>
    <w:lvl w:ilvl="1" w:tplc="62A83070" w:tentative="1">
      <w:start w:val="1"/>
      <w:numFmt w:val="bullet"/>
      <w:lvlText w:val="•"/>
      <w:lvlJc w:val="left"/>
      <w:pPr>
        <w:tabs>
          <w:tab w:val="num" w:pos="1440"/>
        </w:tabs>
        <w:ind w:left="1440" w:hanging="360"/>
      </w:pPr>
      <w:rPr>
        <w:rFonts w:ascii="Arial" w:hAnsi="Arial" w:hint="default"/>
      </w:rPr>
    </w:lvl>
    <w:lvl w:ilvl="2" w:tplc="C5EA4E60" w:tentative="1">
      <w:start w:val="1"/>
      <w:numFmt w:val="bullet"/>
      <w:lvlText w:val="•"/>
      <w:lvlJc w:val="left"/>
      <w:pPr>
        <w:tabs>
          <w:tab w:val="num" w:pos="2160"/>
        </w:tabs>
        <w:ind w:left="2160" w:hanging="360"/>
      </w:pPr>
      <w:rPr>
        <w:rFonts w:ascii="Arial" w:hAnsi="Arial" w:hint="default"/>
      </w:rPr>
    </w:lvl>
    <w:lvl w:ilvl="3" w:tplc="2AA2DDEC" w:tentative="1">
      <w:start w:val="1"/>
      <w:numFmt w:val="bullet"/>
      <w:lvlText w:val="•"/>
      <w:lvlJc w:val="left"/>
      <w:pPr>
        <w:tabs>
          <w:tab w:val="num" w:pos="2880"/>
        </w:tabs>
        <w:ind w:left="2880" w:hanging="360"/>
      </w:pPr>
      <w:rPr>
        <w:rFonts w:ascii="Arial" w:hAnsi="Arial" w:hint="default"/>
      </w:rPr>
    </w:lvl>
    <w:lvl w:ilvl="4" w:tplc="3086FEA6" w:tentative="1">
      <w:start w:val="1"/>
      <w:numFmt w:val="bullet"/>
      <w:lvlText w:val="•"/>
      <w:lvlJc w:val="left"/>
      <w:pPr>
        <w:tabs>
          <w:tab w:val="num" w:pos="3600"/>
        </w:tabs>
        <w:ind w:left="3600" w:hanging="360"/>
      </w:pPr>
      <w:rPr>
        <w:rFonts w:ascii="Arial" w:hAnsi="Arial" w:hint="default"/>
      </w:rPr>
    </w:lvl>
    <w:lvl w:ilvl="5" w:tplc="EA50912A" w:tentative="1">
      <w:start w:val="1"/>
      <w:numFmt w:val="bullet"/>
      <w:lvlText w:val="•"/>
      <w:lvlJc w:val="left"/>
      <w:pPr>
        <w:tabs>
          <w:tab w:val="num" w:pos="4320"/>
        </w:tabs>
        <w:ind w:left="4320" w:hanging="360"/>
      </w:pPr>
      <w:rPr>
        <w:rFonts w:ascii="Arial" w:hAnsi="Arial" w:hint="default"/>
      </w:rPr>
    </w:lvl>
    <w:lvl w:ilvl="6" w:tplc="63484BC8" w:tentative="1">
      <w:start w:val="1"/>
      <w:numFmt w:val="bullet"/>
      <w:lvlText w:val="•"/>
      <w:lvlJc w:val="left"/>
      <w:pPr>
        <w:tabs>
          <w:tab w:val="num" w:pos="5040"/>
        </w:tabs>
        <w:ind w:left="5040" w:hanging="360"/>
      </w:pPr>
      <w:rPr>
        <w:rFonts w:ascii="Arial" w:hAnsi="Arial" w:hint="default"/>
      </w:rPr>
    </w:lvl>
    <w:lvl w:ilvl="7" w:tplc="863E6002" w:tentative="1">
      <w:start w:val="1"/>
      <w:numFmt w:val="bullet"/>
      <w:lvlText w:val="•"/>
      <w:lvlJc w:val="left"/>
      <w:pPr>
        <w:tabs>
          <w:tab w:val="num" w:pos="5760"/>
        </w:tabs>
        <w:ind w:left="5760" w:hanging="360"/>
      </w:pPr>
      <w:rPr>
        <w:rFonts w:ascii="Arial" w:hAnsi="Arial" w:hint="default"/>
      </w:rPr>
    </w:lvl>
    <w:lvl w:ilvl="8" w:tplc="87DA1D4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51"/>
    <w:rsid w:val="00021F87"/>
    <w:rsid w:val="00023B82"/>
    <w:rsid w:val="00041122"/>
    <w:rsid w:val="00050E32"/>
    <w:rsid w:val="00056B43"/>
    <w:rsid w:val="00071B6C"/>
    <w:rsid w:val="00090E65"/>
    <w:rsid w:val="000B1EC9"/>
    <w:rsid w:val="000C3A64"/>
    <w:rsid w:val="000C47E3"/>
    <w:rsid w:val="000C4F81"/>
    <w:rsid w:val="000C585D"/>
    <w:rsid w:val="000D01D2"/>
    <w:rsid w:val="000E2E29"/>
    <w:rsid w:val="000F7A97"/>
    <w:rsid w:val="00106BDA"/>
    <w:rsid w:val="001105EA"/>
    <w:rsid w:val="0011409E"/>
    <w:rsid w:val="00132E8B"/>
    <w:rsid w:val="001360EA"/>
    <w:rsid w:val="001521F6"/>
    <w:rsid w:val="00155FB7"/>
    <w:rsid w:val="00171C75"/>
    <w:rsid w:val="0017256C"/>
    <w:rsid w:val="00175E8F"/>
    <w:rsid w:val="001B61EC"/>
    <w:rsid w:val="001C5DA3"/>
    <w:rsid w:val="001D5A4D"/>
    <w:rsid w:val="001D74C3"/>
    <w:rsid w:val="001E1BBB"/>
    <w:rsid w:val="001E575C"/>
    <w:rsid w:val="002115E5"/>
    <w:rsid w:val="002144B4"/>
    <w:rsid w:val="00216977"/>
    <w:rsid w:val="0027155F"/>
    <w:rsid w:val="00285CA1"/>
    <w:rsid w:val="002E71BA"/>
    <w:rsid w:val="00300E7C"/>
    <w:rsid w:val="003038DE"/>
    <w:rsid w:val="003121C3"/>
    <w:rsid w:val="00315CB1"/>
    <w:rsid w:val="003200FA"/>
    <w:rsid w:val="00322F41"/>
    <w:rsid w:val="0032372E"/>
    <w:rsid w:val="00326CF0"/>
    <w:rsid w:val="00330D27"/>
    <w:rsid w:val="00337207"/>
    <w:rsid w:val="00376887"/>
    <w:rsid w:val="00377380"/>
    <w:rsid w:val="003A42ED"/>
    <w:rsid w:val="003D737B"/>
    <w:rsid w:val="003E2B08"/>
    <w:rsid w:val="003F78A9"/>
    <w:rsid w:val="00403DD0"/>
    <w:rsid w:val="004110D1"/>
    <w:rsid w:val="0042004C"/>
    <w:rsid w:val="00427283"/>
    <w:rsid w:val="00433EDE"/>
    <w:rsid w:val="00477673"/>
    <w:rsid w:val="004909A8"/>
    <w:rsid w:val="004A1180"/>
    <w:rsid w:val="004A494F"/>
    <w:rsid w:val="004B3463"/>
    <w:rsid w:val="004B75DF"/>
    <w:rsid w:val="004C4969"/>
    <w:rsid w:val="0052319F"/>
    <w:rsid w:val="0053517D"/>
    <w:rsid w:val="00535972"/>
    <w:rsid w:val="0055259B"/>
    <w:rsid w:val="00574F12"/>
    <w:rsid w:val="00577C1D"/>
    <w:rsid w:val="00584075"/>
    <w:rsid w:val="00592C2A"/>
    <w:rsid w:val="005B7361"/>
    <w:rsid w:val="005E513E"/>
    <w:rsid w:val="0060211F"/>
    <w:rsid w:val="00630A3B"/>
    <w:rsid w:val="00634AD0"/>
    <w:rsid w:val="00635CA1"/>
    <w:rsid w:val="00655673"/>
    <w:rsid w:val="00663175"/>
    <w:rsid w:val="006636FD"/>
    <w:rsid w:val="006653A3"/>
    <w:rsid w:val="006828A5"/>
    <w:rsid w:val="006962DB"/>
    <w:rsid w:val="006B3644"/>
    <w:rsid w:val="006C2857"/>
    <w:rsid w:val="006C2E49"/>
    <w:rsid w:val="006E1409"/>
    <w:rsid w:val="006F7693"/>
    <w:rsid w:val="00706462"/>
    <w:rsid w:val="00715BB2"/>
    <w:rsid w:val="007232F3"/>
    <w:rsid w:val="00730EBE"/>
    <w:rsid w:val="00734493"/>
    <w:rsid w:val="00744DE1"/>
    <w:rsid w:val="007629E8"/>
    <w:rsid w:val="00763C7B"/>
    <w:rsid w:val="00774AF2"/>
    <w:rsid w:val="00792A14"/>
    <w:rsid w:val="007A1000"/>
    <w:rsid w:val="007B4A17"/>
    <w:rsid w:val="007B7CB7"/>
    <w:rsid w:val="007C3A96"/>
    <w:rsid w:val="007D1856"/>
    <w:rsid w:val="007D497D"/>
    <w:rsid w:val="007D5249"/>
    <w:rsid w:val="007E0ED9"/>
    <w:rsid w:val="00814D27"/>
    <w:rsid w:val="00837637"/>
    <w:rsid w:val="008432C8"/>
    <w:rsid w:val="00847A01"/>
    <w:rsid w:val="00873CF7"/>
    <w:rsid w:val="008831EF"/>
    <w:rsid w:val="008A382F"/>
    <w:rsid w:val="008A413D"/>
    <w:rsid w:val="008B08DC"/>
    <w:rsid w:val="008D7844"/>
    <w:rsid w:val="00917251"/>
    <w:rsid w:val="00941A55"/>
    <w:rsid w:val="0096598F"/>
    <w:rsid w:val="00966401"/>
    <w:rsid w:val="00974B50"/>
    <w:rsid w:val="009A1B0F"/>
    <w:rsid w:val="009D42AC"/>
    <w:rsid w:val="009E5BD7"/>
    <w:rsid w:val="00A2428D"/>
    <w:rsid w:val="00A53763"/>
    <w:rsid w:val="00A54792"/>
    <w:rsid w:val="00A65B6F"/>
    <w:rsid w:val="00A746BC"/>
    <w:rsid w:val="00A90417"/>
    <w:rsid w:val="00A97898"/>
    <w:rsid w:val="00AC6EFA"/>
    <w:rsid w:val="00AE4ABD"/>
    <w:rsid w:val="00AF096A"/>
    <w:rsid w:val="00B634EA"/>
    <w:rsid w:val="00B67C9D"/>
    <w:rsid w:val="00B82FC1"/>
    <w:rsid w:val="00B85E99"/>
    <w:rsid w:val="00BB190B"/>
    <w:rsid w:val="00C17103"/>
    <w:rsid w:val="00C40DE2"/>
    <w:rsid w:val="00C45D43"/>
    <w:rsid w:val="00C940F0"/>
    <w:rsid w:val="00C94753"/>
    <w:rsid w:val="00CC1C60"/>
    <w:rsid w:val="00CC23A7"/>
    <w:rsid w:val="00CC39FB"/>
    <w:rsid w:val="00CC472C"/>
    <w:rsid w:val="00CD2911"/>
    <w:rsid w:val="00D04A49"/>
    <w:rsid w:val="00D04F27"/>
    <w:rsid w:val="00D26737"/>
    <w:rsid w:val="00D3062F"/>
    <w:rsid w:val="00D43DA9"/>
    <w:rsid w:val="00D4665B"/>
    <w:rsid w:val="00D47A69"/>
    <w:rsid w:val="00D52A60"/>
    <w:rsid w:val="00D76EBE"/>
    <w:rsid w:val="00D90D85"/>
    <w:rsid w:val="00D9242E"/>
    <w:rsid w:val="00D935AC"/>
    <w:rsid w:val="00D9613D"/>
    <w:rsid w:val="00DA5074"/>
    <w:rsid w:val="00DE5F30"/>
    <w:rsid w:val="00E02D46"/>
    <w:rsid w:val="00E056C5"/>
    <w:rsid w:val="00E17A5A"/>
    <w:rsid w:val="00E455E1"/>
    <w:rsid w:val="00E6651E"/>
    <w:rsid w:val="00E83811"/>
    <w:rsid w:val="00EA6F52"/>
    <w:rsid w:val="00EB629B"/>
    <w:rsid w:val="00EB6553"/>
    <w:rsid w:val="00EE4479"/>
    <w:rsid w:val="00EE7DD2"/>
    <w:rsid w:val="00F04D26"/>
    <w:rsid w:val="00F04FA8"/>
    <w:rsid w:val="00F11CE3"/>
    <w:rsid w:val="00F14763"/>
    <w:rsid w:val="00F51AEA"/>
    <w:rsid w:val="00F64852"/>
    <w:rsid w:val="00F87709"/>
    <w:rsid w:val="00FB1573"/>
    <w:rsid w:val="00FE52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88D6"/>
  <w15:chartTrackingRefBased/>
  <w15:docId w15:val="{59F294D1-3B1C-44F4-AE9B-AEDDB8A5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51"/>
    <w:pPr>
      <w:spacing w:after="0" w:line="240" w:lineRule="auto"/>
    </w:pPr>
    <w:rPr>
      <w:rFonts w:ascii="Times New Roman" w:hAnsi="Times New Roman"/>
      <w:sz w:val="24"/>
    </w:rPr>
  </w:style>
  <w:style w:type="paragraph" w:styleId="Heading1">
    <w:name w:val="heading 1"/>
    <w:basedOn w:val="Normal"/>
    <w:link w:val="Heading1Char"/>
    <w:uiPriority w:val="9"/>
    <w:qFormat/>
    <w:rsid w:val="00285CA1"/>
    <w:pPr>
      <w:spacing w:before="100" w:beforeAutospacing="1" w:after="100" w:afterAutospacing="1"/>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ED"/>
    <w:pPr>
      <w:ind w:left="720"/>
      <w:contextualSpacing/>
    </w:pPr>
    <w:rPr>
      <w:rFonts w:asciiTheme="minorHAnsi" w:hAnsiTheme="minorHAnsi"/>
      <w:szCs w:val="24"/>
      <w:lang w:val="pl-PL"/>
    </w:rPr>
  </w:style>
  <w:style w:type="paragraph" w:styleId="Header">
    <w:name w:val="header"/>
    <w:basedOn w:val="Normal"/>
    <w:link w:val="HeaderChar"/>
    <w:uiPriority w:val="99"/>
    <w:unhideWhenUsed/>
    <w:rsid w:val="00326CF0"/>
    <w:pPr>
      <w:tabs>
        <w:tab w:val="center" w:pos="4513"/>
        <w:tab w:val="right" w:pos="9026"/>
      </w:tabs>
    </w:pPr>
  </w:style>
  <w:style w:type="character" w:customStyle="1" w:styleId="HeaderChar">
    <w:name w:val="Header Char"/>
    <w:basedOn w:val="DefaultParagraphFont"/>
    <w:link w:val="Header"/>
    <w:uiPriority w:val="99"/>
    <w:rsid w:val="00326CF0"/>
    <w:rPr>
      <w:rFonts w:ascii="Times New Roman" w:hAnsi="Times New Roman"/>
      <w:sz w:val="24"/>
    </w:rPr>
  </w:style>
  <w:style w:type="paragraph" w:styleId="Footer">
    <w:name w:val="footer"/>
    <w:basedOn w:val="Normal"/>
    <w:link w:val="FooterChar"/>
    <w:uiPriority w:val="99"/>
    <w:unhideWhenUsed/>
    <w:rsid w:val="00326CF0"/>
    <w:pPr>
      <w:tabs>
        <w:tab w:val="center" w:pos="4513"/>
        <w:tab w:val="right" w:pos="9026"/>
      </w:tabs>
    </w:pPr>
  </w:style>
  <w:style w:type="character" w:customStyle="1" w:styleId="FooterChar">
    <w:name w:val="Footer Char"/>
    <w:basedOn w:val="DefaultParagraphFont"/>
    <w:link w:val="Footer"/>
    <w:uiPriority w:val="99"/>
    <w:rsid w:val="00326CF0"/>
    <w:rPr>
      <w:rFonts w:ascii="Times New Roman" w:hAnsi="Times New Roman"/>
      <w:sz w:val="24"/>
    </w:rPr>
  </w:style>
  <w:style w:type="character" w:styleId="EndnoteReference">
    <w:name w:val="endnote reference"/>
    <w:basedOn w:val="DefaultParagraphFont"/>
    <w:semiHidden/>
    <w:rsid w:val="00322F41"/>
    <w:rPr>
      <w:rFonts w:cs="Times New Roman"/>
      <w:vertAlign w:val="superscript"/>
    </w:rPr>
  </w:style>
  <w:style w:type="paragraph" w:styleId="EndnoteText">
    <w:name w:val="endnote text"/>
    <w:basedOn w:val="Normal"/>
    <w:link w:val="EndnoteTextChar"/>
    <w:semiHidden/>
    <w:rsid w:val="00322F41"/>
    <w:rPr>
      <w:rFonts w:eastAsia="Calibri" w:cs="Times New Roman"/>
      <w:sz w:val="20"/>
      <w:szCs w:val="20"/>
      <w:lang w:eastAsia="en-GB"/>
    </w:rPr>
  </w:style>
  <w:style w:type="character" w:customStyle="1" w:styleId="EndnoteTextChar">
    <w:name w:val="Endnote Text Char"/>
    <w:basedOn w:val="DefaultParagraphFont"/>
    <w:link w:val="EndnoteText"/>
    <w:semiHidden/>
    <w:rsid w:val="00322F41"/>
    <w:rPr>
      <w:rFonts w:ascii="Times New Roman" w:eastAsia="Calibri" w:hAnsi="Times New Roman" w:cs="Times New Roman"/>
      <w:sz w:val="20"/>
      <w:szCs w:val="20"/>
      <w:lang w:eastAsia="en-GB"/>
    </w:rPr>
  </w:style>
  <w:style w:type="character" w:styleId="Hyperlink">
    <w:name w:val="Hyperlink"/>
    <w:basedOn w:val="DefaultParagraphFont"/>
    <w:uiPriority w:val="99"/>
    <w:unhideWhenUsed/>
    <w:rsid w:val="00322F41"/>
    <w:rPr>
      <w:color w:val="0000FF"/>
      <w:u w:val="single"/>
    </w:rPr>
  </w:style>
  <w:style w:type="character" w:customStyle="1" w:styleId="Heading1Char">
    <w:name w:val="Heading 1 Char"/>
    <w:basedOn w:val="DefaultParagraphFont"/>
    <w:link w:val="Heading1"/>
    <w:uiPriority w:val="9"/>
    <w:rsid w:val="00285CA1"/>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285CA1"/>
    <w:rPr>
      <w:i/>
      <w:iCs/>
    </w:rPr>
  </w:style>
  <w:style w:type="paragraph" w:customStyle="1" w:styleId="1406RefEntry">
    <w:name w:val="14.06 RefEntry"/>
    <w:basedOn w:val="Normal"/>
    <w:rsid w:val="00171C75"/>
    <w:pPr>
      <w:spacing w:after="120" w:line="560" w:lineRule="exact"/>
      <w:ind w:left="720" w:hanging="720"/>
    </w:pPr>
    <w:rPr>
      <w:rFonts w:ascii="Cambria Math" w:eastAsia="Times New Roman" w:hAnsi="Cambria Math" w:cs="Times New Roman"/>
      <w:szCs w:val="20"/>
      <w:lang w:val="en-US"/>
    </w:rPr>
  </w:style>
  <w:style w:type="character" w:customStyle="1" w:styleId="1410RefSurname">
    <w:name w:val="14.10 RefSurname"/>
    <w:qFormat/>
    <w:rsid w:val="00171C75"/>
    <w:rPr>
      <w:bdr w:val="none" w:sz="0" w:space="0" w:color="auto"/>
      <w:shd w:val="clear" w:color="auto" w:fill="FF7C80"/>
      <w:lang w:val="en-GB"/>
    </w:rPr>
  </w:style>
  <w:style w:type="character" w:customStyle="1" w:styleId="1411RefForename">
    <w:name w:val="14.11 RefForename"/>
    <w:qFormat/>
    <w:rsid w:val="00171C75"/>
    <w:rPr>
      <w:bdr w:val="none" w:sz="0" w:space="0" w:color="auto"/>
      <w:shd w:val="clear" w:color="auto" w:fill="00FF00"/>
      <w:lang w:val="en-GB"/>
    </w:rPr>
  </w:style>
  <w:style w:type="character" w:customStyle="1" w:styleId="1414RefDate">
    <w:name w:val="14.14 RefDate"/>
    <w:qFormat/>
    <w:rsid w:val="00171C75"/>
    <w:rPr>
      <w:bdr w:val="none" w:sz="0" w:space="0" w:color="auto"/>
      <w:shd w:val="clear" w:color="auto" w:fill="FBFF8C"/>
      <w:lang w:val="en-GB"/>
    </w:rPr>
  </w:style>
  <w:style w:type="character" w:customStyle="1" w:styleId="1417RefArticleTitle">
    <w:name w:val="14.17 RefArticleTitle"/>
    <w:qFormat/>
    <w:rsid w:val="00171C75"/>
    <w:rPr>
      <w:bdr w:val="none" w:sz="0" w:space="0" w:color="auto"/>
      <w:shd w:val="clear" w:color="auto" w:fill="D5F2FE"/>
      <w:lang w:val="en-GB"/>
    </w:rPr>
  </w:style>
  <w:style w:type="character" w:customStyle="1" w:styleId="1418RefJournalTitle">
    <w:name w:val="14.18 RefJournalTitle"/>
    <w:qFormat/>
    <w:rsid w:val="00171C75"/>
    <w:rPr>
      <w:i/>
      <w:bdr w:val="none" w:sz="0" w:space="0" w:color="auto"/>
      <w:shd w:val="clear" w:color="auto" w:fill="ADD8E6"/>
      <w:lang w:val="en-GB"/>
    </w:rPr>
  </w:style>
  <w:style w:type="character" w:customStyle="1" w:styleId="1421RefVolume">
    <w:name w:val="14.21 RefVolume"/>
    <w:qFormat/>
    <w:rsid w:val="00171C75"/>
    <w:rPr>
      <w:bdr w:val="none" w:sz="0" w:space="0" w:color="auto"/>
      <w:shd w:val="clear" w:color="auto" w:fill="AD9B9B"/>
      <w:lang w:val="en-GB"/>
    </w:rPr>
  </w:style>
  <w:style w:type="character" w:customStyle="1" w:styleId="1422RefIssue">
    <w:name w:val="14.22 RefIssue"/>
    <w:qFormat/>
    <w:rsid w:val="00171C75"/>
    <w:rPr>
      <w:bdr w:val="none" w:sz="0" w:space="0" w:color="auto"/>
      <w:shd w:val="clear" w:color="auto" w:fill="D86666"/>
      <w:lang w:val="en-GB"/>
    </w:rPr>
  </w:style>
  <w:style w:type="character" w:customStyle="1" w:styleId="1423RefExtent">
    <w:name w:val="14.23 RefExtent"/>
    <w:qFormat/>
    <w:rsid w:val="00171C75"/>
    <w:rPr>
      <w:bdr w:val="none" w:sz="0" w:space="0" w:color="auto"/>
      <w:shd w:val="clear" w:color="auto" w:fill="CCCACA"/>
      <w:lang w:val="en-GB"/>
    </w:rPr>
  </w:style>
  <w:style w:type="character" w:customStyle="1" w:styleId="1416RefBookTitle">
    <w:name w:val="14.16 RefBookTitle"/>
    <w:qFormat/>
    <w:rsid w:val="00171C75"/>
    <w:rPr>
      <w:i/>
      <w:bdr w:val="none" w:sz="0" w:space="0" w:color="auto"/>
      <w:shd w:val="clear" w:color="auto" w:fill="8BFF8B"/>
      <w:lang w:val="en-GB"/>
    </w:rPr>
  </w:style>
  <w:style w:type="character" w:customStyle="1" w:styleId="1419RefPubPlace">
    <w:name w:val="14.19 RefPubPlace"/>
    <w:qFormat/>
    <w:rsid w:val="00171C75"/>
    <w:rPr>
      <w:bdr w:val="none" w:sz="0" w:space="0" w:color="auto"/>
      <w:shd w:val="clear" w:color="auto" w:fill="E4CEF6"/>
      <w:lang w:val="en-GB"/>
    </w:rPr>
  </w:style>
  <w:style w:type="character" w:customStyle="1" w:styleId="1420RefPublisher">
    <w:name w:val="14.20 RefPublisher"/>
    <w:qFormat/>
    <w:rsid w:val="00171C75"/>
    <w:rPr>
      <w:bdr w:val="none" w:sz="0" w:space="0" w:color="auto"/>
      <w:shd w:val="clear" w:color="auto" w:fill="C9B1DD"/>
      <w:lang w:val="en-GB"/>
    </w:rPr>
  </w:style>
  <w:style w:type="character" w:customStyle="1" w:styleId="1443RefVolEdSurname">
    <w:name w:val="14.43 RefVolEdSurname"/>
    <w:rsid w:val="00171C75"/>
    <w:rPr>
      <w:b w:val="0"/>
      <w:bdr w:val="none" w:sz="0" w:space="0" w:color="auto"/>
      <w:shd w:val="clear" w:color="auto" w:fill="8DB3E2"/>
      <w:lang w:val="en-GB"/>
    </w:rPr>
  </w:style>
  <w:style w:type="character" w:customStyle="1" w:styleId="1442RefVolEdForename">
    <w:name w:val="14.42 RefVolEdForename"/>
    <w:qFormat/>
    <w:rsid w:val="00171C75"/>
    <w:rPr>
      <w:bdr w:val="none" w:sz="0" w:space="0" w:color="auto"/>
      <w:shd w:val="clear" w:color="auto" w:fill="FFC0CB"/>
      <w:lang w:val="en-GB"/>
    </w:rPr>
  </w:style>
  <w:style w:type="character" w:customStyle="1" w:styleId="1415RefChapTitle">
    <w:name w:val="14.15 RefChapTitle"/>
    <w:qFormat/>
    <w:rsid w:val="00171C75"/>
    <w:rPr>
      <w:bdr w:val="none" w:sz="0" w:space="0" w:color="auto"/>
      <w:shd w:val="clear" w:color="auto" w:fill="B5FFB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81297">
      <w:bodyDiv w:val="1"/>
      <w:marLeft w:val="0"/>
      <w:marRight w:val="0"/>
      <w:marTop w:val="0"/>
      <w:marBottom w:val="0"/>
      <w:divBdr>
        <w:top w:val="none" w:sz="0" w:space="0" w:color="auto"/>
        <w:left w:val="none" w:sz="0" w:space="0" w:color="auto"/>
        <w:bottom w:val="none" w:sz="0" w:space="0" w:color="auto"/>
        <w:right w:val="none" w:sz="0" w:space="0" w:color="auto"/>
      </w:divBdr>
      <w:divsChild>
        <w:div w:id="358511872">
          <w:marLeft w:val="360"/>
          <w:marRight w:val="0"/>
          <w:marTop w:val="200"/>
          <w:marBottom w:val="0"/>
          <w:divBdr>
            <w:top w:val="none" w:sz="0" w:space="0" w:color="auto"/>
            <w:left w:val="none" w:sz="0" w:space="0" w:color="auto"/>
            <w:bottom w:val="none" w:sz="0" w:space="0" w:color="auto"/>
            <w:right w:val="none" w:sz="0" w:space="0" w:color="auto"/>
          </w:divBdr>
        </w:div>
        <w:div w:id="796798073">
          <w:marLeft w:val="360"/>
          <w:marRight w:val="0"/>
          <w:marTop w:val="200"/>
          <w:marBottom w:val="0"/>
          <w:divBdr>
            <w:top w:val="none" w:sz="0" w:space="0" w:color="auto"/>
            <w:left w:val="none" w:sz="0" w:space="0" w:color="auto"/>
            <w:bottom w:val="none" w:sz="0" w:space="0" w:color="auto"/>
            <w:right w:val="none" w:sz="0" w:space="0" w:color="auto"/>
          </w:divBdr>
        </w:div>
        <w:div w:id="2146578071">
          <w:marLeft w:val="1080"/>
          <w:marRight w:val="0"/>
          <w:marTop w:val="100"/>
          <w:marBottom w:val="0"/>
          <w:divBdr>
            <w:top w:val="none" w:sz="0" w:space="0" w:color="auto"/>
            <w:left w:val="none" w:sz="0" w:space="0" w:color="auto"/>
            <w:bottom w:val="none" w:sz="0" w:space="0" w:color="auto"/>
            <w:right w:val="none" w:sz="0" w:space="0" w:color="auto"/>
          </w:divBdr>
        </w:div>
        <w:div w:id="1690713145">
          <w:marLeft w:val="1800"/>
          <w:marRight w:val="0"/>
          <w:marTop w:val="100"/>
          <w:marBottom w:val="0"/>
          <w:divBdr>
            <w:top w:val="none" w:sz="0" w:space="0" w:color="auto"/>
            <w:left w:val="none" w:sz="0" w:space="0" w:color="auto"/>
            <w:bottom w:val="none" w:sz="0" w:space="0" w:color="auto"/>
            <w:right w:val="none" w:sz="0" w:space="0" w:color="auto"/>
          </w:divBdr>
        </w:div>
        <w:div w:id="1435133046">
          <w:marLeft w:val="1800"/>
          <w:marRight w:val="0"/>
          <w:marTop w:val="100"/>
          <w:marBottom w:val="0"/>
          <w:divBdr>
            <w:top w:val="none" w:sz="0" w:space="0" w:color="auto"/>
            <w:left w:val="none" w:sz="0" w:space="0" w:color="auto"/>
            <w:bottom w:val="none" w:sz="0" w:space="0" w:color="auto"/>
            <w:right w:val="none" w:sz="0" w:space="0" w:color="auto"/>
          </w:divBdr>
        </w:div>
        <w:div w:id="2002808351">
          <w:marLeft w:val="1080"/>
          <w:marRight w:val="0"/>
          <w:marTop w:val="100"/>
          <w:marBottom w:val="0"/>
          <w:divBdr>
            <w:top w:val="none" w:sz="0" w:space="0" w:color="auto"/>
            <w:left w:val="none" w:sz="0" w:space="0" w:color="auto"/>
            <w:bottom w:val="none" w:sz="0" w:space="0" w:color="auto"/>
            <w:right w:val="none" w:sz="0" w:space="0" w:color="auto"/>
          </w:divBdr>
        </w:div>
        <w:div w:id="1411847197">
          <w:marLeft w:val="1800"/>
          <w:marRight w:val="0"/>
          <w:marTop w:val="100"/>
          <w:marBottom w:val="0"/>
          <w:divBdr>
            <w:top w:val="none" w:sz="0" w:space="0" w:color="auto"/>
            <w:left w:val="none" w:sz="0" w:space="0" w:color="auto"/>
            <w:bottom w:val="none" w:sz="0" w:space="0" w:color="auto"/>
            <w:right w:val="none" w:sz="0" w:space="0" w:color="auto"/>
          </w:divBdr>
        </w:div>
        <w:div w:id="1210536575">
          <w:marLeft w:val="1080"/>
          <w:marRight w:val="0"/>
          <w:marTop w:val="100"/>
          <w:marBottom w:val="0"/>
          <w:divBdr>
            <w:top w:val="none" w:sz="0" w:space="0" w:color="auto"/>
            <w:left w:val="none" w:sz="0" w:space="0" w:color="auto"/>
            <w:bottom w:val="none" w:sz="0" w:space="0" w:color="auto"/>
            <w:right w:val="none" w:sz="0" w:space="0" w:color="auto"/>
          </w:divBdr>
        </w:div>
        <w:div w:id="291136682">
          <w:marLeft w:val="1800"/>
          <w:marRight w:val="0"/>
          <w:marTop w:val="100"/>
          <w:marBottom w:val="0"/>
          <w:divBdr>
            <w:top w:val="none" w:sz="0" w:space="0" w:color="auto"/>
            <w:left w:val="none" w:sz="0" w:space="0" w:color="auto"/>
            <w:bottom w:val="none" w:sz="0" w:space="0" w:color="auto"/>
            <w:right w:val="none" w:sz="0" w:space="0" w:color="auto"/>
          </w:divBdr>
        </w:div>
        <w:div w:id="323898807">
          <w:marLeft w:val="1800"/>
          <w:marRight w:val="0"/>
          <w:marTop w:val="100"/>
          <w:marBottom w:val="0"/>
          <w:divBdr>
            <w:top w:val="none" w:sz="0" w:space="0" w:color="auto"/>
            <w:left w:val="none" w:sz="0" w:space="0" w:color="auto"/>
            <w:bottom w:val="none" w:sz="0" w:space="0" w:color="auto"/>
            <w:right w:val="none" w:sz="0" w:space="0" w:color="auto"/>
          </w:divBdr>
        </w:div>
      </w:divsChild>
    </w:div>
    <w:div w:id="256983054">
      <w:bodyDiv w:val="1"/>
      <w:marLeft w:val="0"/>
      <w:marRight w:val="0"/>
      <w:marTop w:val="0"/>
      <w:marBottom w:val="0"/>
      <w:divBdr>
        <w:top w:val="none" w:sz="0" w:space="0" w:color="auto"/>
        <w:left w:val="none" w:sz="0" w:space="0" w:color="auto"/>
        <w:bottom w:val="none" w:sz="0" w:space="0" w:color="auto"/>
        <w:right w:val="none" w:sz="0" w:space="0" w:color="auto"/>
      </w:divBdr>
      <w:divsChild>
        <w:div w:id="1472558039">
          <w:marLeft w:val="360"/>
          <w:marRight w:val="0"/>
          <w:marTop w:val="200"/>
          <w:marBottom w:val="240"/>
          <w:divBdr>
            <w:top w:val="none" w:sz="0" w:space="0" w:color="auto"/>
            <w:left w:val="none" w:sz="0" w:space="0" w:color="auto"/>
            <w:bottom w:val="none" w:sz="0" w:space="0" w:color="auto"/>
            <w:right w:val="none" w:sz="0" w:space="0" w:color="auto"/>
          </w:divBdr>
        </w:div>
        <w:div w:id="974287390">
          <w:marLeft w:val="360"/>
          <w:marRight w:val="0"/>
          <w:marTop w:val="200"/>
          <w:marBottom w:val="240"/>
          <w:divBdr>
            <w:top w:val="none" w:sz="0" w:space="0" w:color="auto"/>
            <w:left w:val="none" w:sz="0" w:space="0" w:color="auto"/>
            <w:bottom w:val="none" w:sz="0" w:space="0" w:color="auto"/>
            <w:right w:val="none" w:sz="0" w:space="0" w:color="auto"/>
          </w:divBdr>
        </w:div>
        <w:div w:id="296881417">
          <w:marLeft w:val="360"/>
          <w:marRight w:val="0"/>
          <w:marTop w:val="200"/>
          <w:marBottom w:val="240"/>
          <w:divBdr>
            <w:top w:val="none" w:sz="0" w:space="0" w:color="auto"/>
            <w:left w:val="none" w:sz="0" w:space="0" w:color="auto"/>
            <w:bottom w:val="none" w:sz="0" w:space="0" w:color="auto"/>
            <w:right w:val="none" w:sz="0" w:space="0" w:color="auto"/>
          </w:divBdr>
        </w:div>
        <w:div w:id="862717542">
          <w:marLeft w:val="360"/>
          <w:marRight w:val="0"/>
          <w:marTop w:val="200"/>
          <w:marBottom w:val="0"/>
          <w:divBdr>
            <w:top w:val="none" w:sz="0" w:space="0" w:color="auto"/>
            <w:left w:val="none" w:sz="0" w:space="0" w:color="auto"/>
            <w:bottom w:val="none" w:sz="0" w:space="0" w:color="auto"/>
            <w:right w:val="none" w:sz="0" w:space="0" w:color="auto"/>
          </w:divBdr>
        </w:div>
      </w:divsChild>
    </w:div>
    <w:div w:id="365761332">
      <w:bodyDiv w:val="1"/>
      <w:marLeft w:val="0"/>
      <w:marRight w:val="0"/>
      <w:marTop w:val="0"/>
      <w:marBottom w:val="0"/>
      <w:divBdr>
        <w:top w:val="none" w:sz="0" w:space="0" w:color="auto"/>
        <w:left w:val="none" w:sz="0" w:space="0" w:color="auto"/>
        <w:bottom w:val="none" w:sz="0" w:space="0" w:color="auto"/>
        <w:right w:val="none" w:sz="0" w:space="0" w:color="auto"/>
      </w:divBdr>
    </w:div>
    <w:div w:id="542207647">
      <w:bodyDiv w:val="1"/>
      <w:marLeft w:val="0"/>
      <w:marRight w:val="0"/>
      <w:marTop w:val="0"/>
      <w:marBottom w:val="0"/>
      <w:divBdr>
        <w:top w:val="none" w:sz="0" w:space="0" w:color="auto"/>
        <w:left w:val="none" w:sz="0" w:space="0" w:color="auto"/>
        <w:bottom w:val="none" w:sz="0" w:space="0" w:color="auto"/>
        <w:right w:val="none" w:sz="0" w:space="0" w:color="auto"/>
      </w:divBdr>
    </w:div>
    <w:div w:id="875433894">
      <w:bodyDiv w:val="1"/>
      <w:marLeft w:val="0"/>
      <w:marRight w:val="0"/>
      <w:marTop w:val="0"/>
      <w:marBottom w:val="0"/>
      <w:divBdr>
        <w:top w:val="none" w:sz="0" w:space="0" w:color="auto"/>
        <w:left w:val="none" w:sz="0" w:space="0" w:color="auto"/>
        <w:bottom w:val="none" w:sz="0" w:space="0" w:color="auto"/>
        <w:right w:val="none" w:sz="0" w:space="0" w:color="auto"/>
      </w:divBdr>
      <w:divsChild>
        <w:div w:id="53509454">
          <w:marLeft w:val="360"/>
          <w:marRight w:val="0"/>
          <w:marTop w:val="200"/>
          <w:marBottom w:val="0"/>
          <w:divBdr>
            <w:top w:val="none" w:sz="0" w:space="0" w:color="auto"/>
            <w:left w:val="none" w:sz="0" w:space="0" w:color="auto"/>
            <w:bottom w:val="none" w:sz="0" w:space="0" w:color="auto"/>
            <w:right w:val="none" w:sz="0" w:space="0" w:color="auto"/>
          </w:divBdr>
        </w:div>
      </w:divsChild>
    </w:div>
    <w:div w:id="922028761">
      <w:bodyDiv w:val="1"/>
      <w:marLeft w:val="0"/>
      <w:marRight w:val="0"/>
      <w:marTop w:val="0"/>
      <w:marBottom w:val="0"/>
      <w:divBdr>
        <w:top w:val="none" w:sz="0" w:space="0" w:color="auto"/>
        <w:left w:val="none" w:sz="0" w:space="0" w:color="auto"/>
        <w:bottom w:val="none" w:sz="0" w:space="0" w:color="auto"/>
        <w:right w:val="none" w:sz="0" w:space="0" w:color="auto"/>
      </w:divBdr>
      <w:divsChild>
        <w:div w:id="1710913413">
          <w:marLeft w:val="720"/>
          <w:marRight w:val="0"/>
          <w:marTop w:val="96"/>
          <w:marBottom w:val="120"/>
          <w:divBdr>
            <w:top w:val="none" w:sz="0" w:space="0" w:color="auto"/>
            <w:left w:val="none" w:sz="0" w:space="0" w:color="auto"/>
            <w:bottom w:val="none" w:sz="0" w:space="0" w:color="auto"/>
            <w:right w:val="none" w:sz="0" w:space="0" w:color="auto"/>
          </w:divBdr>
        </w:div>
        <w:div w:id="411122643">
          <w:marLeft w:val="720"/>
          <w:marRight w:val="0"/>
          <w:marTop w:val="96"/>
          <w:marBottom w:val="120"/>
          <w:divBdr>
            <w:top w:val="none" w:sz="0" w:space="0" w:color="auto"/>
            <w:left w:val="none" w:sz="0" w:space="0" w:color="auto"/>
            <w:bottom w:val="none" w:sz="0" w:space="0" w:color="auto"/>
            <w:right w:val="none" w:sz="0" w:space="0" w:color="auto"/>
          </w:divBdr>
        </w:div>
      </w:divsChild>
    </w:div>
    <w:div w:id="949046106">
      <w:bodyDiv w:val="1"/>
      <w:marLeft w:val="0"/>
      <w:marRight w:val="0"/>
      <w:marTop w:val="0"/>
      <w:marBottom w:val="0"/>
      <w:divBdr>
        <w:top w:val="none" w:sz="0" w:space="0" w:color="auto"/>
        <w:left w:val="none" w:sz="0" w:space="0" w:color="auto"/>
        <w:bottom w:val="none" w:sz="0" w:space="0" w:color="auto"/>
        <w:right w:val="none" w:sz="0" w:space="0" w:color="auto"/>
      </w:divBdr>
    </w:div>
    <w:div w:id="966735547">
      <w:bodyDiv w:val="1"/>
      <w:marLeft w:val="0"/>
      <w:marRight w:val="0"/>
      <w:marTop w:val="0"/>
      <w:marBottom w:val="0"/>
      <w:divBdr>
        <w:top w:val="none" w:sz="0" w:space="0" w:color="auto"/>
        <w:left w:val="none" w:sz="0" w:space="0" w:color="auto"/>
        <w:bottom w:val="none" w:sz="0" w:space="0" w:color="auto"/>
        <w:right w:val="none" w:sz="0" w:space="0" w:color="auto"/>
      </w:divBdr>
    </w:div>
    <w:div w:id="1074470556">
      <w:bodyDiv w:val="1"/>
      <w:marLeft w:val="0"/>
      <w:marRight w:val="0"/>
      <w:marTop w:val="0"/>
      <w:marBottom w:val="0"/>
      <w:divBdr>
        <w:top w:val="none" w:sz="0" w:space="0" w:color="auto"/>
        <w:left w:val="none" w:sz="0" w:space="0" w:color="auto"/>
        <w:bottom w:val="none" w:sz="0" w:space="0" w:color="auto"/>
        <w:right w:val="none" w:sz="0" w:space="0" w:color="auto"/>
      </w:divBdr>
      <w:divsChild>
        <w:div w:id="1011570138">
          <w:marLeft w:val="360"/>
          <w:marRight w:val="0"/>
          <w:marTop w:val="200"/>
          <w:marBottom w:val="240"/>
          <w:divBdr>
            <w:top w:val="none" w:sz="0" w:space="0" w:color="auto"/>
            <w:left w:val="none" w:sz="0" w:space="0" w:color="auto"/>
            <w:bottom w:val="none" w:sz="0" w:space="0" w:color="auto"/>
            <w:right w:val="none" w:sz="0" w:space="0" w:color="auto"/>
          </w:divBdr>
        </w:div>
      </w:divsChild>
    </w:div>
    <w:div w:id="1212032065">
      <w:bodyDiv w:val="1"/>
      <w:marLeft w:val="0"/>
      <w:marRight w:val="0"/>
      <w:marTop w:val="0"/>
      <w:marBottom w:val="0"/>
      <w:divBdr>
        <w:top w:val="none" w:sz="0" w:space="0" w:color="auto"/>
        <w:left w:val="none" w:sz="0" w:space="0" w:color="auto"/>
        <w:bottom w:val="none" w:sz="0" w:space="0" w:color="auto"/>
        <w:right w:val="none" w:sz="0" w:space="0" w:color="auto"/>
      </w:divBdr>
      <w:divsChild>
        <w:div w:id="218051428">
          <w:marLeft w:val="360"/>
          <w:marRight w:val="0"/>
          <w:marTop w:val="200"/>
          <w:marBottom w:val="0"/>
          <w:divBdr>
            <w:top w:val="none" w:sz="0" w:space="0" w:color="auto"/>
            <w:left w:val="none" w:sz="0" w:space="0" w:color="auto"/>
            <w:bottom w:val="none" w:sz="0" w:space="0" w:color="auto"/>
            <w:right w:val="none" w:sz="0" w:space="0" w:color="auto"/>
          </w:divBdr>
        </w:div>
        <w:div w:id="1097092297">
          <w:marLeft w:val="360"/>
          <w:marRight w:val="0"/>
          <w:marTop w:val="200"/>
          <w:marBottom w:val="0"/>
          <w:divBdr>
            <w:top w:val="none" w:sz="0" w:space="0" w:color="auto"/>
            <w:left w:val="none" w:sz="0" w:space="0" w:color="auto"/>
            <w:bottom w:val="none" w:sz="0" w:space="0" w:color="auto"/>
            <w:right w:val="none" w:sz="0" w:space="0" w:color="auto"/>
          </w:divBdr>
        </w:div>
      </w:divsChild>
    </w:div>
    <w:div w:id="1261331937">
      <w:bodyDiv w:val="1"/>
      <w:marLeft w:val="0"/>
      <w:marRight w:val="0"/>
      <w:marTop w:val="0"/>
      <w:marBottom w:val="0"/>
      <w:divBdr>
        <w:top w:val="none" w:sz="0" w:space="0" w:color="auto"/>
        <w:left w:val="none" w:sz="0" w:space="0" w:color="auto"/>
        <w:bottom w:val="none" w:sz="0" w:space="0" w:color="auto"/>
        <w:right w:val="none" w:sz="0" w:space="0" w:color="auto"/>
      </w:divBdr>
      <w:divsChild>
        <w:div w:id="1295986355">
          <w:marLeft w:val="0"/>
          <w:marRight w:val="0"/>
          <w:marTop w:val="0"/>
          <w:marBottom w:val="0"/>
          <w:divBdr>
            <w:top w:val="none" w:sz="0" w:space="0" w:color="auto"/>
            <w:left w:val="none" w:sz="0" w:space="0" w:color="auto"/>
            <w:bottom w:val="none" w:sz="0" w:space="0" w:color="auto"/>
            <w:right w:val="none" w:sz="0" w:space="0" w:color="auto"/>
          </w:divBdr>
        </w:div>
        <w:div w:id="513768161">
          <w:marLeft w:val="0"/>
          <w:marRight w:val="0"/>
          <w:marTop w:val="0"/>
          <w:marBottom w:val="0"/>
          <w:divBdr>
            <w:top w:val="none" w:sz="0" w:space="0" w:color="auto"/>
            <w:left w:val="none" w:sz="0" w:space="0" w:color="auto"/>
            <w:bottom w:val="none" w:sz="0" w:space="0" w:color="auto"/>
            <w:right w:val="none" w:sz="0" w:space="0" w:color="auto"/>
          </w:divBdr>
        </w:div>
        <w:div w:id="932972460">
          <w:marLeft w:val="0"/>
          <w:marRight w:val="0"/>
          <w:marTop w:val="0"/>
          <w:marBottom w:val="0"/>
          <w:divBdr>
            <w:top w:val="none" w:sz="0" w:space="0" w:color="auto"/>
            <w:left w:val="none" w:sz="0" w:space="0" w:color="auto"/>
            <w:bottom w:val="none" w:sz="0" w:space="0" w:color="auto"/>
            <w:right w:val="none" w:sz="0" w:space="0" w:color="auto"/>
          </w:divBdr>
        </w:div>
      </w:divsChild>
    </w:div>
    <w:div w:id="1322390896">
      <w:bodyDiv w:val="1"/>
      <w:marLeft w:val="0"/>
      <w:marRight w:val="0"/>
      <w:marTop w:val="0"/>
      <w:marBottom w:val="0"/>
      <w:divBdr>
        <w:top w:val="none" w:sz="0" w:space="0" w:color="auto"/>
        <w:left w:val="none" w:sz="0" w:space="0" w:color="auto"/>
        <w:bottom w:val="none" w:sz="0" w:space="0" w:color="auto"/>
        <w:right w:val="none" w:sz="0" w:space="0" w:color="auto"/>
      </w:divBdr>
    </w:div>
    <w:div w:id="1362703870">
      <w:bodyDiv w:val="1"/>
      <w:marLeft w:val="0"/>
      <w:marRight w:val="0"/>
      <w:marTop w:val="0"/>
      <w:marBottom w:val="0"/>
      <w:divBdr>
        <w:top w:val="none" w:sz="0" w:space="0" w:color="auto"/>
        <w:left w:val="none" w:sz="0" w:space="0" w:color="auto"/>
        <w:bottom w:val="none" w:sz="0" w:space="0" w:color="auto"/>
        <w:right w:val="none" w:sz="0" w:space="0" w:color="auto"/>
      </w:divBdr>
    </w:div>
    <w:div w:id="1393964907">
      <w:bodyDiv w:val="1"/>
      <w:marLeft w:val="0"/>
      <w:marRight w:val="0"/>
      <w:marTop w:val="0"/>
      <w:marBottom w:val="0"/>
      <w:divBdr>
        <w:top w:val="none" w:sz="0" w:space="0" w:color="auto"/>
        <w:left w:val="none" w:sz="0" w:space="0" w:color="auto"/>
        <w:bottom w:val="none" w:sz="0" w:space="0" w:color="auto"/>
        <w:right w:val="none" w:sz="0" w:space="0" w:color="auto"/>
      </w:divBdr>
    </w:div>
    <w:div w:id="1459689265">
      <w:bodyDiv w:val="1"/>
      <w:marLeft w:val="0"/>
      <w:marRight w:val="0"/>
      <w:marTop w:val="0"/>
      <w:marBottom w:val="0"/>
      <w:divBdr>
        <w:top w:val="none" w:sz="0" w:space="0" w:color="auto"/>
        <w:left w:val="none" w:sz="0" w:space="0" w:color="auto"/>
        <w:bottom w:val="none" w:sz="0" w:space="0" w:color="auto"/>
        <w:right w:val="none" w:sz="0" w:space="0" w:color="auto"/>
      </w:divBdr>
    </w:div>
    <w:div w:id="1606039684">
      <w:bodyDiv w:val="1"/>
      <w:marLeft w:val="0"/>
      <w:marRight w:val="0"/>
      <w:marTop w:val="0"/>
      <w:marBottom w:val="0"/>
      <w:divBdr>
        <w:top w:val="none" w:sz="0" w:space="0" w:color="auto"/>
        <w:left w:val="none" w:sz="0" w:space="0" w:color="auto"/>
        <w:bottom w:val="none" w:sz="0" w:space="0" w:color="auto"/>
        <w:right w:val="none" w:sz="0" w:space="0" w:color="auto"/>
      </w:divBdr>
    </w:div>
    <w:div w:id="1736658204">
      <w:bodyDiv w:val="1"/>
      <w:marLeft w:val="0"/>
      <w:marRight w:val="0"/>
      <w:marTop w:val="0"/>
      <w:marBottom w:val="0"/>
      <w:divBdr>
        <w:top w:val="none" w:sz="0" w:space="0" w:color="auto"/>
        <w:left w:val="none" w:sz="0" w:space="0" w:color="auto"/>
        <w:bottom w:val="none" w:sz="0" w:space="0" w:color="auto"/>
        <w:right w:val="none" w:sz="0" w:space="0" w:color="auto"/>
      </w:divBdr>
    </w:div>
    <w:div w:id="20215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legislation.gov.uk/ukpga/2010/15/conten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12" ma:contentTypeDescription="Create a new document." ma:contentTypeScope="" ma:versionID="4a2a118ebc5997e8dfebf45de91424ed">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aaff1a7412c7966cd79cc8f63172837c"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02075-F35A-4274-BE8D-733170D212E6}">
  <ds:schemaRefs>
    <ds:schemaRef ds:uri="http://schemas.microsoft.com/sharepoint/v3/contenttype/forms"/>
  </ds:schemaRefs>
</ds:datastoreItem>
</file>

<file path=customXml/itemProps2.xml><?xml version="1.0" encoding="utf-8"?>
<ds:datastoreItem xmlns:ds="http://schemas.openxmlformats.org/officeDocument/2006/customXml" ds:itemID="{B4E521C0-CB6E-4F55-ADC2-A5ADFC62B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D86ABA-A068-456A-99C3-3D0AEAC84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9347</Words>
  <Characters>53278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Sauntson</dc:creator>
  <cp:keywords/>
  <dc:description/>
  <cp:lastModifiedBy>Helen Sauntson</cp:lastModifiedBy>
  <cp:revision>15</cp:revision>
  <dcterms:created xsi:type="dcterms:W3CDTF">2020-12-03T15:57:00Z</dcterms:created>
  <dcterms:modified xsi:type="dcterms:W3CDTF">2020-12-07T13:43:00Z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