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24E6F" w14:textId="32AAACF5" w:rsidR="00F81E33" w:rsidRPr="00DA4357" w:rsidRDefault="00A0357F">
      <w:pPr>
        <w:rPr>
          <w:b/>
        </w:rPr>
      </w:pPr>
      <w:r w:rsidRPr="00DA4357">
        <w:rPr>
          <w:b/>
        </w:rPr>
        <w:t xml:space="preserve">Improving, Achieving, </w:t>
      </w:r>
      <w:proofErr w:type="gramStart"/>
      <w:r w:rsidRPr="00DA4357">
        <w:rPr>
          <w:b/>
        </w:rPr>
        <w:t>Excel</w:t>
      </w:r>
      <w:r w:rsidR="00D041B7">
        <w:rPr>
          <w:b/>
        </w:rPr>
        <w:t>l</w:t>
      </w:r>
      <w:r w:rsidRPr="00DA4357">
        <w:rPr>
          <w:b/>
        </w:rPr>
        <w:t>ing</w:t>
      </w:r>
      <w:proofErr w:type="gramEnd"/>
      <w:r w:rsidRPr="00DA4357">
        <w:rPr>
          <w:b/>
        </w:rPr>
        <w:t xml:space="preserve">: Developing </w:t>
      </w:r>
      <w:r w:rsidR="00D27151">
        <w:rPr>
          <w:b/>
        </w:rPr>
        <w:t xml:space="preserve">Inclusive </w:t>
      </w:r>
      <w:r w:rsidRPr="00DA4357">
        <w:rPr>
          <w:b/>
        </w:rPr>
        <w:t xml:space="preserve">Assessment </w:t>
      </w:r>
      <w:r w:rsidR="00D27151">
        <w:rPr>
          <w:b/>
        </w:rPr>
        <w:t>Processes</w:t>
      </w:r>
      <w:r w:rsidRPr="00DA4357">
        <w:rPr>
          <w:b/>
        </w:rPr>
        <w:t xml:space="preserve"> for a Degree-Level Learning Disability Arts Programme </w:t>
      </w:r>
    </w:p>
    <w:p w14:paraId="5BDC7708" w14:textId="77777777" w:rsidR="00813FC1" w:rsidRDefault="00DA4357">
      <w:r>
        <w:t>Matthew Reason</w:t>
      </w:r>
    </w:p>
    <w:p w14:paraId="3519985E" w14:textId="377DA2C9" w:rsidR="00813FC1" w:rsidRDefault="00813FC1">
      <w:r>
        <w:t>Professor of Theatre, York St John University, York, UK.</w:t>
      </w:r>
    </w:p>
    <w:p w14:paraId="6DFA524B" w14:textId="09A89CB9" w:rsidR="00813FC1" w:rsidRDefault="00FF0416">
      <w:hyperlink r:id="rId8" w:history="1">
        <w:r w:rsidR="00813FC1" w:rsidRPr="00D32B21">
          <w:rPr>
            <w:rStyle w:val="Hyperlink"/>
          </w:rPr>
          <w:t>m.reason@yorksj.ac.uk</w:t>
        </w:r>
      </w:hyperlink>
      <w:r w:rsidR="00813FC1">
        <w:t xml:space="preserve"> </w:t>
      </w:r>
    </w:p>
    <w:p w14:paraId="24912499" w14:textId="77777777" w:rsidR="00813FC1" w:rsidRDefault="00813FC1"/>
    <w:p w14:paraId="46956997" w14:textId="31F70EAA" w:rsidR="00077280" w:rsidRDefault="00DA4357">
      <w:r>
        <w:t>Charli Ward</w:t>
      </w:r>
    </w:p>
    <w:p w14:paraId="218CE8A1" w14:textId="6DC71186" w:rsidR="004E1CE1" w:rsidRDefault="00813FC1">
      <w:r>
        <w:t>Academy Director, Mind the Gap, Bradford, UK.</w:t>
      </w:r>
    </w:p>
    <w:p w14:paraId="08F84110" w14:textId="6F35CEAE" w:rsidR="00813FC1" w:rsidRDefault="00813FC1"/>
    <w:p w14:paraId="7E46E5E3" w14:textId="205DA6A3" w:rsidR="00813FC1" w:rsidRDefault="00813FC1">
      <w:r w:rsidRPr="00D27151">
        <w:rPr>
          <w:b/>
        </w:rPr>
        <w:t>Keywords:</w:t>
      </w:r>
      <w:r>
        <w:t xml:space="preserve"> Learning disability; Inclusive education; Higher education. </w:t>
      </w:r>
    </w:p>
    <w:p w14:paraId="43CE70A4" w14:textId="61C40A9C" w:rsidR="00813FC1" w:rsidRDefault="00813FC1"/>
    <w:p w14:paraId="38D7E401" w14:textId="653FCE63" w:rsidR="00813FC1" w:rsidRPr="00D27151" w:rsidRDefault="00813FC1">
      <w:pPr>
        <w:rPr>
          <w:b/>
        </w:rPr>
      </w:pPr>
      <w:r w:rsidRPr="00D27151">
        <w:rPr>
          <w:b/>
        </w:rPr>
        <w:t xml:space="preserve">Abstract </w:t>
      </w:r>
    </w:p>
    <w:p w14:paraId="1DE30F28" w14:textId="180E31A4" w:rsidR="002310EE" w:rsidRDefault="00813FC1">
      <w:r>
        <w:t xml:space="preserve">In Spring 2021, York St John University and Mind the Gap collaborated to validate a Certificate in Higher Education (Cert HE) programme in the Performing Arts for </w:t>
      </w:r>
      <w:r w:rsidR="009A1729">
        <w:t xml:space="preserve">learning disabled and autistic </w:t>
      </w:r>
      <w:r>
        <w:t xml:space="preserve">adults. </w:t>
      </w:r>
      <w:r w:rsidR="002310EE">
        <w:t xml:space="preserve">This </w:t>
      </w:r>
      <w:r>
        <w:t xml:space="preserve">short article </w:t>
      </w:r>
      <w:r w:rsidR="00D27151">
        <w:t xml:space="preserve">presents some context surrounding inclusive education in the performing arts, identifying the histories of ableism within assessment processes. </w:t>
      </w:r>
      <w:r w:rsidR="002310EE">
        <w:t>We then discuss how we worked in consultation with learning disabled student</w:t>
      </w:r>
      <w:r w:rsidR="00D27151">
        <w:t>s</w:t>
      </w:r>
      <w:r w:rsidR="002310EE">
        <w:t xml:space="preserve"> from MTG to develop our </w:t>
      </w:r>
      <w:r w:rsidR="00D27151">
        <w:t>bespoke assessment criteria</w:t>
      </w:r>
      <w:r w:rsidR="002310EE">
        <w:t>.</w:t>
      </w:r>
      <w:r w:rsidR="00D27151">
        <w:t xml:space="preserve"> Our objective was to establish processes that were developed with and understood by learning disabled students and which used language from the students themselves as core definitions. </w:t>
      </w:r>
      <w:r w:rsidR="00790A20">
        <w:t xml:space="preserve">We argue that through establishing inclusive arts education, recognised at degree-level, we can begin the process of enabling greater future representation of </w:t>
      </w:r>
      <w:proofErr w:type="gramStart"/>
      <w:r w:rsidR="00790A20">
        <w:t>learning disabled</w:t>
      </w:r>
      <w:proofErr w:type="gramEnd"/>
      <w:r w:rsidR="00790A20">
        <w:t xml:space="preserve"> actors and practitioners in the performing arts sector as a whole. </w:t>
      </w:r>
    </w:p>
    <w:p w14:paraId="03669AD7" w14:textId="77777777" w:rsidR="002310EE" w:rsidRDefault="002310EE"/>
    <w:p w14:paraId="604B71EB" w14:textId="307397F8" w:rsidR="00813FC1" w:rsidRDefault="00D27151">
      <w:r>
        <w:t xml:space="preserve">Matthew Reason is Professor of Theatre and Director of the Institute for Social Justice at York St John University, UK. </w:t>
      </w:r>
    </w:p>
    <w:p w14:paraId="3F545A44" w14:textId="2217BA72" w:rsidR="00813FC1" w:rsidRDefault="00813FC1"/>
    <w:p w14:paraId="4D15E4AD" w14:textId="5287866F" w:rsidR="00D041B7" w:rsidRPr="00D041B7" w:rsidRDefault="00D041B7" w:rsidP="00D041B7">
      <w:r w:rsidRPr="00D041B7">
        <w:rPr>
          <w:bCs/>
          <w:iCs/>
        </w:rPr>
        <w:t xml:space="preserve">Charli Ward is Mind the Gap’s Academy Director who leads on all the training programmes within the Academy along with the talent development programme of the company’s professional learning-disabled </w:t>
      </w:r>
      <w:r>
        <w:rPr>
          <w:bCs/>
          <w:iCs/>
        </w:rPr>
        <w:t>a</w:t>
      </w:r>
      <w:r w:rsidRPr="00D041B7">
        <w:rPr>
          <w:bCs/>
          <w:iCs/>
        </w:rPr>
        <w:t>rtists</w:t>
      </w:r>
      <w:r>
        <w:rPr>
          <w:bCs/>
          <w:iCs/>
        </w:rPr>
        <w:t>.</w:t>
      </w:r>
    </w:p>
    <w:p w14:paraId="7DFB9485" w14:textId="77777777" w:rsidR="00813FC1" w:rsidRDefault="00813FC1"/>
    <w:p w14:paraId="690D5F06" w14:textId="41036736" w:rsidR="004E1CE1" w:rsidRDefault="004E1CE1"/>
    <w:p w14:paraId="3A9B4A06" w14:textId="3BA41615" w:rsidR="004E1CE1" w:rsidRDefault="00D041B7" w:rsidP="00D041B7">
      <w:pPr>
        <w:jc w:val="center"/>
      </w:pPr>
      <w:r>
        <w:t>***</w:t>
      </w:r>
    </w:p>
    <w:p w14:paraId="1437A1A0" w14:textId="77777777" w:rsidR="00DA4357" w:rsidRDefault="00DA4357"/>
    <w:p w14:paraId="1EC56CD8" w14:textId="2761BC76" w:rsidR="00077280" w:rsidRDefault="00077280">
      <w:r>
        <w:t xml:space="preserve">In Spring 2021, York St John University and Mind the Gap collaborated to validate </w:t>
      </w:r>
      <w:r w:rsidR="0055695D">
        <w:t>a Certificate in Higher</w:t>
      </w:r>
      <w:r>
        <w:t xml:space="preserve"> </w:t>
      </w:r>
      <w:r w:rsidR="0055695D">
        <w:t xml:space="preserve">Education (Cert HE) programme </w:t>
      </w:r>
      <w:r>
        <w:t xml:space="preserve">in the Performing Arts for </w:t>
      </w:r>
      <w:r w:rsidR="009A1729">
        <w:t xml:space="preserve">learning disabled and autistic </w:t>
      </w:r>
      <w:r>
        <w:t xml:space="preserve">adults. </w:t>
      </w:r>
      <w:r w:rsidR="0055695D">
        <w:t xml:space="preserve">A Cert HE </w:t>
      </w:r>
      <w:r>
        <w:t>is the equivalent to the first year of a University degree</w:t>
      </w:r>
      <w:r w:rsidR="0055695D">
        <w:t xml:space="preserve"> </w:t>
      </w:r>
      <w:r w:rsidR="0055695D" w:rsidRPr="00BF4AB5">
        <w:rPr>
          <w:color w:val="000000" w:themeColor="text1"/>
        </w:rPr>
        <w:t xml:space="preserve">and this is the first </w:t>
      </w:r>
      <w:r w:rsidR="00ED61D6" w:rsidRPr="00BF4AB5">
        <w:rPr>
          <w:color w:val="000000" w:themeColor="text1"/>
        </w:rPr>
        <w:t xml:space="preserve">performing arts </w:t>
      </w:r>
      <w:r w:rsidR="0055695D" w:rsidRPr="00BF4AB5">
        <w:rPr>
          <w:color w:val="000000" w:themeColor="text1"/>
        </w:rPr>
        <w:t xml:space="preserve">programme </w:t>
      </w:r>
      <w:r w:rsidR="00ED61D6" w:rsidRPr="00BF4AB5">
        <w:rPr>
          <w:color w:val="000000" w:themeColor="text1"/>
        </w:rPr>
        <w:t xml:space="preserve">designed for learning disabled students </w:t>
      </w:r>
      <w:r w:rsidR="0055695D" w:rsidRPr="00BF4AB5">
        <w:rPr>
          <w:color w:val="000000" w:themeColor="text1"/>
        </w:rPr>
        <w:t xml:space="preserve">validated at this level in the </w:t>
      </w:r>
      <w:r w:rsidR="0055695D">
        <w:t xml:space="preserve">UK. </w:t>
      </w:r>
    </w:p>
    <w:p w14:paraId="6B87B502" w14:textId="50380C21" w:rsidR="00BF4AB5" w:rsidRDefault="00BF4AB5"/>
    <w:p w14:paraId="681B253C" w14:textId="3788DF41" w:rsidR="00BF4AB5" w:rsidRDefault="00BF4AB5" w:rsidP="00BF4AB5">
      <w:r>
        <w:t xml:space="preserve">This paper </w:t>
      </w:r>
      <w:r w:rsidR="00790A20">
        <w:t>focuses on</w:t>
      </w:r>
      <w:r>
        <w:t xml:space="preserve"> the assessment model we developed in partnership for this </w:t>
      </w:r>
      <w:proofErr w:type="spellStart"/>
      <w:r>
        <w:t>groundbreaking</w:t>
      </w:r>
      <w:proofErr w:type="spellEnd"/>
      <w:r>
        <w:t xml:space="preserve"> validation</w:t>
      </w:r>
      <w:r w:rsidR="00790A20">
        <w:t xml:space="preserve"> as a way of exploring questions of inclusive, progressive arts education</w:t>
      </w:r>
      <w:r>
        <w:t xml:space="preserve">. </w:t>
      </w:r>
      <w:r w:rsidR="00790A20">
        <w:t>We</w:t>
      </w:r>
      <w:r>
        <w:t xml:space="preserve"> first provide some additional context about the history of the </w:t>
      </w:r>
      <w:r w:rsidR="00790A20">
        <w:t>Mind the Gap (MTG)</w:t>
      </w:r>
      <w:r>
        <w:t xml:space="preserve"> Academy and performing arts programmes for learning disabled students. We then discuss how we worked in consultation with MTG students to develop and validate our own model and processes. In doing so we will also draw upon general reflections on models of inclusive assessment within a university context.</w:t>
      </w:r>
      <w:r w:rsidRPr="00F12F2C">
        <w:rPr>
          <w:color w:val="FF0000"/>
        </w:rPr>
        <w:t xml:space="preserve"> </w:t>
      </w:r>
      <w:r w:rsidR="00790A20" w:rsidRPr="00790A20">
        <w:rPr>
          <w:color w:val="000000" w:themeColor="text1"/>
        </w:rPr>
        <w:t>The</w:t>
      </w:r>
      <w:r w:rsidRPr="00790A20">
        <w:rPr>
          <w:color w:val="000000" w:themeColor="text1"/>
        </w:rPr>
        <w:t xml:space="preserve"> approaches and practices we discuss </w:t>
      </w:r>
      <w:r w:rsidRPr="00790A20">
        <w:rPr>
          <w:color w:val="000000" w:themeColor="text1"/>
        </w:rPr>
        <w:lastRenderedPageBreak/>
        <w:t xml:space="preserve">here are informed by broader contexts, particularly disability politics, inclusive education and applied theatre. Our Cert HE </w:t>
      </w:r>
      <w:proofErr w:type="gramStart"/>
      <w:r w:rsidRPr="00790A20">
        <w:rPr>
          <w:color w:val="000000" w:themeColor="text1"/>
        </w:rPr>
        <w:t>programme</w:t>
      </w:r>
      <w:proofErr w:type="gramEnd"/>
      <w:r w:rsidRPr="00790A20">
        <w:rPr>
          <w:color w:val="000000" w:themeColor="text1"/>
        </w:rPr>
        <w:t xml:space="preserve"> emerges from the intersection of these contexts, with the discussion relevant to applied theatre practitioners interested in furthering the development of learning disability arts, education and activism. </w:t>
      </w:r>
      <w:r>
        <w:t xml:space="preserve">(Note on language: in this paper we </w:t>
      </w:r>
      <w:r w:rsidR="00790A20">
        <w:t>have</w:t>
      </w:r>
      <w:r>
        <w:t xml:space="preserve"> adopt</w:t>
      </w:r>
      <w:r w:rsidR="00790A20">
        <w:t>ed</w:t>
      </w:r>
      <w:r>
        <w:t xml:space="preserve"> identity-first language.) </w:t>
      </w:r>
    </w:p>
    <w:p w14:paraId="466B0274" w14:textId="77777777" w:rsidR="00C15312" w:rsidRDefault="00C15312"/>
    <w:p w14:paraId="2F073AFF" w14:textId="565F6F06" w:rsidR="00C15312" w:rsidRPr="00A0357F" w:rsidRDefault="00AB6746">
      <w:pPr>
        <w:rPr>
          <w:b/>
        </w:rPr>
      </w:pPr>
      <w:r>
        <w:rPr>
          <w:b/>
        </w:rPr>
        <w:t xml:space="preserve">Mind the Gap and </w:t>
      </w:r>
      <w:r w:rsidR="00A30B23">
        <w:rPr>
          <w:b/>
        </w:rPr>
        <w:t>Performing Arts Programmes for Learning Disabled and Autistic Students</w:t>
      </w:r>
    </w:p>
    <w:p w14:paraId="2103CA42" w14:textId="18E98E51" w:rsidR="00CE389B" w:rsidRDefault="00A0357F" w:rsidP="00A0357F">
      <w:r>
        <w:t>Founded by Tim Wheeler and Susan Brown</w:t>
      </w:r>
      <w:r w:rsidR="005F15C8">
        <w:t xml:space="preserve"> in 1988, Mind the Gap </w:t>
      </w:r>
      <w:r w:rsidR="00BF4AB5">
        <w:t xml:space="preserve">are England’s largest learning disability performance and live art company. </w:t>
      </w:r>
      <w:r w:rsidR="005F15C8">
        <w:t>The company have an international reputation for making and touring theatre that places learning disabled artists at the centre of the creative and performance processes.</w:t>
      </w:r>
      <w:r w:rsidR="00AB6746">
        <w:t xml:space="preserve"> The company’s involvement with formalised</w:t>
      </w:r>
      <w:r w:rsidR="005F15C8">
        <w:t xml:space="preserve"> training </w:t>
      </w:r>
      <w:r w:rsidR="00AB6746">
        <w:t xml:space="preserve">programmes </w:t>
      </w:r>
      <w:r w:rsidR="005F15C8">
        <w:t xml:space="preserve">date back to 1998, and what was a theatre apprenticeship </w:t>
      </w:r>
      <w:r w:rsidR="00AB6746">
        <w:t>course</w:t>
      </w:r>
      <w:r w:rsidR="005F15C8">
        <w:t xml:space="preserve"> titled Making Waves. In his history of </w:t>
      </w:r>
      <w:r w:rsidR="00AB6746">
        <w:t>MTG</w:t>
      </w:r>
      <w:r w:rsidR="005F15C8">
        <w:t>, Dave Calvert relates how Wheeler’s desire to provide a solid grounding in performance skills and professional development was met by ‘the absence of any existing in-depth training schemes that could – or would – accommodate such students within mainstream education’ (</w:t>
      </w:r>
      <w:r w:rsidR="00AB6746">
        <w:t xml:space="preserve">2015, </w:t>
      </w:r>
      <w:r w:rsidR="005F15C8">
        <w:t xml:space="preserve">135). In this context, MTG decided to establish their own. </w:t>
      </w:r>
      <w:r w:rsidR="00CE389B">
        <w:t>As Calvert accounts, in establishing Making Waves in 1998, MTG were attuned to a gro</w:t>
      </w:r>
      <w:r w:rsidR="00AB6746">
        <w:t>wing</w:t>
      </w:r>
      <w:r w:rsidR="00CE389B">
        <w:t xml:space="preserve"> movement towards inclusive education that followed a social model of disability in seeking to focus on how educational structures might adapt and respond to individual learner’s requirements. In the UK a leading figure in this movement was John Tomlinson, whose work led to the introduction of the Special Educational Needs and Disability Act in 2001 (Calvert 2015: 135).</w:t>
      </w:r>
    </w:p>
    <w:p w14:paraId="3D56CC1A" w14:textId="77777777" w:rsidR="00CE389B" w:rsidRDefault="00CE389B" w:rsidP="00A0357F"/>
    <w:p w14:paraId="5F1847E1" w14:textId="4884EC1E" w:rsidR="00CE389B" w:rsidRDefault="00CE389B" w:rsidP="00A0357F">
      <w:r w:rsidRPr="00A0357F">
        <w:t xml:space="preserve">Beginning with </w:t>
      </w:r>
      <w:r>
        <w:t xml:space="preserve">this </w:t>
      </w:r>
      <w:r w:rsidRPr="00A0357F">
        <w:t>one theatre programme in 1998</w:t>
      </w:r>
      <w:r>
        <w:t>,</w:t>
      </w:r>
      <w:r w:rsidRPr="00A0357F">
        <w:t xml:space="preserve"> it </w:t>
      </w:r>
      <w:r w:rsidR="009A1729">
        <w:t xml:space="preserve">became apparent that </w:t>
      </w:r>
      <w:r>
        <w:t xml:space="preserve">MTG </w:t>
      </w:r>
      <w:r w:rsidRPr="00A0357F">
        <w:t xml:space="preserve">could </w:t>
      </w:r>
      <w:r>
        <w:t xml:space="preserve">provide </w:t>
      </w:r>
      <w:r w:rsidR="00AB6746">
        <w:t>education</w:t>
      </w:r>
      <w:r>
        <w:t xml:space="preserve"> for learning disabled performers in a </w:t>
      </w:r>
      <w:r>
        <w:t xml:space="preserve">manner </w:t>
      </w:r>
      <w:r w:rsidR="00C16875">
        <w:t xml:space="preserve">that </w:t>
      </w:r>
      <w:r>
        <w:t xml:space="preserve">wasn’t </w:t>
      </w:r>
      <w:r>
        <w:t>available</w:t>
      </w:r>
      <w:r w:rsidRPr="00A0357F">
        <w:t xml:space="preserve"> anywhere else. The training </w:t>
      </w:r>
      <w:r>
        <w:t>gave</w:t>
      </w:r>
      <w:r w:rsidRPr="00A0357F">
        <w:t xml:space="preserve"> performers the skills to work professionally and also equip them for making work outside of Mind the Gap. </w:t>
      </w:r>
      <w:r>
        <w:t>Th</w:t>
      </w:r>
      <w:r w:rsidR="009A1729">
        <w:t>is</w:t>
      </w:r>
      <w:r>
        <w:t xml:space="preserve"> provision of specialist training programmes for learning disabled performers ha</w:t>
      </w:r>
      <w:r w:rsidR="009A1729">
        <w:t>s</w:t>
      </w:r>
      <w:r>
        <w:t xml:space="preserve"> remained a constant feature of MTG</w:t>
      </w:r>
      <w:r w:rsidR="009A1729">
        <w:t>’s work</w:t>
      </w:r>
      <w:r>
        <w:t xml:space="preserve"> over the subsequent 20 years, shifting and evolving </w:t>
      </w:r>
      <w:r w:rsidR="00790A20">
        <w:t>over</w:t>
      </w:r>
      <w:r w:rsidR="006026E2">
        <w:t xml:space="preserve"> time. From 2001 a one</w:t>
      </w:r>
      <w:r w:rsidR="00DA4357">
        <w:t>-</w:t>
      </w:r>
      <w:r w:rsidR="006026E2">
        <w:t xml:space="preserve">year theatre programme called Making Theatre was established, offering school-level qualifications accredited through the Open College Network (Calvert 2015: 145). Today the Mind the Gap Academy offers five part time training programmes in </w:t>
      </w:r>
      <w:r w:rsidRPr="00A0357F">
        <w:t>dance, theatre and music</w:t>
      </w:r>
      <w:r w:rsidR="006026E2">
        <w:t>, along with</w:t>
      </w:r>
      <w:r w:rsidR="00AB6746">
        <w:t xml:space="preserve"> a</w:t>
      </w:r>
      <w:r w:rsidR="006026E2">
        <w:t xml:space="preserve"> three-year part-time Performing Arts programme</w:t>
      </w:r>
      <w:r w:rsidR="009A1729">
        <w:t>. It is an evolution of this course that is</w:t>
      </w:r>
      <w:r w:rsidR="006026E2">
        <w:t xml:space="preserve"> now validated as a Leve</w:t>
      </w:r>
      <w:r w:rsidR="00AB6746">
        <w:t>l</w:t>
      </w:r>
      <w:r w:rsidR="006026E2">
        <w:t xml:space="preserve"> 4 Cert HE</w:t>
      </w:r>
      <w:r w:rsidR="00790A20">
        <w:t xml:space="preserve"> in conjunction with York St John University</w:t>
      </w:r>
      <w:r w:rsidR="006026E2">
        <w:t xml:space="preserve">. </w:t>
      </w:r>
    </w:p>
    <w:p w14:paraId="63302897" w14:textId="49922456" w:rsidR="006026E2" w:rsidRDefault="006026E2" w:rsidP="00A0357F"/>
    <w:p w14:paraId="526B5F98" w14:textId="25335774" w:rsidR="0050432B" w:rsidRDefault="006026E2" w:rsidP="006026E2">
      <w:r>
        <w:t>Over these 20 years of developing educational provision, d</w:t>
      </w:r>
      <w:r w:rsidRPr="00A0357F">
        <w:t>emand has kept increasing</w:t>
      </w:r>
      <w:r>
        <w:t xml:space="preserve">. </w:t>
      </w:r>
      <w:r w:rsidR="009A1729">
        <w:t>Today t</w:t>
      </w:r>
      <w:r>
        <w:t xml:space="preserve">he courses </w:t>
      </w:r>
      <w:r w:rsidRPr="00A0357F">
        <w:t>are always oversubscribed</w:t>
      </w:r>
      <w:r>
        <w:t xml:space="preserve">, with over </w:t>
      </w:r>
      <w:r w:rsidRPr="00A0357F">
        <w:t xml:space="preserve">90 places </w:t>
      </w:r>
      <w:r>
        <w:t xml:space="preserve">existing across the range of </w:t>
      </w:r>
      <w:r w:rsidRPr="00A0357F">
        <w:t>programmes</w:t>
      </w:r>
      <w:r>
        <w:t>.</w:t>
      </w:r>
      <w:r w:rsidR="009A6FD1">
        <w:t xml:space="preserve"> One thing that hasn’t changed significantly over this period, however, is that initial observation that prompted the establishment of the original Making Waves course in 1998</w:t>
      </w:r>
      <w:r w:rsidR="00790A20">
        <w:t xml:space="preserve">. There remains a </w:t>
      </w:r>
      <w:r w:rsidR="009A6FD1">
        <w:t xml:space="preserve">lack of mainstream opportunities for performer training for disabled students and artists. While figures for learning disabilities are unavailable, </w:t>
      </w:r>
      <w:r w:rsidR="0050432B">
        <w:t xml:space="preserve">a report in </w:t>
      </w:r>
      <w:r w:rsidR="0050432B" w:rsidRPr="00AB6746">
        <w:rPr>
          <w:i/>
        </w:rPr>
        <w:t xml:space="preserve">The Stage </w:t>
      </w:r>
      <w:r w:rsidR="0050432B">
        <w:t xml:space="preserve">suggested that in 2018 </w:t>
      </w:r>
      <w:r w:rsidR="009A6FD1">
        <w:t xml:space="preserve">just 1% of graduates from major UK drama schools declared a physical </w:t>
      </w:r>
      <w:r w:rsidR="0050432B">
        <w:t>impairment (</w:t>
      </w:r>
      <w:proofErr w:type="spellStart"/>
      <w:r w:rsidR="0050432B">
        <w:t>Masso</w:t>
      </w:r>
      <w:proofErr w:type="spellEnd"/>
      <w:r w:rsidR="0050432B">
        <w:t xml:space="preserve"> 2018). </w:t>
      </w:r>
    </w:p>
    <w:p w14:paraId="1FD82849" w14:textId="77777777" w:rsidR="0050432B" w:rsidRDefault="0050432B" w:rsidP="006026E2"/>
    <w:p w14:paraId="3E7EC583" w14:textId="33A71076" w:rsidR="00CE2AF7" w:rsidRDefault="0050432B" w:rsidP="006026E2">
      <w:r>
        <w:lastRenderedPageBreak/>
        <w:t xml:space="preserve">In this context the development </w:t>
      </w:r>
      <w:r w:rsidR="00CE6B0E">
        <w:t xml:space="preserve">of the MTG Academy is part of a growing movement of </w:t>
      </w:r>
      <w:r>
        <w:t xml:space="preserve">alternative </w:t>
      </w:r>
      <w:r w:rsidR="00CE6B0E">
        <w:t xml:space="preserve">educational and training opportunities for disabled students in the performing arts. </w:t>
      </w:r>
      <w:r>
        <w:t xml:space="preserve">What is noticeable is that all of these, like the partnership </w:t>
      </w:r>
      <w:r w:rsidR="00CE6B0E">
        <w:t>York St John University</w:t>
      </w:r>
      <w:r>
        <w:t xml:space="preserve"> have developed </w:t>
      </w:r>
      <w:r w:rsidR="009A1729">
        <w:t>with</w:t>
      </w:r>
      <w:r>
        <w:t xml:space="preserve"> MTG, see university providers operating in collaboration with creative industry partners. </w:t>
      </w:r>
      <w:r w:rsidR="00CE6B0E">
        <w:t>In</w:t>
      </w:r>
      <w:r>
        <w:t xml:space="preserve"> the context of physical disabilities, the Royal Conservatoire of Scotland combined with Solar Bear Theatre company to offer a BA in performance in British Sign Language (Meth 2015); while in 2021 Graeae theatre company and Rose </w:t>
      </w:r>
      <w:proofErr w:type="spellStart"/>
      <w:r>
        <w:t>Bruford</w:t>
      </w:r>
      <w:proofErr w:type="spellEnd"/>
      <w:r>
        <w:t xml:space="preserve"> College, London, collaborated to validate a Cert HE in performance making for D/dea</w:t>
      </w:r>
      <w:r w:rsidR="00BF4AB5">
        <w:t>f</w:t>
      </w:r>
      <w:r>
        <w:t xml:space="preserve"> and disabled people. In the context of learning disability</w:t>
      </w:r>
      <w:r w:rsidR="009A1729">
        <w:t xml:space="preserve"> and autism</w:t>
      </w:r>
      <w:r>
        <w:t xml:space="preserve">, </w:t>
      </w:r>
      <w:r>
        <w:t xml:space="preserve">the </w:t>
      </w:r>
      <w:r w:rsidR="00C16875">
        <w:t xml:space="preserve">Royal </w:t>
      </w:r>
      <w:r>
        <w:t xml:space="preserve">Central </w:t>
      </w:r>
      <w:r>
        <w:t>School of Speech and Drama</w:t>
      </w:r>
      <w:r w:rsidR="00790A20">
        <w:t>,</w:t>
      </w:r>
      <w:r>
        <w:t xml:space="preserve"> run a diploma in performance making in conjunction with London-based company Access all Areas. </w:t>
      </w:r>
      <w:r w:rsidR="00CE2AF7">
        <w:t xml:space="preserve">Such collaborative partnerships are </w:t>
      </w:r>
      <w:r w:rsidR="009A1729">
        <w:t>essential</w:t>
      </w:r>
      <w:r w:rsidR="00CE2AF7">
        <w:t xml:space="preserve">, </w:t>
      </w:r>
      <w:r w:rsidR="009A1729">
        <w:t>with</w:t>
      </w:r>
      <w:r w:rsidR="00CE2AF7">
        <w:t xml:space="preserve"> universities recognis</w:t>
      </w:r>
      <w:r w:rsidR="009A1729">
        <w:t xml:space="preserve">ing </w:t>
      </w:r>
      <w:r w:rsidR="00CE2AF7">
        <w:t xml:space="preserve">that innovative practice in inclusive education and training in the arts over the last 20 years has been driven from within the creative </w:t>
      </w:r>
      <w:r w:rsidR="009A1729">
        <w:t>sector</w:t>
      </w:r>
      <w:r w:rsidR="00CE6B0E">
        <w:t xml:space="preserve"> – universities are able to learn from these contexts and hopefully begin to integrate </w:t>
      </w:r>
      <w:r w:rsidR="009A1729">
        <w:t>such</w:t>
      </w:r>
      <w:r w:rsidR="00CE6B0E">
        <w:t xml:space="preserve"> practices and approaches into their own programmes</w:t>
      </w:r>
      <w:r w:rsidR="00CE2AF7">
        <w:t xml:space="preserve">. The expertise and knowledge rests within the arts sector, and for this reason it was vital to carefully consider the validation process so as not to </w:t>
      </w:r>
      <w:r w:rsidR="00CE6B0E">
        <w:t xml:space="preserve">damage or </w:t>
      </w:r>
      <w:r w:rsidR="00CE2AF7">
        <w:t xml:space="preserve">destroy the innovative inclusive practice that had developed </w:t>
      </w:r>
      <w:r w:rsidR="009A1729">
        <w:t xml:space="preserve">at MTG </w:t>
      </w:r>
      <w:r w:rsidR="00CE2AF7">
        <w:t xml:space="preserve">under the weight of academic systems and procedures. </w:t>
      </w:r>
    </w:p>
    <w:p w14:paraId="36FA1E89" w14:textId="347232A1" w:rsidR="00BF4AB5" w:rsidRDefault="00BF4AB5" w:rsidP="006026E2"/>
    <w:p w14:paraId="00E3216D" w14:textId="2BFFD695" w:rsidR="00CE2AF7" w:rsidRPr="00A0357F" w:rsidRDefault="00BF4AB5" w:rsidP="00CE2AF7">
      <w:r>
        <w:t>The validation process therefore built upon this accumulated expertise, while also needing to engage with and satisfy University regulations and practices.</w:t>
      </w:r>
      <w:r w:rsidR="00790A20">
        <w:t xml:space="preserve"> </w:t>
      </w:r>
      <w:r w:rsidR="00CE2AF7">
        <w:t xml:space="preserve">In its discussion of inclusive education, the Tomlinson Report argued for ‘redesigning the very processes of learning, assessment and organisation so as to fit the objectives and learning styles of the students’ (1996: 4). It was this attitude that we sought to </w:t>
      </w:r>
      <w:r w:rsidR="009A1729">
        <w:t>adopt</w:t>
      </w:r>
      <w:r w:rsidR="00CE2AF7">
        <w:t xml:space="preserve"> with this validation process, looking for ways for university structures, particularly in terms of assessment, to flex and adjust responsively.  </w:t>
      </w:r>
    </w:p>
    <w:p w14:paraId="0688DE46" w14:textId="77777777" w:rsidR="006026E2" w:rsidRPr="00A027BE" w:rsidRDefault="006026E2" w:rsidP="00A0357F">
      <w:pPr>
        <w:rPr>
          <w:b/>
        </w:rPr>
      </w:pPr>
    </w:p>
    <w:p w14:paraId="35869505" w14:textId="74E574BF" w:rsidR="00CE389B" w:rsidRPr="00A027BE" w:rsidRDefault="00CE6B0E" w:rsidP="00A0357F">
      <w:pPr>
        <w:rPr>
          <w:b/>
        </w:rPr>
      </w:pPr>
      <w:r>
        <w:rPr>
          <w:b/>
        </w:rPr>
        <w:t>The University Context</w:t>
      </w:r>
    </w:p>
    <w:p w14:paraId="0EC6AE9C" w14:textId="7EB24785" w:rsidR="000C19A2" w:rsidRDefault="000C19A2" w:rsidP="000C19A2">
      <w:r>
        <w:t>Following the 2001 Special Educational Needs and Disability Act, and the 2005 Disability Discrimination Act, the attention given to inclusive education and assessments within UK Higher Education has increased dramatically. Waterfield and West describe these acts as providing ‘an opportunity for change for all’, whi</w:t>
      </w:r>
      <w:r w:rsidR="009A1729">
        <w:t>le</w:t>
      </w:r>
      <w:r>
        <w:t xml:space="preserve"> at the same time recognising that there remain</w:t>
      </w:r>
      <w:r w:rsidR="009A1729">
        <w:t>s</w:t>
      </w:r>
      <w:r>
        <w:t xml:space="preserve"> ‘a gap between policy and practice’ (Waterfield and West 2006: 24). </w:t>
      </w:r>
      <w:r w:rsidR="00093FCA" w:rsidRPr="00BF4AB5">
        <w:rPr>
          <w:color w:val="000000" w:themeColor="text1"/>
        </w:rPr>
        <w:t>It’s worth noting that similar descriptions would apply to other contexts in the arts, such as the accessibility and</w:t>
      </w:r>
      <w:r w:rsidR="000D5A87">
        <w:rPr>
          <w:color w:val="000000" w:themeColor="text1"/>
        </w:rPr>
        <w:t xml:space="preserve"> inclusivity </w:t>
      </w:r>
      <w:bookmarkStart w:id="0" w:name="_GoBack"/>
      <w:bookmarkEnd w:id="0"/>
      <w:r w:rsidR="00093FCA" w:rsidRPr="00BF4AB5">
        <w:rPr>
          <w:color w:val="000000" w:themeColor="text1"/>
        </w:rPr>
        <w:t>of performances to learning disabled audiences</w:t>
      </w:r>
      <w:r w:rsidR="00BF4AB5" w:rsidRPr="00BF4AB5">
        <w:rPr>
          <w:color w:val="000000" w:themeColor="text1"/>
        </w:rPr>
        <w:t xml:space="preserve"> or the presence of learning disabled practitioners on stage, back stage and in arts administration</w:t>
      </w:r>
      <w:r w:rsidR="00093FCA" w:rsidRPr="00BF4AB5">
        <w:rPr>
          <w:color w:val="000000" w:themeColor="text1"/>
        </w:rPr>
        <w:t xml:space="preserve">. Here also, while improvements in practice are happening, material change often lags behind aspiration and policy. </w:t>
      </w:r>
    </w:p>
    <w:p w14:paraId="517E5C13" w14:textId="77777777" w:rsidR="00612F1D" w:rsidRDefault="00612F1D" w:rsidP="00A0357F"/>
    <w:p w14:paraId="5854938B" w14:textId="2F7252BA" w:rsidR="009A6FD1" w:rsidRDefault="00644792" w:rsidP="00A0357F">
      <w:r>
        <w:t xml:space="preserve">The validation of the MTG Academy programme as a Cert HE in Performing Arts therefore </w:t>
      </w:r>
      <w:r>
        <w:t xml:space="preserve">needs to </w:t>
      </w:r>
      <w:r w:rsidR="00C16875">
        <w:t xml:space="preserve">be </w:t>
      </w:r>
      <w:r>
        <w:t xml:space="preserve">considered </w:t>
      </w:r>
      <w:r>
        <w:t>within the context of a history of exclusion from mainstream education and an implicit</w:t>
      </w:r>
      <w:r w:rsidR="00CE6B0E">
        <w:t xml:space="preserve"> and sometimes </w:t>
      </w:r>
      <w:r>
        <w:t xml:space="preserve">explicit devaluing of the potential and abilities of </w:t>
      </w:r>
      <w:proofErr w:type="gramStart"/>
      <w:r w:rsidR="009A1729">
        <w:t>learning disabled</w:t>
      </w:r>
      <w:proofErr w:type="gramEnd"/>
      <w:r w:rsidR="009A1729">
        <w:t xml:space="preserve"> </w:t>
      </w:r>
      <w:r>
        <w:t>people. The validation could be considered within the context of widening participation – that is increasing access to higher education for individuals and communities that ha</w:t>
      </w:r>
      <w:r w:rsidR="00CE6B0E">
        <w:t>ve</w:t>
      </w:r>
      <w:r>
        <w:t xml:space="preserve"> historically be</w:t>
      </w:r>
      <w:r w:rsidR="00CE6B0E">
        <w:t>en</w:t>
      </w:r>
      <w:r>
        <w:t xml:space="preserve"> under-represented</w:t>
      </w:r>
      <w:r w:rsidR="00CE6B0E">
        <w:t xml:space="preserve"> in higher education</w:t>
      </w:r>
      <w:r>
        <w:t>. Or, perhaps more politically assertive</w:t>
      </w:r>
      <w:r w:rsidR="005F4846">
        <w:t xml:space="preserve">ly as the enabling </w:t>
      </w:r>
      <w:r w:rsidR="00CD539F">
        <w:t xml:space="preserve">of </w:t>
      </w:r>
      <w:r>
        <w:t>social justice</w:t>
      </w:r>
      <w:r w:rsidR="00CD539F">
        <w:t xml:space="preserve"> and educational rights. Either way, we were seeking to</w:t>
      </w:r>
      <w:r>
        <w:t xml:space="preserve"> operat</w:t>
      </w:r>
      <w:r w:rsidR="00CD539F">
        <w:t>e</w:t>
      </w:r>
      <w:r>
        <w:t xml:space="preserve"> within a social model </w:t>
      </w:r>
      <w:r w:rsidR="00CE6B0E">
        <w:t xml:space="preserve">of disability </w:t>
      </w:r>
      <w:r>
        <w:t>and insisting that</w:t>
      </w:r>
      <w:r w:rsidR="005F4846">
        <w:t>,</w:t>
      </w:r>
      <w:r>
        <w:t xml:space="preserve"> </w:t>
      </w:r>
      <w:r w:rsidR="00CE6B0E">
        <w:t xml:space="preserve">like </w:t>
      </w:r>
      <w:r>
        <w:t>society</w:t>
      </w:r>
      <w:r w:rsidR="00CD539F">
        <w:t xml:space="preserve"> in </w:t>
      </w:r>
      <w:r w:rsidR="00CD539F">
        <w:lastRenderedPageBreak/>
        <w:t>general,</w:t>
      </w:r>
      <w:r>
        <w:t xml:space="preserve"> </w:t>
      </w:r>
      <w:r w:rsidR="00CE6B0E">
        <w:t xml:space="preserve">universities </w:t>
      </w:r>
      <w:r>
        <w:t xml:space="preserve">must adapt to enable everyone the opportunity to reach their full potential. This was asserted in our press release accompanying the announcement, which included the statement: ‘Through this unique partnership we are able to challenge some of the presumptions about who education is for and who can access higher learning’ (YSJU 2021). </w:t>
      </w:r>
    </w:p>
    <w:p w14:paraId="71822E99" w14:textId="2A428A29" w:rsidR="009A6FD1" w:rsidRDefault="009A6FD1" w:rsidP="00A0357F"/>
    <w:p w14:paraId="12D724CE" w14:textId="763A3A8D" w:rsidR="00BF4AB5" w:rsidRDefault="00644792" w:rsidP="00BF4AB5">
      <w:r>
        <w:t xml:space="preserve">Validation of a learning disability educational programme therefore had political meaning and symbolism. As a Certificate in Higher Education we are asserting that the work and attainment of students </w:t>
      </w:r>
      <w:r w:rsidR="00CE6B0E">
        <w:t xml:space="preserve">on </w:t>
      </w:r>
      <w:r>
        <w:t xml:space="preserve">this programme would be of the same standard as that of any other student on any other level 4 </w:t>
      </w:r>
      <w:r w:rsidR="00CE6B0E">
        <w:t xml:space="preserve">performing arts </w:t>
      </w:r>
      <w:r>
        <w:t>programme at any university</w:t>
      </w:r>
      <w:r w:rsidR="00CE6B0E">
        <w:t xml:space="preserve"> in</w:t>
      </w:r>
      <w:r>
        <w:t xml:space="preserve"> the UK. Given the historic exclusion</w:t>
      </w:r>
      <w:r w:rsidR="00DA7AE4">
        <w:t xml:space="preserve"> or</w:t>
      </w:r>
      <w:r>
        <w:t xml:space="preserve"> marginalisation </w:t>
      </w:r>
      <w:r w:rsidR="00DA7AE4">
        <w:t xml:space="preserve">of </w:t>
      </w:r>
      <w:proofErr w:type="gramStart"/>
      <w:r w:rsidR="00CD539F">
        <w:t>learning disabled</w:t>
      </w:r>
      <w:proofErr w:type="gramEnd"/>
      <w:r w:rsidR="00CD539F">
        <w:t xml:space="preserve"> </w:t>
      </w:r>
      <w:r w:rsidR="00DA7AE4">
        <w:t xml:space="preserve">people from formal </w:t>
      </w:r>
      <w:r>
        <w:t xml:space="preserve">education </w:t>
      </w:r>
      <w:r w:rsidR="00DA7AE4">
        <w:t>t</w:t>
      </w:r>
      <w:r>
        <w:t xml:space="preserve">his </w:t>
      </w:r>
      <w:r w:rsidR="00DA4357">
        <w:t>was worth stressing</w:t>
      </w:r>
      <w:r>
        <w:t>.</w:t>
      </w:r>
      <w:r w:rsidR="00DA7AE4">
        <w:t xml:space="preserve"> </w:t>
      </w:r>
      <w:r w:rsidR="00BF4AB5">
        <w:t xml:space="preserve">We were </w:t>
      </w:r>
      <w:r w:rsidR="005F4846">
        <w:t xml:space="preserve">therefore </w:t>
      </w:r>
      <w:r w:rsidR="00BF4AB5">
        <w:t>aware that one of the things that would require particular attention would be assessment</w:t>
      </w:r>
      <w:r w:rsidR="005F4846">
        <w:t xml:space="preserve"> – which within the educational system is the </w:t>
      </w:r>
      <w:r w:rsidR="005F4846">
        <w:t>marker th</w:t>
      </w:r>
      <w:r w:rsidR="009F1CFD">
        <w:t>at</w:t>
      </w:r>
      <w:r w:rsidR="005F4846">
        <w:t xml:space="preserve"> underpins </w:t>
      </w:r>
      <w:r w:rsidR="005F4846">
        <w:t>and benchmarks standards</w:t>
      </w:r>
      <w:r w:rsidR="00BF4AB5">
        <w:t xml:space="preserve">. While MTG’s Academy courses had previously had moments when students would share work, and had processes of feedback and informal evaluation of what went well and what might be improved, there had been no formal assessment and no grading whatsoever. Part of us might have liked to have kept it that way. </w:t>
      </w:r>
      <w:r w:rsidR="00BF4AB5" w:rsidRPr="00C15312">
        <w:t xml:space="preserve">Assessment is both synonymous with education – when we think of formal </w:t>
      </w:r>
      <w:r w:rsidR="00BF4AB5">
        <w:t>schooling</w:t>
      </w:r>
      <w:r w:rsidR="00BF4AB5" w:rsidRPr="00C15312">
        <w:t xml:space="preserve"> we think of exams, tests, grades, essays – and yet you’d be hard pressed to find many people within education (certainly in arts education) who are particularly comfortable with assessment. </w:t>
      </w:r>
      <w:r w:rsidR="00BF4AB5">
        <w:t>In the UK, assessment is the element of Higher Education that receives the lowest satisfaction scores from students, raising concerns about fairness and transparency (</w:t>
      </w:r>
      <w:proofErr w:type="spellStart"/>
      <w:r w:rsidR="00BF4AB5">
        <w:t>OfS</w:t>
      </w:r>
      <w:proofErr w:type="spellEnd"/>
      <w:r w:rsidR="00BF4AB5">
        <w:t xml:space="preserve"> 2019). These factors are compounded in the context of </w:t>
      </w:r>
      <w:proofErr w:type="gramStart"/>
      <w:r w:rsidR="00BF4AB5">
        <w:t>learning disabled</w:t>
      </w:r>
      <w:proofErr w:type="gramEnd"/>
      <w:r w:rsidR="00BF4AB5">
        <w:t xml:space="preserve"> students and the necessity to make assessment accessible and inclusive to learners with a diversity of needs. </w:t>
      </w:r>
    </w:p>
    <w:p w14:paraId="16063F03" w14:textId="77777777" w:rsidR="00BF4AB5" w:rsidRDefault="00BF4AB5" w:rsidP="00DA4357"/>
    <w:p w14:paraId="1540D574" w14:textId="35479404" w:rsidR="00DA7AE4" w:rsidRDefault="00DA7AE4" w:rsidP="00DA4357">
      <w:r>
        <w:t>We therefore needed to be able to demonstrate that assessment processes at Mind the Gap were rigorous and that they were benchmarked against national standards. And yet</w:t>
      </w:r>
      <w:r w:rsidR="00CD539F">
        <w:t>,</w:t>
      </w:r>
      <w:r>
        <w:t xml:space="preserve"> unless carefully considered</w:t>
      </w:r>
      <w:r w:rsidR="00CD539F">
        <w:t>,</w:t>
      </w:r>
      <w:r>
        <w:t xml:space="preserve"> such processes can be – and indeed historically have been – exclusionary. In the introduction to her book on ableism in academi</w:t>
      </w:r>
      <w:r w:rsidR="000E4ED9">
        <w:t>a</w:t>
      </w:r>
      <w:r>
        <w:t xml:space="preserve">, Nicole Brown identifies how university </w:t>
      </w:r>
      <w:r w:rsidR="000E4ED9">
        <w:t>processes designed to ensure ‘excellence’ and ‘retain credibility’</w:t>
      </w:r>
      <w:r w:rsidR="00CD539F">
        <w:t>,</w:t>
      </w:r>
      <w:r w:rsidR="000E4ED9">
        <w:t xml:space="preserve"> including benchmarks, frameworks and criteria</w:t>
      </w:r>
      <w:r w:rsidR="00CD539F">
        <w:t>,</w:t>
      </w:r>
      <w:r w:rsidR="000E4ED9">
        <w:t xml:space="preserve"> a</w:t>
      </w:r>
      <w:r w:rsidR="00FF0EB9">
        <w:t xml:space="preserve">re </w:t>
      </w:r>
      <w:r w:rsidR="000E4ED9">
        <w:t xml:space="preserve">dependent on a standard that is normative and fully able. ‘Ableism in academia is endemic,’ she concludes (2020: 3). </w:t>
      </w:r>
    </w:p>
    <w:p w14:paraId="64AE9930" w14:textId="298A5329" w:rsidR="00DA7AE4" w:rsidRDefault="00DA7AE4" w:rsidP="00DA4357"/>
    <w:p w14:paraId="68418188" w14:textId="141B9496" w:rsidR="00FF0EB9" w:rsidRDefault="00FF0EB9" w:rsidP="00FF0EB9">
      <w:r>
        <w:t xml:space="preserve">If an entrenched defence of </w:t>
      </w:r>
      <w:r w:rsidR="000D6F6A">
        <w:t xml:space="preserve">‘standards’ is one challenge, another </w:t>
      </w:r>
      <w:r>
        <w:t xml:space="preserve">factor that perpetuates </w:t>
      </w:r>
      <w:r w:rsidR="000D6F6A">
        <w:t>academic</w:t>
      </w:r>
      <w:r>
        <w:t xml:space="preserve"> ableism has been an exclusion of disabled people from the processes of course and assessment design. In a 2006 report for the Higher Education Funding Council for England, Waterfield and West emphasise the importance of assessment being a partnership between staff and students, pointing the requirement to involve disabled students in the development and implementation of assessment policies and practices (24). Brown and </w:t>
      </w:r>
      <w:proofErr w:type="spellStart"/>
      <w:r>
        <w:t>Broido</w:t>
      </w:r>
      <w:proofErr w:type="spellEnd"/>
      <w:r>
        <w:t xml:space="preserve"> similarly assert the importance of engaging with disabled communities in a collaborative rather than paternalistic fashion (2020, np). </w:t>
      </w:r>
    </w:p>
    <w:p w14:paraId="12064999" w14:textId="77777777" w:rsidR="00756E20" w:rsidRDefault="00756E20" w:rsidP="00DA4357"/>
    <w:p w14:paraId="1EBED2BB" w14:textId="520A4B5E" w:rsidR="00DA4357" w:rsidRPr="00B7396C" w:rsidRDefault="00B7396C" w:rsidP="00756E20">
      <w:pPr>
        <w:rPr>
          <w:b/>
        </w:rPr>
      </w:pPr>
      <w:r w:rsidRPr="00B7396C">
        <w:rPr>
          <w:b/>
        </w:rPr>
        <w:t>Understanding MTG Students’ Perceptions of Assessment and Feedback</w:t>
      </w:r>
    </w:p>
    <w:p w14:paraId="4029AF7F" w14:textId="71B8B3B7" w:rsidR="000C19A2" w:rsidRDefault="000C19A2" w:rsidP="000C19A2">
      <w:r>
        <w:t xml:space="preserve">For all these reasons it was important for us to work with current and previous students at the MTG Academy to explore how they perceived assessment and feedback, to respond to their </w:t>
      </w:r>
      <w:r w:rsidR="00CD539F">
        <w:t>opinions</w:t>
      </w:r>
      <w:r>
        <w:t xml:space="preserve">, and develop a model that was transparent and understandable to students </w:t>
      </w:r>
      <w:r>
        <w:lastRenderedPageBreak/>
        <w:t>themselves. This is key – assessment must feel meaningful to the students being assessed. They must understand its processes, its vocabulary, its purpose. Without this</w:t>
      </w:r>
      <w:r w:rsidR="00CD539F">
        <w:t>,</w:t>
      </w:r>
      <w:r>
        <w:t xml:space="preserve"> assessment becomes something done to students in a mysterious and almost violent manner. This is the case for all students, and we might consider development</w:t>
      </w:r>
      <w:r w:rsidR="00CD539F">
        <w:t>s</w:t>
      </w:r>
      <w:r>
        <w:t xml:space="preserve"> in inclusive assessment in terms of un</w:t>
      </w:r>
      <w:r w:rsidR="005F4846">
        <w:t>iversal</w:t>
      </w:r>
      <w:r>
        <w:t xml:space="preserve"> design which benefits all users and all people (</w:t>
      </w:r>
      <w:proofErr w:type="spellStart"/>
      <w:r>
        <w:t>Burgstahler</w:t>
      </w:r>
      <w:proofErr w:type="spellEnd"/>
      <w:r>
        <w:t xml:space="preserve"> 2015: 70). </w:t>
      </w:r>
    </w:p>
    <w:p w14:paraId="6A3F9F4C" w14:textId="77777777" w:rsidR="000C19A2" w:rsidRDefault="000C19A2" w:rsidP="00756E20"/>
    <w:p w14:paraId="6FFA42D7" w14:textId="7AA5E6B1" w:rsidR="00B7396C" w:rsidRDefault="00B7396C" w:rsidP="00756E20">
      <w:r>
        <w:t xml:space="preserve">In December 2020, we </w:t>
      </w:r>
      <w:r w:rsidR="000C19A2">
        <w:t xml:space="preserve">therefore </w:t>
      </w:r>
      <w:r>
        <w:t xml:space="preserve">held a focus group with </w:t>
      </w:r>
      <w:r w:rsidR="000C19A2">
        <w:t>three</w:t>
      </w:r>
      <w:r>
        <w:t xml:space="preserve"> current MTG Academy students and </w:t>
      </w:r>
      <w:r w:rsidR="000C19A2">
        <w:t>three</w:t>
      </w:r>
      <w:r>
        <w:t xml:space="preserve"> </w:t>
      </w:r>
      <w:r w:rsidR="000C19A2">
        <w:t xml:space="preserve">learning disabled artists who had completed previous training programmes at MTG. </w:t>
      </w:r>
      <w:r w:rsidR="005F4846">
        <w:t xml:space="preserve">This was </w:t>
      </w:r>
      <w:r>
        <w:t>designed to explore understandings of and attitudes to assessment</w:t>
      </w:r>
      <w:r w:rsidR="005F4846">
        <w:t xml:space="preserve"> and, due to the then ongoing Covid-19 pandemic, took place online. </w:t>
      </w:r>
      <w:r>
        <w:t>It was structured through a series of open prompts, such as asking ‘What does this word make you think about?’ in relation to ‘assessment’ and ‘feedback’. We also asked for previous experiences of assessment, how they felt about being graded, and what made the</w:t>
      </w:r>
      <w:r w:rsidR="005F4846">
        <w:t>m</w:t>
      </w:r>
      <w:r>
        <w:t xml:space="preserve"> try their best as a student. </w:t>
      </w:r>
    </w:p>
    <w:p w14:paraId="39FB87B7" w14:textId="01923DB1" w:rsidR="00121680" w:rsidRDefault="00121680" w:rsidP="00756E20"/>
    <w:p w14:paraId="45C5C45C" w14:textId="57F889D4" w:rsidR="00121680" w:rsidRDefault="00121680" w:rsidP="00756E20">
      <w:r>
        <w:t>The following summarises responses, where possible using direct quotation</w:t>
      </w:r>
      <w:r w:rsidR="00CD539F">
        <w:t>s</w:t>
      </w:r>
      <w:r>
        <w:t xml:space="preserve"> in the language of the participants. </w:t>
      </w:r>
    </w:p>
    <w:p w14:paraId="7506A3B4" w14:textId="1AC316BF" w:rsidR="00B7396C" w:rsidRDefault="00B7396C" w:rsidP="00756E20"/>
    <w:p w14:paraId="260DE861" w14:textId="4C926D1D" w:rsidR="00121680" w:rsidRPr="004E1CE1" w:rsidRDefault="000C19A2" w:rsidP="00121680">
      <w:pPr>
        <w:rPr>
          <w:b/>
          <w:i/>
        </w:rPr>
      </w:pPr>
      <w:r>
        <w:rPr>
          <w:b/>
          <w:i/>
        </w:rPr>
        <w:t>Perceptions</w:t>
      </w:r>
      <w:r w:rsidR="00121680" w:rsidRPr="004E1CE1">
        <w:rPr>
          <w:b/>
          <w:i/>
        </w:rPr>
        <w:t xml:space="preserve"> of </w:t>
      </w:r>
      <w:r>
        <w:rPr>
          <w:b/>
          <w:i/>
        </w:rPr>
        <w:t>A</w:t>
      </w:r>
      <w:r w:rsidR="00121680" w:rsidRPr="004E1CE1">
        <w:rPr>
          <w:b/>
          <w:i/>
        </w:rPr>
        <w:t>ssessment</w:t>
      </w:r>
    </w:p>
    <w:p w14:paraId="7E9892A6" w14:textId="3A8D1228" w:rsidR="00121680" w:rsidRDefault="00121680" w:rsidP="00121680">
      <w:r>
        <w:t>There was a clear understanding of assessment as a process connected to learning. When asked what assessment was replies included:</w:t>
      </w:r>
    </w:p>
    <w:p w14:paraId="3E3EDA19" w14:textId="40E4FA75" w:rsidR="00121680" w:rsidRPr="005E0013" w:rsidRDefault="000C19A2" w:rsidP="00121680">
      <w:pPr>
        <w:ind w:left="720"/>
        <w:rPr>
          <w:i/>
        </w:rPr>
      </w:pPr>
      <w:r>
        <w:rPr>
          <w:i/>
        </w:rPr>
        <w:t>‘O</w:t>
      </w:r>
      <w:r w:rsidR="00121680" w:rsidRPr="005E0013">
        <w:rPr>
          <w:i/>
        </w:rPr>
        <w:t>bserving, about how to make it better, about critical comment.</w:t>
      </w:r>
      <w:r>
        <w:rPr>
          <w:i/>
        </w:rPr>
        <w:t>’</w:t>
      </w:r>
    </w:p>
    <w:p w14:paraId="0C41CB39" w14:textId="7C327AD9" w:rsidR="00121680" w:rsidRPr="005E0013" w:rsidRDefault="000C19A2" w:rsidP="00121680">
      <w:pPr>
        <w:ind w:left="720"/>
        <w:rPr>
          <w:i/>
        </w:rPr>
      </w:pPr>
      <w:r>
        <w:rPr>
          <w:i/>
        </w:rPr>
        <w:t>‘H</w:t>
      </w:r>
      <w:r w:rsidR="00121680" w:rsidRPr="005E0013">
        <w:rPr>
          <w:i/>
        </w:rPr>
        <w:t>ow much you’ve achieved so you can progress further.</w:t>
      </w:r>
      <w:r>
        <w:rPr>
          <w:i/>
        </w:rPr>
        <w:t>’</w:t>
      </w:r>
    </w:p>
    <w:p w14:paraId="531E10E3" w14:textId="07C4A025" w:rsidR="00121680" w:rsidRPr="005E0013" w:rsidRDefault="000C19A2" w:rsidP="00121680">
      <w:pPr>
        <w:ind w:left="720"/>
        <w:rPr>
          <w:i/>
        </w:rPr>
      </w:pPr>
      <w:r>
        <w:rPr>
          <w:i/>
        </w:rPr>
        <w:t>‘O</w:t>
      </w:r>
      <w:r w:rsidR="00121680" w:rsidRPr="005E0013">
        <w:rPr>
          <w:i/>
        </w:rPr>
        <w:t>bserving students and how they are getting on.</w:t>
      </w:r>
      <w:r>
        <w:rPr>
          <w:i/>
        </w:rPr>
        <w:t>’</w:t>
      </w:r>
    </w:p>
    <w:p w14:paraId="437AC3BC" w14:textId="48C597B5" w:rsidR="00121680" w:rsidRPr="005E0013" w:rsidRDefault="000C19A2" w:rsidP="00121680">
      <w:pPr>
        <w:ind w:left="720"/>
        <w:rPr>
          <w:i/>
        </w:rPr>
      </w:pPr>
      <w:r>
        <w:rPr>
          <w:i/>
        </w:rPr>
        <w:t>‘T</w:t>
      </w:r>
      <w:r w:rsidR="00121680" w:rsidRPr="005E0013">
        <w:rPr>
          <w:i/>
        </w:rPr>
        <w:t>hings that you are really good at and things you need to work on.</w:t>
      </w:r>
      <w:r>
        <w:rPr>
          <w:i/>
        </w:rPr>
        <w:t>’</w:t>
      </w:r>
    </w:p>
    <w:p w14:paraId="57B3D305" w14:textId="154EB09C" w:rsidR="00121680" w:rsidRPr="005E0013" w:rsidRDefault="000C19A2" w:rsidP="00121680">
      <w:pPr>
        <w:ind w:left="720"/>
        <w:rPr>
          <w:i/>
        </w:rPr>
      </w:pPr>
      <w:r>
        <w:rPr>
          <w:i/>
        </w:rPr>
        <w:t>‘A</w:t>
      </w:r>
      <w:r w:rsidR="00121680" w:rsidRPr="005E0013">
        <w:rPr>
          <w:i/>
        </w:rPr>
        <w:t>bout feeding back what I can improve on better.</w:t>
      </w:r>
      <w:r>
        <w:rPr>
          <w:i/>
        </w:rPr>
        <w:t>’</w:t>
      </w:r>
    </w:p>
    <w:p w14:paraId="28B34AD9" w14:textId="352D4C03" w:rsidR="00121680" w:rsidRDefault="00121680" w:rsidP="00121680"/>
    <w:p w14:paraId="744EFA30" w14:textId="6F550F96" w:rsidR="00121680" w:rsidRDefault="00121680" w:rsidP="00121680">
      <w:r>
        <w:t>Some participants reported previous negative experiences of assessment</w:t>
      </w:r>
      <w:r w:rsidR="000C19A2">
        <w:t>,</w:t>
      </w:r>
      <w:r>
        <w:t xml:space="preserve"> includ</w:t>
      </w:r>
      <w:r w:rsidR="00CD539F">
        <w:t>ing</w:t>
      </w:r>
      <w:r>
        <w:t xml:space="preserve"> when it felt like personal judgement</w:t>
      </w:r>
      <w:r w:rsidR="000C19A2">
        <w:t xml:space="preserve"> or gave them a sense of failure</w:t>
      </w:r>
      <w:r>
        <w:t>:</w:t>
      </w:r>
    </w:p>
    <w:p w14:paraId="14E0F87A" w14:textId="77777777" w:rsidR="00121680" w:rsidRDefault="00121680" w:rsidP="00121680"/>
    <w:p w14:paraId="15A92FAC" w14:textId="6F96EBB7" w:rsidR="00121680" w:rsidRPr="005E0013" w:rsidRDefault="000C19A2" w:rsidP="00121680">
      <w:pPr>
        <w:ind w:left="720"/>
        <w:rPr>
          <w:i/>
        </w:rPr>
      </w:pPr>
      <w:r>
        <w:rPr>
          <w:i/>
        </w:rPr>
        <w:t>‘</w:t>
      </w:r>
      <w:r w:rsidR="00121680" w:rsidRPr="005E0013">
        <w:rPr>
          <w:i/>
        </w:rPr>
        <w:t>Fail makes me feel like I’m useless.</w:t>
      </w:r>
      <w:r>
        <w:rPr>
          <w:i/>
        </w:rPr>
        <w:t>’</w:t>
      </w:r>
    </w:p>
    <w:p w14:paraId="16969AAD" w14:textId="50FE55A2" w:rsidR="00121680" w:rsidRPr="005E0013" w:rsidRDefault="000C19A2" w:rsidP="00121680">
      <w:pPr>
        <w:ind w:left="720"/>
        <w:rPr>
          <w:i/>
        </w:rPr>
      </w:pPr>
      <w:r>
        <w:rPr>
          <w:i/>
        </w:rPr>
        <w:t>‘</w:t>
      </w:r>
      <w:r w:rsidR="00121680" w:rsidRPr="005E0013">
        <w:rPr>
          <w:i/>
        </w:rPr>
        <w:t>You’re not</w:t>
      </w:r>
      <w:r w:rsidR="005F4846">
        <w:rPr>
          <w:i/>
        </w:rPr>
        <w:t>.</w:t>
      </w:r>
      <w:r>
        <w:rPr>
          <w:i/>
        </w:rPr>
        <w:t>’</w:t>
      </w:r>
    </w:p>
    <w:p w14:paraId="2AB89360" w14:textId="4827FE2B" w:rsidR="00121680" w:rsidRPr="005E0013" w:rsidRDefault="000C19A2" w:rsidP="00121680">
      <w:pPr>
        <w:ind w:left="720"/>
        <w:rPr>
          <w:i/>
        </w:rPr>
      </w:pPr>
      <w:r>
        <w:rPr>
          <w:i/>
        </w:rPr>
        <w:t>‘</w:t>
      </w:r>
      <w:r w:rsidR="00121680" w:rsidRPr="005E0013">
        <w:rPr>
          <w:i/>
        </w:rPr>
        <w:t>I know, but you know what I’m like</w:t>
      </w:r>
      <w:r w:rsidR="005F4846">
        <w:rPr>
          <w:i/>
        </w:rPr>
        <w:t>.</w:t>
      </w:r>
      <w:r>
        <w:rPr>
          <w:i/>
        </w:rPr>
        <w:t>’</w:t>
      </w:r>
    </w:p>
    <w:p w14:paraId="05FA8A04" w14:textId="77777777" w:rsidR="00121680" w:rsidRPr="005E0013" w:rsidRDefault="00121680" w:rsidP="00121680">
      <w:pPr>
        <w:ind w:left="720"/>
        <w:rPr>
          <w:i/>
        </w:rPr>
      </w:pPr>
    </w:p>
    <w:p w14:paraId="778D8182" w14:textId="55D0126E" w:rsidR="00121680" w:rsidRPr="005E0013" w:rsidRDefault="000C19A2" w:rsidP="00121680">
      <w:pPr>
        <w:ind w:left="720"/>
        <w:rPr>
          <w:i/>
        </w:rPr>
      </w:pPr>
      <w:r>
        <w:rPr>
          <w:i/>
        </w:rPr>
        <w:t>‘</w:t>
      </w:r>
      <w:r w:rsidR="00121680" w:rsidRPr="005E0013">
        <w:rPr>
          <w:i/>
        </w:rPr>
        <w:t>Fail is to me, if I’ve failed, it makes me upset. Like I have to start over from the beginning again.</w:t>
      </w:r>
      <w:r>
        <w:rPr>
          <w:i/>
        </w:rPr>
        <w:t>’</w:t>
      </w:r>
    </w:p>
    <w:p w14:paraId="25C9ECD4" w14:textId="20000FE0" w:rsidR="00121680" w:rsidRDefault="00121680" w:rsidP="00121680"/>
    <w:p w14:paraId="3D6DD992" w14:textId="5EE12327" w:rsidR="00121680" w:rsidRDefault="00121680" w:rsidP="00121680">
      <w:r>
        <w:t>The</w:t>
      </w:r>
      <w:r w:rsidR="000C19A2">
        <w:t xml:space="preserve"> subsequent</w:t>
      </w:r>
      <w:r>
        <w:t xml:space="preserve"> discussion underscored how assessment can feel distant and alien, something which is imposed upon an individual without their full understanding of the processes. In contrast positive experiences of assessment were reported when it felt more directly connected to the individual, particularly in terms of personal goals and achievement that student</w:t>
      </w:r>
      <w:r w:rsidR="00CD539F">
        <w:t>s</w:t>
      </w:r>
      <w:r>
        <w:t xml:space="preserve"> can recognise themselves. The two quotations below offer a useful comparison of these distant relationships to assessment, one taking place at MTG and one previously at college:</w:t>
      </w:r>
    </w:p>
    <w:p w14:paraId="2307648E" w14:textId="6DA960D1" w:rsidR="00121680" w:rsidRDefault="00121680" w:rsidP="00121680"/>
    <w:tbl>
      <w:tblPr>
        <w:tblStyle w:val="TableGrid"/>
        <w:tblW w:w="0" w:type="auto"/>
        <w:tblLook w:val="04A0" w:firstRow="1" w:lastRow="0" w:firstColumn="1" w:lastColumn="0" w:noHBand="0" w:noVBand="1"/>
      </w:tblPr>
      <w:tblGrid>
        <w:gridCol w:w="4505"/>
        <w:gridCol w:w="4505"/>
      </w:tblGrid>
      <w:tr w:rsidR="00121680" w:rsidRPr="00CD539F" w14:paraId="3DBF7CC9" w14:textId="77777777" w:rsidTr="00121680">
        <w:tc>
          <w:tcPr>
            <w:tcW w:w="4505" w:type="dxa"/>
          </w:tcPr>
          <w:p w14:paraId="418B171A" w14:textId="37F1002A" w:rsidR="00121680" w:rsidRPr="00CD539F" w:rsidRDefault="00121680" w:rsidP="00121680">
            <w:pPr>
              <w:rPr>
                <w:b/>
              </w:rPr>
            </w:pPr>
            <w:r w:rsidRPr="00CD539F">
              <w:rPr>
                <w:b/>
              </w:rPr>
              <w:t>Experience of Assessment at MTG</w:t>
            </w:r>
          </w:p>
        </w:tc>
        <w:tc>
          <w:tcPr>
            <w:tcW w:w="4505" w:type="dxa"/>
          </w:tcPr>
          <w:p w14:paraId="100227D9" w14:textId="1829CEA8" w:rsidR="00121680" w:rsidRPr="00CD539F" w:rsidRDefault="00121680" w:rsidP="00121680">
            <w:pPr>
              <w:rPr>
                <w:b/>
              </w:rPr>
            </w:pPr>
            <w:r w:rsidRPr="00CD539F">
              <w:rPr>
                <w:b/>
              </w:rPr>
              <w:t>Previous Experience of Assessment</w:t>
            </w:r>
          </w:p>
        </w:tc>
      </w:tr>
      <w:tr w:rsidR="00121680" w14:paraId="7FF76928" w14:textId="77777777" w:rsidTr="00121680">
        <w:tc>
          <w:tcPr>
            <w:tcW w:w="4505" w:type="dxa"/>
          </w:tcPr>
          <w:p w14:paraId="7622F366" w14:textId="0E1B3828" w:rsidR="00121680" w:rsidRDefault="000C19A2" w:rsidP="00121680">
            <w:r>
              <w:rPr>
                <w:i/>
              </w:rPr>
              <w:lastRenderedPageBreak/>
              <w:t>‘</w:t>
            </w:r>
            <w:r w:rsidR="00121680" w:rsidRPr="005E0013">
              <w:rPr>
                <w:i/>
              </w:rPr>
              <w:t>We have evaluations at the end of the year. And I like that. It is things you need to work on, like your goals. I like them, because it means I’ve set myself a goal.</w:t>
            </w:r>
            <w:r>
              <w:rPr>
                <w:i/>
              </w:rPr>
              <w:t>’</w:t>
            </w:r>
          </w:p>
        </w:tc>
        <w:tc>
          <w:tcPr>
            <w:tcW w:w="4505" w:type="dxa"/>
          </w:tcPr>
          <w:p w14:paraId="231499D5" w14:textId="375E7CD9" w:rsidR="00121680" w:rsidRPr="005E0013" w:rsidRDefault="000C19A2" w:rsidP="00121680">
            <w:pPr>
              <w:rPr>
                <w:i/>
              </w:rPr>
            </w:pPr>
            <w:r>
              <w:rPr>
                <w:i/>
              </w:rPr>
              <w:t>‘</w:t>
            </w:r>
            <w:r w:rsidR="00121680" w:rsidRPr="005E0013">
              <w:rPr>
                <w:i/>
              </w:rPr>
              <w:t>When I was at college and being watched by somebody writing things down I get really nervous in case I fail. I feel a bit put off, I get a little paranoid about what they are writing down. […] I feel like they are watching. To try and put me off to make me fail.</w:t>
            </w:r>
            <w:r>
              <w:rPr>
                <w:i/>
              </w:rPr>
              <w:t>’</w:t>
            </w:r>
          </w:p>
          <w:p w14:paraId="35E07BBA" w14:textId="77777777" w:rsidR="00121680" w:rsidRDefault="00121680" w:rsidP="00121680"/>
        </w:tc>
      </w:tr>
      <w:tr w:rsidR="00121680" w14:paraId="3B1A6FAE" w14:textId="77777777" w:rsidTr="00121680">
        <w:tc>
          <w:tcPr>
            <w:tcW w:w="4505" w:type="dxa"/>
          </w:tcPr>
          <w:p w14:paraId="512330C9" w14:textId="414E9B0D" w:rsidR="00CD539F" w:rsidRDefault="00121680" w:rsidP="00121680">
            <w:r>
              <w:t>Key characteristic</w:t>
            </w:r>
            <w:r w:rsidR="005F4846">
              <w:t>s</w:t>
            </w:r>
            <w:r>
              <w:t xml:space="preserve">: </w:t>
            </w:r>
          </w:p>
          <w:p w14:paraId="518A1486" w14:textId="2515D1ED" w:rsidR="00121680" w:rsidRDefault="00121680" w:rsidP="00121680">
            <w:r>
              <w:t xml:space="preserve">personal; constructive, understood. </w:t>
            </w:r>
          </w:p>
        </w:tc>
        <w:tc>
          <w:tcPr>
            <w:tcW w:w="4505" w:type="dxa"/>
          </w:tcPr>
          <w:p w14:paraId="0EC48B04" w14:textId="77777777" w:rsidR="00CD539F" w:rsidRDefault="00121680" w:rsidP="00121680">
            <w:r>
              <w:t xml:space="preserve">Key characteristics: </w:t>
            </w:r>
          </w:p>
          <w:p w14:paraId="39422F39" w14:textId="7E0E89AC" w:rsidR="00121680" w:rsidRDefault="00121680" w:rsidP="00121680">
            <w:r>
              <w:t xml:space="preserve">distant, unconstructive, non-transparent. </w:t>
            </w:r>
          </w:p>
        </w:tc>
      </w:tr>
    </w:tbl>
    <w:p w14:paraId="014B2D1E" w14:textId="39EF0C4B" w:rsidR="00121680" w:rsidRPr="000A1A71" w:rsidRDefault="00121680" w:rsidP="00121680">
      <w:pPr>
        <w:rPr>
          <w:u w:val="single"/>
        </w:rPr>
      </w:pPr>
    </w:p>
    <w:p w14:paraId="3C0E99E9" w14:textId="1627D288" w:rsidR="00121680" w:rsidRDefault="00121680" w:rsidP="00121680">
      <w:r>
        <w:t>Assessment was most appreciated, valued and understood when it was connected to achievement of goals. In this context ‘failure’ was understood as not being personal, but indicating a need for patience and to try again</w:t>
      </w:r>
      <w:r w:rsidR="005F4846">
        <w:t>:</w:t>
      </w:r>
      <w:r>
        <w:t xml:space="preserve"> </w:t>
      </w:r>
    </w:p>
    <w:p w14:paraId="16881FC1" w14:textId="77777777" w:rsidR="00121680" w:rsidRPr="005E0013" w:rsidRDefault="00121680" w:rsidP="00121680">
      <w:pPr>
        <w:rPr>
          <w:i/>
        </w:rPr>
      </w:pPr>
    </w:p>
    <w:p w14:paraId="7F36FA0A" w14:textId="582E1922" w:rsidR="00121680" w:rsidRPr="005E0013" w:rsidRDefault="000C19A2" w:rsidP="00121680">
      <w:pPr>
        <w:ind w:left="720"/>
        <w:rPr>
          <w:i/>
        </w:rPr>
      </w:pPr>
      <w:r>
        <w:rPr>
          <w:i/>
        </w:rPr>
        <w:t>‘</w:t>
      </w:r>
      <w:r w:rsidR="00121680" w:rsidRPr="005E0013">
        <w:rPr>
          <w:i/>
        </w:rPr>
        <w:t xml:space="preserve">If you keep passing everything then you never learn. I failed. I did auditions for </w:t>
      </w:r>
      <w:proofErr w:type="spellStart"/>
      <w:r w:rsidR="00121680" w:rsidRPr="005E0013">
        <w:rPr>
          <w:i/>
        </w:rPr>
        <w:t>Hollyoaks</w:t>
      </w:r>
      <w:proofErr w:type="spellEnd"/>
      <w:r w:rsidR="00121680" w:rsidRPr="005E0013">
        <w:rPr>
          <w:i/>
        </w:rPr>
        <w:t>, and then I never heard from them, and does that mean I’ve failed or what</w:t>
      </w:r>
      <w:r w:rsidR="005F4846">
        <w:rPr>
          <w:i/>
        </w:rPr>
        <w:t>?</w:t>
      </w:r>
      <w:r w:rsidR="00121680" w:rsidRPr="005E0013">
        <w:rPr>
          <w:i/>
        </w:rPr>
        <w:t xml:space="preserve"> Failing is not always a bad thing, you can learn from your fails.</w:t>
      </w:r>
      <w:r>
        <w:rPr>
          <w:i/>
        </w:rPr>
        <w:t>’</w:t>
      </w:r>
    </w:p>
    <w:p w14:paraId="7B23440C" w14:textId="77777777" w:rsidR="00121680" w:rsidRDefault="00121680" w:rsidP="00121680">
      <w:pPr>
        <w:ind w:left="720"/>
      </w:pPr>
    </w:p>
    <w:p w14:paraId="12F6684A" w14:textId="1C93BF76" w:rsidR="00121680" w:rsidRPr="004E1CE1" w:rsidRDefault="000C19A2" w:rsidP="00121680">
      <w:pPr>
        <w:rPr>
          <w:b/>
          <w:i/>
        </w:rPr>
      </w:pPr>
      <w:r>
        <w:rPr>
          <w:b/>
          <w:i/>
        </w:rPr>
        <w:t>Perceptions</w:t>
      </w:r>
      <w:r w:rsidR="00F705C2" w:rsidRPr="004E1CE1">
        <w:rPr>
          <w:b/>
          <w:i/>
        </w:rPr>
        <w:t xml:space="preserve"> of Feedback</w:t>
      </w:r>
    </w:p>
    <w:p w14:paraId="68D4897B" w14:textId="7D091D39" w:rsidR="00F705C2" w:rsidRDefault="00F705C2" w:rsidP="00121680">
      <w:r>
        <w:t>As actors, musicians</w:t>
      </w:r>
      <w:r w:rsidR="00CD539F">
        <w:t xml:space="preserve"> and </w:t>
      </w:r>
      <w:r>
        <w:t xml:space="preserve">dancers, MTG students have repeated experiences of processes of presenting work and receiving feedback designed to improve and develop their performance. It was noticeable in the focus group that they had a strong understanding of the value of feedback in this context. They valued feedback when it was connected to achievement of goals and personal objectives, even if it might be critical. </w:t>
      </w:r>
      <w:r w:rsidR="000C19A2">
        <w:t>Here are</w:t>
      </w:r>
      <w:r>
        <w:t xml:space="preserve"> two examples illustrative of this recurring theme: </w:t>
      </w:r>
    </w:p>
    <w:p w14:paraId="6EB9C6B4" w14:textId="6808DA2E" w:rsidR="00F705C2" w:rsidRDefault="00F705C2" w:rsidP="00121680"/>
    <w:p w14:paraId="75D36524" w14:textId="2795922A" w:rsidR="00F705C2" w:rsidRPr="00F705C2" w:rsidRDefault="000C19A2" w:rsidP="00F705C2">
      <w:pPr>
        <w:ind w:left="720"/>
        <w:rPr>
          <w:i/>
        </w:rPr>
      </w:pPr>
      <w:r>
        <w:rPr>
          <w:i/>
        </w:rPr>
        <w:t>‘</w:t>
      </w:r>
      <w:r w:rsidR="00F705C2" w:rsidRPr="00F705C2">
        <w:rPr>
          <w:i/>
        </w:rPr>
        <w:t>With feedback it makes you learn from your mistake, so if you get some feedback that is negative, things like critical, then you can learn from that feedback and you can continue again and make some changes and then you can get better and improve move.</w:t>
      </w:r>
      <w:r>
        <w:rPr>
          <w:i/>
        </w:rPr>
        <w:t>’</w:t>
      </w:r>
      <w:r w:rsidR="00F705C2" w:rsidRPr="00F705C2">
        <w:rPr>
          <w:i/>
        </w:rPr>
        <w:t xml:space="preserve"> </w:t>
      </w:r>
    </w:p>
    <w:p w14:paraId="7352CA71" w14:textId="77777777" w:rsidR="00F705C2" w:rsidRPr="005E0013" w:rsidRDefault="00F705C2" w:rsidP="00F705C2">
      <w:pPr>
        <w:ind w:left="720"/>
        <w:rPr>
          <w:i/>
        </w:rPr>
      </w:pPr>
    </w:p>
    <w:p w14:paraId="4A2D3724" w14:textId="7D74A2DD" w:rsidR="00F705C2" w:rsidRPr="005E0013" w:rsidRDefault="000C19A2" w:rsidP="00F705C2">
      <w:pPr>
        <w:ind w:left="720"/>
        <w:rPr>
          <w:i/>
        </w:rPr>
      </w:pPr>
      <w:r>
        <w:rPr>
          <w:i/>
        </w:rPr>
        <w:t>‘</w:t>
      </w:r>
      <w:r w:rsidR="00F705C2" w:rsidRPr="005E0013">
        <w:rPr>
          <w:i/>
        </w:rPr>
        <w:t>Feedback is not just things you can improve on, but also on things that you are really good at. And it gives you an explanation as to why it was good.</w:t>
      </w:r>
      <w:r>
        <w:rPr>
          <w:i/>
        </w:rPr>
        <w:t>’</w:t>
      </w:r>
    </w:p>
    <w:p w14:paraId="36A6FB0A" w14:textId="77777777" w:rsidR="00F705C2" w:rsidRDefault="00F705C2" w:rsidP="00121680"/>
    <w:p w14:paraId="494C55A8" w14:textId="1101704B" w:rsidR="00B7396C" w:rsidRPr="00F705C2" w:rsidRDefault="00F705C2" w:rsidP="00756E20">
      <w:pPr>
        <w:rPr>
          <w:b/>
        </w:rPr>
      </w:pPr>
      <w:r w:rsidRPr="00F705C2">
        <w:rPr>
          <w:b/>
        </w:rPr>
        <w:t>Proposing a Model for Assessment</w:t>
      </w:r>
    </w:p>
    <w:p w14:paraId="6F6BDAF9" w14:textId="3702E5CF" w:rsidR="00A0357F" w:rsidRDefault="00F705C2">
      <w:r>
        <w:t xml:space="preserve">From this first focus group we worked on a model of assessment that </w:t>
      </w:r>
      <w:r w:rsidR="00CD539F">
        <w:t>includ</w:t>
      </w:r>
      <w:r w:rsidR="00617462">
        <w:t>ed</w:t>
      </w:r>
      <w:r>
        <w:t xml:space="preserve"> the following key elements:</w:t>
      </w:r>
    </w:p>
    <w:p w14:paraId="5FE5D34A" w14:textId="3DACED44" w:rsidR="00F705C2" w:rsidRDefault="00F705C2" w:rsidP="00F705C2">
      <w:pPr>
        <w:pStyle w:val="ListParagraph"/>
        <w:numPr>
          <w:ilvl w:val="0"/>
          <w:numId w:val="2"/>
        </w:numPr>
      </w:pPr>
      <w:r>
        <w:t xml:space="preserve">Is focused on process and the development of a ‘living portfolio’ of practice. </w:t>
      </w:r>
    </w:p>
    <w:p w14:paraId="0EE7B64C" w14:textId="77777777" w:rsidR="00F705C2" w:rsidRDefault="00F705C2" w:rsidP="00F705C2">
      <w:pPr>
        <w:pStyle w:val="ListParagraph"/>
        <w:numPr>
          <w:ilvl w:val="0"/>
          <w:numId w:val="2"/>
        </w:numPr>
      </w:pPr>
      <w:r>
        <w:t xml:space="preserve">Is focused on individual achievement, and each individual’s ability to recognise their own achievement. </w:t>
      </w:r>
    </w:p>
    <w:p w14:paraId="6A49311D" w14:textId="2F5EC83B" w:rsidR="00F705C2" w:rsidRDefault="00F705C2" w:rsidP="00F705C2">
      <w:pPr>
        <w:pStyle w:val="ListParagraph"/>
        <w:numPr>
          <w:ilvl w:val="0"/>
          <w:numId w:val="2"/>
        </w:numPr>
      </w:pPr>
      <w:r>
        <w:t xml:space="preserve">That avoids terminal language or concepts (such as pass/fail) but which does recognise progress, achievement and success. </w:t>
      </w:r>
    </w:p>
    <w:p w14:paraId="2A00010B" w14:textId="77777777" w:rsidR="000C19A2" w:rsidRDefault="000C19A2" w:rsidP="00F705C2">
      <w:pPr>
        <w:rPr>
          <w:b/>
          <w:i/>
          <w:highlight w:val="yellow"/>
        </w:rPr>
      </w:pPr>
    </w:p>
    <w:p w14:paraId="4B76E40D" w14:textId="20B77EC7" w:rsidR="000C19A2" w:rsidRDefault="000C19A2" w:rsidP="00F705C2">
      <w:r>
        <w:t xml:space="preserve">From this we developed an inclusive assessment format and a bespoke assessment criteria and matrix. </w:t>
      </w:r>
    </w:p>
    <w:p w14:paraId="3A875FB3" w14:textId="77777777" w:rsidR="000C19A2" w:rsidRPr="000C19A2" w:rsidRDefault="000C19A2" w:rsidP="00F705C2"/>
    <w:p w14:paraId="623458BF" w14:textId="5D34BE56" w:rsidR="00F705C2" w:rsidRPr="004E1CE1" w:rsidRDefault="004B0740" w:rsidP="00F705C2">
      <w:pPr>
        <w:rPr>
          <w:b/>
          <w:i/>
        </w:rPr>
      </w:pPr>
      <w:r w:rsidRPr="000C19A2">
        <w:rPr>
          <w:b/>
          <w:i/>
        </w:rPr>
        <w:lastRenderedPageBreak/>
        <w:t>The Living Portfolio</w:t>
      </w:r>
    </w:p>
    <w:p w14:paraId="5C01F47F" w14:textId="0A512B45" w:rsidR="003B1CD6" w:rsidRDefault="00612F1D" w:rsidP="003B1CD6">
      <w:r>
        <w:t xml:space="preserve">Following the introduction of the 2001 Special Educational Needs and Disability Act, universities have increasingly engaged with forms of inclusive assessment. However, there often remains a sense of </w:t>
      </w:r>
      <w:r w:rsidR="00CD539F">
        <w:t>‘</w:t>
      </w:r>
      <w:r>
        <w:t>standard</w:t>
      </w:r>
      <w:r w:rsidR="00CD539F">
        <w:t>’</w:t>
      </w:r>
      <w:r>
        <w:t xml:space="preserve"> or default </w:t>
      </w:r>
      <w:r w:rsidR="00CD539F">
        <w:t xml:space="preserve">assessments that are the norm </w:t>
      </w:r>
      <w:r>
        <w:t xml:space="preserve">and a series of alternatives or compensations that can be offered as alternatives. </w:t>
      </w:r>
      <w:r w:rsidR="000C19A2">
        <w:t xml:space="preserve">Waterfield and West </w:t>
      </w:r>
      <w:r>
        <w:t xml:space="preserve">identify </w:t>
      </w:r>
      <w:r w:rsidR="003B1CD6">
        <w:t>three primary approaches to making assessment more inclusive:</w:t>
      </w:r>
    </w:p>
    <w:p w14:paraId="520D9556" w14:textId="77777777" w:rsidR="003B1CD6" w:rsidRDefault="003B1CD6" w:rsidP="003B1CD6"/>
    <w:p w14:paraId="6E26DEFA" w14:textId="77777777" w:rsidR="003B1CD6" w:rsidRDefault="003B1CD6" w:rsidP="003B1CD6">
      <w:pPr>
        <w:pStyle w:val="ListParagraph"/>
        <w:numPr>
          <w:ilvl w:val="0"/>
          <w:numId w:val="1"/>
        </w:numPr>
      </w:pPr>
      <w:r>
        <w:t>Contingent approach – making special arrangements, ‘a form of assimilation into an existing system’ (15)</w:t>
      </w:r>
    </w:p>
    <w:p w14:paraId="64451BBF" w14:textId="38F705B8" w:rsidR="003B1CD6" w:rsidRDefault="003B1CD6" w:rsidP="003B1CD6">
      <w:pPr>
        <w:pStyle w:val="ListParagraph"/>
        <w:numPr>
          <w:ilvl w:val="0"/>
          <w:numId w:val="1"/>
        </w:numPr>
      </w:pPr>
      <w:r>
        <w:t xml:space="preserve">Alternative approach – offering alternative possibilities, thereby ‘reproducing the notion of </w:t>
      </w:r>
      <w:r w:rsidR="000C19A2">
        <w:t>‘</w:t>
      </w:r>
      <w:r>
        <w:t>disabled</w:t>
      </w:r>
      <w:r w:rsidR="000C19A2">
        <w:t>’</w:t>
      </w:r>
      <w:r>
        <w:t xml:space="preserve"> as </w:t>
      </w:r>
      <w:r w:rsidR="000C19A2">
        <w:t>‘</w:t>
      </w:r>
      <w:r>
        <w:t>different</w:t>
      </w:r>
      <w:r w:rsidR="000C19A2">
        <w:t>’</w:t>
      </w:r>
      <w:r>
        <w:t>’ (18)</w:t>
      </w:r>
    </w:p>
    <w:p w14:paraId="4A466333" w14:textId="77777777" w:rsidR="003B1CD6" w:rsidRDefault="003B1CD6" w:rsidP="003B1CD6">
      <w:pPr>
        <w:pStyle w:val="ListParagraph"/>
        <w:numPr>
          <w:ilvl w:val="0"/>
          <w:numId w:val="1"/>
        </w:numPr>
      </w:pPr>
      <w:r>
        <w:t xml:space="preserve">Inclusive approach – offering all opportunities to all students (19). </w:t>
      </w:r>
    </w:p>
    <w:p w14:paraId="32217C6C" w14:textId="77777777" w:rsidR="003B1CD6" w:rsidRDefault="003B1CD6" w:rsidP="00F705C2"/>
    <w:p w14:paraId="2B8F5AF8" w14:textId="32E5299C" w:rsidR="00612F1D" w:rsidRDefault="00612F1D" w:rsidP="00612F1D">
      <w:r>
        <w:t xml:space="preserve">With the MTG Academy the default position would be the inclusive approach, taking on board Brown and </w:t>
      </w:r>
      <w:proofErr w:type="spellStart"/>
      <w:r>
        <w:t>Broido</w:t>
      </w:r>
      <w:proofErr w:type="spellEnd"/>
      <w:r>
        <w:t xml:space="preserve"> observations that ‘</w:t>
      </w:r>
      <w:r w:rsidRPr="000E4ED9">
        <w:t xml:space="preserve">practitioners need to expect that students will use multiple </w:t>
      </w:r>
      <w:r w:rsidRPr="000E4ED9">
        <w:t>means of communication to engage with assessment</w:t>
      </w:r>
      <w:r>
        <w:t>’ (2020, np). We were fortunate that, loc</w:t>
      </w:r>
      <w:r>
        <w:t xml:space="preserve">ated within the performing arts, </w:t>
      </w:r>
      <w:r w:rsidR="00CD539F">
        <w:t>university programmes</w:t>
      </w:r>
      <w:r>
        <w:t xml:space="preserve"> </w:t>
      </w:r>
      <w:r w:rsidR="00CD539F">
        <w:t>had</w:t>
      </w:r>
      <w:r>
        <w:t xml:space="preserve"> long embraced other forms of knowing and communicating beyond the formal and the written. </w:t>
      </w:r>
    </w:p>
    <w:p w14:paraId="5A76106D" w14:textId="09533FBA" w:rsidR="0016482B" w:rsidRDefault="0016482B" w:rsidP="00F705C2"/>
    <w:p w14:paraId="1873960C" w14:textId="3AD9BEBE" w:rsidR="0016482B" w:rsidRPr="00612F1D" w:rsidRDefault="00612F1D" w:rsidP="0016482B">
      <w:pPr>
        <w:rPr>
          <w:lang w:val="en-AU"/>
        </w:rPr>
      </w:pPr>
      <w:r>
        <w:rPr>
          <w:lang w:val="en-AU"/>
        </w:rPr>
        <w:t xml:space="preserve">Within the new Cert HE all the </w:t>
      </w:r>
      <w:r w:rsidR="0016482B" w:rsidRPr="0016482B">
        <w:rPr>
          <w:lang w:val="en-AU"/>
        </w:rPr>
        <w:t>modules will follow a ‘portfolio’ mod</w:t>
      </w:r>
      <w:r w:rsidR="00617462">
        <w:rPr>
          <w:lang w:val="en-AU"/>
        </w:rPr>
        <w:t>el</w:t>
      </w:r>
      <w:r w:rsidR="0016482B" w:rsidRPr="0016482B">
        <w:rPr>
          <w:lang w:val="en-AU"/>
        </w:rPr>
        <w:t xml:space="preserve">, featuring </w:t>
      </w:r>
      <w:r w:rsidR="00617462">
        <w:rPr>
          <w:lang w:val="en-AU"/>
        </w:rPr>
        <w:t xml:space="preserve">multiple </w:t>
      </w:r>
      <w:r w:rsidR="0016482B" w:rsidRPr="0016482B">
        <w:rPr>
          <w:lang w:val="en-AU"/>
        </w:rPr>
        <w:t xml:space="preserve">moments of assessment that take place within modules. These might include informal </w:t>
      </w:r>
      <w:proofErr w:type="spellStart"/>
      <w:r w:rsidR="0016482B" w:rsidRPr="0016482B">
        <w:rPr>
          <w:lang w:val="en-AU"/>
        </w:rPr>
        <w:t>sharings</w:t>
      </w:r>
      <w:proofErr w:type="spellEnd"/>
      <w:r>
        <w:rPr>
          <w:lang w:val="en-AU"/>
        </w:rPr>
        <w:t xml:space="preserve"> of workshop material,</w:t>
      </w:r>
      <w:r w:rsidR="0016482B" w:rsidRPr="0016482B">
        <w:rPr>
          <w:lang w:val="en-AU"/>
        </w:rPr>
        <w:t xml:space="preserve"> performance</w:t>
      </w:r>
      <w:r>
        <w:rPr>
          <w:lang w:val="en-AU"/>
        </w:rPr>
        <w:t xml:space="preserve"> or</w:t>
      </w:r>
      <w:r w:rsidR="0016482B" w:rsidRPr="0016482B">
        <w:rPr>
          <w:lang w:val="en-AU"/>
        </w:rPr>
        <w:t xml:space="preserve"> presentations, individual and group reflections</w:t>
      </w:r>
      <w:r>
        <w:rPr>
          <w:lang w:val="en-AU"/>
        </w:rPr>
        <w:t xml:space="preserve"> within journals or spoken vivas. </w:t>
      </w:r>
      <w:r w:rsidR="0016482B" w:rsidRPr="0016482B">
        <w:rPr>
          <w:lang w:val="en-AU"/>
        </w:rPr>
        <w:t>Through following a portfolio mod</w:t>
      </w:r>
      <w:r w:rsidR="00B018FF">
        <w:rPr>
          <w:lang w:val="en-AU"/>
        </w:rPr>
        <w:t>el</w:t>
      </w:r>
      <w:r w:rsidR="0016482B" w:rsidRPr="0016482B">
        <w:rPr>
          <w:lang w:val="en-AU"/>
        </w:rPr>
        <w:t xml:space="preserve">, </w:t>
      </w:r>
      <w:r>
        <w:rPr>
          <w:lang w:val="en-AU"/>
        </w:rPr>
        <w:t xml:space="preserve">the programme </w:t>
      </w:r>
      <w:r w:rsidR="0016482B" w:rsidRPr="0016482B">
        <w:rPr>
          <w:lang w:val="en-AU"/>
        </w:rPr>
        <w:t>avoid</w:t>
      </w:r>
      <w:r w:rsidR="00B018FF">
        <w:rPr>
          <w:lang w:val="en-AU"/>
        </w:rPr>
        <w:t>s</w:t>
      </w:r>
      <w:r w:rsidR="0016482B" w:rsidRPr="0016482B">
        <w:rPr>
          <w:lang w:val="en-AU"/>
        </w:rPr>
        <w:t xml:space="preserve"> the stress and ‘cliff-edge’ feeling of putting the entire weight of assessment on a final or single point. Through building assessment into modules, we will also offer multiple opportunities for formative feedback and reflection. </w:t>
      </w:r>
      <w:r w:rsidR="00B018FF">
        <w:rPr>
          <w:lang w:val="en-AU"/>
        </w:rPr>
        <w:t>This approach reflects good practice that is already taking place within performing arts pedagogy.</w:t>
      </w:r>
    </w:p>
    <w:p w14:paraId="4647B961" w14:textId="77777777" w:rsidR="00617462" w:rsidRDefault="00617462" w:rsidP="00617462">
      <w:r>
        <w:t>The assessment format we established for MTG Academy therefore feels very much like a natural extension of the direction of travel already in place at York St John University – providing a set of learning outcomes against which students can evidence their learning in a wide variety of manners and forms.</w:t>
      </w:r>
    </w:p>
    <w:p w14:paraId="7A7160BB" w14:textId="6A98CCF5" w:rsidR="004B0740" w:rsidRDefault="004B0740" w:rsidP="00F705C2"/>
    <w:p w14:paraId="02FBC9EB" w14:textId="7B6DC2C4" w:rsidR="004B0740" w:rsidRPr="004E1CE1" w:rsidRDefault="004B0740" w:rsidP="00F705C2">
      <w:pPr>
        <w:rPr>
          <w:b/>
          <w:i/>
        </w:rPr>
      </w:pPr>
      <w:r w:rsidRPr="004E1CE1">
        <w:rPr>
          <w:b/>
          <w:i/>
        </w:rPr>
        <w:t>Assessment Matrix and Grading Criteria</w:t>
      </w:r>
    </w:p>
    <w:p w14:paraId="34359301" w14:textId="5F04E7A3" w:rsidR="00A0357F" w:rsidRDefault="00B018FF">
      <w:r>
        <w:t>More radically, w</w:t>
      </w:r>
      <w:r w:rsidR="004B0740">
        <w:t xml:space="preserve">e also </w:t>
      </w:r>
      <w:r w:rsidR="00612F1D">
        <w:t>adopted</w:t>
      </w:r>
      <w:r w:rsidR="004B0740">
        <w:t xml:space="preserve"> a bespoke assessment matrix and grading criteria</w:t>
      </w:r>
      <w:r>
        <w:t xml:space="preserve">, with the ambition of establishing a framework that would be </w:t>
      </w:r>
      <w:r w:rsidR="004B0740">
        <w:t>accessible and meaningful to MTG students</w:t>
      </w:r>
      <w:r>
        <w:t>. This framework</w:t>
      </w:r>
      <w:r w:rsidR="00612F1D">
        <w:t xml:space="preserve"> emerged from the first focus group </w:t>
      </w:r>
      <w:r w:rsidR="00617462">
        <w:t>and took the form of a</w:t>
      </w:r>
      <w:r w:rsidR="004B0740">
        <w:t xml:space="preserve"> three-point scale to describe students’ attainment: </w:t>
      </w:r>
    </w:p>
    <w:p w14:paraId="3CB6D430" w14:textId="4CF70E9A" w:rsidR="004B0740" w:rsidRDefault="004B0740"/>
    <w:p w14:paraId="316B066F" w14:textId="77777777" w:rsidR="00B018FF" w:rsidRDefault="004B0740" w:rsidP="004B0740">
      <w:pPr>
        <w:pStyle w:val="ListParagraph"/>
        <w:numPr>
          <w:ilvl w:val="0"/>
          <w:numId w:val="3"/>
        </w:numPr>
      </w:pPr>
      <w:r w:rsidRPr="0016482B">
        <w:rPr>
          <w:b/>
        </w:rPr>
        <w:t>Improving</w:t>
      </w:r>
      <w:r>
        <w:t xml:space="preserve">; </w:t>
      </w:r>
    </w:p>
    <w:p w14:paraId="12F81903" w14:textId="77777777" w:rsidR="00B018FF" w:rsidRDefault="004B0740" w:rsidP="004B0740">
      <w:pPr>
        <w:pStyle w:val="ListParagraph"/>
        <w:numPr>
          <w:ilvl w:val="0"/>
          <w:numId w:val="3"/>
        </w:numPr>
      </w:pPr>
      <w:r w:rsidRPr="0016482B">
        <w:rPr>
          <w:b/>
        </w:rPr>
        <w:t>Achieving</w:t>
      </w:r>
      <w:r>
        <w:t xml:space="preserve">; </w:t>
      </w:r>
    </w:p>
    <w:p w14:paraId="3CF809A1" w14:textId="175EC3EF" w:rsidR="004B0740" w:rsidRDefault="004B0740" w:rsidP="004B0740">
      <w:pPr>
        <w:pStyle w:val="ListParagraph"/>
        <w:numPr>
          <w:ilvl w:val="0"/>
          <w:numId w:val="3"/>
        </w:numPr>
      </w:pPr>
      <w:r w:rsidRPr="0016482B">
        <w:rPr>
          <w:b/>
        </w:rPr>
        <w:t>Excelling</w:t>
      </w:r>
      <w:r>
        <w:t xml:space="preserve">. </w:t>
      </w:r>
    </w:p>
    <w:p w14:paraId="65A97860" w14:textId="3B674648" w:rsidR="004B0740" w:rsidRDefault="004B0740" w:rsidP="004B0740"/>
    <w:p w14:paraId="04001A51" w14:textId="2434791B" w:rsidR="004B0740" w:rsidRDefault="004B0740" w:rsidP="004B0740">
      <w:r>
        <w:t>And identified four point</w:t>
      </w:r>
      <w:r w:rsidR="00612F1D">
        <w:t>s</w:t>
      </w:r>
      <w:r>
        <w:t xml:space="preserve"> against which these levels of attainment would be assessed:</w:t>
      </w:r>
    </w:p>
    <w:p w14:paraId="6EEB1AE8" w14:textId="41ECA6A3" w:rsidR="004B0740" w:rsidRDefault="004B0740" w:rsidP="004B0740">
      <w:pPr>
        <w:pStyle w:val="ListParagraph"/>
        <w:numPr>
          <w:ilvl w:val="0"/>
          <w:numId w:val="4"/>
        </w:numPr>
      </w:pPr>
      <w:r w:rsidRPr="004B0740">
        <w:rPr>
          <w:b/>
        </w:rPr>
        <w:t>Knowledge</w:t>
      </w:r>
      <w:r>
        <w:t xml:space="preserve"> and understanding of ideas. </w:t>
      </w:r>
    </w:p>
    <w:p w14:paraId="2EC198E0" w14:textId="72054707" w:rsidR="004B0740" w:rsidRDefault="004B0740" w:rsidP="004B0740">
      <w:pPr>
        <w:pStyle w:val="ListParagraph"/>
        <w:numPr>
          <w:ilvl w:val="0"/>
          <w:numId w:val="4"/>
        </w:numPr>
      </w:pPr>
      <w:r w:rsidRPr="004B0740">
        <w:rPr>
          <w:b/>
        </w:rPr>
        <w:t>Communication</w:t>
      </w:r>
      <w:r>
        <w:t xml:space="preserve"> of ideas. </w:t>
      </w:r>
      <w:r w:rsidR="0016482B">
        <w:t>[originally phrased ‘Communicating ideas Creatively’, revised in consultation with MTG students]</w:t>
      </w:r>
    </w:p>
    <w:p w14:paraId="3683FAB1" w14:textId="721F2BDD" w:rsidR="004B0740" w:rsidRDefault="004B0740" w:rsidP="004B0740">
      <w:pPr>
        <w:pStyle w:val="ListParagraph"/>
        <w:numPr>
          <w:ilvl w:val="0"/>
          <w:numId w:val="4"/>
        </w:numPr>
      </w:pPr>
      <w:r w:rsidRPr="004B0740">
        <w:rPr>
          <w:b/>
        </w:rPr>
        <w:lastRenderedPageBreak/>
        <w:t>Participation</w:t>
      </w:r>
      <w:r>
        <w:t xml:space="preserve"> in process. [originally phrased ‘Qual</w:t>
      </w:r>
      <w:r w:rsidR="0016482B">
        <w:t>ity of Participation’, revised in consultation with MTG students]</w:t>
      </w:r>
    </w:p>
    <w:p w14:paraId="42F13B0B" w14:textId="06B65B52" w:rsidR="004B0740" w:rsidRDefault="004B0740" w:rsidP="004B0740">
      <w:pPr>
        <w:pStyle w:val="ListParagraph"/>
        <w:numPr>
          <w:ilvl w:val="0"/>
          <w:numId w:val="4"/>
        </w:numPr>
      </w:pPr>
      <w:r w:rsidRPr="004B0740">
        <w:rPr>
          <w:b/>
        </w:rPr>
        <w:t>Personal goals</w:t>
      </w:r>
      <w:r>
        <w:t xml:space="preserve"> agreed at the start of the programme. </w:t>
      </w:r>
    </w:p>
    <w:p w14:paraId="15AAC09D" w14:textId="4804664D" w:rsidR="00C15312" w:rsidRDefault="00C15312"/>
    <w:p w14:paraId="6BD56BD1" w14:textId="16AF060C" w:rsidR="000E4ED9" w:rsidRDefault="00612F1D">
      <w:r>
        <w:t xml:space="preserve">It is worth pausing briefly on ‘personal goals’, which aligns with what Brown and </w:t>
      </w:r>
      <w:proofErr w:type="spellStart"/>
      <w:r>
        <w:t>Broido</w:t>
      </w:r>
      <w:proofErr w:type="spellEnd"/>
      <w:r>
        <w:t xml:space="preserve"> describe as an ‘improvement focused’ (inward looking) rather than ‘accountability focused’ (outward looking) form</w:t>
      </w:r>
      <w:r w:rsidR="00B018FF">
        <w:t>s</w:t>
      </w:r>
      <w:r>
        <w:t xml:space="preserve"> of assessment (2020, </w:t>
      </w:r>
      <w:proofErr w:type="spellStart"/>
      <w:r>
        <w:t>nd</w:t>
      </w:r>
      <w:proofErr w:type="spellEnd"/>
      <w:r>
        <w:t xml:space="preserve">). Arguably this runs counter to standard university processes that measure achievement against fixed and externally benchmarked levels of attainment. </w:t>
      </w:r>
      <w:r w:rsidR="00764A52">
        <w:t xml:space="preserve">In this context these benchmarked attainments were present in the first three criteria, but this forth point was essential in terms of enabling a strong connection to assessment and learning from MTG students. The small numbers of students on the programme would also mean these goals could be set and reviewed in a rigorous and responsive manner. </w:t>
      </w:r>
    </w:p>
    <w:p w14:paraId="19A06216" w14:textId="77777777" w:rsidR="000E4ED9" w:rsidRDefault="000E4ED9"/>
    <w:p w14:paraId="20239C2C" w14:textId="254A3C4B" w:rsidR="004B0740" w:rsidRDefault="0016482B">
      <w:r>
        <w:t xml:space="preserve">In March 2021 we conducted a second focus group, with the same MTG students and </w:t>
      </w:r>
      <w:r w:rsidR="00B018FF">
        <w:t>artist</w:t>
      </w:r>
      <w:r>
        <w:t xml:space="preserve">s, in which we first sense-checked our reflections from the </w:t>
      </w:r>
      <w:r w:rsidR="00617462">
        <w:t>initial</w:t>
      </w:r>
      <w:r>
        <w:t xml:space="preserve"> focus group and then presented the above structure for discussion. We have subsequently used the focus group responses as the definitions for the terminology </w:t>
      </w:r>
      <w:r w:rsidR="00764A52">
        <w:t>and criteria. This means that the assessment processes are in student originating language</w:t>
      </w:r>
      <w:r w:rsidR="00B018FF">
        <w:t xml:space="preserve">. We also hope this will ensure common understanding </w:t>
      </w:r>
      <w:r>
        <w:t xml:space="preserve">between students and tutors on the MTG Academy programme. </w:t>
      </w:r>
    </w:p>
    <w:p w14:paraId="46D6560E" w14:textId="634FE12A" w:rsidR="0016482B" w:rsidRDefault="0016482B"/>
    <w:p w14:paraId="0A7E0637" w14:textId="65933B15" w:rsidR="00B018FF" w:rsidRPr="00B018FF" w:rsidRDefault="00B018FF">
      <w:pPr>
        <w:rPr>
          <w:u w:val="single"/>
        </w:rPr>
      </w:pPr>
      <w:r>
        <w:tab/>
      </w:r>
      <w:r w:rsidRPr="00B018FF">
        <w:rPr>
          <w:u w:val="single"/>
        </w:rPr>
        <w:t>Outcomes</w:t>
      </w:r>
    </w:p>
    <w:p w14:paraId="367E8F19" w14:textId="1977D567" w:rsidR="0016482B" w:rsidRDefault="0016482B" w:rsidP="0016482B">
      <w:pPr>
        <w:ind w:left="720"/>
      </w:pPr>
      <w:r w:rsidRPr="0016482B">
        <w:rPr>
          <w:b/>
        </w:rPr>
        <w:t>Improving:</w:t>
      </w:r>
      <w:r w:rsidRPr="0016482B">
        <w:t xml:space="preserve"> </w:t>
      </w:r>
      <w:r w:rsidR="000C19A2">
        <w:t>‘</w:t>
      </w:r>
      <w:r w:rsidRPr="0016482B">
        <w:t>If someone said improving to me, I probably feel a bit like I must have made a bit of a mistake. But then I know that I've got another chance at improving.</w:t>
      </w:r>
      <w:r w:rsidR="000C19A2">
        <w:t>’</w:t>
      </w:r>
    </w:p>
    <w:p w14:paraId="03CD7357" w14:textId="77777777" w:rsidR="0016482B" w:rsidRPr="0016482B" w:rsidRDefault="0016482B" w:rsidP="0016482B">
      <w:pPr>
        <w:ind w:left="720"/>
      </w:pPr>
    </w:p>
    <w:p w14:paraId="304482EE" w14:textId="1CE09D16" w:rsidR="0016482B" w:rsidRPr="0016482B" w:rsidRDefault="0016482B" w:rsidP="0016482B">
      <w:pPr>
        <w:ind w:left="720"/>
      </w:pPr>
      <w:r w:rsidRPr="0016482B">
        <w:rPr>
          <w:b/>
        </w:rPr>
        <w:t>Achieving:</w:t>
      </w:r>
      <w:r w:rsidRPr="0016482B">
        <w:t xml:space="preserve"> </w:t>
      </w:r>
      <w:r w:rsidR="000C19A2">
        <w:t>‘</w:t>
      </w:r>
      <w:r w:rsidRPr="0016482B">
        <w:t>I like that word achieving. It means it</w:t>
      </w:r>
      <w:r w:rsidR="00617462">
        <w:t>’</w:t>
      </w:r>
      <w:r w:rsidRPr="0016482B">
        <w:t>s something positive you’ve done. You can still maybe improve it, just in case you still need some work on it.</w:t>
      </w:r>
      <w:r w:rsidR="000C19A2">
        <w:t>’</w:t>
      </w:r>
      <w:r w:rsidRPr="0016482B">
        <w:t xml:space="preserve"> </w:t>
      </w:r>
    </w:p>
    <w:p w14:paraId="2706024B" w14:textId="7D6F11B0" w:rsidR="0016482B" w:rsidRPr="0016482B" w:rsidRDefault="0016482B" w:rsidP="0016482B">
      <w:pPr>
        <w:ind w:left="720"/>
      </w:pPr>
      <w:r w:rsidRPr="0016482B">
        <w:t> </w:t>
      </w:r>
    </w:p>
    <w:p w14:paraId="2C92BEE1" w14:textId="42994195" w:rsidR="0016482B" w:rsidRPr="0016482B" w:rsidRDefault="0016482B" w:rsidP="0016482B">
      <w:pPr>
        <w:ind w:left="720"/>
      </w:pPr>
      <w:r w:rsidRPr="0016482B">
        <w:rPr>
          <w:b/>
        </w:rPr>
        <w:t>Excelling:</w:t>
      </w:r>
      <w:r w:rsidRPr="0016482B">
        <w:t xml:space="preserve"> </w:t>
      </w:r>
      <w:r w:rsidR="000C19A2">
        <w:t>‘</w:t>
      </w:r>
      <w:r w:rsidRPr="0016482B">
        <w:t>Means you’ve reached something really, really good. And you know you’ve done amazing well. And then you get really good feedback out of it.</w:t>
      </w:r>
      <w:r w:rsidR="000C19A2">
        <w:t>’</w:t>
      </w:r>
      <w:r w:rsidRPr="0016482B">
        <w:t xml:space="preserve"> </w:t>
      </w:r>
    </w:p>
    <w:p w14:paraId="2B1B7F40" w14:textId="3E94B8B3" w:rsidR="0016482B" w:rsidRDefault="0016482B"/>
    <w:p w14:paraId="6A7E901A" w14:textId="18AFC418" w:rsidR="00B018FF" w:rsidRPr="00B018FF" w:rsidRDefault="00B018FF">
      <w:pPr>
        <w:rPr>
          <w:u w:val="single"/>
        </w:rPr>
      </w:pPr>
      <w:r>
        <w:tab/>
      </w:r>
      <w:r w:rsidRPr="00B018FF">
        <w:rPr>
          <w:u w:val="single"/>
        </w:rPr>
        <w:t>Criteria</w:t>
      </w:r>
    </w:p>
    <w:p w14:paraId="54A89708" w14:textId="435275BA" w:rsidR="0016482B" w:rsidRDefault="0016482B" w:rsidP="0016482B">
      <w:pPr>
        <w:ind w:left="720"/>
      </w:pPr>
      <w:r w:rsidRPr="0016482B">
        <w:rPr>
          <w:b/>
          <w:lang w:val="en-US"/>
        </w:rPr>
        <w:t>Knowledge:</w:t>
      </w:r>
      <w:r w:rsidRPr="0016482B">
        <w:rPr>
          <w:lang w:val="en-US"/>
        </w:rPr>
        <w:t xml:space="preserve"> </w:t>
      </w:r>
      <w:r w:rsidR="000C19A2">
        <w:rPr>
          <w:lang w:val="en-US"/>
        </w:rPr>
        <w:t>‘</w:t>
      </w:r>
      <w:r w:rsidRPr="0016482B">
        <w:t>That you have more information in your head, that you’re processing and sharing it to other people to understand that idea.</w:t>
      </w:r>
      <w:r w:rsidR="000C19A2">
        <w:t>’</w:t>
      </w:r>
    </w:p>
    <w:p w14:paraId="722A5EBA" w14:textId="77777777" w:rsidR="0016482B" w:rsidRPr="0016482B" w:rsidRDefault="0016482B" w:rsidP="0016482B">
      <w:pPr>
        <w:ind w:left="720"/>
      </w:pPr>
    </w:p>
    <w:p w14:paraId="62B6E160" w14:textId="71E3E45E" w:rsidR="0016482B" w:rsidRDefault="0016482B" w:rsidP="0016482B">
      <w:pPr>
        <w:ind w:left="720"/>
      </w:pPr>
      <w:r w:rsidRPr="0016482B">
        <w:rPr>
          <w:b/>
          <w:lang w:val="en-US"/>
        </w:rPr>
        <w:t>Communication:</w:t>
      </w:r>
      <w:r w:rsidRPr="0016482B">
        <w:rPr>
          <w:lang w:val="en-US"/>
        </w:rPr>
        <w:t xml:space="preserve"> </w:t>
      </w:r>
      <w:r w:rsidR="000C19A2">
        <w:rPr>
          <w:lang w:val="en-US"/>
        </w:rPr>
        <w:t>‘</w:t>
      </w:r>
      <w:r w:rsidRPr="0016482B">
        <w:t>Be able to explain to somebody very clearly.</w:t>
      </w:r>
      <w:r w:rsidR="000C19A2">
        <w:t>’</w:t>
      </w:r>
      <w:r w:rsidRPr="0016482B">
        <w:t xml:space="preserve"> </w:t>
      </w:r>
    </w:p>
    <w:p w14:paraId="1603D779" w14:textId="77777777" w:rsidR="0016482B" w:rsidRPr="0016482B" w:rsidRDefault="0016482B" w:rsidP="0016482B">
      <w:pPr>
        <w:ind w:left="720"/>
      </w:pPr>
    </w:p>
    <w:p w14:paraId="1CF1070E" w14:textId="2B31404B" w:rsidR="0016482B" w:rsidRDefault="0016482B" w:rsidP="0016482B">
      <w:pPr>
        <w:ind w:left="720"/>
      </w:pPr>
      <w:r w:rsidRPr="0016482B">
        <w:rPr>
          <w:b/>
          <w:lang w:val="en-US"/>
        </w:rPr>
        <w:t>Contribution:</w:t>
      </w:r>
      <w:r w:rsidRPr="0016482B">
        <w:rPr>
          <w:lang w:val="en-US"/>
        </w:rPr>
        <w:t xml:space="preserve"> </w:t>
      </w:r>
      <w:r w:rsidR="000C19A2">
        <w:rPr>
          <w:lang w:val="en-US"/>
        </w:rPr>
        <w:t>‘</w:t>
      </w:r>
      <w:r w:rsidRPr="0016482B">
        <w:t>It means that you’re good at taking part in our work.</w:t>
      </w:r>
      <w:r w:rsidR="000C19A2">
        <w:t>’</w:t>
      </w:r>
    </w:p>
    <w:p w14:paraId="13682493" w14:textId="77777777" w:rsidR="0016482B" w:rsidRPr="0016482B" w:rsidRDefault="0016482B" w:rsidP="0016482B">
      <w:pPr>
        <w:ind w:left="720"/>
      </w:pPr>
    </w:p>
    <w:p w14:paraId="65A85C21" w14:textId="73777A79" w:rsidR="0016482B" w:rsidRPr="0016482B" w:rsidRDefault="0016482B" w:rsidP="0016482B">
      <w:pPr>
        <w:ind w:left="720"/>
      </w:pPr>
      <w:r w:rsidRPr="0016482B">
        <w:rPr>
          <w:b/>
        </w:rPr>
        <w:t>Personal Goals:</w:t>
      </w:r>
      <w:r w:rsidRPr="0016482B">
        <w:t xml:space="preserve"> </w:t>
      </w:r>
      <w:r w:rsidR="000C19A2">
        <w:t>‘</w:t>
      </w:r>
      <w:r w:rsidRPr="0016482B">
        <w:t>We had to set ourselves a goal and how we can improve it and who to go to and what we make to be better next time we do it.</w:t>
      </w:r>
      <w:r w:rsidR="000C19A2">
        <w:t>’</w:t>
      </w:r>
      <w:r w:rsidRPr="0016482B">
        <w:t xml:space="preserve"> </w:t>
      </w:r>
    </w:p>
    <w:p w14:paraId="2AFE2208" w14:textId="7BCE9144" w:rsidR="00C15312" w:rsidRDefault="00C15312"/>
    <w:p w14:paraId="3EA7D48A" w14:textId="7362F162" w:rsidR="0016482B" w:rsidRDefault="0016482B">
      <w:r>
        <w:t>As the Academy programme develops through delivery, starting Sept</w:t>
      </w:r>
      <w:r w:rsidR="00B018FF">
        <w:t>ember</w:t>
      </w:r>
      <w:r>
        <w:t xml:space="preserve"> 2021, we will continue to </w:t>
      </w:r>
      <w:r w:rsidR="00B018FF">
        <w:t xml:space="preserve">work with MTG students to </w:t>
      </w:r>
      <w:r>
        <w:t>monitor the effectiveness and transparency of this terminology and these criteria</w:t>
      </w:r>
      <w:r w:rsidR="00617462">
        <w:t>.</w:t>
      </w:r>
      <w:r w:rsidR="00B018FF">
        <w:t xml:space="preserve"> Our </w:t>
      </w:r>
      <w:r>
        <w:t xml:space="preserve">objective </w:t>
      </w:r>
      <w:r w:rsidR="00B018FF">
        <w:t xml:space="preserve">is </w:t>
      </w:r>
      <w:r>
        <w:t>that the language</w:t>
      </w:r>
      <w:r w:rsidR="00B018FF">
        <w:t>,</w:t>
      </w:r>
      <w:r>
        <w:t xml:space="preserve"> and the meaning of the </w:t>
      </w:r>
      <w:r w:rsidR="00B018FF">
        <w:t>criteria,</w:t>
      </w:r>
      <w:r>
        <w:t xml:space="preserve"> will increasingly come to be ‘owned’ by the students themselves. </w:t>
      </w:r>
    </w:p>
    <w:p w14:paraId="36321B71" w14:textId="35B88B22" w:rsidR="0016482B" w:rsidRDefault="0016482B"/>
    <w:p w14:paraId="39063E9F" w14:textId="0163ED3C" w:rsidR="0016482B" w:rsidRPr="0016482B" w:rsidRDefault="0016482B">
      <w:pPr>
        <w:rPr>
          <w:b/>
        </w:rPr>
      </w:pPr>
      <w:r w:rsidRPr="0016482B">
        <w:rPr>
          <w:b/>
        </w:rPr>
        <w:lastRenderedPageBreak/>
        <w:t>Concluding Reflections</w:t>
      </w:r>
    </w:p>
    <w:p w14:paraId="57FDEC2B" w14:textId="7260A4C7" w:rsidR="00123CC4" w:rsidRDefault="00123CC4" w:rsidP="00123CC4">
      <w:r w:rsidRPr="00123CC4">
        <w:t xml:space="preserve">We believe this validation is one of those genuine good news moments that delivers on our objectives </w:t>
      </w:r>
      <w:r w:rsidR="003323ED">
        <w:t xml:space="preserve">as a sector </w:t>
      </w:r>
      <w:r w:rsidRPr="00123CC4">
        <w:t xml:space="preserve">to widen participation in </w:t>
      </w:r>
      <w:r w:rsidR="00093FCA" w:rsidRPr="00617462">
        <w:rPr>
          <w:color w:val="000000" w:themeColor="text1"/>
        </w:rPr>
        <w:t xml:space="preserve">both the arts and </w:t>
      </w:r>
      <w:r w:rsidRPr="00123CC4">
        <w:t>higher education</w:t>
      </w:r>
      <w:r w:rsidR="00B018FF">
        <w:t xml:space="preserve"> </w:t>
      </w:r>
      <w:r w:rsidR="00617462">
        <w:t>as we collectively</w:t>
      </w:r>
      <w:r w:rsidR="00B018FF">
        <w:t xml:space="preserve"> work towards social justice</w:t>
      </w:r>
      <w:r w:rsidRPr="00123CC4">
        <w:t xml:space="preserve">. With the arts in higher education currently </w:t>
      </w:r>
      <w:r w:rsidR="003323ED">
        <w:t xml:space="preserve">being actively </w:t>
      </w:r>
      <w:r w:rsidRPr="00123CC4">
        <w:t xml:space="preserve">devalued by government policy, this demonstrates the role of </w:t>
      </w:r>
      <w:r w:rsidR="00B018FF">
        <w:t xml:space="preserve">the </w:t>
      </w:r>
      <w:r w:rsidRPr="00123CC4">
        <w:t xml:space="preserve">arts </w:t>
      </w:r>
      <w:r w:rsidR="00B018FF">
        <w:t>in</w:t>
      </w:r>
      <w:r w:rsidRPr="00123CC4">
        <w:t xml:space="preserve"> universities in providing transformative </w:t>
      </w:r>
      <w:r w:rsidR="00B018FF">
        <w:t xml:space="preserve">educational </w:t>
      </w:r>
      <w:r w:rsidRPr="00123CC4">
        <w:t>opportunities to individuals and communities.</w:t>
      </w:r>
      <w:r w:rsidR="003323ED">
        <w:t xml:space="preserve"> </w:t>
      </w:r>
    </w:p>
    <w:p w14:paraId="527AD29A" w14:textId="4CEE4B0A" w:rsidR="003323ED" w:rsidRDefault="003323ED" w:rsidP="00123CC4"/>
    <w:p w14:paraId="5209C716" w14:textId="36A26401" w:rsidR="003323ED" w:rsidRPr="003323ED" w:rsidRDefault="003323ED" w:rsidP="003323ED">
      <w:r>
        <w:t>We are also not complacent</w:t>
      </w:r>
      <w:r w:rsidR="00B018FF">
        <w:t>:</w:t>
      </w:r>
      <w:r>
        <w:t xml:space="preserve"> developing inclusive education is an ongoing process of combating entrenched and often unconscious ableism</w:t>
      </w:r>
      <w:r w:rsidR="00B018FF">
        <w:t>. T</w:t>
      </w:r>
      <w:r>
        <w:t>here continues to be</w:t>
      </w:r>
      <w:r w:rsidR="00B018FF">
        <w:t xml:space="preserve"> work to be</w:t>
      </w:r>
      <w:r>
        <w:t xml:space="preserve"> done. This includes what York St John might apply more broadly from the approaches taken here. Validation processes normally result in recommendations for the programme</w:t>
      </w:r>
      <w:r w:rsidR="00566BFA">
        <w:t xml:space="preserve"> being reviewed. In this instance the panel also presented a recommendation for the university: ‘</w:t>
      </w:r>
      <w:r w:rsidRPr="003323ED">
        <w:t>Consider how opportunities for inclusive assessment could be further utilised across the University, and the sorts of processes that may be required to facilitate this in future.</w:t>
      </w:r>
      <w:r w:rsidR="00566BFA">
        <w:t xml:space="preserve">’ </w:t>
      </w:r>
      <w:r w:rsidR="000302AF" w:rsidRPr="00617462">
        <w:rPr>
          <w:color w:val="000000" w:themeColor="text1"/>
        </w:rPr>
        <w:t xml:space="preserve">A similar recommendation is relevant for the arts sector more generally, inviting practitioners to consider how an understanding of inclusivity might be reconfigured and applied to </w:t>
      </w:r>
      <w:r w:rsidR="000302AF" w:rsidRPr="00617462">
        <w:rPr>
          <w:i/>
          <w:color w:val="000000" w:themeColor="text1"/>
        </w:rPr>
        <w:t xml:space="preserve">everything </w:t>
      </w:r>
      <w:r w:rsidR="000302AF" w:rsidRPr="00617462">
        <w:rPr>
          <w:color w:val="000000" w:themeColor="text1"/>
        </w:rPr>
        <w:t xml:space="preserve">about industry practice – from audience development, to training, recruitment, programming and more. </w:t>
      </w:r>
      <w:r w:rsidR="00617462" w:rsidRPr="00617462">
        <w:rPr>
          <w:color w:val="000000" w:themeColor="text1"/>
        </w:rPr>
        <w:t>At present</w:t>
      </w:r>
      <w:r w:rsidR="000302AF" w:rsidRPr="00617462">
        <w:rPr>
          <w:color w:val="000000" w:themeColor="text1"/>
        </w:rPr>
        <w:t xml:space="preserve"> inclusive practice is </w:t>
      </w:r>
      <w:r w:rsidR="00617462" w:rsidRPr="00617462">
        <w:rPr>
          <w:color w:val="000000" w:themeColor="text1"/>
        </w:rPr>
        <w:t xml:space="preserve">sometimes </w:t>
      </w:r>
      <w:r w:rsidR="000302AF" w:rsidRPr="00617462">
        <w:rPr>
          <w:color w:val="000000" w:themeColor="text1"/>
        </w:rPr>
        <w:t>segmented to a particular department, to niche activities, to an afterthought</w:t>
      </w:r>
      <w:r w:rsidR="004F3473" w:rsidRPr="00617462">
        <w:rPr>
          <w:color w:val="000000" w:themeColor="text1"/>
        </w:rPr>
        <w:t xml:space="preserve">, rather than considering how it could and should transform organisations more radically. </w:t>
      </w:r>
      <w:r w:rsidR="000302AF" w:rsidRPr="00617462">
        <w:rPr>
          <w:color w:val="000000" w:themeColor="text1"/>
        </w:rPr>
        <w:t xml:space="preserve"> </w:t>
      </w:r>
    </w:p>
    <w:p w14:paraId="4B90BC65" w14:textId="0A98392C" w:rsidR="003323ED" w:rsidRDefault="003323ED" w:rsidP="00123CC4"/>
    <w:p w14:paraId="119A7B08" w14:textId="446DDBD4" w:rsidR="00566BFA" w:rsidRDefault="00566BFA" w:rsidP="00123CC4">
      <w:r>
        <w:t xml:space="preserve">In terms of the academy programme two other tasks concern us now, one immediate and the other for the future. </w:t>
      </w:r>
      <w:r w:rsidR="003323ED">
        <w:t>The first is recognition that this is a model of inclusive rather than integrated education</w:t>
      </w:r>
      <w:r w:rsidR="00B018FF">
        <w:t>.</w:t>
      </w:r>
      <w:r w:rsidR="003323ED">
        <w:t xml:space="preserve"> </w:t>
      </w:r>
      <w:r w:rsidR="00B018FF">
        <w:t>G</w:t>
      </w:r>
      <w:r w:rsidR="003323ED">
        <w:t>oing forward we are actively seeking opportunities for MTG and YSJ performing arts students to work with and alongside each other</w:t>
      </w:r>
      <w:r w:rsidR="00770AB6">
        <w:t xml:space="preserve"> in as many ways as possible. </w:t>
      </w:r>
      <w:r>
        <w:t>The second is that we should not stop with a Cert HE, with the future potential of integrating MTG Academy graduates into the full university BA programme something th</w:t>
      </w:r>
      <w:r w:rsidR="00813FC1">
        <w:t xml:space="preserve">at is </w:t>
      </w:r>
      <w:r w:rsidR="00770AB6">
        <w:t>the logical next step</w:t>
      </w:r>
      <w:r>
        <w:t xml:space="preserve">. </w:t>
      </w:r>
    </w:p>
    <w:p w14:paraId="259908ED" w14:textId="19B99BA3" w:rsidR="00566BFA" w:rsidRDefault="00566BFA" w:rsidP="00123CC4"/>
    <w:p w14:paraId="009482CE" w14:textId="0AE4E3D8" w:rsidR="000302AF" w:rsidRPr="00617462" w:rsidRDefault="000302AF" w:rsidP="00123CC4">
      <w:pPr>
        <w:rPr>
          <w:color w:val="000000" w:themeColor="text1"/>
        </w:rPr>
      </w:pPr>
      <w:r w:rsidRPr="00617462">
        <w:rPr>
          <w:color w:val="000000" w:themeColor="text1"/>
        </w:rPr>
        <w:t>In terms of inclusive theatre – and indeed the arts more generally – our hope is for a similarly profound impact</w:t>
      </w:r>
      <w:r w:rsidR="004F3473" w:rsidRPr="00617462">
        <w:rPr>
          <w:color w:val="000000" w:themeColor="text1"/>
        </w:rPr>
        <w:t xml:space="preserve">. If current representation of disabled students within HE is poor, then so too is the representation of disabled artists, administrators and practitioners within the professional arts sector as a whole. Through providing this training and educational opportunity we hope to sow the seeds for improvement. The students who graduate from Mind the Gap’s Cert HE will be the </w:t>
      </w:r>
      <w:r w:rsidR="00617462" w:rsidRPr="00617462">
        <w:rPr>
          <w:color w:val="000000" w:themeColor="text1"/>
        </w:rPr>
        <w:t xml:space="preserve">next generation of </w:t>
      </w:r>
      <w:r w:rsidR="004F3473" w:rsidRPr="00617462">
        <w:rPr>
          <w:color w:val="000000" w:themeColor="text1"/>
        </w:rPr>
        <w:t>theatre makers, thinkers and activists of the future, it’ll be the</w:t>
      </w:r>
      <w:r w:rsidR="00617462" w:rsidRPr="00617462">
        <w:rPr>
          <w:color w:val="000000" w:themeColor="text1"/>
        </w:rPr>
        <w:t xml:space="preserve">y </w:t>
      </w:r>
      <w:r w:rsidR="004F3473" w:rsidRPr="00617462">
        <w:rPr>
          <w:color w:val="000000" w:themeColor="text1"/>
        </w:rPr>
        <w:t>who will truly radically transform the arts</w:t>
      </w:r>
      <w:r w:rsidR="00617462" w:rsidRPr="00617462">
        <w:rPr>
          <w:color w:val="000000" w:themeColor="text1"/>
        </w:rPr>
        <w:t xml:space="preserve"> in the future</w:t>
      </w:r>
      <w:r w:rsidR="004F3473" w:rsidRPr="00617462">
        <w:rPr>
          <w:color w:val="000000" w:themeColor="text1"/>
        </w:rPr>
        <w:t xml:space="preserve">. </w:t>
      </w:r>
    </w:p>
    <w:p w14:paraId="067ADE44" w14:textId="77777777" w:rsidR="000302AF" w:rsidRDefault="000302AF" w:rsidP="00123CC4"/>
    <w:p w14:paraId="0CB84863" w14:textId="77777777" w:rsidR="0016482B" w:rsidRDefault="0016482B"/>
    <w:p w14:paraId="3FAC4D3A" w14:textId="528A8FC8" w:rsidR="00C15312" w:rsidRPr="00C15312" w:rsidRDefault="00C15312">
      <w:pPr>
        <w:rPr>
          <w:b/>
        </w:rPr>
      </w:pPr>
      <w:r w:rsidRPr="00C15312">
        <w:rPr>
          <w:b/>
        </w:rPr>
        <w:t>References</w:t>
      </w:r>
    </w:p>
    <w:p w14:paraId="16894209" w14:textId="40A53BF8" w:rsidR="000E4ED9" w:rsidRPr="000E4ED9" w:rsidRDefault="000E4ED9" w:rsidP="000E4ED9">
      <w:r w:rsidRPr="000E4ED9">
        <w:t xml:space="preserve">Brown, K.R. and </w:t>
      </w:r>
      <w:proofErr w:type="spellStart"/>
      <w:r w:rsidRPr="000E4ED9">
        <w:t>Broido</w:t>
      </w:r>
      <w:proofErr w:type="spellEnd"/>
      <w:r w:rsidRPr="000E4ED9">
        <w:t xml:space="preserve">, E.M. (2020), </w:t>
      </w:r>
      <w:r w:rsidR="00566BFA">
        <w:t>‘</w:t>
      </w:r>
      <w:r w:rsidRPr="000E4ED9">
        <w:t xml:space="preserve">Ableism and Assessment: Including Students </w:t>
      </w:r>
      <w:proofErr w:type="gramStart"/>
      <w:r w:rsidRPr="000E4ED9">
        <w:t>With</w:t>
      </w:r>
      <w:proofErr w:type="gramEnd"/>
      <w:r w:rsidRPr="000E4ED9">
        <w:t xml:space="preserve"> Disabilities.</w:t>
      </w:r>
      <w:r w:rsidR="00566BFA">
        <w:t>’</w:t>
      </w:r>
      <w:r w:rsidRPr="000E4ED9">
        <w:t xml:space="preserve"> </w:t>
      </w:r>
      <w:r w:rsidRPr="00566BFA">
        <w:rPr>
          <w:i/>
        </w:rPr>
        <w:t>New Directions for Student Services</w:t>
      </w:r>
      <w:r w:rsidRPr="000E4ED9">
        <w:t>, 2020: 31-41</w:t>
      </w:r>
    </w:p>
    <w:p w14:paraId="3E3E0F89" w14:textId="77777777" w:rsidR="000E4ED9" w:rsidRDefault="000E4ED9"/>
    <w:p w14:paraId="0372B099" w14:textId="4BE95DF6" w:rsidR="000E4ED9" w:rsidRDefault="000E4ED9">
      <w:r>
        <w:t xml:space="preserve">Brown, Nicole. 2020. ‘Introduction: Theorising Ableism in Academia.’ In Brown, N. and Leigh J. Ed. </w:t>
      </w:r>
      <w:r>
        <w:rPr>
          <w:i/>
        </w:rPr>
        <w:t xml:space="preserve">Ableism in Academia: Theorising Experiences of Disabilities and Chronic Illness in Higher Education. </w:t>
      </w:r>
      <w:r>
        <w:t xml:space="preserve">London: UCL Press. </w:t>
      </w:r>
    </w:p>
    <w:p w14:paraId="52C687B3" w14:textId="2550CD00" w:rsidR="000C7C52" w:rsidRDefault="000C7C52"/>
    <w:p w14:paraId="38267559" w14:textId="29CB0F7D" w:rsidR="000C7C52" w:rsidRDefault="000C7C52" w:rsidP="000C7C52">
      <w:pPr>
        <w:spacing w:line="276" w:lineRule="auto"/>
      </w:pPr>
      <w:proofErr w:type="spellStart"/>
      <w:r>
        <w:lastRenderedPageBreak/>
        <w:t>Burgstahler</w:t>
      </w:r>
      <w:proofErr w:type="spellEnd"/>
      <w:r>
        <w:t>, Sheryl</w:t>
      </w:r>
      <w:r w:rsidR="00770AB6">
        <w:t>.</w:t>
      </w:r>
      <w:r>
        <w:t xml:space="preserve"> 2015. ‘Opening Doors or Slamming Them Shut? Online Learning Practices and Students with Disabilities’ </w:t>
      </w:r>
      <w:proofErr w:type="spellStart"/>
      <w:r w:rsidRPr="00566BFA">
        <w:rPr>
          <w:i/>
        </w:rPr>
        <w:t>Socia</w:t>
      </w:r>
      <w:proofErr w:type="spellEnd"/>
      <w:r w:rsidRPr="00566BFA">
        <w:rPr>
          <w:i/>
        </w:rPr>
        <w:t xml:space="preserve"> Inclusion</w:t>
      </w:r>
      <w:r>
        <w:t xml:space="preserve"> 3: 6. 69-79</w:t>
      </w:r>
    </w:p>
    <w:p w14:paraId="6ED4E14C" w14:textId="77777777" w:rsidR="000E4ED9" w:rsidRDefault="000E4ED9"/>
    <w:p w14:paraId="13BBBDDB" w14:textId="61ED7CAD" w:rsidR="00C15312" w:rsidRDefault="00CE389B">
      <w:r>
        <w:t xml:space="preserve">Calvert, Dave. 2015. ‘Mind the Gap.’ Ed Liz Tomlin. </w:t>
      </w:r>
      <w:r>
        <w:rPr>
          <w:i/>
        </w:rPr>
        <w:t xml:space="preserve">British Theatre Companies: 1995-2014. </w:t>
      </w:r>
      <w:r>
        <w:t xml:space="preserve">London: Bloomsbury. </w:t>
      </w:r>
    </w:p>
    <w:p w14:paraId="27574550" w14:textId="5A0AD551" w:rsidR="0050432B" w:rsidRDefault="0050432B"/>
    <w:p w14:paraId="6CA67AA9" w14:textId="504E7315" w:rsidR="0050432B" w:rsidRDefault="0050432B">
      <w:proofErr w:type="spellStart"/>
      <w:r>
        <w:t>Masso</w:t>
      </w:r>
      <w:proofErr w:type="spellEnd"/>
      <w:r>
        <w:t xml:space="preserve">, Giverny. 2018. ‘Disability in Drama Schools – Study Reveals Extent of Under-Representation.’ </w:t>
      </w:r>
      <w:r w:rsidRPr="00566BFA">
        <w:rPr>
          <w:i/>
        </w:rPr>
        <w:t>The Stage.</w:t>
      </w:r>
      <w:r>
        <w:t xml:space="preserve"> 11 July 2018. Available: </w:t>
      </w:r>
      <w:hyperlink r:id="rId9" w:history="1">
        <w:r w:rsidRPr="00D32B21">
          <w:rPr>
            <w:rStyle w:val="Hyperlink"/>
          </w:rPr>
          <w:t>https://www.thestage.co.uk/news/disability-in-drama-schools--study-reveals-extent-of-under-representation</w:t>
        </w:r>
      </w:hyperlink>
    </w:p>
    <w:p w14:paraId="60D46D72" w14:textId="6CA1D97F" w:rsidR="0050432B" w:rsidRDefault="0050432B"/>
    <w:p w14:paraId="1821DA6B" w14:textId="3FF94295" w:rsidR="0050432B" w:rsidRDefault="0050432B">
      <w:r>
        <w:t xml:space="preserve">Meth, Jonathan. 2015. ‘Disability Arts: The Challenge of Ensuring Creative Momentum’. </w:t>
      </w:r>
      <w:r w:rsidRPr="00566BFA">
        <w:rPr>
          <w:i/>
        </w:rPr>
        <w:t>The Guardian.</w:t>
      </w:r>
      <w:r>
        <w:t xml:space="preserve"> 3 Sept 2015. Available: </w:t>
      </w:r>
      <w:hyperlink r:id="rId10" w:history="1">
        <w:r w:rsidRPr="00D32B21">
          <w:rPr>
            <w:rStyle w:val="Hyperlink"/>
          </w:rPr>
          <w:t>https://www.theguardian.com/culture-professionals-network/2015/sep/03/disability-arts-the-challenge-of-ensuring-creative-momentum</w:t>
        </w:r>
      </w:hyperlink>
    </w:p>
    <w:p w14:paraId="56C79224" w14:textId="77777777" w:rsidR="00C15312" w:rsidRDefault="00C15312"/>
    <w:p w14:paraId="28BABE14" w14:textId="40FEAC92" w:rsidR="00C15312" w:rsidRDefault="00C15312">
      <w:proofErr w:type="spellStart"/>
      <w:r>
        <w:t>OfS</w:t>
      </w:r>
      <w:proofErr w:type="spellEnd"/>
      <w:r>
        <w:t xml:space="preserve">. 2019. ‘Student Satisfaction Rises but Universities should do more to Improve Feedback.’ Office for Students. 3 July 2019. Available: </w:t>
      </w:r>
      <w:hyperlink r:id="rId11" w:history="1">
        <w:r w:rsidR="00A6420E" w:rsidRPr="00D32B21">
          <w:rPr>
            <w:rStyle w:val="Hyperlink"/>
          </w:rPr>
          <w:t>www.officeforstudents.org.uk/news-blog-and-events/press-and-media/student-satisfaction-rises-but-universities-should-do-more-to-improve-feedback/</w:t>
        </w:r>
      </w:hyperlink>
    </w:p>
    <w:p w14:paraId="566BE63F" w14:textId="052F3922" w:rsidR="00A6420E" w:rsidRDefault="00A6420E"/>
    <w:p w14:paraId="7FAF7A88" w14:textId="24CDEA04" w:rsidR="00A6420E" w:rsidRDefault="00A6420E">
      <w:r>
        <w:t xml:space="preserve">Tomlinson, John. 1996. </w:t>
      </w:r>
      <w:r>
        <w:rPr>
          <w:i/>
        </w:rPr>
        <w:t xml:space="preserve">Inclusive Learning: Principles and Recommendations. </w:t>
      </w:r>
      <w:r>
        <w:t xml:space="preserve">The Further Education Funding Council. </w:t>
      </w:r>
    </w:p>
    <w:p w14:paraId="0A976C87" w14:textId="4493BD7C" w:rsidR="00644792" w:rsidRDefault="00644792"/>
    <w:p w14:paraId="027EBF06" w14:textId="2258D796" w:rsidR="00DA4357" w:rsidRPr="00DA4357" w:rsidRDefault="00DA4357" w:rsidP="00DA4357">
      <w:r w:rsidRPr="00DA4357">
        <w:t>Waterfield, J. and West, B. 2006</w:t>
      </w:r>
      <w:r w:rsidR="00770AB6">
        <w:t>.</w:t>
      </w:r>
      <w:r w:rsidRPr="00DA4357">
        <w:t xml:space="preserve"> </w:t>
      </w:r>
      <w:r w:rsidRPr="00DA4357">
        <w:rPr>
          <w:i/>
        </w:rPr>
        <w:t>Inclusive Assessment in Higher Education: A Resource for Change</w:t>
      </w:r>
      <w:r w:rsidRPr="00DA4357">
        <w:t xml:space="preserve"> University</w:t>
      </w:r>
      <w:r>
        <w:t xml:space="preserve"> </w:t>
      </w:r>
      <w:r w:rsidRPr="00DA4357">
        <w:t>of Plymouth: Plymouth</w:t>
      </w:r>
      <w:r>
        <w:t xml:space="preserve">. Available: </w:t>
      </w:r>
      <w:r w:rsidRPr="00DA4357">
        <w:t>www.plymouth.ac.uk/uploads/production/document/path/3/3026/Space_toolkit.pdf</w:t>
      </w:r>
    </w:p>
    <w:p w14:paraId="7A17DBE3" w14:textId="77777777" w:rsidR="00DA4357" w:rsidRDefault="00DA4357"/>
    <w:p w14:paraId="0C1E9E8E" w14:textId="225B4CC6" w:rsidR="00644792" w:rsidRDefault="00644792">
      <w:r>
        <w:t xml:space="preserve">YSJU. 2021. ‘First UK degree level learning-disabled performing arts course is launched in Yorkshire’. York St John University. 19 May 2021. Available: </w:t>
      </w:r>
      <w:hyperlink r:id="rId12" w:history="1">
        <w:r w:rsidRPr="00D32B21">
          <w:rPr>
            <w:rStyle w:val="Hyperlink"/>
          </w:rPr>
          <w:t>https://www.yorksj.ac.uk/news/2021/mtg-performing-arts-course/</w:t>
        </w:r>
      </w:hyperlink>
    </w:p>
    <w:p w14:paraId="038938F6" w14:textId="77777777" w:rsidR="00644792" w:rsidRPr="00A6420E" w:rsidRDefault="00644792"/>
    <w:sectPr w:rsidR="00644792" w:rsidRPr="00A6420E" w:rsidSect="00F0430E">
      <w:pgSz w:w="11900" w:h="16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AE3AC" w16cex:dateUtc="2021-09-26T1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07C63" w14:textId="77777777" w:rsidR="00FF0416" w:rsidRDefault="00FF0416" w:rsidP="00D041B7">
      <w:r>
        <w:separator/>
      </w:r>
    </w:p>
  </w:endnote>
  <w:endnote w:type="continuationSeparator" w:id="0">
    <w:p w14:paraId="042A2A52" w14:textId="77777777" w:rsidR="00FF0416" w:rsidRDefault="00FF0416" w:rsidP="00D0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F7C88" w14:textId="77777777" w:rsidR="00FF0416" w:rsidRDefault="00FF0416" w:rsidP="00D041B7">
      <w:r>
        <w:separator/>
      </w:r>
    </w:p>
  </w:footnote>
  <w:footnote w:type="continuationSeparator" w:id="0">
    <w:p w14:paraId="1F2DB7A2" w14:textId="77777777" w:rsidR="00FF0416" w:rsidRDefault="00FF0416" w:rsidP="00D04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03C8"/>
    <w:multiLevelType w:val="hybridMultilevel"/>
    <w:tmpl w:val="6886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46DD"/>
    <w:multiLevelType w:val="hybridMultilevel"/>
    <w:tmpl w:val="C7A4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047CE5"/>
    <w:multiLevelType w:val="hybridMultilevel"/>
    <w:tmpl w:val="2BF4A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FB3CFD"/>
    <w:multiLevelType w:val="hybridMultilevel"/>
    <w:tmpl w:val="773A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280"/>
    <w:rsid w:val="000302AF"/>
    <w:rsid w:val="00077280"/>
    <w:rsid w:val="00093FCA"/>
    <w:rsid w:val="000C19A2"/>
    <w:rsid w:val="000C58AF"/>
    <w:rsid w:val="000C7C52"/>
    <w:rsid w:val="000D5A87"/>
    <w:rsid w:val="000D6F6A"/>
    <w:rsid w:val="000E4ED9"/>
    <w:rsid w:val="00121680"/>
    <w:rsid w:val="00123CC4"/>
    <w:rsid w:val="0016482B"/>
    <w:rsid w:val="00175EB8"/>
    <w:rsid w:val="00187132"/>
    <w:rsid w:val="00211207"/>
    <w:rsid w:val="002310EE"/>
    <w:rsid w:val="00277688"/>
    <w:rsid w:val="002D5E3F"/>
    <w:rsid w:val="003323ED"/>
    <w:rsid w:val="003B1CD6"/>
    <w:rsid w:val="003B2661"/>
    <w:rsid w:val="004B0740"/>
    <w:rsid w:val="004E1CE1"/>
    <w:rsid w:val="004F3473"/>
    <w:rsid w:val="0050432B"/>
    <w:rsid w:val="0055695D"/>
    <w:rsid w:val="00566BFA"/>
    <w:rsid w:val="005F15C8"/>
    <w:rsid w:val="005F4846"/>
    <w:rsid w:val="00600962"/>
    <w:rsid w:val="0060265E"/>
    <w:rsid w:val="006026E2"/>
    <w:rsid w:val="00612F1D"/>
    <w:rsid w:val="00617462"/>
    <w:rsid w:val="00644792"/>
    <w:rsid w:val="006510D0"/>
    <w:rsid w:val="00756E20"/>
    <w:rsid w:val="00764A52"/>
    <w:rsid w:val="00770AB6"/>
    <w:rsid w:val="00790A20"/>
    <w:rsid w:val="00813FC1"/>
    <w:rsid w:val="008D7813"/>
    <w:rsid w:val="00921E49"/>
    <w:rsid w:val="0096389D"/>
    <w:rsid w:val="009959DE"/>
    <w:rsid w:val="009A1729"/>
    <w:rsid w:val="009A5561"/>
    <w:rsid w:val="009A6FD1"/>
    <w:rsid w:val="009E081C"/>
    <w:rsid w:val="009F1CFD"/>
    <w:rsid w:val="00A027BE"/>
    <w:rsid w:val="00A0357F"/>
    <w:rsid w:val="00A11BFB"/>
    <w:rsid w:val="00A30B23"/>
    <w:rsid w:val="00A6420E"/>
    <w:rsid w:val="00AB6746"/>
    <w:rsid w:val="00B018FF"/>
    <w:rsid w:val="00B40CD8"/>
    <w:rsid w:val="00B7396C"/>
    <w:rsid w:val="00BF4AB5"/>
    <w:rsid w:val="00C15312"/>
    <w:rsid w:val="00C16875"/>
    <w:rsid w:val="00CD539F"/>
    <w:rsid w:val="00CE2AF7"/>
    <w:rsid w:val="00CE389B"/>
    <w:rsid w:val="00CE6B0E"/>
    <w:rsid w:val="00D041B7"/>
    <w:rsid w:val="00D27151"/>
    <w:rsid w:val="00DA4357"/>
    <w:rsid w:val="00DA7AE4"/>
    <w:rsid w:val="00E137AC"/>
    <w:rsid w:val="00ED61D6"/>
    <w:rsid w:val="00F0430E"/>
    <w:rsid w:val="00F12F2C"/>
    <w:rsid w:val="00F373FE"/>
    <w:rsid w:val="00F705C2"/>
    <w:rsid w:val="00F81E33"/>
    <w:rsid w:val="00FA7C09"/>
    <w:rsid w:val="00FC6EFD"/>
    <w:rsid w:val="00FF0416"/>
    <w:rsid w:val="00FF0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E66A"/>
  <w14:defaultImageDpi w14:val="32767"/>
  <w15:chartTrackingRefBased/>
  <w15:docId w15:val="{E6BB1339-D78D-BC42-BF14-1BC1D7A8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32B"/>
    <w:rPr>
      <w:color w:val="0563C1" w:themeColor="hyperlink"/>
      <w:u w:val="single"/>
    </w:rPr>
  </w:style>
  <w:style w:type="character" w:styleId="UnresolvedMention">
    <w:name w:val="Unresolved Mention"/>
    <w:basedOn w:val="DefaultParagraphFont"/>
    <w:uiPriority w:val="99"/>
    <w:rsid w:val="0050432B"/>
    <w:rPr>
      <w:color w:val="605E5C"/>
      <w:shd w:val="clear" w:color="auto" w:fill="E1DFDD"/>
    </w:rPr>
  </w:style>
  <w:style w:type="paragraph" w:styleId="ListParagraph">
    <w:name w:val="List Paragraph"/>
    <w:basedOn w:val="Normal"/>
    <w:uiPriority w:val="34"/>
    <w:qFormat/>
    <w:rsid w:val="000C58AF"/>
    <w:pPr>
      <w:ind w:left="720"/>
      <w:contextualSpacing/>
    </w:pPr>
  </w:style>
  <w:style w:type="table" w:styleId="TableGrid">
    <w:name w:val="Table Grid"/>
    <w:basedOn w:val="TableNormal"/>
    <w:uiPriority w:val="39"/>
    <w:rsid w:val="0012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41B7"/>
    <w:rPr>
      <w:sz w:val="20"/>
      <w:szCs w:val="20"/>
    </w:rPr>
  </w:style>
  <w:style w:type="character" w:customStyle="1" w:styleId="FootnoteTextChar">
    <w:name w:val="Footnote Text Char"/>
    <w:basedOn w:val="DefaultParagraphFont"/>
    <w:link w:val="FootnoteText"/>
    <w:uiPriority w:val="99"/>
    <w:semiHidden/>
    <w:rsid w:val="00D041B7"/>
    <w:rPr>
      <w:sz w:val="20"/>
      <w:szCs w:val="20"/>
    </w:rPr>
  </w:style>
  <w:style w:type="character" w:styleId="FootnoteReference">
    <w:name w:val="footnote reference"/>
    <w:basedOn w:val="DefaultParagraphFont"/>
    <w:uiPriority w:val="99"/>
    <w:semiHidden/>
    <w:unhideWhenUsed/>
    <w:rsid w:val="00D041B7"/>
    <w:rPr>
      <w:vertAlign w:val="superscript"/>
    </w:rPr>
  </w:style>
  <w:style w:type="character" w:styleId="CommentReference">
    <w:name w:val="annotation reference"/>
    <w:basedOn w:val="DefaultParagraphFont"/>
    <w:uiPriority w:val="99"/>
    <w:semiHidden/>
    <w:unhideWhenUsed/>
    <w:rsid w:val="00C16875"/>
    <w:rPr>
      <w:sz w:val="16"/>
      <w:szCs w:val="16"/>
    </w:rPr>
  </w:style>
  <w:style w:type="paragraph" w:styleId="CommentText">
    <w:name w:val="annotation text"/>
    <w:basedOn w:val="Normal"/>
    <w:link w:val="CommentTextChar"/>
    <w:uiPriority w:val="99"/>
    <w:semiHidden/>
    <w:unhideWhenUsed/>
    <w:rsid w:val="00C16875"/>
    <w:rPr>
      <w:sz w:val="20"/>
      <w:szCs w:val="20"/>
    </w:rPr>
  </w:style>
  <w:style w:type="character" w:customStyle="1" w:styleId="CommentTextChar">
    <w:name w:val="Comment Text Char"/>
    <w:basedOn w:val="DefaultParagraphFont"/>
    <w:link w:val="CommentText"/>
    <w:uiPriority w:val="99"/>
    <w:semiHidden/>
    <w:rsid w:val="00C16875"/>
    <w:rPr>
      <w:sz w:val="20"/>
      <w:szCs w:val="20"/>
    </w:rPr>
  </w:style>
  <w:style w:type="paragraph" w:styleId="CommentSubject">
    <w:name w:val="annotation subject"/>
    <w:basedOn w:val="CommentText"/>
    <w:next w:val="CommentText"/>
    <w:link w:val="CommentSubjectChar"/>
    <w:uiPriority w:val="99"/>
    <w:semiHidden/>
    <w:unhideWhenUsed/>
    <w:rsid w:val="00C16875"/>
    <w:rPr>
      <w:b/>
      <w:bCs/>
    </w:rPr>
  </w:style>
  <w:style w:type="character" w:customStyle="1" w:styleId="CommentSubjectChar">
    <w:name w:val="Comment Subject Char"/>
    <w:basedOn w:val="CommentTextChar"/>
    <w:link w:val="CommentSubject"/>
    <w:uiPriority w:val="99"/>
    <w:semiHidden/>
    <w:rsid w:val="00C16875"/>
    <w:rPr>
      <w:b/>
      <w:bCs/>
      <w:sz w:val="20"/>
      <w:szCs w:val="20"/>
    </w:rPr>
  </w:style>
  <w:style w:type="paragraph" w:styleId="BalloonText">
    <w:name w:val="Balloon Text"/>
    <w:basedOn w:val="Normal"/>
    <w:link w:val="BalloonTextChar"/>
    <w:uiPriority w:val="99"/>
    <w:semiHidden/>
    <w:unhideWhenUsed/>
    <w:rsid w:val="000D5A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5A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835746">
      <w:bodyDiv w:val="1"/>
      <w:marLeft w:val="0"/>
      <w:marRight w:val="0"/>
      <w:marTop w:val="0"/>
      <w:marBottom w:val="0"/>
      <w:divBdr>
        <w:top w:val="none" w:sz="0" w:space="0" w:color="auto"/>
        <w:left w:val="none" w:sz="0" w:space="0" w:color="auto"/>
        <w:bottom w:val="none" w:sz="0" w:space="0" w:color="auto"/>
        <w:right w:val="none" w:sz="0" w:space="0" w:color="auto"/>
      </w:divBdr>
    </w:div>
    <w:div w:id="514616636">
      <w:bodyDiv w:val="1"/>
      <w:marLeft w:val="0"/>
      <w:marRight w:val="0"/>
      <w:marTop w:val="0"/>
      <w:marBottom w:val="0"/>
      <w:divBdr>
        <w:top w:val="none" w:sz="0" w:space="0" w:color="auto"/>
        <w:left w:val="none" w:sz="0" w:space="0" w:color="auto"/>
        <w:bottom w:val="none" w:sz="0" w:space="0" w:color="auto"/>
        <w:right w:val="none" w:sz="0" w:space="0" w:color="auto"/>
      </w:divBdr>
    </w:div>
    <w:div w:id="541553716">
      <w:bodyDiv w:val="1"/>
      <w:marLeft w:val="0"/>
      <w:marRight w:val="0"/>
      <w:marTop w:val="0"/>
      <w:marBottom w:val="0"/>
      <w:divBdr>
        <w:top w:val="none" w:sz="0" w:space="0" w:color="auto"/>
        <w:left w:val="none" w:sz="0" w:space="0" w:color="auto"/>
        <w:bottom w:val="none" w:sz="0" w:space="0" w:color="auto"/>
        <w:right w:val="none" w:sz="0" w:space="0" w:color="auto"/>
      </w:divBdr>
    </w:div>
    <w:div w:id="544606203">
      <w:bodyDiv w:val="1"/>
      <w:marLeft w:val="0"/>
      <w:marRight w:val="0"/>
      <w:marTop w:val="0"/>
      <w:marBottom w:val="0"/>
      <w:divBdr>
        <w:top w:val="none" w:sz="0" w:space="0" w:color="auto"/>
        <w:left w:val="none" w:sz="0" w:space="0" w:color="auto"/>
        <w:bottom w:val="none" w:sz="0" w:space="0" w:color="auto"/>
        <w:right w:val="none" w:sz="0" w:space="0" w:color="auto"/>
      </w:divBdr>
    </w:div>
    <w:div w:id="917595972">
      <w:bodyDiv w:val="1"/>
      <w:marLeft w:val="0"/>
      <w:marRight w:val="0"/>
      <w:marTop w:val="0"/>
      <w:marBottom w:val="0"/>
      <w:divBdr>
        <w:top w:val="none" w:sz="0" w:space="0" w:color="auto"/>
        <w:left w:val="none" w:sz="0" w:space="0" w:color="auto"/>
        <w:bottom w:val="none" w:sz="0" w:space="0" w:color="auto"/>
        <w:right w:val="none" w:sz="0" w:space="0" w:color="auto"/>
      </w:divBdr>
    </w:div>
    <w:div w:id="978270213">
      <w:bodyDiv w:val="1"/>
      <w:marLeft w:val="0"/>
      <w:marRight w:val="0"/>
      <w:marTop w:val="0"/>
      <w:marBottom w:val="0"/>
      <w:divBdr>
        <w:top w:val="none" w:sz="0" w:space="0" w:color="auto"/>
        <w:left w:val="none" w:sz="0" w:space="0" w:color="auto"/>
        <w:bottom w:val="none" w:sz="0" w:space="0" w:color="auto"/>
        <w:right w:val="none" w:sz="0" w:space="0" w:color="auto"/>
      </w:divBdr>
    </w:div>
    <w:div w:id="1035929632">
      <w:bodyDiv w:val="1"/>
      <w:marLeft w:val="0"/>
      <w:marRight w:val="0"/>
      <w:marTop w:val="0"/>
      <w:marBottom w:val="0"/>
      <w:divBdr>
        <w:top w:val="none" w:sz="0" w:space="0" w:color="auto"/>
        <w:left w:val="none" w:sz="0" w:space="0" w:color="auto"/>
        <w:bottom w:val="none" w:sz="0" w:space="0" w:color="auto"/>
        <w:right w:val="none" w:sz="0" w:space="0" w:color="auto"/>
      </w:divBdr>
    </w:div>
    <w:div w:id="1097019561">
      <w:bodyDiv w:val="1"/>
      <w:marLeft w:val="0"/>
      <w:marRight w:val="0"/>
      <w:marTop w:val="0"/>
      <w:marBottom w:val="0"/>
      <w:divBdr>
        <w:top w:val="none" w:sz="0" w:space="0" w:color="auto"/>
        <w:left w:val="none" w:sz="0" w:space="0" w:color="auto"/>
        <w:bottom w:val="none" w:sz="0" w:space="0" w:color="auto"/>
        <w:right w:val="none" w:sz="0" w:space="0" w:color="auto"/>
      </w:divBdr>
    </w:div>
    <w:div w:id="1139811053">
      <w:bodyDiv w:val="1"/>
      <w:marLeft w:val="0"/>
      <w:marRight w:val="0"/>
      <w:marTop w:val="0"/>
      <w:marBottom w:val="0"/>
      <w:divBdr>
        <w:top w:val="none" w:sz="0" w:space="0" w:color="auto"/>
        <w:left w:val="none" w:sz="0" w:space="0" w:color="auto"/>
        <w:bottom w:val="none" w:sz="0" w:space="0" w:color="auto"/>
        <w:right w:val="none" w:sz="0" w:space="0" w:color="auto"/>
      </w:divBdr>
    </w:div>
    <w:div w:id="1490630509">
      <w:bodyDiv w:val="1"/>
      <w:marLeft w:val="0"/>
      <w:marRight w:val="0"/>
      <w:marTop w:val="0"/>
      <w:marBottom w:val="0"/>
      <w:divBdr>
        <w:top w:val="none" w:sz="0" w:space="0" w:color="auto"/>
        <w:left w:val="none" w:sz="0" w:space="0" w:color="auto"/>
        <w:bottom w:val="none" w:sz="0" w:space="0" w:color="auto"/>
        <w:right w:val="none" w:sz="0" w:space="0" w:color="auto"/>
      </w:divBdr>
    </w:div>
    <w:div w:id="1619680754">
      <w:bodyDiv w:val="1"/>
      <w:marLeft w:val="0"/>
      <w:marRight w:val="0"/>
      <w:marTop w:val="0"/>
      <w:marBottom w:val="0"/>
      <w:divBdr>
        <w:top w:val="none" w:sz="0" w:space="0" w:color="auto"/>
        <w:left w:val="none" w:sz="0" w:space="0" w:color="auto"/>
        <w:bottom w:val="none" w:sz="0" w:space="0" w:color="auto"/>
        <w:right w:val="none" w:sz="0" w:space="0" w:color="auto"/>
      </w:divBdr>
    </w:div>
    <w:div w:id="1821648378">
      <w:bodyDiv w:val="1"/>
      <w:marLeft w:val="0"/>
      <w:marRight w:val="0"/>
      <w:marTop w:val="0"/>
      <w:marBottom w:val="0"/>
      <w:divBdr>
        <w:top w:val="none" w:sz="0" w:space="0" w:color="auto"/>
        <w:left w:val="none" w:sz="0" w:space="0" w:color="auto"/>
        <w:bottom w:val="none" w:sz="0" w:space="0" w:color="auto"/>
        <w:right w:val="none" w:sz="0" w:space="0" w:color="auto"/>
      </w:divBdr>
    </w:div>
    <w:div w:id="1878394749">
      <w:bodyDiv w:val="1"/>
      <w:marLeft w:val="0"/>
      <w:marRight w:val="0"/>
      <w:marTop w:val="0"/>
      <w:marBottom w:val="0"/>
      <w:divBdr>
        <w:top w:val="none" w:sz="0" w:space="0" w:color="auto"/>
        <w:left w:val="none" w:sz="0" w:space="0" w:color="auto"/>
        <w:bottom w:val="none" w:sz="0" w:space="0" w:color="auto"/>
        <w:right w:val="none" w:sz="0" w:space="0" w:color="auto"/>
      </w:divBdr>
    </w:div>
    <w:div w:id="205719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eason@yorksj.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rksj.ac.uk/news/2021/mtg-performing-arts-cour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ficeforstudents.org.uk/news-blog-and-events/press-and-media/student-satisfaction-rises-but-universities-should-do-more-to-improve-feedback/"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theguardian.com/culture-professionals-network/2015/sep/03/disability-arts-the-challenge-of-ensuring-creative-momentum" TargetMode="External"/><Relationship Id="rId4" Type="http://schemas.openxmlformats.org/officeDocument/2006/relationships/settings" Target="settings.xml"/><Relationship Id="rId9" Type="http://schemas.openxmlformats.org/officeDocument/2006/relationships/hyperlink" Target="https://www.thestage.co.uk/news/disability-in-drama-schools--study-reveals-extent-of-under-represen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4B5E4-8D09-C94F-8EF0-A5F5F9B1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4182</Words>
  <Characters>25052</Characters>
  <Application>Microsoft Office Word</Application>
  <DocSecurity>0</DocSecurity>
  <Lines>317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Reason (M.Reason)</dc:creator>
  <cp:keywords/>
  <dc:description/>
  <cp:lastModifiedBy>Matthew Reason (M.Reason)</cp:lastModifiedBy>
  <cp:revision>3</cp:revision>
  <dcterms:created xsi:type="dcterms:W3CDTF">2021-09-26T11:46:00Z</dcterms:created>
  <dcterms:modified xsi:type="dcterms:W3CDTF">2021-09-27T08:54:00Z</dcterms:modified>
</cp:coreProperties>
</file>