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B4B1" w14:textId="77777777" w:rsidR="00583788" w:rsidRPr="00EA127E" w:rsidRDefault="00583788" w:rsidP="00583788">
      <w:pPr>
        <w:rPr>
          <w:b/>
          <w:sz w:val="28"/>
          <w:szCs w:val="28"/>
        </w:rPr>
      </w:pPr>
      <w:r w:rsidRPr="00EA127E">
        <w:rPr>
          <w:b/>
          <w:sz w:val="28"/>
          <w:szCs w:val="28"/>
          <w:u w:val="single"/>
        </w:rPr>
        <w:t>TITLE:</w:t>
      </w:r>
      <w:r w:rsidRPr="00EA127E">
        <w:rPr>
          <w:b/>
          <w:sz w:val="28"/>
          <w:szCs w:val="28"/>
        </w:rPr>
        <w:t xml:space="preserve"> Identifying research priorities for occupational therapy in the UK: a James Lind Alliance Priority Setting Partnership</w:t>
      </w:r>
    </w:p>
    <w:p w14:paraId="6F859F7F" w14:textId="77777777" w:rsidR="00583788" w:rsidRPr="00EA127E" w:rsidRDefault="00583788" w:rsidP="00583788">
      <w:pPr>
        <w:rPr>
          <w:b/>
        </w:rPr>
      </w:pPr>
      <w:r w:rsidRPr="00EA127E">
        <w:rPr>
          <w:b/>
          <w:u w:val="single"/>
        </w:rPr>
        <w:t>SHORT TITLE</w:t>
      </w:r>
      <w:r w:rsidRPr="00EA127E">
        <w:rPr>
          <w:b/>
        </w:rPr>
        <w:t>: Research priorities for OT in the UK</w:t>
      </w:r>
    </w:p>
    <w:p w14:paraId="7444C9FD" w14:textId="77777777" w:rsidR="00583788" w:rsidRPr="00EA127E" w:rsidRDefault="00D6048A" w:rsidP="005B0E1F">
      <w:pPr>
        <w:spacing w:after="0"/>
        <w:rPr>
          <w:u w:val="single"/>
        </w:rPr>
      </w:pPr>
      <w:r w:rsidRPr="00EA127E">
        <w:br/>
      </w:r>
      <w:r w:rsidR="00583788" w:rsidRPr="00EA127E">
        <w:rPr>
          <w:u w:val="single"/>
        </w:rPr>
        <w:t>AUTHORS:</w:t>
      </w:r>
    </w:p>
    <w:p w14:paraId="0E05DCAF" w14:textId="77777777" w:rsidR="00583788" w:rsidRPr="00EA127E" w:rsidRDefault="00583788" w:rsidP="005B0E1F">
      <w:pPr>
        <w:spacing w:after="0"/>
      </w:pPr>
      <w:r w:rsidRPr="00EA127E">
        <w:t>Jo Watson, Assistant Director – Education and Research, Royal College of Occupational Therapists</w:t>
      </w:r>
    </w:p>
    <w:p w14:paraId="11EFDD19" w14:textId="77777777" w:rsidR="00583788" w:rsidRPr="00EA127E" w:rsidRDefault="00583788" w:rsidP="00A246A8">
      <w:pPr>
        <w:spacing w:after="0"/>
      </w:pPr>
      <w:r w:rsidRPr="00EA127E">
        <w:t>Katherine Cowan, Senior Advisor,</w:t>
      </w:r>
      <w:r w:rsidR="00611C83" w:rsidRPr="00EA127E">
        <w:t xml:space="preserve"> </w:t>
      </w:r>
      <w:r w:rsidRPr="00EA127E">
        <w:t>James Lind Alliance</w:t>
      </w:r>
    </w:p>
    <w:p w14:paraId="3A01D269" w14:textId="77777777" w:rsidR="00583788" w:rsidRPr="00EA127E" w:rsidRDefault="00583788" w:rsidP="00A246A8">
      <w:pPr>
        <w:spacing w:after="0"/>
      </w:pPr>
      <w:r w:rsidRPr="00EA127E">
        <w:t xml:space="preserve">Hannah Spring, </w:t>
      </w:r>
      <w:r w:rsidR="00D6048A" w:rsidRPr="00EA127E">
        <w:t>Senior Lecturer: Research and Evidence</w:t>
      </w:r>
      <w:r w:rsidR="003765A0" w:rsidRPr="00EA127E">
        <w:t>-</w:t>
      </w:r>
      <w:r w:rsidR="00D6048A" w:rsidRPr="00EA127E">
        <w:t xml:space="preserve">Based Practice, </w:t>
      </w:r>
      <w:r w:rsidR="003765A0" w:rsidRPr="00EA127E">
        <w:t>York St John University</w:t>
      </w:r>
    </w:p>
    <w:p w14:paraId="72F1E72D" w14:textId="77777777" w:rsidR="00583788" w:rsidRPr="00EA127E" w:rsidRDefault="00583788" w:rsidP="00A246A8">
      <w:pPr>
        <w:spacing w:after="0"/>
      </w:pPr>
      <w:r w:rsidRPr="00EA127E">
        <w:t>Jenny Mac Donnell,</w:t>
      </w:r>
      <w:r w:rsidR="003E22BF" w:rsidRPr="00EA127E">
        <w:rPr>
          <w:rFonts w:ascii="Helvetica" w:eastAsia="Times New Roman" w:hAnsi="Helvetica" w:cs="Helvetica"/>
          <w:sz w:val="18"/>
          <w:szCs w:val="18"/>
          <w:lang w:val="en" w:eastAsia="en-GB"/>
        </w:rPr>
        <w:t xml:space="preserve"> </w:t>
      </w:r>
      <w:r w:rsidR="003E22BF" w:rsidRPr="00EA127E">
        <w:t xml:space="preserve">formerly the OTPSP Project Lead, Royal College of Occupational Therapists. </w:t>
      </w:r>
    </w:p>
    <w:p w14:paraId="453E8BCE" w14:textId="17B1BE5D" w:rsidR="00583788" w:rsidRPr="00EA127E" w:rsidRDefault="00583788" w:rsidP="00A246A8">
      <w:pPr>
        <w:spacing w:after="0"/>
      </w:pPr>
      <w:r w:rsidRPr="00EA127E">
        <w:t>Ruth Unstead-Joss</w:t>
      </w:r>
      <w:r w:rsidR="003765A0" w:rsidRPr="00EA127E">
        <w:t xml:space="preserve">, </w:t>
      </w:r>
      <w:r w:rsidR="005774C7" w:rsidRPr="00EA127E">
        <w:t>Project Manager, University College London</w:t>
      </w:r>
      <w:r w:rsidR="003E22BF" w:rsidRPr="00EA127E">
        <w:rPr>
          <w:rFonts w:ascii="Helvetica" w:eastAsia="Times New Roman" w:hAnsi="Helvetica" w:cs="Helvetica"/>
          <w:sz w:val="18"/>
          <w:szCs w:val="18"/>
          <w:lang w:val="en" w:eastAsia="en-GB"/>
        </w:rPr>
        <w:t xml:space="preserve">; </w:t>
      </w:r>
      <w:r w:rsidR="003E22BF" w:rsidRPr="00EA127E">
        <w:t>formerly the OTPSP Project Coordinator, Royal College of Occupational Therapists.</w:t>
      </w:r>
    </w:p>
    <w:p w14:paraId="0B862B64" w14:textId="77777777" w:rsidR="00D6048A" w:rsidRPr="00EA127E" w:rsidRDefault="00D6048A" w:rsidP="005B0E1F">
      <w:pPr>
        <w:shd w:val="clear" w:color="auto" w:fill="FFFFFF"/>
        <w:spacing w:before="100" w:beforeAutospacing="1" w:after="0" w:line="240" w:lineRule="auto"/>
        <w:rPr>
          <w:rFonts w:ascii="Helvetica" w:eastAsia="Times New Roman" w:hAnsi="Helvetica" w:cs="Helvetica"/>
          <w:sz w:val="18"/>
          <w:szCs w:val="18"/>
          <w:u w:val="single"/>
          <w:lang w:val="en" w:eastAsia="en-GB"/>
        </w:rPr>
      </w:pPr>
      <w:r w:rsidRPr="00EA127E">
        <w:rPr>
          <w:rFonts w:ascii="Helvetica" w:eastAsia="Times New Roman" w:hAnsi="Helvetica" w:cs="Helvetica"/>
          <w:sz w:val="18"/>
          <w:szCs w:val="18"/>
          <w:u w:val="single"/>
          <w:lang w:val="en" w:eastAsia="en-GB"/>
        </w:rPr>
        <w:t>CORRESPONDING AUTHOR:</w:t>
      </w:r>
    </w:p>
    <w:p w14:paraId="353B4EBB" w14:textId="77777777" w:rsidR="00D6048A" w:rsidRPr="00EA127E" w:rsidRDefault="00D6048A" w:rsidP="00611C83">
      <w:pPr>
        <w:shd w:val="clear" w:color="auto" w:fill="FFFFFF"/>
        <w:spacing w:after="0" w:line="240" w:lineRule="auto"/>
        <w:rPr>
          <w:rFonts w:eastAsia="Calibri" w:cs="Arial"/>
          <w:noProof/>
        </w:rPr>
      </w:pPr>
      <w:r w:rsidRPr="00EA127E">
        <w:rPr>
          <w:rFonts w:eastAsia="Times New Roman" w:cs="Helvetica"/>
          <w:lang w:val="en" w:eastAsia="en-GB"/>
        </w:rPr>
        <w:t>Dr Jo Watson</w:t>
      </w:r>
      <w:r w:rsidR="00611C83" w:rsidRPr="00EA127E">
        <w:rPr>
          <w:rFonts w:eastAsia="Times New Roman" w:cs="Helvetica"/>
          <w:lang w:val="en" w:eastAsia="en-GB"/>
        </w:rPr>
        <w:t xml:space="preserve">, </w:t>
      </w:r>
      <w:r w:rsidRPr="00EA127E">
        <w:rPr>
          <w:rFonts w:eastAsia="Times New Roman" w:cs="Helvetica"/>
          <w:lang w:val="en" w:eastAsia="en-GB"/>
        </w:rPr>
        <w:t>Assistant Director – Education and Research</w:t>
      </w:r>
      <w:r w:rsidR="00611C83" w:rsidRPr="00EA127E">
        <w:rPr>
          <w:rFonts w:eastAsia="Times New Roman" w:cs="Helvetica"/>
          <w:lang w:val="en" w:eastAsia="en-GB"/>
        </w:rPr>
        <w:t xml:space="preserve">, </w:t>
      </w:r>
      <w:r w:rsidRPr="00EA127E">
        <w:rPr>
          <w:rFonts w:eastAsia="Calibri" w:cs="Arial"/>
          <w:noProof/>
          <w:lang w:eastAsia="en-GB"/>
        </w:rPr>
        <w:t>Royal College of Occupational Therapists</w:t>
      </w:r>
      <w:r w:rsidR="00611C83" w:rsidRPr="00EA127E">
        <w:rPr>
          <w:rFonts w:eastAsia="Calibri" w:cs="Arial"/>
          <w:noProof/>
          <w:lang w:eastAsia="en-GB"/>
        </w:rPr>
        <w:t xml:space="preserve">, </w:t>
      </w:r>
      <w:r w:rsidRPr="00EA127E">
        <w:rPr>
          <w:rFonts w:eastAsia="Calibri" w:cs="Arial"/>
          <w:noProof/>
          <w:lang w:eastAsia="en-GB"/>
        </w:rPr>
        <w:t>106-114 Borough High Street, London SE1 1LB</w:t>
      </w:r>
      <w:r w:rsidR="00611C83" w:rsidRPr="00EA127E">
        <w:rPr>
          <w:rFonts w:eastAsia="Calibri" w:cs="Arial"/>
          <w:noProof/>
          <w:lang w:eastAsia="en-GB"/>
        </w:rPr>
        <w:t>.</w:t>
      </w:r>
      <w:r w:rsidRPr="00EA127E">
        <w:rPr>
          <w:rFonts w:eastAsia="Calibri" w:cs="Arial"/>
          <w:noProof/>
          <w:lang w:eastAsia="en-GB"/>
        </w:rPr>
        <w:t>   </w:t>
      </w:r>
    </w:p>
    <w:p w14:paraId="3F4826A3" w14:textId="77777777" w:rsidR="00D6048A" w:rsidRPr="00EA127E" w:rsidRDefault="003A3B8B" w:rsidP="003765A0">
      <w:pPr>
        <w:shd w:val="clear" w:color="auto" w:fill="FFFFFF"/>
        <w:spacing w:after="0" w:line="240" w:lineRule="auto"/>
        <w:rPr>
          <w:rFonts w:eastAsia="Times New Roman" w:cs="Helvetica"/>
          <w:lang w:val="en" w:eastAsia="en-GB"/>
        </w:rPr>
      </w:pPr>
      <w:hyperlink r:id="rId7" w:history="1">
        <w:r w:rsidR="00D6048A" w:rsidRPr="00EA127E">
          <w:rPr>
            <w:rStyle w:val="Hyperlink"/>
            <w:rFonts w:eastAsia="Times New Roman" w:cs="Helvetica"/>
            <w:lang w:val="en" w:eastAsia="en-GB"/>
          </w:rPr>
          <w:t>Jo.Watson@rcot.co.uk</w:t>
        </w:r>
      </w:hyperlink>
      <w:r w:rsidR="00D6048A" w:rsidRPr="00EA127E">
        <w:rPr>
          <w:rFonts w:eastAsia="Times New Roman" w:cs="Helvetica"/>
          <w:lang w:val="en" w:eastAsia="en-GB"/>
        </w:rPr>
        <w:t xml:space="preserve"> </w:t>
      </w:r>
      <w:r w:rsidR="003765A0" w:rsidRPr="00EA127E">
        <w:rPr>
          <w:rFonts w:eastAsia="Times New Roman" w:cs="Helvetica"/>
          <w:lang w:val="en" w:eastAsia="en-GB"/>
        </w:rPr>
        <w:br/>
      </w:r>
    </w:p>
    <w:p w14:paraId="4DFF18BA" w14:textId="77777777" w:rsidR="003765A0" w:rsidRPr="00EA127E" w:rsidRDefault="003765A0" w:rsidP="005B0E1F">
      <w:pPr>
        <w:shd w:val="clear" w:color="auto" w:fill="FFFFFF"/>
        <w:spacing w:after="0" w:line="240" w:lineRule="auto"/>
        <w:rPr>
          <w:rFonts w:eastAsia="Times New Roman" w:cs="Helvetica"/>
          <w:bCs/>
          <w:u w:val="single"/>
          <w:lang w:val="en" w:eastAsia="en-GB"/>
        </w:rPr>
      </w:pPr>
      <w:r w:rsidRPr="00EA127E">
        <w:rPr>
          <w:rFonts w:eastAsia="Times New Roman" w:cs="Helvetica"/>
          <w:bCs/>
          <w:u w:val="single"/>
          <w:lang w:val="en" w:eastAsia="en-GB"/>
        </w:rPr>
        <w:t>RESEARCH ETHICS</w:t>
      </w:r>
    </w:p>
    <w:p w14:paraId="7C93AF81" w14:textId="2F7A92E8" w:rsidR="006E5792" w:rsidRPr="00EA127E" w:rsidRDefault="003765A0" w:rsidP="00FE34C1">
      <w:pPr>
        <w:shd w:val="clear" w:color="auto" w:fill="FFFFFF" w:themeFill="background1"/>
        <w:spacing w:after="0" w:line="240" w:lineRule="auto"/>
        <w:rPr>
          <w:rFonts w:eastAsia="Times New Roman" w:cs="Helvetica"/>
          <w:bCs/>
          <w:lang w:val="en" w:eastAsia="en-GB"/>
        </w:rPr>
      </w:pPr>
      <w:r w:rsidRPr="00EA127E">
        <w:rPr>
          <w:rFonts w:eastAsia="Times New Roman" w:cs="Helvetica"/>
          <w:lang w:val="en" w:eastAsia="en-GB"/>
        </w:rPr>
        <w:t xml:space="preserve">Ethical approval was not required by the </w:t>
      </w:r>
      <w:r w:rsidR="00535635" w:rsidRPr="00EA127E">
        <w:rPr>
          <w:rFonts w:eastAsia="Times New Roman" w:cs="Helvetica"/>
          <w:lang w:val="en" w:eastAsia="en-GB"/>
        </w:rPr>
        <w:t xml:space="preserve">National Health Service </w:t>
      </w:r>
      <w:r w:rsidRPr="00EA127E">
        <w:rPr>
          <w:rFonts w:eastAsia="Times New Roman" w:cs="Helvetica"/>
          <w:lang w:val="en" w:eastAsia="en-GB"/>
        </w:rPr>
        <w:t>Health Research Authority</w:t>
      </w:r>
      <w:r w:rsidR="00535635" w:rsidRPr="00EA127E">
        <w:rPr>
          <w:rFonts w:eastAsia="Times New Roman" w:cs="Helvetica"/>
          <w:lang w:val="en" w:eastAsia="en-GB"/>
        </w:rPr>
        <w:t xml:space="preserve">. </w:t>
      </w:r>
      <w:r w:rsidRPr="00EA127E">
        <w:br/>
      </w:r>
      <w:r w:rsidR="00535635" w:rsidRPr="00EA127E">
        <w:rPr>
          <w:rFonts w:eastAsia="Times New Roman" w:cs="Helvetica"/>
          <w:lang w:val="en" w:eastAsia="en-GB"/>
        </w:rPr>
        <w:t xml:space="preserve">The project was reviewed and approved via the Royal College of Occupational Therapists’ internal research governance process. Opening consultation survey: </w:t>
      </w:r>
      <w:r w:rsidR="00535635" w:rsidRPr="00EA127E">
        <w:rPr>
          <w:rStyle w:val="Strong"/>
          <w:rFonts w:cs="Arial"/>
          <w:b w:val="0"/>
          <w:bCs w:val="0"/>
        </w:rPr>
        <w:t>PE36/2019, 26/07/2019. Interim prioritisation survey: PE48/2020, 24/02/2020. Final prioritisation workshop: PE55/2020, 10/07/2020.</w:t>
      </w:r>
      <w:r w:rsidRPr="00EA127E">
        <w:br/>
      </w:r>
      <w:r w:rsidRPr="00EA127E">
        <w:br/>
      </w:r>
      <w:r w:rsidR="00A246A8" w:rsidRPr="00EA127E">
        <w:rPr>
          <w:rFonts w:eastAsia="Times New Roman" w:cs="Helvetica"/>
          <w:u w:val="single"/>
          <w:lang w:val="en" w:eastAsia="en-GB"/>
        </w:rPr>
        <w:t>DECLARATION OF CONFLICTING INTERESTS</w:t>
      </w:r>
      <w:r w:rsidRPr="00EA127E">
        <w:br/>
      </w:r>
      <w:r w:rsidR="00A246A8" w:rsidRPr="00EA127E">
        <w:rPr>
          <w:rFonts w:eastAsia="Times New Roman" w:cs="Helvetica"/>
          <w:lang w:val="en" w:eastAsia="en-GB"/>
        </w:rPr>
        <w:t>The Author</w:t>
      </w:r>
      <w:r w:rsidR="00583788" w:rsidRPr="00EA127E">
        <w:rPr>
          <w:rFonts w:eastAsia="Times New Roman" w:cs="Helvetica"/>
          <w:lang w:val="en" w:eastAsia="en-GB"/>
        </w:rPr>
        <w:t>s confirm that t</w:t>
      </w:r>
      <w:r w:rsidR="00A246A8" w:rsidRPr="00EA127E">
        <w:rPr>
          <w:rFonts w:eastAsia="Times New Roman" w:cs="Helvetica"/>
          <w:lang w:val="en" w:eastAsia="en-GB"/>
        </w:rPr>
        <w:t>here is no conflict of interest</w:t>
      </w:r>
      <w:r w:rsidR="00583788" w:rsidRPr="00EA127E">
        <w:rPr>
          <w:rFonts w:eastAsia="Times New Roman" w:cs="Helvetica"/>
          <w:lang w:val="en" w:eastAsia="en-GB"/>
        </w:rPr>
        <w:t>.</w:t>
      </w:r>
      <w:r w:rsidRPr="00EA127E">
        <w:br/>
      </w:r>
      <w:r w:rsidR="00FE34C1" w:rsidRPr="00EA127E">
        <w:rPr>
          <w:rFonts w:eastAsia="Times New Roman" w:cs="Helvetica"/>
          <w:bCs/>
          <w:u w:val="single"/>
          <w:lang w:val="en" w:eastAsia="en-GB"/>
        </w:rPr>
        <w:br/>
      </w:r>
      <w:r w:rsidR="00A246A8" w:rsidRPr="00EA127E">
        <w:rPr>
          <w:rFonts w:eastAsia="Times New Roman" w:cs="Helvetica"/>
          <w:bCs/>
          <w:u w:val="single"/>
          <w:lang w:val="en" w:eastAsia="en-GB"/>
        </w:rPr>
        <w:t>STATEMENT OF CONTRIBUTORSHIP</w:t>
      </w:r>
      <w:r w:rsidR="00583788" w:rsidRPr="00EA127E">
        <w:rPr>
          <w:rFonts w:eastAsia="Times New Roman" w:cs="Helvetica"/>
          <w:lang w:val="en" w:eastAsia="en-GB"/>
        </w:rPr>
        <w:br/>
      </w:r>
      <w:r w:rsidR="006E5792" w:rsidRPr="00EA127E">
        <w:rPr>
          <w:rFonts w:eastAsia="Times New Roman" w:cs="Helvetica"/>
          <w:bCs/>
          <w:lang w:val="en" w:eastAsia="en-GB"/>
        </w:rPr>
        <w:t xml:space="preserve">JW initiated the OTPSP and was its strategic lead. KC chaired the OTPSP Steering Group. HS was the OTPSP Information specialist. JM was the OTPSP Project Lead. RUJ was the OTPSP Project Coordinator.  </w:t>
      </w:r>
      <w:r w:rsidR="006E5792" w:rsidRPr="00EA127E">
        <w:rPr>
          <w:rFonts w:eastAsia="Times New Roman" w:cs="Helvetica"/>
          <w:lang w:val="en" w:eastAsia="en-GB"/>
        </w:rPr>
        <w:t>JW wrote the first draft of the manuscript. All authors reviewed and edited the manuscript and approved the final version.</w:t>
      </w:r>
    </w:p>
    <w:p w14:paraId="48C0EECF" w14:textId="77777777" w:rsidR="00631A1D" w:rsidRPr="00EA127E" w:rsidRDefault="00631A1D" w:rsidP="00631A1D">
      <w:pPr>
        <w:autoSpaceDE w:val="0"/>
        <w:autoSpaceDN w:val="0"/>
        <w:adjustRightInd w:val="0"/>
        <w:spacing w:after="0" w:line="240" w:lineRule="auto"/>
        <w:rPr>
          <w:rFonts w:eastAsia="Times New Roman" w:cs="Helvetica"/>
          <w:lang w:val="en" w:eastAsia="en-GB"/>
        </w:rPr>
      </w:pPr>
      <w:r w:rsidRPr="00EA127E">
        <w:rPr>
          <w:rFonts w:eastAsia="Times New Roman" w:cs="Helvetica"/>
          <w:bCs/>
          <w:u w:val="single"/>
          <w:lang w:val="en" w:eastAsia="en-GB"/>
        </w:rPr>
        <w:br/>
      </w:r>
      <w:r w:rsidR="00611C83" w:rsidRPr="00EA127E">
        <w:rPr>
          <w:rFonts w:eastAsia="Times New Roman" w:cs="Helvetica"/>
          <w:bCs/>
          <w:u w:val="single"/>
          <w:lang w:val="en" w:eastAsia="en-GB"/>
        </w:rPr>
        <w:t>FUNDING</w:t>
      </w:r>
      <w:r w:rsidR="00583788" w:rsidRPr="00EA127E">
        <w:rPr>
          <w:rFonts w:eastAsia="Times New Roman" w:cs="Helvetica"/>
          <w:lang w:val="en" w:eastAsia="en-GB"/>
        </w:rPr>
        <w:br/>
      </w:r>
      <w:r w:rsidRPr="00EA127E">
        <w:rPr>
          <w:rFonts w:cs="AdvTimes"/>
        </w:rPr>
        <w:t>The Royal College of Occupational Therapists funded the RCOT/JLA priority setting partnership to identify research priorities for occupational therapy in the UK.</w:t>
      </w:r>
    </w:p>
    <w:p w14:paraId="2C965A49" w14:textId="77777777" w:rsidR="00C159C1" w:rsidRPr="00EA127E" w:rsidRDefault="00985C72" w:rsidP="00C159C1">
      <w:pPr>
        <w:rPr>
          <w:rFonts w:eastAsia="Times New Roman" w:cs="Helvetica"/>
          <w:bCs/>
          <w:u w:val="single"/>
          <w:lang w:val="en" w:eastAsia="en-GB"/>
        </w:rPr>
      </w:pPr>
      <w:r w:rsidRPr="00EA127E">
        <w:rPr>
          <w:rFonts w:eastAsia="Times New Roman" w:cs="Helvetica"/>
          <w:bCs/>
          <w:u w:val="single"/>
          <w:lang w:val="en" w:eastAsia="en-GB"/>
        </w:rPr>
        <w:br/>
      </w:r>
      <w:r w:rsidR="00611C83" w:rsidRPr="00EA127E">
        <w:rPr>
          <w:rFonts w:eastAsia="Times New Roman" w:cs="Helvetica"/>
          <w:bCs/>
          <w:u w:val="single"/>
          <w:lang w:val="en" w:eastAsia="en-GB"/>
        </w:rPr>
        <w:t>ACKNOWLEGEMENTS</w:t>
      </w:r>
      <w:r w:rsidR="00583788" w:rsidRPr="00EA127E">
        <w:rPr>
          <w:rFonts w:eastAsia="Times New Roman" w:cs="Helvetica"/>
          <w:lang w:val="en" w:eastAsia="en-GB"/>
        </w:rPr>
        <w:br/>
      </w:r>
      <w:r w:rsidR="00C159C1" w:rsidRPr="00EA127E">
        <w:rPr>
          <w:rFonts w:cs="Arial"/>
        </w:rPr>
        <w:t>Sincere thanks are extended to everyone who supported the OTPSP, including the Steering Group members, the James Lind Alliance advisers and support staff who advised and facilitated the partnership, and the many individuals, groups and organisations that contributed to, took part in, promoted and/or facilitated engagement with the different stages of the work.</w:t>
      </w:r>
    </w:p>
    <w:p w14:paraId="1F126941" w14:textId="77777777" w:rsidR="00583788" w:rsidRPr="00EA127E" w:rsidRDefault="00583788" w:rsidP="00A246A8">
      <w:pPr>
        <w:shd w:val="clear" w:color="auto" w:fill="FFFFFF"/>
        <w:spacing w:before="100" w:beforeAutospacing="1" w:after="100" w:afterAutospacing="1" w:line="240" w:lineRule="auto"/>
        <w:rPr>
          <w:rFonts w:eastAsia="Times New Roman" w:cs="Helvetica"/>
          <w:lang w:val="en" w:eastAsia="en-GB"/>
        </w:rPr>
      </w:pPr>
      <w:r w:rsidRPr="00EA127E">
        <w:rPr>
          <w:b/>
        </w:rPr>
        <w:br w:type="page"/>
      </w:r>
    </w:p>
    <w:p w14:paraId="205CA813" w14:textId="77777777" w:rsidR="002841F4" w:rsidRPr="00EA127E" w:rsidRDefault="00EB32E3">
      <w:pPr>
        <w:rPr>
          <w:b/>
          <w:sz w:val="28"/>
          <w:szCs w:val="28"/>
        </w:rPr>
      </w:pPr>
      <w:r w:rsidRPr="00EA127E">
        <w:rPr>
          <w:b/>
          <w:sz w:val="28"/>
          <w:szCs w:val="28"/>
        </w:rPr>
        <w:lastRenderedPageBreak/>
        <w:t>Identifying research priorities for occupational therapy in the UK: a James Lind Alliance Priority Setting Partnership</w:t>
      </w:r>
    </w:p>
    <w:p w14:paraId="1DA8A2FE" w14:textId="77777777" w:rsidR="00EB32E3" w:rsidRPr="00EA127E" w:rsidRDefault="00EB32E3"/>
    <w:p w14:paraId="6981A5B0" w14:textId="77777777" w:rsidR="000062B3" w:rsidRPr="00EA127E" w:rsidRDefault="000062B3" w:rsidP="000062B3">
      <w:pPr>
        <w:rPr>
          <w:b/>
        </w:rPr>
      </w:pPr>
      <w:r w:rsidRPr="00EA127E">
        <w:rPr>
          <w:b/>
        </w:rPr>
        <w:t>Key words</w:t>
      </w:r>
      <w:r w:rsidR="00080942" w:rsidRPr="00EA127E">
        <w:rPr>
          <w:b/>
        </w:rPr>
        <w:t xml:space="preserve"> </w:t>
      </w:r>
    </w:p>
    <w:p w14:paraId="2DBE52B7" w14:textId="77777777" w:rsidR="000062B3" w:rsidRPr="00EA127E" w:rsidRDefault="000062B3" w:rsidP="000062B3">
      <w:r w:rsidRPr="00EA127E">
        <w:t>Occupational therapy; research priorities; co-production; consensus</w:t>
      </w:r>
      <w:r w:rsidR="00D27CB2" w:rsidRPr="00EA127E">
        <w:t xml:space="preserve"> </w:t>
      </w:r>
    </w:p>
    <w:p w14:paraId="79780108" w14:textId="77777777" w:rsidR="000062B3" w:rsidRPr="00EA127E" w:rsidRDefault="000062B3">
      <w:pPr>
        <w:rPr>
          <w:b/>
        </w:rPr>
      </w:pPr>
    </w:p>
    <w:p w14:paraId="0BCC85D9" w14:textId="77777777" w:rsidR="00033CAA" w:rsidRPr="00EA127E" w:rsidRDefault="00033CAA">
      <w:pPr>
        <w:rPr>
          <w:b/>
        </w:rPr>
      </w:pPr>
      <w:r w:rsidRPr="00EA127E">
        <w:rPr>
          <w:b/>
        </w:rPr>
        <w:t>Abstract</w:t>
      </w:r>
    </w:p>
    <w:p w14:paraId="403785B6" w14:textId="0F2EE394" w:rsidR="005D0FA5" w:rsidRPr="00EA127E" w:rsidRDefault="005D0FA5" w:rsidP="005D0FA5">
      <w:pPr>
        <w:rPr>
          <w:rFonts w:cs="Arial"/>
          <w:color w:val="222222"/>
          <w:lang w:val="en"/>
        </w:rPr>
      </w:pPr>
      <w:r w:rsidRPr="00EA127E">
        <w:rPr>
          <w:u w:val="single"/>
        </w:rPr>
        <w:t>Introduction:</w:t>
      </w:r>
      <w:r w:rsidRPr="00EA127E">
        <w:t xml:space="preserve">  </w:t>
      </w:r>
      <w:r w:rsidR="00541006" w:rsidRPr="00EA127E">
        <w:t>A</w:t>
      </w:r>
      <w:r w:rsidRPr="00EA127E">
        <w:t>s the scope and nature of practice evolves</w:t>
      </w:r>
      <w:r w:rsidR="00541006" w:rsidRPr="00EA127E">
        <w:t xml:space="preserve"> in an ever-changing health and </w:t>
      </w:r>
      <w:r w:rsidR="00A1195C" w:rsidRPr="00EA127E">
        <w:t xml:space="preserve">social </w:t>
      </w:r>
      <w:r w:rsidR="00541006" w:rsidRPr="00EA127E">
        <w:t>care landscape</w:t>
      </w:r>
      <w:r w:rsidRPr="00EA127E">
        <w:t xml:space="preserve">, it is imperative the profession continues to expand the evidence base underpinning interventions. The Royal College of Occupational Therapists partnered with the James Lind Alliance (JLA) </w:t>
      </w:r>
      <w:r w:rsidRPr="00EA127E">
        <w:rPr>
          <w:rFonts w:cs="Arial"/>
          <w:color w:val="222222"/>
          <w:lang w:val="en"/>
        </w:rPr>
        <w:t xml:space="preserve">to </w:t>
      </w:r>
      <w:r w:rsidRPr="00EA127E">
        <w:rPr>
          <w:rFonts w:cs="Arial"/>
          <w:color w:val="000000"/>
        </w:rPr>
        <w:t>bring together people with lived experience, occupational therapists and other</w:t>
      </w:r>
      <w:r w:rsidR="00671DD7" w:rsidRPr="00EA127E">
        <w:rPr>
          <w:rFonts w:cs="Arial"/>
          <w:color w:val="000000"/>
        </w:rPr>
        <w:t xml:space="preserve"> people</w:t>
      </w:r>
      <w:r w:rsidRPr="00EA127E">
        <w:rPr>
          <w:rFonts w:cs="Arial"/>
          <w:color w:val="000000"/>
        </w:rPr>
        <w:t xml:space="preserve"> working in the health and care sector to </w:t>
      </w:r>
      <w:r w:rsidRPr="00EA127E">
        <w:rPr>
          <w:rFonts w:cs="Arial"/>
          <w:color w:val="222222"/>
          <w:lang w:val="en"/>
        </w:rPr>
        <w:t xml:space="preserve">identify contemporary research priorities for the profession in the United Kingdom. </w:t>
      </w:r>
    </w:p>
    <w:p w14:paraId="2D117395" w14:textId="77777777" w:rsidR="005D0FA5" w:rsidRPr="00EA127E" w:rsidRDefault="005D0FA5" w:rsidP="005D0FA5">
      <w:r w:rsidRPr="00EA127E">
        <w:rPr>
          <w:u w:val="single"/>
        </w:rPr>
        <w:t>Method:</w:t>
      </w:r>
      <w:r w:rsidRPr="00EA127E">
        <w:t xml:space="preserve">  The JLA’s well-established methodology was adopted. An opening consultation survey gathered unanswered questions. Analysis of responses and evidence checking preceded an initial prioritisation survey. The final prioritisation workshop drew on nominal group technique.</w:t>
      </w:r>
    </w:p>
    <w:p w14:paraId="118BD427" w14:textId="6D62C881" w:rsidR="005D0FA5" w:rsidRPr="00EA127E" w:rsidRDefault="005D0FA5" w:rsidP="005D0FA5">
      <w:r w:rsidRPr="00EA127E">
        <w:rPr>
          <w:u w:val="single"/>
        </w:rPr>
        <w:t>Findings:</w:t>
      </w:r>
      <w:r w:rsidRPr="00EA127E">
        <w:t xml:space="preserve"> 927 respondents submitted 2193 questions. Those </w:t>
      </w:r>
      <w:r w:rsidR="00D53520" w:rsidRPr="00EA127E">
        <w:t>with</w:t>
      </w:r>
      <w:r w:rsidRPr="00EA127E">
        <w:t xml:space="preserve">in </w:t>
      </w:r>
      <w:r w:rsidR="00D53520" w:rsidRPr="00EA127E">
        <w:t xml:space="preserve">the project’s </w:t>
      </w:r>
      <w:r w:rsidRPr="00EA127E">
        <w:t xml:space="preserve">scope were captured in 66 overarching summary questions using thematic analysis. These were initially ranked by 1140 respondents. 18 questions comprising the 10 most highly ranked by people with lived experience and by those with professional experience were considered by 19 participants in the final workshop. Together, they </w:t>
      </w:r>
      <w:r w:rsidR="009C7809" w:rsidRPr="00EA127E">
        <w:t>reached</w:t>
      </w:r>
      <w:r w:rsidRPr="00EA127E">
        <w:t xml:space="preserve"> consensus on the Top 10 priorities.</w:t>
      </w:r>
    </w:p>
    <w:p w14:paraId="3C569869" w14:textId="77777777" w:rsidR="005D0FA5" w:rsidRPr="00EA127E" w:rsidRDefault="005D0FA5" w:rsidP="005D0FA5">
      <w:pPr>
        <w:rPr>
          <w:rFonts w:cs="Helvetica"/>
          <w:lang w:val="en"/>
        </w:rPr>
      </w:pPr>
      <w:r w:rsidRPr="00EA127E">
        <w:rPr>
          <w:u w:val="single"/>
        </w:rPr>
        <w:t>Conclusion:</w:t>
      </w:r>
      <w:r w:rsidRPr="00EA127E">
        <w:t xml:space="preserve">  </w:t>
      </w:r>
      <w:r w:rsidRPr="00EA127E">
        <w:rPr>
          <w:rFonts w:cs="Helvetica"/>
          <w:lang w:val="en"/>
        </w:rPr>
        <w:t>These research priorities provide a contemporary framework influencing and guiding future research, ensuring it addresses the issues of greatest importance to people accessing and delivering services.</w:t>
      </w:r>
    </w:p>
    <w:p w14:paraId="6121CF7B" w14:textId="77777777" w:rsidR="00033CAA" w:rsidRPr="00EA127E" w:rsidRDefault="00033CAA"/>
    <w:p w14:paraId="69218BA1" w14:textId="77777777" w:rsidR="00033CAA" w:rsidRPr="00EA127E" w:rsidRDefault="00033CAA"/>
    <w:p w14:paraId="46F6998C" w14:textId="77777777" w:rsidR="00033CAA" w:rsidRPr="00EA127E" w:rsidRDefault="00033CAA"/>
    <w:p w14:paraId="7D6D6593" w14:textId="77777777" w:rsidR="00033CAA" w:rsidRPr="00EA127E" w:rsidRDefault="00033CAA"/>
    <w:p w14:paraId="68DEB0CF" w14:textId="77777777" w:rsidR="00033CAA" w:rsidRPr="00EA127E" w:rsidRDefault="00033CAA"/>
    <w:p w14:paraId="4231F181" w14:textId="77777777" w:rsidR="00033CAA" w:rsidRPr="00EA127E" w:rsidRDefault="00033CAA"/>
    <w:p w14:paraId="110AC8D1" w14:textId="77777777" w:rsidR="00033CAA" w:rsidRPr="00EA127E" w:rsidRDefault="00033CAA"/>
    <w:p w14:paraId="65C6C36E" w14:textId="77777777" w:rsidR="00033CAA" w:rsidRPr="00EA127E" w:rsidRDefault="00033CAA"/>
    <w:p w14:paraId="15443412" w14:textId="77777777" w:rsidR="00B0099B" w:rsidRPr="00EA127E" w:rsidRDefault="00B0099B">
      <w:pPr>
        <w:rPr>
          <w:b/>
        </w:rPr>
      </w:pPr>
      <w:r w:rsidRPr="00EA127E">
        <w:rPr>
          <w:b/>
        </w:rPr>
        <w:br w:type="page"/>
      </w:r>
    </w:p>
    <w:p w14:paraId="748E5999" w14:textId="77777777" w:rsidR="00EB32E3" w:rsidRPr="00EA127E" w:rsidRDefault="00855329">
      <w:pPr>
        <w:rPr>
          <w:b/>
        </w:rPr>
      </w:pPr>
      <w:r w:rsidRPr="00EA127E">
        <w:rPr>
          <w:b/>
        </w:rPr>
        <w:lastRenderedPageBreak/>
        <w:t>Background and introduction</w:t>
      </w:r>
    </w:p>
    <w:p w14:paraId="1410323A" w14:textId="77777777" w:rsidR="00D708C6" w:rsidRPr="00EA127E" w:rsidRDefault="00884959" w:rsidP="00365F26">
      <w:pPr>
        <w:rPr>
          <w:spacing w:val="5"/>
          <w:w w:val="105"/>
        </w:rPr>
      </w:pPr>
      <w:r w:rsidRPr="00EA127E">
        <w:rPr>
          <w:rFonts w:cs="Arial"/>
        </w:rPr>
        <w:t>The first statement of research priorities for occupational therapy in the U</w:t>
      </w:r>
      <w:r w:rsidR="007F7B1D" w:rsidRPr="00EA127E">
        <w:rPr>
          <w:rFonts w:cs="Arial"/>
        </w:rPr>
        <w:t>nited Kingdom (U</w:t>
      </w:r>
      <w:r w:rsidRPr="00EA127E">
        <w:rPr>
          <w:rFonts w:cs="Arial"/>
        </w:rPr>
        <w:t>K</w:t>
      </w:r>
      <w:r w:rsidR="007F7B1D" w:rsidRPr="00EA127E">
        <w:rPr>
          <w:rFonts w:cs="Arial"/>
        </w:rPr>
        <w:t>)</w:t>
      </w:r>
      <w:r w:rsidRPr="00EA127E">
        <w:rPr>
          <w:rFonts w:cs="Arial"/>
        </w:rPr>
        <w:t xml:space="preserve"> was published in 2007 (COT 2007). </w:t>
      </w:r>
      <w:r w:rsidR="00AD58AE" w:rsidRPr="00EA127E">
        <w:rPr>
          <w:rFonts w:cs="Arial"/>
        </w:rPr>
        <w:t xml:space="preserve"> </w:t>
      </w:r>
      <w:r w:rsidR="00AD58AE" w:rsidRPr="00EA127E">
        <w:rPr>
          <w:w w:val="105"/>
        </w:rPr>
        <w:t>The</w:t>
      </w:r>
      <w:r w:rsidR="00AD58AE" w:rsidRPr="00EA127E">
        <w:rPr>
          <w:spacing w:val="-8"/>
          <w:w w:val="105"/>
        </w:rPr>
        <w:t xml:space="preserve"> </w:t>
      </w:r>
      <w:r w:rsidR="00AD58AE" w:rsidRPr="00EA127E">
        <w:rPr>
          <w:w w:val="105"/>
        </w:rPr>
        <w:t>landscape</w:t>
      </w:r>
      <w:r w:rsidR="00AD58AE" w:rsidRPr="00EA127E">
        <w:rPr>
          <w:spacing w:val="-9"/>
          <w:w w:val="105"/>
        </w:rPr>
        <w:t xml:space="preserve"> </w:t>
      </w:r>
      <w:r w:rsidR="00AD58AE" w:rsidRPr="00EA127E">
        <w:rPr>
          <w:w w:val="105"/>
        </w:rPr>
        <w:t>of</w:t>
      </w:r>
      <w:r w:rsidR="00AD58AE" w:rsidRPr="00EA127E">
        <w:rPr>
          <w:spacing w:val="-9"/>
          <w:w w:val="105"/>
        </w:rPr>
        <w:t xml:space="preserve"> </w:t>
      </w:r>
      <w:r w:rsidR="00AD58AE" w:rsidRPr="00EA127E">
        <w:rPr>
          <w:w w:val="105"/>
        </w:rPr>
        <w:t>health</w:t>
      </w:r>
      <w:r w:rsidR="00AD58AE" w:rsidRPr="00EA127E">
        <w:rPr>
          <w:spacing w:val="-9"/>
          <w:w w:val="105"/>
        </w:rPr>
        <w:t xml:space="preserve"> </w:t>
      </w:r>
      <w:r w:rsidR="00AD58AE" w:rsidRPr="00EA127E">
        <w:rPr>
          <w:w w:val="105"/>
        </w:rPr>
        <w:t>and</w:t>
      </w:r>
      <w:r w:rsidR="00AD58AE" w:rsidRPr="00EA127E">
        <w:rPr>
          <w:spacing w:val="-9"/>
          <w:w w:val="105"/>
        </w:rPr>
        <w:t xml:space="preserve"> </w:t>
      </w:r>
      <w:r w:rsidR="00AD58AE" w:rsidRPr="00EA127E">
        <w:rPr>
          <w:w w:val="105"/>
        </w:rPr>
        <w:t>social</w:t>
      </w:r>
      <w:r w:rsidR="00AD58AE" w:rsidRPr="00EA127E">
        <w:rPr>
          <w:spacing w:val="-8"/>
          <w:w w:val="105"/>
        </w:rPr>
        <w:t xml:space="preserve"> </w:t>
      </w:r>
      <w:r w:rsidR="00AD58AE" w:rsidRPr="00EA127E">
        <w:rPr>
          <w:w w:val="105"/>
        </w:rPr>
        <w:t>care</w:t>
      </w:r>
      <w:r w:rsidR="00AD58AE" w:rsidRPr="00EA127E">
        <w:rPr>
          <w:spacing w:val="-10"/>
          <w:w w:val="105"/>
        </w:rPr>
        <w:t xml:space="preserve"> </w:t>
      </w:r>
      <w:r w:rsidR="00AD58AE" w:rsidRPr="00EA127E">
        <w:rPr>
          <w:w w:val="105"/>
        </w:rPr>
        <w:t>practice</w:t>
      </w:r>
      <w:r w:rsidR="00AD58AE" w:rsidRPr="00EA127E">
        <w:rPr>
          <w:spacing w:val="-10"/>
          <w:w w:val="105"/>
        </w:rPr>
        <w:t xml:space="preserve"> </w:t>
      </w:r>
      <w:r w:rsidR="00AD58AE" w:rsidRPr="00EA127E">
        <w:rPr>
          <w:w w:val="105"/>
        </w:rPr>
        <w:t>has</w:t>
      </w:r>
      <w:r w:rsidR="00AD58AE" w:rsidRPr="00EA127E">
        <w:rPr>
          <w:spacing w:val="-9"/>
          <w:w w:val="105"/>
        </w:rPr>
        <w:t xml:space="preserve"> </w:t>
      </w:r>
      <w:r w:rsidR="00AD58AE" w:rsidRPr="00EA127E">
        <w:rPr>
          <w:w w:val="105"/>
        </w:rPr>
        <w:t>changed</w:t>
      </w:r>
      <w:r w:rsidR="00AD58AE" w:rsidRPr="00EA127E">
        <w:rPr>
          <w:w w:val="103"/>
        </w:rPr>
        <w:t xml:space="preserve"> </w:t>
      </w:r>
      <w:r w:rsidR="00AD58AE" w:rsidRPr="00EA127E">
        <w:rPr>
          <w:w w:val="105"/>
        </w:rPr>
        <w:t xml:space="preserve">considerably </w:t>
      </w:r>
      <w:r w:rsidR="00D708C6" w:rsidRPr="00EA127E">
        <w:rPr>
          <w:w w:val="105"/>
        </w:rPr>
        <w:t>i</w:t>
      </w:r>
      <w:r w:rsidR="00AD58AE" w:rsidRPr="00EA127E">
        <w:rPr>
          <w:w w:val="105"/>
        </w:rPr>
        <w:t>n</w:t>
      </w:r>
      <w:r w:rsidR="00AD58AE" w:rsidRPr="00EA127E">
        <w:rPr>
          <w:spacing w:val="-9"/>
          <w:w w:val="105"/>
        </w:rPr>
        <w:t xml:space="preserve"> </w:t>
      </w:r>
      <w:r w:rsidR="00AD58AE" w:rsidRPr="00EA127E">
        <w:rPr>
          <w:w w:val="105"/>
        </w:rPr>
        <w:t>the</w:t>
      </w:r>
      <w:r w:rsidR="00AD58AE" w:rsidRPr="00EA127E">
        <w:rPr>
          <w:spacing w:val="-9"/>
          <w:w w:val="105"/>
        </w:rPr>
        <w:t xml:space="preserve"> </w:t>
      </w:r>
      <w:r w:rsidR="00AD58AE" w:rsidRPr="00EA127E">
        <w:rPr>
          <w:w w:val="105"/>
        </w:rPr>
        <w:t>intervening</w:t>
      </w:r>
      <w:r w:rsidR="00AD58AE" w:rsidRPr="00EA127E">
        <w:rPr>
          <w:spacing w:val="-9"/>
          <w:w w:val="105"/>
        </w:rPr>
        <w:t xml:space="preserve"> </w:t>
      </w:r>
      <w:r w:rsidR="00D708C6" w:rsidRPr="00EA127E">
        <w:rPr>
          <w:w w:val="105"/>
        </w:rPr>
        <w:t>years</w:t>
      </w:r>
      <w:r w:rsidR="00AD58AE" w:rsidRPr="00EA127E">
        <w:rPr>
          <w:w w:val="105"/>
        </w:rPr>
        <w:t>.</w:t>
      </w:r>
      <w:r w:rsidR="00D708C6" w:rsidRPr="00EA127E">
        <w:rPr>
          <w:w w:val="105"/>
        </w:rPr>
        <w:t xml:space="preserve"> New models</w:t>
      </w:r>
      <w:r w:rsidR="00D708C6" w:rsidRPr="00EA127E">
        <w:rPr>
          <w:spacing w:val="1"/>
          <w:w w:val="105"/>
        </w:rPr>
        <w:t xml:space="preserve"> </w:t>
      </w:r>
      <w:r w:rsidR="00D708C6" w:rsidRPr="00EA127E">
        <w:rPr>
          <w:w w:val="105"/>
        </w:rPr>
        <w:t>of</w:t>
      </w:r>
      <w:r w:rsidR="00D708C6" w:rsidRPr="00EA127E">
        <w:rPr>
          <w:spacing w:val="1"/>
          <w:w w:val="105"/>
        </w:rPr>
        <w:t xml:space="preserve"> </w:t>
      </w:r>
      <w:r w:rsidR="00D708C6" w:rsidRPr="00EA127E">
        <w:rPr>
          <w:w w:val="105"/>
        </w:rPr>
        <w:t>service delivery</w:t>
      </w:r>
      <w:r w:rsidR="00D708C6" w:rsidRPr="00EA127E">
        <w:rPr>
          <w:w w:val="106"/>
        </w:rPr>
        <w:t xml:space="preserve"> </w:t>
      </w:r>
      <w:r w:rsidR="00D708C6" w:rsidRPr="00EA127E">
        <w:rPr>
          <w:w w:val="105"/>
        </w:rPr>
        <w:t>continue to</w:t>
      </w:r>
      <w:r w:rsidR="00D708C6" w:rsidRPr="00EA127E">
        <w:rPr>
          <w:spacing w:val="-1"/>
          <w:w w:val="105"/>
        </w:rPr>
        <w:t xml:space="preserve"> </w:t>
      </w:r>
      <w:r w:rsidR="00D708C6" w:rsidRPr="00EA127E">
        <w:rPr>
          <w:w w:val="105"/>
        </w:rPr>
        <w:t>emerge</w:t>
      </w:r>
      <w:r w:rsidR="00AF57D5" w:rsidRPr="00EA127E">
        <w:rPr>
          <w:w w:val="105"/>
        </w:rPr>
        <w:t>,</w:t>
      </w:r>
      <w:r w:rsidR="00D708C6" w:rsidRPr="00EA127E">
        <w:rPr>
          <w:w w:val="105"/>
        </w:rPr>
        <w:t xml:space="preserve"> and with</w:t>
      </w:r>
      <w:r w:rsidR="00D708C6" w:rsidRPr="00EA127E">
        <w:rPr>
          <w:spacing w:val="-1"/>
          <w:w w:val="105"/>
        </w:rPr>
        <w:t xml:space="preserve"> </w:t>
      </w:r>
      <w:r w:rsidR="00D708C6" w:rsidRPr="00EA127E">
        <w:rPr>
          <w:w w:val="105"/>
        </w:rPr>
        <w:t>them come</w:t>
      </w:r>
      <w:r w:rsidR="00D708C6" w:rsidRPr="00EA127E">
        <w:rPr>
          <w:spacing w:val="-2"/>
          <w:w w:val="105"/>
        </w:rPr>
        <w:t xml:space="preserve"> </w:t>
      </w:r>
      <w:r w:rsidR="00D708C6" w:rsidRPr="00EA127E">
        <w:rPr>
          <w:w w:val="105"/>
        </w:rPr>
        <w:t>a range</w:t>
      </w:r>
      <w:r w:rsidR="00D708C6" w:rsidRPr="00EA127E">
        <w:rPr>
          <w:spacing w:val="-1"/>
          <w:w w:val="105"/>
        </w:rPr>
        <w:t xml:space="preserve"> </w:t>
      </w:r>
      <w:r w:rsidR="00D708C6" w:rsidRPr="00EA127E">
        <w:rPr>
          <w:w w:val="105"/>
        </w:rPr>
        <w:t>of</w:t>
      </w:r>
      <w:r w:rsidR="00D708C6" w:rsidRPr="00EA127E">
        <w:rPr>
          <w:w w:val="113"/>
        </w:rPr>
        <w:t xml:space="preserve"> </w:t>
      </w:r>
      <w:r w:rsidR="00D708C6" w:rsidRPr="00EA127E">
        <w:rPr>
          <w:w w:val="105"/>
        </w:rPr>
        <w:t>opportunities,</w:t>
      </w:r>
      <w:r w:rsidR="00D708C6" w:rsidRPr="00EA127E">
        <w:rPr>
          <w:spacing w:val="5"/>
          <w:w w:val="105"/>
        </w:rPr>
        <w:t xml:space="preserve"> </w:t>
      </w:r>
      <w:r w:rsidR="00D708C6" w:rsidRPr="00EA127E">
        <w:rPr>
          <w:w w:val="105"/>
        </w:rPr>
        <w:t>challenges</w:t>
      </w:r>
      <w:r w:rsidR="00D708C6" w:rsidRPr="00EA127E">
        <w:rPr>
          <w:spacing w:val="6"/>
          <w:w w:val="105"/>
        </w:rPr>
        <w:t xml:space="preserve"> </w:t>
      </w:r>
      <w:r w:rsidR="00D708C6" w:rsidRPr="00EA127E">
        <w:rPr>
          <w:w w:val="105"/>
        </w:rPr>
        <w:t>and</w:t>
      </w:r>
      <w:r w:rsidR="00D708C6" w:rsidRPr="00EA127E">
        <w:rPr>
          <w:spacing w:val="5"/>
          <w:w w:val="105"/>
        </w:rPr>
        <w:t xml:space="preserve"> </w:t>
      </w:r>
      <w:r w:rsidR="00D708C6" w:rsidRPr="00EA127E">
        <w:rPr>
          <w:w w:val="105"/>
        </w:rPr>
        <w:t>threats</w:t>
      </w:r>
      <w:r w:rsidR="00FA7F15" w:rsidRPr="00EA127E">
        <w:rPr>
          <w:w w:val="105"/>
        </w:rPr>
        <w:t xml:space="preserve"> for the profession</w:t>
      </w:r>
      <w:r w:rsidR="00D708C6" w:rsidRPr="00EA127E">
        <w:rPr>
          <w:w w:val="105"/>
        </w:rPr>
        <w:t>.</w:t>
      </w:r>
      <w:r w:rsidR="00D708C6" w:rsidRPr="00EA127E">
        <w:rPr>
          <w:spacing w:val="5"/>
          <w:w w:val="105"/>
        </w:rPr>
        <w:t xml:space="preserve"> </w:t>
      </w:r>
      <w:r w:rsidR="00B114C4" w:rsidRPr="00EA127E">
        <w:rPr>
          <w:w w:val="105"/>
        </w:rPr>
        <w:t>As</w:t>
      </w:r>
      <w:r w:rsidR="00B114C4" w:rsidRPr="00EA127E">
        <w:rPr>
          <w:spacing w:val="-12"/>
          <w:w w:val="105"/>
        </w:rPr>
        <w:t xml:space="preserve"> </w:t>
      </w:r>
      <w:r w:rsidR="00B114C4" w:rsidRPr="00EA127E">
        <w:rPr>
          <w:w w:val="105"/>
        </w:rPr>
        <w:t>the</w:t>
      </w:r>
      <w:r w:rsidR="00B114C4" w:rsidRPr="00EA127E">
        <w:rPr>
          <w:spacing w:val="-11"/>
          <w:w w:val="105"/>
        </w:rPr>
        <w:t xml:space="preserve"> </w:t>
      </w:r>
      <w:r w:rsidR="00B114C4" w:rsidRPr="00EA127E">
        <w:rPr>
          <w:w w:val="105"/>
        </w:rPr>
        <w:t>scope</w:t>
      </w:r>
      <w:r w:rsidR="00B114C4" w:rsidRPr="00EA127E">
        <w:rPr>
          <w:spacing w:val="-12"/>
          <w:w w:val="105"/>
        </w:rPr>
        <w:t xml:space="preserve"> </w:t>
      </w:r>
      <w:r w:rsidR="00B114C4" w:rsidRPr="00EA127E">
        <w:rPr>
          <w:w w:val="105"/>
        </w:rPr>
        <w:t>and</w:t>
      </w:r>
      <w:r w:rsidR="00B114C4" w:rsidRPr="00EA127E">
        <w:rPr>
          <w:spacing w:val="-11"/>
          <w:w w:val="105"/>
        </w:rPr>
        <w:t xml:space="preserve"> </w:t>
      </w:r>
      <w:r w:rsidR="00B114C4" w:rsidRPr="00EA127E">
        <w:rPr>
          <w:w w:val="105"/>
        </w:rPr>
        <w:t>nature</w:t>
      </w:r>
      <w:r w:rsidR="00B114C4" w:rsidRPr="00EA127E">
        <w:rPr>
          <w:spacing w:val="-12"/>
          <w:w w:val="105"/>
        </w:rPr>
        <w:t xml:space="preserve"> </w:t>
      </w:r>
      <w:r w:rsidR="00B114C4" w:rsidRPr="00EA127E">
        <w:rPr>
          <w:w w:val="105"/>
        </w:rPr>
        <w:t>of</w:t>
      </w:r>
      <w:r w:rsidR="00B114C4" w:rsidRPr="00EA127E">
        <w:rPr>
          <w:spacing w:val="-11"/>
          <w:w w:val="105"/>
        </w:rPr>
        <w:t xml:space="preserve"> </w:t>
      </w:r>
      <w:r w:rsidR="00B114C4" w:rsidRPr="00EA127E">
        <w:rPr>
          <w:w w:val="105"/>
        </w:rPr>
        <w:t>practice</w:t>
      </w:r>
      <w:r w:rsidR="00B114C4" w:rsidRPr="00EA127E">
        <w:rPr>
          <w:spacing w:val="-13"/>
          <w:w w:val="105"/>
        </w:rPr>
        <w:t xml:space="preserve"> </w:t>
      </w:r>
      <w:r w:rsidR="00B114C4" w:rsidRPr="00EA127E">
        <w:rPr>
          <w:w w:val="105"/>
        </w:rPr>
        <w:t>evolves, i</w:t>
      </w:r>
      <w:r w:rsidR="00B114C4" w:rsidRPr="00EA127E">
        <w:rPr>
          <w:spacing w:val="5"/>
          <w:w w:val="105"/>
        </w:rPr>
        <w:t>t is of paramount</w:t>
      </w:r>
      <w:r w:rsidR="00365F26" w:rsidRPr="00EA127E">
        <w:rPr>
          <w:spacing w:val="5"/>
          <w:w w:val="105"/>
        </w:rPr>
        <w:t xml:space="preserve"> importance that the profession </w:t>
      </w:r>
      <w:r w:rsidR="00B114C4" w:rsidRPr="00EA127E">
        <w:rPr>
          <w:spacing w:val="5"/>
          <w:w w:val="105"/>
        </w:rPr>
        <w:t xml:space="preserve">continues to expand the evidence base it draws upon </w:t>
      </w:r>
      <w:r w:rsidR="00D708C6" w:rsidRPr="00EA127E">
        <w:rPr>
          <w:w w:val="105"/>
        </w:rPr>
        <w:t>to</w:t>
      </w:r>
      <w:r w:rsidR="00D708C6" w:rsidRPr="00EA127E">
        <w:rPr>
          <w:spacing w:val="5"/>
          <w:w w:val="105"/>
        </w:rPr>
        <w:t xml:space="preserve"> </w:t>
      </w:r>
      <w:r w:rsidR="00B114C4" w:rsidRPr="00EA127E">
        <w:rPr>
          <w:rFonts w:eastAsia="Arial" w:cs="Arial"/>
          <w:w w:val="105"/>
        </w:rPr>
        <w:t>underpin</w:t>
      </w:r>
      <w:r w:rsidR="00D708C6" w:rsidRPr="00EA127E">
        <w:rPr>
          <w:rFonts w:eastAsia="Arial" w:cs="Arial"/>
          <w:w w:val="105"/>
        </w:rPr>
        <w:t xml:space="preserve"> </w:t>
      </w:r>
      <w:r w:rsidR="00365F26" w:rsidRPr="00EA127E">
        <w:rPr>
          <w:rFonts w:eastAsia="Arial" w:cs="Arial"/>
          <w:w w:val="105"/>
        </w:rPr>
        <w:t xml:space="preserve">the delivery of </w:t>
      </w:r>
      <w:r w:rsidR="00D708C6" w:rsidRPr="00EA127E">
        <w:rPr>
          <w:rFonts w:eastAsia="Arial" w:cs="Arial"/>
          <w:w w:val="105"/>
        </w:rPr>
        <w:t>clinically</w:t>
      </w:r>
      <w:r w:rsidR="00D708C6" w:rsidRPr="00EA127E">
        <w:rPr>
          <w:rFonts w:eastAsia="Arial" w:cs="Arial"/>
          <w:spacing w:val="1"/>
          <w:w w:val="105"/>
        </w:rPr>
        <w:t xml:space="preserve"> </w:t>
      </w:r>
      <w:r w:rsidR="00D708C6" w:rsidRPr="00EA127E">
        <w:rPr>
          <w:rFonts w:eastAsia="Arial" w:cs="Arial"/>
          <w:w w:val="105"/>
        </w:rPr>
        <w:t>and</w:t>
      </w:r>
      <w:r w:rsidR="00D708C6" w:rsidRPr="00EA127E">
        <w:rPr>
          <w:rFonts w:eastAsia="Arial" w:cs="Arial"/>
          <w:spacing w:val="1"/>
          <w:w w:val="105"/>
        </w:rPr>
        <w:t xml:space="preserve"> </w:t>
      </w:r>
      <w:r w:rsidR="00D708C6" w:rsidRPr="00EA127E">
        <w:rPr>
          <w:rFonts w:eastAsia="Arial" w:cs="Arial"/>
          <w:w w:val="105"/>
        </w:rPr>
        <w:t>cost-effective</w:t>
      </w:r>
      <w:r w:rsidR="00D708C6" w:rsidRPr="00EA127E">
        <w:rPr>
          <w:rFonts w:eastAsia="Arial" w:cs="Arial"/>
          <w:spacing w:val="1"/>
          <w:w w:val="105"/>
        </w:rPr>
        <w:t xml:space="preserve"> </w:t>
      </w:r>
      <w:r w:rsidR="00D708C6" w:rsidRPr="00EA127E">
        <w:rPr>
          <w:rFonts w:eastAsia="Arial" w:cs="Arial"/>
          <w:w w:val="105"/>
        </w:rPr>
        <w:t>services</w:t>
      </w:r>
      <w:r w:rsidR="00D708C6" w:rsidRPr="00EA127E">
        <w:rPr>
          <w:rFonts w:eastAsia="Arial" w:cs="Arial"/>
          <w:spacing w:val="1"/>
          <w:w w:val="105"/>
        </w:rPr>
        <w:t xml:space="preserve"> </w:t>
      </w:r>
      <w:r w:rsidR="00EC025A" w:rsidRPr="00EA127E">
        <w:rPr>
          <w:w w:val="105"/>
        </w:rPr>
        <w:t>(Green and</w:t>
      </w:r>
      <w:r w:rsidR="00EC025A" w:rsidRPr="00EA127E">
        <w:rPr>
          <w:spacing w:val="1"/>
          <w:w w:val="105"/>
        </w:rPr>
        <w:t xml:space="preserve"> </w:t>
      </w:r>
      <w:r w:rsidR="00EC025A" w:rsidRPr="00EA127E">
        <w:rPr>
          <w:w w:val="105"/>
        </w:rPr>
        <w:t>Lambert</w:t>
      </w:r>
      <w:r w:rsidR="00EC025A" w:rsidRPr="00EA127E">
        <w:rPr>
          <w:w w:val="107"/>
        </w:rPr>
        <w:t xml:space="preserve"> </w:t>
      </w:r>
      <w:r w:rsidR="00EC025A" w:rsidRPr="00EA127E">
        <w:rPr>
          <w:w w:val="105"/>
        </w:rPr>
        <w:t xml:space="preserve">2017) </w:t>
      </w:r>
      <w:r w:rsidR="00D708C6" w:rsidRPr="00EA127E">
        <w:rPr>
          <w:rFonts w:eastAsia="Arial" w:cs="Arial"/>
          <w:w w:val="105"/>
        </w:rPr>
        <w:t>that</w:t>
      </w:r>
      <w:r w:rsidR="00D708C6" w:rsidRPr="00EA127E">
        <w:rPr>
          <w:rFonts w:eastAsia="Arial" w:cs="Arial"/>
          <w:spacing w:val="1"/>
          <w:w w:val="105"/>
        </w:rPr>
        <w:t xml:space="preserve"> </w:t>
      </w:r>
      <w:r w:rsidR="00D708C6" w:rsidRPr="00EA127E">
        <w:rPr>
          <w:rFonts w:eastAsia="Arial" w:cs="Arial"/>
          <w:w w:val="105"/>
        </w:rPr>
        <w:t>contribute</w:t>
      </w:r>
      <w:r w:rsidR="00D708C6" w:rsidRPr="00EA127E">
        <w:rPr>
          <w:rFonts w:eastAsia="Arial" w:cs="Arial"/>
          <w:spacing w:val="1"/>
          <w:w w:val="105"/>
        </w:rPr>
        <w:t xml:space="preserve"> </w:t>
      </w:r>
      <w:r w:rsidR="00D708C6" w:rsidRPr="00EA127E">
        <w:rPr>
          <w:rFonts w:eastAsia="Arial" w:cs="Arial"/>
          <w:w w:val="105"/>
        </w:rPr>
        <w:t>to</w:t>
      </w:r>
      <w:r w:rsidR="00D708C6" w:rsidRPr="00EA127E">
        <w:rPr>
          <w:rFonts w:eastAsia="Arial" w:cs="Arial"/>
          <w:spacing w:val="1"/>
          <w:w w:val="105"/>
        </w:rPr>
        <w:t xml:space="preserve"> </w:t>
      </w:r>
      <w:r w:rsidR="00D708C6" w:rsidRPr="00EA127E">
        <w:rPr>
          <w:rFonts w:eastAsia="Arial" w:cs="Arial"/>
          <w:w w:val="105"/>
        </w:rPr>
        <w:t>government</w:t>
      </w:r>
      <w:r w:rsidR="00D708C6" w:rsidRPr="00EA127E">
        <w:rPr>
          <w:rFonts w:eastAsia="Arial" w:cs="Arial"/>
          <w:spacing w:val="5"/>
          <w:w w:val="105"/>
        </w:rPr>
        <w:t xml:space="preserve"> </w:t>
      </w:r>
      <w:r w:rsidR="00D708C6" w:rsidRPr="00EA127E">
        <w:rPr>
          <w:rFonts w:eastAsia="Arial" w:cs="Arial"/>
          <w:w w:val="105"/>
        </w:rPr>
        <w:t>agendas</w:t>
      </w:r>
      <w:r w:rsidR="00D708C6" w:rsidRPr="00EA127E">
        <w:rPr>
          <w:rFonts w:eastAsia="Arial" w:cs="Arial"/>
          <w:spacing w:val="5"/>
          <w:w w:val="105"/>
        </w:rPr>
        <w:t xml:space="preserve"> </w:t>
      </w:r>
      <w:r w:rsidR="00D708C6" w:rsidRPr="00EA127E">
        <w:rPr>
          <w:rFonts w:eastAsia="Arial" w:cs="Arial"/>
          <w:w w:val="105"/>
        </w:rPr>
        <w:t>and</w:t>
      </w:r>
      <w:r w:rsidR="00D708C6" w:rsidRPr="00EA127E">
        <w:rPr>
          <w:rFonts w:eastAsia="Arial" w:cs="Arial"/>
          <w:spacing w:val="5"/>
          <w:w w:val="105"/>
        </w:rPr>
        <w:t xml:space="preserve"> </w:t>
      </w:r>
      <w:r w:rsidR="00D708C6" w:rsidRPr="00EA127E">
        <w:rPr>
          <w:rFonts w:eastAsia="Arial" w:cs="Arial"/>
          <w:w w:val="105"/>
        </w:rPr>
        <w:t>priorities</w:t>
      </w:r>
      <w:r w:rsidR="00FC071D" w:rsidRPr="00EA127E">
        <w:rPr>
          <w:rFonts w:eastAsia="Arial" w:cs="Arial"/>
          <w:w w:val="105"/>
        </w:rPr>
        <w:t>,</w:t>
      </w:r>
      <w:r w:rsidR="00B114C4" w:rsidRPr="00EA127E">
        <w:rPr>
          <w:rFonts w:eastAsia="Arial" w:cs="Arial"/>
          <w:w w:val="105"/>
        </w:rPr>
        <w:t xml:space="preserve"> and make</w:t>
      </w:r>
      <w:r w:rsidR="00D708C6" w:rsidRPr="00EA127E">
        <w:rPr>
          <w:rFonts w:eastAsia="Arial" w:cs="Arial"/>
          <w:spacing w:val="5"/>
          <w:w w:val="105"/>
        </w:rPr>
        <w:t xml:space="preserve"> </w:t>
      </w:r>
      <w:r w:rsidR="00D708C6" w:rsidRPr="00EA127E">
        <w:rPr>
          <w:rFonts w:eastAsia="Arial" w:cs="Arial"/>
          <w:w w:val="105"/>
        </w:rPr>
        <w:t>a</w:t>
      </w:r>
      <w:r w:rsidR="00D708C6" w:rsidRPr="00EA127E">
        <w:rPr>
          <w:rFonts w:eastAsia="Arial" w:cs="Arial"/>
          <w:spacing w:val="5"/>
          <w:w w:val="105"/>
        </w:rPr>
        <w:t xml:space="preserve"> </w:t>
      </w:r>
      <w:r w:rsidR="00D708C6" w:rsidRPr="00EA127E">
        <w:rPr>
          <w:rFonts w:eastAsia="Arial" w:cs="Arial"/>
          <w:w w:val="105"/>
        </w:rPr>
        <w:t>demonstrable</w:t>
      </w:r>
      <w:r w:rsidR="00D708C6" w:rsidRPr="00EA127E">
        <w:rPr>
          <w:rFonts w:eastAsia="Arial" w:cs="Arial"/>
          <w:spacing w:val="5"/>
          <w:w w:val="105"/>
        </w:rPr>
        <w:t xml:space="preserve"> </w:t>
      </w:r>
      <w:r w:rsidR="00D708C6" w:rsidRPr="00EA127E">
        <w:rPr>
          <w:rFonts w:eastAsia="Arial" w:cs="Arial"/>
          <w:w w:val="105"/>
        </w:rPr>
        <w:t>difference</w:t>
      </w:r>
      <w:r w:rsidR="00D708C6" w:rsidRPr="00EA127E">
        <w:rPr>
          <w:rFonts w:eastAsia="Arial" w:cs="Arial"/>
          <w:spacing w:val="6"/>
          <w:w w:val="105"/>
        </w:rPr>
        <w:t xml:space="preserve"> </w:t>
      </w:r>
      <w:r w:rsidR="00D708C6" w:rsidRPr="00EA127E">
        <w:rPr>
          <w:rFonts w:eastAsia="Arial" w:cs="Arial"/>
          <w:w w:val="105"/>
        </w:rPr>
        <w:t>to</w:t>
      </w:r>
      <w:r w:rsidR="00D708C6" w:rsidRPr="00EA127E">
        <w:rPr>
          <w:rFonts w:eastAsia="Arial" w:cs="Arial"/>
          <w:spacing w:val="5"/>
          <w:w w:val="105"/>
        </w:rPr>
        <w:t xml:space="preserve"> </w:t>
      </w:r>
      <w:r w:rsidR="00D708C6" w:rsidRPr="00EA127E">
        <w:rPr>
          <w:rFonts w:eastAsia="Arial" w:cs="Arial"/>
          <w:w w:val="105"/>
        </w:rPr>
        <w:t>the</w:t>
      </w:r>
      <w:r w:rsidR="00D708C6" w:rsidRPr="00EA127E">
        <w:rPr>
          <w:rFonts w:eastAsia="Arial" w:cs="Arial"/>
          <w:w w:val="109"/>
        </w:rPr>
        <w:t xml:space="preserve"> </w:t>
      </w:r>
      <w:r w:rsidR="00D708C6" w:rsidRPr="00EA127E">
        <w:rPr>
          <w:w w:val="105"/>
        </w:rPr>
        <w:t>health and wellbeing of the population.</w:t>
      </w:r>
    </w:p>
    <w:p w14:paraId="4C63A76C" w14:textId="059941CB" w:rsidR="003403A7" w:rsidRPr="00EA127E" w:rsidRDefault="00FC57B2" w:rsidP="00365F26">
      <w:r w:rsidRPr="00EA127E">
        <w:t xml:space="preserve">The need to update the existing research priorities was highlighted </w:t>
      </w:r>
      <w:r w:rsidR="00FC071D" w:rsidRPr="00EA127E">
        <w:t>in</w:t>
      </w:r>
      <w:r w:rsidRPr="00EA127E">
        <w:t xml:space="preserve"> a comprehensive research and development review undertaken by the Royal College of Occupational Therapists (RCOT) between 2017 and 2019 (RCOT 2019). </w:t>
      </w:r>
      <w:r w:rsidR="007F7B1D" w:rsidRPr="00EA127E">
        <w:t xml:space="preserve"> </w:t>
      </w:r>
      <w:r w:rsidR="008031B8" w:rsidRPr="00EA127E">
        <w:t>Research priority setting processes should be fair, legitimate</w:t>
      </w:r>
      <w:r w:rsidR="00B6521D" w:rsidRPr="00EA127E">
        <w:t xml:space="preserve"> </w:t>
      </w:r>
      <w:r w:rsidR="00053A06" w:rsidRPr="00EA127E">
        <w:t>and transparent</w:t>
      </w:r>
      <w:r w:rsidR="008031B8" w:rsidRPr="00EA127E">
        <w:t>, informed by credible evidence, and involve a broad range of stakeholders (Tong et al. 2019).</w:t>
      </w:r>
      <w:r w:rsidR="00045C2B" w:rsidRPr="00EA127E">
        <w:t xml:space="preserve"> To strengthen the credibility of the process used to identify </w:t>
      </w:r>
      <w:r w:rsidR="007F7B1D" w:rsidRPr="00EA127E">
        <w:t>contemporary</w:t>
      </w:r>
      <w:r w:rsidR="00045C2B" w:rsidRPr="00EA127E">
        <w:t xml:space="preserve"> research priorities</w:t>
      </w:r>
      <w:r w:rsidR="003403B6" w:rsidRPr="00EA127E">
        <w:t xml:space="preserve"> that reflect what matters most to the people accessing and delivering occupational therapy services, </w:t>
      </w:r>
      <w:r w:rsidR="00045C2B" w:rsidRPr="00EA127E">
        <w:t xml:space="preserve">RCOT entered a Priority Setting Partnership (PSP) with the James Lind Alliance (JLA). </w:t>
      </w:r>
      <w:r w:rsidR="007F7B1D" w:rsidRPr="00EA127E">
        <w:rPr>
          <w:rFonts w:cs="Arial"/>
        </w:rPr>
        <w:t>The JLA is a non-profitmaking initiative</w:t>
      </w:r>
      <w:r w:rsidR="00E053F5" w:rsidRPr="00EA127E">
        <w:rPr>
          <w:rFonts w:cs="Arial"/>
        </w:rPr>
        <w:t xml:space="preserve"> that</w:t>
      </w:r>
      <w:r w:rsidR="007F7B1D" w:rsidRPr="00EA127E">
        <w:rPr>
          <w:rFonts w:cs="Arial"/>
        </w:rPr>
        <w:t xml:space="preserve"> </w:t>
      </w:r>
      <w:r w:rsidR="00E053F5" w:rsidRPr="00EA127E">
        <w:rPr>
          <w:rFonts w:cs="Arial"/>
        </w:rPr>
        <w:t>has developed a method for involving patients, carers and healthcare professionals in setting priorities for research</w:t>
      </w:r>
      <w:r w:rsidR="00862DD5" w:rsidRPr="00EA127E">
        <w:rPr>
          <w:rFonts w:cs="Arial"/>
        </w:rPr>
        <w:t xml:space="preserve"> (JLA n.d.)</w:t>
      </w:r>
      <w:r w:rsidR="00FC071D" w:rsidRPr="00EA127E">
        <w:rPr>
          <w:rFonts w:cs="Arial"/>
        </w:rPr>
        <w:t xml:space="preserve">. </w:t>
      </w:r>
      <w:r w:rsidR="00B80380" w:rsidRPr="00EA127E">
        <w:t xml:space="preserve">To </w:t>
      </w:r>
      <w:r w:rsidR="00647D41" w:rsidRPr="00EA127E">
        <w:t>support</w:t>
      </w:r>
      <w:r w:rsidR="00B80380" w:rsidRPr="00EA127E">
        <w:t xml:space="preserve"> the comprehensive and transparent r</w:t>
      </w:r>
      <w:r w:rsidR="00045C2B" w:rsidRPr="00EA127E">
        <w:t>eporting of th</w:t>
      </w:r>
      <w:r w:rsidR="009E47BC" w:rsidRPr="00EA127E">
        <w:t>e</w:t>
      </w:r>
      <w:r w:rsidR="00045C2B" w:rsidRPr="00EA127E">
        <w:t xml:space="preserve"> PSP</w:t>
      </w:r>
      <w:r w:rsidR="00B80380" w:rsidRPr="00EA127E">
        <w:t xml:space="preserve">, </w:t>
      </w:r>
      <w:r w:rsidR="009B003E" w:rsidRPr="00EA127E">
        <w:t xml:space="preserve">and </w:t>
      </w:r>
      <w:r w:rsidR="00DE3F1E" w:rsidRPr="00EA127E">
        <w:t>thereby</w:t>
      </w:r>
      <w:r w:rsidR="009B003E" w:rsidRPr="00EA127E">
        <w:t xml:space="preserve"> strengthen</w:t>
      </w:r>
      <w:r w:rsidR="00DE3F1E" w:rsidRPr="00EA127E">
        <w:t xml:space="preserve"> the acceptability and </w:t>
      </w:r>
      <w:r w:rsidR="00E470D1" w:rsidRPr="00EA127E">
        <w:t xml:space="preserve">implementation of the identified priorities, </w:t>
      </w:r>
      <w:r w:rsidR="00B80380" w:rsidRPr="00EA127E">
        <w:t>the</w:t>
      </w:r>
      <w:r w:rsidR="00045C2B" w:rsidRPr="00EA127E">
        <w:t xml:space="preserve"> ten</w:t>
      </w:r>
      <w:r w:rsidR="003403A7" w:rsidRPr="00EA127E">
        <w:t xml:space="preserve"> domains </w:t>
      </w:r>
      <w:r w:rsidR="00B80380" w:rsidRPr="00EA127E">
        <w:t>of</w:t>
      </w:r>
      <w:r w:rsidR="003403A7" w:rsidRPr="00EA127E">
        <w:t xml:space="preserve"> the REPRISE guidelines for reporting health research priority setting exercises (Tong et al</w:t>
      </w:r>
      <w:r w:rsidR="00C27CF9" w:rsidRPr="00EA127E">
        <w:t>.</w:t>
      </w:r>
      <w:r w:rsidR="003403A7" w:rsidRPr="00EA127E">
        <w:t xml:space="preserve"> 2019)</w:t>
      </w:r>
      <w:r w:rsidR="00B80380" w:rsidRPr="00EA127E">
        <w:t xml:space="preserve"> have </w:t>
      </w:r>
      <w:r w:rsidR="00647D41" w:rsidRPr="00EA127E">
        <w:t xml:space="preserve">informed the </w:t>
      </w:r>
      <w:r w:rsidR="00E470D1" w:rsidRPr="00EA127E">
        <w:t xml:space="preserve">structure and </w:t>
      </w:r>
      <w:r w:rsidR="00647D41" w:rsidRPr="00EA127E">
        <w:t xml:space="preserve">content of this </w:t>
      </w:r>
      <w:r w:rsidR="00730EBB" w:rsidRPr="00EA127E">
        <w:t>paper</w:t>
      </w:r>
      <w:r w:rsidR="00C27CF9" w:rsidRPr="00EA127E">
        <w:t>.</w:t>
      </w:r>
    </w:p>
    <w:p w14:paraId="261AB799" w14:textId="77777777" w:rsidR="00C27CF9" w:rsidRPr="00EA127E" w:rsidRDefault="00A1601A" w:rsidP="003403A7">
      <w:pPr>
        <w:rPr>
          <w:b/>
        </w:rPr>
      </w:pPr>
      <w:r w:rsidRPr="00EA127E">
        <w:rPr>
          <w:b/>
        </w:rPr>
        <w:t>Aim</w:t>
      </w:r>
      <w:r w:rsidR="00730EBB" w:rsidRPr="00EA127E">
        <w:rPr>
          <w:b/>
        </w:rPr>
        <w:t>s</w:t>
      </w:r>
    </w:p>
    <w:p w14:paraId="6A02287E" w14:textId="123DB19C" w:rsidR="00A1601A" w:rsidRPr="00EA127E" w:rsidRDefault="00A1601A" w:rsidP="003346A6">
      <w:pPr>
        <w:rPr>
          <w:rFonts w:cs="Arial"/>
        </w:rPr>
      </w:pPr>
      <w:r w:rsidRPr="00EA127E">
        <w:rPr>
          <w:rFonts w:cs="Arial"/>
        </w:rPr>
        <w:t>The aim</w:t>
      </w:r>
      <w:r w:rsidR="00730EBB" w:rsidRPr="00EA127E">
        <w:rPr>
          <w:rFonts w:cs="Arial"/>
        </w:rPr>
        <w:t>s</w:t>
      </w:r>
      <w:r w:rsidRPr="00EA127E">
        <w:rPr>
          <w:rFonts w:cs="Arial"/>
        </w:rPr>
        <w:t xml:space="preserve"> of the occupational therapy PSP (OTPSP), as stated in the project protocol </w:t>
      </w:r>
      <w:r w:rsidR="00730EBB" w:rsidRPr="00EA127E">
        <w:rPr>
          <w:rFonts w:cs="Arial"/>
        </w:rPr>
        <w:t>were</w:t>
      </w:r>
      <w:r w:rsidR="00F94C0D" w:rsidRPr="00EA127E">
        <w:rPr>
          <w:rFonts w:cs="Arial"/>
        </w:rPr>
        <w:t>,</w:t>
      </w:r>
      <w:r w:rsidR="00730EBB" w:rsidRPr="00EA127E">
        <w:rPr>
          <w:rFonts w:cs="Arial"/>
        </w:rPr>
        <w:t xml:space="preserve"> </w:t>
      </w:r>
      <w:r w:rsidRPr="00EA127E">
        <w:rPr>
          <w:rFonts w:cs="Arial"/>
        </w:rPr>
        <w:t>to</w:t>
      </w:r>
      <w:r w:rsidR="00EA2578" w:rsidRPr="00EA127E">
        <w:rPr>
          <w:rFonts w:cs="Arial"/>
        </w:rPr>
        <w:t xml:space="preserve"> </w:t>
      </w:r>
      <w:r w:rsidR="00EA2578" w:rsidRPr="00EA127E">
        <w:rPr>
          <w:rFonts w:cs="Arial"/>
          <w:lang w:eastAsia="en-GB"/>
        </w:rPr>
        <w:t xml:space="preserve">identify unanswered questions about occupational therapy from the shared perspectives of people with experience of accessing services, their </w:t>
      </w:r>
      <w:proofErr w:type="spellStart"/>
      <w:r w:rsidR="00EA2578" w:rsidRPr="00EA127E">
        <w:rPr>
          <w:rFonts w:cs="Arial"/>
          <w:lang w:eastAsia="en-GB"/>
        </w:rPr>
        <w:t>carers</w:t>
      </w:r>
      <w:proofErr w:type="spellEnd"/>
      <w:r w:rsidR="00EA2578" w:rsidRPr="00EA127E">
        <w:rPr>
          <w:rFonts w:cs="Arial"/>
          <w:lang w:eastAsia="en-GB"/>
        </w:rPr>
        <w:t xml:space="preserve"> and families, occupational therapists and other</w:t>
      </w:r>
      <w:r w:rsidR="002837FE" w:rsidRPr="00EA127E">
        <w:rPr>
          <w:rFonts w:cs="Arial"/>
          <w:lang w:eastAsia="en-GB"/>
        </w:rPr>
        <w:t>s</w:t>
      </w:r>
      <w:r w:rsidR="00164B9C" w:rsidRPr="00EA127E">
        <w:rPr>
          <w:rFonts w:cs="Arial"/>
          <w:lang w:eastAsia="en-GB"/>
        </w:rPr>
        <w:t xml:space="preserve"> </w:t>
      </w:r>
      <w:r w:rsidR="00EA2578" w:rsidRPr="00EA127E">
        <w:rPr>
          <w:rFonts w:cs="Arial"/>
          <w:lang w:eastAsia="en-GB"/>
        </w:rPr>
        <w:t>working</w:t>
      </w:r>
      <w:r w:rsidR="00C64193" w:rsidRPr="00EA127E">
        <w:rPr>
          <w:rFonts w:cs="Arial"/>
          <w:lang w:eastAsia="en-GB"/>
        </w:rPr>
        <w:t xml:space="preserve"> alongside </w:t>
      </w:r>
      <w:r w:rsidR="005E1366" w:rsidRPr="00EA127E">
        <w:rPr>
          <w:rFonts w:cs="Arial"/>
          <w:lang w:eastAsia="en-GB"/>
        </w:rPr>
        <w:t>them</w:t>
      </w:r>
      <w:r w:rsidR="00EA2578" w:rsidRPr="00EA127E">
        <w:rPr>
          <w:rFonts w:cs="Arial"/>
          <w:lang w:eastAsia="en-GB"/>
        </w:rPr>
        <w:t xml:space="preserve"> in the health and social care environment, and then prioritise those </w:t>
      </w:r>
      <w:r w:rsidR="00730EBB" w:rsidRPr="00EA127E">
        <w:rPr>
          <w:rFonts w:cs="Arial"/>
          <w:lang w:eastAsia="en-GB"/>
        </w:rPr>
        <w:t xml:space="preserve">unanswered questions </w:t>
      </w:r>
      <w:r w:rsidR="00EA2578" w:rsidRPr="00EA127E">
        <w:rPr>
          <w:rFonts w:cs="Arial"/>
          <w:lang w:eastAsia="en-GB"/>
        </w:rPr>
        <w:t xml:space="preserve">that these groups agree </w:t>
      </w:r>
      <w:r w:rsidR="00730EBB" w:rsidRPr="00EA127E">
        <w:rPr>
          <w:rFonts w:cs="Arial"/>
          <w:lang w:eastAsia="en-GB"/>
        </w:rPr>
        <w:t>were</w:t>
      </w:r>
      <w:r w:rsidR="00EA2578" w:rsidRPr="00EA127E">
        <w:rPr>
          <w:rFonts w:cs="Arial"/>
          <w:lang w:eastAsia="en-GB"/>
        </w:rPr>
        <w:t xml:space="preserve"> the most important for research to address. </w:t>
      </w:r>
    </w:p>
    <w:p w14:paraId="6FD867A6" w14:textId="77777777" w:rsidR="00784FBB" w:rsidRPr="00EA127E" w:rsidRDefault="00784FBB" w:rsidP="003403A7">
      <w:pPr>
        <w:rPr>
          <w:b/>
        </w:rPr>
      </w:pPr>
      <w:r w:rsidRPr="00EA127E">
        <w:rPr>
          <w:b/>
        </w:rPr>
        <w:t>OTPSP Team and Governance</w:t>
      </w:r>
    </w:p>
    <w:p w14:paraId="5C0D5180" w14:textId="77777777" w:rsidR="00784FBB" w:rsidRPr="00EA127E" w:rsidRDefault="00784FBB" w:rsidP="00784FBB">
      <w:r w:rsidRPr="00EA127E">
        <w:t>The OTPSP was initiated</w:t>
      </w:r>
      <w:r w:rsidR="00C73812" w:rsidRPr="00EA127E">
        <w:t xml:space="preserve"> by </w:t>
      </w:r>
      <w:r w:rsidRPr="00EA127E">
        <w:t>JW, as the RCOT Assistant Director – Education and Research</w:t>
      </w:r>
      <w:r w:rsidR="008B1050" w:rsidRPr="00EA127E">
        <w:t xml:space="preserve">, and having gained experience of JLA </w:t>
      </w:r>
      <w:r w:rsidR="001A12A4" w:rsidRPr="00EA127E">
        <w:t xml:space="preserve">methodology </w:t>
      </w:r>
      <w:r w:rsidR="008B1050" w:rsidRPr="00EA127E">
        <w:t xml:space="preserve">as a member of the Steering Group for the </w:t>
      </w:r>
      <w:r w:rsidR="0077247B" w:rsidRPr="00EA127E">
        <w:t xml:space="preserve">Safe Care </w:t>
      </w:r>
      <w:r w:rsidR="003346A6" w:rsidRPr="00EA127E">
        <w:t>for</w:t>
      </w:r>
      <w:r w:rsidR="0077247B" w:rsidRPr="00EA127E">
        <w:t xml:space="preserve"> Adults with Complex Health Needs PSP</w:t>
      </w:r>
      <w:r w:rsidRPr="00EA127E">
        <w:t xml:space="preserve">. </w:t>
      </w:r>
      <w:r w:rsidR="008B1050" w:rsidRPr="00EA127E">
        <w:t xml:space="preserve">Following a competitive recruitment process, </w:t>
      </w:r>
      <w:r w:rsidRPr="00EA127E">
        <w:t>JM and RUJ were appointed as the Project Lead and Project Coordinator</w:t>
      </w:r>
      <w:r w:rsidR="008B1050" w:rsidRPr="00EA127E">
        <w:t xml:space="preserve"> respectively</w:t>
      </w:r>
      <w:r w:rsidRPr="00EA127E">
        <w:t xml:space="preserve">. </w:t>
      </w:r>
      <w:r w:rsidR="008B1050" w:rsidRPr="00EA127E">
        <w:t xml:space="preserve">Similarly, following a competitive process, HS was awarded the contract to provide services as the </w:t>
      </w:r>
      <w:r w:rsidR="001A12A4" w:rsidRPr="00EA127E">
        <w:t xml:space="preserve">OTPSP </w:t>
      </w:r>
      <w:r w:rsidR="008B1050" w:rsidRPr="00EA127E">
        <w:t xml:space="preserve">Information Specialist. </w:t>
      </w:r>
      <w:r w:rsidR="0077247B" w:rsidRPr="00EA127E">
        <w:t xml:space="preserve">She is a qualified information specialists and lecturer attached to the pre-registration occupational therapy programme at York St John University and is therefore very familiar with the profession and its evidence-base. </w:t>
      </w:r>
      <w:r w:rsidRPr="00EA127E">
        <w:t xml:space="preserve">KC </w:t>
      </w:r>
      <w:r w:rsidR="008B1050" w:rsidRPr="00EA127E">
        <w:t xml:space="preserve">is a Senior Advisor with the JLA who </w:t>
      </w:r>
      <w:r w:rsidRPr="00EA127E">
        <w:t>chaired</w:t>
      </w:r>
      <w:r w:rsidR="008B1050" w:rsidRPr="00EA127E">
        <w:t xml:space="preserve"> the OTPSP Steering </w:t>
      </w:r>
      <w:r w:rsidR="001A12A4" w:rsidRPr="00EA127E">
        <w:t>Group.</w:t>
      </w:r>
    </w:p>
    <w:p w14:paraId="05FC81A2" w14:textId="77777777" w:rsidR="00D346D4" w:rsidRPr="00EA127E" w:rsidRDefault="008C1AB3" w:rsidP="00784FBB">
      <w:pPr>
        <w:rPr>
          <w:rFonts w:cs="Arial"/>
        </w:rPr>
      </w:pPr>
      <w:r w:rsidRPr="00EA127E">
        <w:t>The response to</w:t>
      </w:r>
      <w:r w:rsidR="00B0099B" w:rsidRPr="00EA127E">
        <w:t xml:space="preserve"> a call for expressions of interest</w:t>
      </w:r>
      <w:r w:rsidRPr="00EA127E">
        <w:t xml:space="preserve"> to join the</w:t>
      </w:r>
      <w:r w:rsidR="00B0099B" w:rsidRPr="00EA127E">
        <w:t xml:space="preserve"> OTPSP Steering Group</w:t>
      </w:r>
      <w:r w:rsidRPr="00EA127E">
        <w:t xml:space="preserve"> exceeded expectations. Invitations were extended </w:t>
      </w:r>
      <w:r w:rsidR="00B0099B" w:rsidRPr="00EA127E">
        <w:rPr>
          <w:rFonts w:cs="Arial"/>
        </w:rPr>
        <w:t xml:space="preserve">on the basis of pre-existing key principles which, in addition </w:t>
      </w:r>
      <w:r w:rsidR="00B0099B" w:rsidRPr="00EA127E">
        <w:rPr>
          <w:rFonts w:cs="Arial"/>
        </w:rPr>
        <w:lastRenderedPageBreak/>
        <w:t>to people with lived experience, included seeking engagement from occ</w:t>
      </w:r>
      <w:r w:rsidR="00C73812" w:rsidRPr="00EA127E">
        <w:rPr>
          <w:rFonts w:cs="Arial"/>
        </w:rPr>
        <w:t>upational therapy practitioners,</w:t>
      </w:r>
      <w:r w:rsidR="00B0099B" w:rsidRPr="00EA127E">
        <w:rPr>
          <w:rFonts w:cs="Arial"/>
        </w:rPr>
        <w:t xml:space="preserve"> consultants and service managers working in a range of practice contexts and service delivery settings with a variety of groups and communities; academic and practice-based researchers; educators; and students. To ensure representation from all four nations of the UK, additional work was undertaken to secure representation from Northern Ireland. </w:t>
      </w:r>
    </w:p>
    <w:p w14:paraId="4305C711" w14:textId="5C4B7A4E" w:rsidR="003D7A1A" w:rsidRPr="00EA127E" w:rsidRDefault="00DF4F37" w:rsidP="00300C9C">
      <w:pPr>
        <w:autoSpaceDE w:val="0"/>
        <w:autoSpaceDN w:val="0"/>
        <w:adjustRightInd w:val="0"/>
        <w:rPr>
          <w:rFonts w:cs="Arial"/>
        </w:rPr>
      </w:pPr>
      <w:r w:rsidRPr="00EA127E">
        <w:rPr>
          <w:rFonts w:cs="Arial"/>
        </w:rPr>
        <w:t>T</w:t>
      </w:r>
      <w:r w:rsidR="00ED2746" w:rsidRPr="00EA127E">
        <w:rPr>
          <w:rFonts w:cs="Arial"/>
        </w:rPr>
        <w:t>he final Steering Group comprised twenty people, five of whom offered lived experience of accessing occupational therapy services</w:t>
      </w:r>
      <w:r w:rsidR="000B45D5" w:rsidRPr="00EA127E">
        <w:rPr>
          <w:rFonts w:cs="Arial"/>
        </w:rPr>
        <w:t xml:space="preserve"> (RCOT 2021)</w:t>
      </w:r>
      <w:r w:rsidR="00ED2746" w:rsidRPr="00EA127E">
        <w:rPr>
          <w:rFonts w:cs="Arial"/>
        </w:rPr>
        <w:t xml:space="preserve">. </w:t>
      </w:r>
      <w:r w:rsidR="00034321" w:rsidRPr="00EA127E">
        <w:t>Collectively, the Steering Group provid</w:t>
      </w:r>
      <w:r w:rsidR="00A6430B" w:rsidRPr="00EA127E">
        <w:t>ed</w:t>
      </w:r>
      <w:r w:rsidR="00034321" w:rsidRPr="00EA127E">
        <w:t xml:space="preserve"> broad and </w:t>
      </w:r>
      <w:r w:rsidR="00A6430B" w:rsidRPr="00EA127E">
        <w:t>varied</w:t>
      </w:r>
      <w:r w:rsidR="00034321" w:rsidRPr="00EA127E">
        <w:t xml:space="preserve"> insights pertinent to the scope of occupational therapy practice. </w:t>
      </w:r>
      <w:r w:rsidR="00A8698A" w:rsidRPr="00EA127E">
        <w:t xml:space="preserve">The Terms of Reference asked </w:t>
      </w:r>
      <w:r w:rsidR="000B054A" w:rsidRPr="00EA127E">
        <w:t>them</w:t>
      </w:r>
      <w:r w:rsidR="00A8698A" w:rsidRPr="00EA127E">
        <w:t xml:space="preserve"> to comm</w:t>
      </w:r>
      <w:r w:rsidR="0092442F" w:rsidRPr="00EA127E">
        <w:t>i</w:t>
      </w:r>
      <w:r w:rsidR="00A8698A" w:rsidRPr="00EA127E">
        <w:t>t to the JLA principles of inclusivity, equality</w:t>
      </w:r>
      <w:r w:rsidR="0092442F" w:rsidRPr="00EA127E">
        <w:t>, fairness and transparency</w:t>
      </w:r>
      <w:r w:rsidR="0074098F" w:rsidRPr="00EA127E">
        <w:t>, and being evidence-based (RCOT 2021, p41).</w:t>
      </w:r>
      <w:r w:rsidR="0092442F" w:rsidRPr="00EA127E">
        <w:t xml:space="preserve"> </w:t>
      </w:r>
      <w:r w:rsidR="003D7A1A" w:rsidRPr="00EA127E">
        <w:t>All</w:t>
      </w:r>
      <w:r w:rsidR="00D346D4" w:rsidRPr="00EA127E">
        <w:t xml:space="preserve"> were reimbursed for reasonable</w:t>
      </w:r>
      <w:r w:rsidR="003D7A1A" w:rsidRPr="00EA127E">
        <w:t xml:space="preserve"> expenses</w:t>
      </w:r>
      <w:r w:rsidR="00D346D4" w:rsidRPr="00EA127E">
        <w:t xml:space="preserve"> incurred as a result of attendance at meetings</w:t>
      </w:r>
      <w:r w:rsidR="003D7A1A" w:rsidRPr="00EA127E">
        <w:t xml:space="preserve">, and those with lived experience were compensated for their time at the rate recommended by INVOLVE (2016). </w:t>
      </w:r>
      <w:r w:rsidR="003D7A1A" w:rsidRPr="00EA127E">
        <w:rPr>
          <w:rFonts w:cs="OpenSans"/>
        </w:rPr>
        <w:t xml:space="preserve">Compensation was also offered to Steering Group members who were carers and incurred </w:t>
      </w:r>
      <w:r w:rsidR="007914B7" w:rsidRPr="00EA127E">
        <w:rPr>
          <w:rFonts w:cs="OpenSans"/>
        </w:rPr>
        <w:t>a</w:t>
      </w:r>
      <w:r w:rsidR="003D7A1A" w:rsidRPr="00EA127E">
        <w:rPr>
          <w:rFonts w:cs="OpenSans"/>
        </w:rPr>
        <w:t>dditional carer costs as a result of attending face-to-face meetings.</w:t>
      </w:r>
      <w:r w:rsidR="003D7A1A" w:rsidRPr="00EA127E">
        <w:rPr>
          <w:rFonts w:ascii="OpenSans" w:hAnsi="OpenSans" w:cs="OpenSans"/>
        </w:rPr>
        <w:t xml:space="preserve"> </w:t>
      </w:r>
      <w:r w:rsidR="00A6430B" w:rsidRPr="00EA127E">
        <w:t>An explicit expectation was</w:t>
      </w:r>
      <w:r w:rsidR="00034321" w:rsidRPr="00EA127E">
        <w:t xml:space="preserve"> that </w:t>
      </w:r>
      <w:r w:rsidR="00911481" w:rsidRPr="00EA127E">
        <w:t>all Steering Group</w:t>
      </w:r>
      <w:r w:rsidR="00034321" w:rsidRPr="00EA127E">
        <w:t xml:space="preserve"> </w:t>
      </w:r>
      <w:r w:rsidR="009B58A4" w:rsidRPr="00EA127E">
        <w:t xml:space="preserve">members </w:t>
      </w:r>
      <w:r w:rsidR="00034321" w:rsidRPr="00EA127E">
        <w:t xml:space="preserve">would harness their networks </w:t>
      </w:r>
      <w:r w:rsidR="00A6430B" w:rsidRPr="00EA127E">
        <w:t>to support</w:t>
      </w:r>
      <w:r w:rsidR="00034321" w:rsidRPr="00EA127E">
        <w:t xml:space="preserve"> engagement in and partnership with the </w:t>
      </w:r>
      <w:r w:rsidR="00A6430B" w:rsidRPr="00EA127E">
        <w:t>OT</w:t>
      </w:r>
      <w:r w:rsidR="00034321" w:rsidRPr="00EA127E">
        <w:t>PSP.</w:t>
      </w:r>
      <w:r w:rsidR="00D346D4" w:rsidRPr="00EA127E">
        <w:rPr>
          <w:rFonts w:cs="Arial"/>
        </w:rPr>
        <w:t xml:space="preserve"> </w:t>
      </w:r>
    </w:p>
    <w:p w14:paraId="4FB2BF40" w14:textId="77777777" w:rsidR="000F21C5" w:rsidRPr="00EA127E" w:rsidRDefault="000F21C5" w:rsidP="00300C9C">
      <w:pPr>
        <w:rPr>
          <w:b/>
        </w:rPr>
      </w:pPr>
      <w:r w:rsidRPr="00EA127E">
        <w:rPr>
          <w:b/>
        </w:rPr>
        <w:t xml:space="preserve">Partners and supporters </w:t>
      </w:r>
    </w:p>
    <w:p w14:paraId="175FDF8E" w14:textId="44337976" w:rsidR="009E6D6B" w:rsidRPr="00EA127E" w:rsidRDefault="00690739" w:rsidP="00300C9C">
      <w:pPr>
        <w:autoSpaceDE w:val="0"/>
        <w:autoSpaceDN w:val="0"/>
        <w:adjustRightInd w:val="0"/>
        <w:rPr>
          <w:rFonts w:cs="OpenSans"/>
        </w:rPr>
      </w:pPr>
      <w:r w:rsidRPr="00EA127E">
        <w:rPr>
          <w:rFonts w:cs="OpenSans"/>
        </w:rPr>
        <w:t xml:space="preserve">The OTPSP was supported by 56 formally recognised partner organisations </w:t>
      </w:r>
      <w:r w:rsidR="00EE78A9" w:rsidRPr="00EA127E">
        <w:rPr>
          <w:rFonts w:cs="OpenSans"/>
        </w:rPr>
        <w:t>(RCOT 2021</w:t>
      </w:r>
      <w:r w:rsidR="00BE684B" w:rsidRPr="00EA127E">
        <w:rPr>
          <w:rFonts w:cs="OpenSans"/>
        </w:rPr>
        <w:t xml:space="preserve">, </w:t>
      </w:r>
      <w:r w:rsidR="002A5496" w:rsidRPr="00EA127E">
        <w:rPr>
          <w:rFonts w:cs="OpenSans"/>
        </w:rPr>
        <w:t>53</w:t>
      </w:r>
      <w:r w:rsidR="00EE78A9" w:rsidRPr="00EA127E">
        <w:rPr>
          <w:rFonts w:cs="OpenSans"/>
        </w:rPr>
        <w:t xml:space="preserve">) </w:t>
      </w:r>
      <w:r w:rsidRPr="00EA127E">
        <w:rPr>
          <w:rFonts w:cs="OpenSans"/>
        </w:rPr>
        <w:t>and over 60</w:t>
      </w:r>
      <w:r w:rsidR="009E6D6B" w:rsidRPr="00EA127E">
        <w:rPr>
          <w:rFonts w:cs="OpenSans"/>
        </w:rPr>
        <w:t xml:space="preserve"> </w:t>
      </w:r>
      <w:r w:rsidRPr="00EA127E">
        <w:rPr>
          <w:rFonts w:cs="OpenSans"/>
        </w:rPr>
        <w:t>other known supporters</w:t>
      </w:r>
      <w:r w:rsidR="009E6D6B" w:rsidRPr="00EA127E">
        <w:rPr>
          <w:rFonts w:cs="OpenSans"/>
        </w:rPr>
        <w:t xml:space="preserve"> from all four nations of the UK</w:t>
      </w:r>
      <w:r w:rsidRPr="00EA127E">
        <w:rPr>
          <w:rFonts w:cs="OpenSans"/>
        </w:rPr>
        <w:t>.</w:t>
      </w:r>
      <w:r w:rsidR="009E6D6B" w:rsidRPr="00EA127E">
        <w:rPr>
          <w:rFonts w:cs="OpenSans"/>
        </w:rPr>
        <w:t xml:space="preserve"> </w:t>
      </w:r>
      <w:r w:rsidR="00DE1A37" w:rsidRPr="00EA127E">
        <w:rPr>
          <w:rFonts w:cs="OpenSans"/>
        </w:rPr>
        <w:t xml:space="preserve">They helped disseminate information about the project and encouraged those within their diverse networks to engage with the OTPSP. </w:t>
      </w:r>
      <w:r w:rsidR="008019E3" w:rsidRPr="00EA127E">
        <w:rPr>
          <w:rFonts w:cs="OpenSans"/>
        </w:rPr>
        <w:t>I</w:t>
      </w:r>
      <w:r w:rsidR="009E6D6B" w:rsidRPr="00EA127E">
        <w:rPr>
          <w:rFonts w:cs="OpenSans"/>
        </w:rPr>
        <w:t xml:space="preserve">llustrative examples </w:t>
      </w:r>
      <w:r w:rsidR="008019E3" w:rsidRPr="00EA127E">
        <w:rPr>
          <w:rFonts w:cs="OpenSans"/>
        </w:rPr>
        <w:t xml:space="preserve">of the OTPSP’s partners and supporters </w:t>
      </w:r>
      <w:r w:rsidR="009E6D6B" w:rsidRPr="00EA127E">
        <w:rPr>
          <w:rFonts w:cs="OpenSans"/>
        </w:rPr>
        <w:t xml:space="preserve">include a carers’ organisation and older people’s charity in Northern Ireland, a patient engagement in research network in Wales, condition-specific charities and networks in Scotland, and a range of universities and NHS </w:t>
      </w:r>
      <w:r w:rsidR="00A3189F" w:rsidRPr="00EA127E">
        <w:rPr>
          <w:rFonts w:cs="OpenSans"/>
        </w:rPr>
        <w:t>T</w:t>
      </w:r>
      <w:r w:rsidR="009E6D6B" w:rsidRPr="00EA127E">
        <w:rPr>
          <w:rFonts w:cs="OpenSans"/>
        </w:rPr>
        <w:t xml:space="preserve">rusts in England. Connections were also made with national charities and networks supporting carers and people with specific needs and conditions, and with </w:t>
      </w:r>
      <w:r w:rsidR="008019E3" w:rsidRPr="00EA127E">
        <w:rPr>
          <w:rFonts w:cs="OpenSans"/>
        </w:rPr>
        <w:t>various</w:t>
      </w:r>
      <w:r w:rsidR="009E6D6B" w:rsidRPr="00EA127E">
        <w:rPr>
          <w:rFonts w:cs="OpenSans"/>
        </w:rPr>
        <w:t xml:space="preserve"> groups and communities across the UK. The list of partners and supporters was regularly reviewed by the Steering Group throughout the project, with suggestions made regarding additional organisations to approach where gaps were identified</w:t>
      </w:r>
      <w:r w:rsidR="00E300BA" w:rsidRPr="00EA127E">
        <w:rPr>
          <w:rFonts w:cs="OpenSans"/>
        </w:rPr>
        <w:t>. This included, for example</w:t>
      </w:r>
      <w:r w:rsidR="001226D9" w:rsidRPr="00EA127E">
        <w:rPr>
          <w:rFonts w:cs="OpenSans"/>
        </w:rPr>
        <w:t xml:space="preserve">, </w:t>
      </w:r>
      <w:r w:rsidR="009E6D6B" w:rsidRPr="00EA127E">
        <w:rPr>
          <w:rFonts w:cs="OpenSans"/>
        </w:rPr>
        <w:t>where there was a lack of connections with specific groups or communities, particularly those whose voices are seldom heard</w:t>
      </w:r>
      <w:r w:rsidR="00105042" w:rsidRPr="00EA127E">
        <w:rPr>
          <w:rFonts w:cs="OpenSans"/>
        </w:rPr>
        <w:t xml:space="preserve"> </w:t>
      </w:r>
      <w:r w:rsidR="00744C45" w:rsidRPr="00EA127E">
        <w:rPr>
          <w:rFonts w:cs="OpenSans"/>
        </w:rPr>
        <w:t xml:space="preserve">(e.g. </w:t>
      </w:r>
      <w:r w:rsidR="005F4560" w:rsidRPr="00EA127E">
        <w:rPr>
          <w:rFonts w:cs="OpenSans"/>
        </w:rPr>
        <w:t xml:space="preserve">those who are </w:t>
      </w:r>
      <w:r w:rsidR="00613F65" w:rsidRPr="00EA127E">
        <w:rPr>
          <w:rFonts w:cs="OpenSans"/>
        </w:rPr>
        <w:t xml:space="preserve">from </w:t>
      </w:r>
      <w:r w:rsidR="00744C45" w:rsidRPr="00EA127E">
        <w:rPr>
          <w:rFonts w:cs="OpenSans"/>
        </w:rPr>
        <w:t>vulnerable or marginalised groups</w:t>
      </w:r>
      <w:r w:rsidR="00791E06" w:rsidRPr="00EA127E">
        <w:rPr>
          <w:rFonts w:cs="OpenSans"/>
        </w:rPr>
        <w:t xml:space="preserve"> </w:t>
      </w:r>
      <w:r w:rsidR="005641A4" w:rsidRPr="00EA127E">
        <w:rPr>
          <w:rFonts w:cs="OpenSans"/>
        </w:rPr>
        <w:t>(Tong et al 2019)</w:t>
      </w:r>
      <w:r w:rsidR="002B4671" w:rsidRPr="00EA127E">
        <w:rPr>
          <w:rFonts w:cs="OpenSans"/>
        </w:rPr>
        <w:t>)</w:t>
      </w:r>
      <w:r w:rsidR="009E6D6B" w:rsidRPr="00EA127E">
        <w:rPr>
          <w:rFonts w:cs="OpenSans"/>
        </w:rPr>
        <w:t>.</w:t>
      </w:r>
    </w:p>
    <w:p w14:paraId="5410143D" w14:textId="77777777" w:rsidR="003403A7" w:rsidRPr="00EA127E" w:rsidRDefault="003403A7" w:rsidP="003403A7">
      <w:pPr>
        <w:rPr>
          <w:b/>
        </w:rPr>
      </w:pPr>
      <w:r w:rsidRPr="00EA127E">
        <w:rPr>
          <w:b/>
        </w:rPr>
        <w:t>Scope</w:t>
      </w:r>
      <w:r w:rsidR="00E36BED" w:rsidRPr="00EA127E">
        <w:rPr>
          <w:b/>
        </w:rPr>
        <w:t xml:space="preserve"> of the OTPSP</w:t>
      </w:r>
    </w:p>
    <w:p w14:paraId="07E55735" w14:textId="32B90028" w:rsidR="00E36BED" w:rsidRPr="00EA127E" w:rsidRDefault="00E36BED" w:rsidP="000849EF">
      <w:pPr>
        <w:rPr>
          <w:rFonts w:cs="Arial"/>
        </w:rPr>
      </w:pPr>
      <w:r w:rsidRPr="00EA127E">
        <w:rPr>
          <w:rFonts w:cs="Arial"/>
        </w:rPr>
        <w:t xml:space="preserve">The breadth of occupational therapy practice </w:t>
      </w:r>
      <w:r w:rsidR="00C97601" w:rsidRPr="00EA127E">
        <w:rPr>
          <w:rFonts w:cs="Arial"/>
        </w:rPr>
        <w:t>required</w:t>
      </w:r>
      <w:r w:rsidRPr="00EA127E">
        <w:rPr>
          <w:rFonts w:cs="Arial"/>
        </w:rPr>
        <w:t xml:space="preserve"> that the </w:t>
      </w:r>
      <w:r w:rsidR="00C97601" w:rsidRPr="00EA127E">
        <w:rPr>
          <w:rFonts w:cs="Arial"/>
        </w:rPr>
        <w:t>OTPSP</w:t>
      </w:r>
      <w:r w:rsidRPr="00EA127E">
        <w:rPr>
          <w:rFonts w:cs="Arial"/>
        </w:rPr>
        <w:t xml:space="preserve"> had a well-defined scope with cl</w:t>
      </w:r>
      <w:r w:rsidR="00C97601" w:rsidRPr="00EA127E">
        <w:rPr>
          <w:rFonts w:cs="Arial"/>
        </w:rPr>
        <w:t xml:space="preserve">ear boundaries. </w:t>
      </w:r>
      <w:r w:rsidR="007D5824" w:rsidRPr="00EA127E">
        <w:rPr>
          <w:rFonts w:cs="Arial"/>
        </w:rPr>
        <w:t>With a commitment not to prioritise any condition or area of practice over another, t</w:t>
      </w:r>
      <w:r w:rsidR="00C97601" w:rsidRPr="00EA127E">
        <w:rPr>
          <w:rFonts w:cs="Arial"/>
        </w:rPr>
        <w:t>he project p</w:t>
      </w:r>
      <w:r w:rsidRPr="00EA127E">
        <w:rPr>
          <w:rFonts w:cs="Arial"/>
        </w:rPr>
        <w:t xml:space="preserve">rotocol </w:t>
      </w:r>
      <w:r w:rsidR="00FD0BD5" w:rsidRPr="00EA127E">
        <w:rPr>
          <w:rFonts w:cs="Arial"/>
        </w:rPr>
        <w:t>developed</w:t>
      </w:r>
      <w:r w:rsidR="00442764" w:rsidRPr="00EA127E">
        <w:rPr>
          <w:rFonts w:cs="Arial"/>
        </w:rPr>
        <w:t xml:space="preserve"> by the </w:t>
      </w:r>
      <w:r w:rsidR="00FD0BD5" w:rsidRPr="00EA127E">
        <w:rPr>
          <w:rFonts w:cs="Arial"/>
        </w:rPr>
        <w:t xml:space="preserve">members of the Steering Group </w:t>
      </w:r>
      <w:r w:rsidR="00C97601" w:rsidRPr="00EA127E">
        <w:rPr>
          <w:rFonts w:cs="Arial"/>
        </w:rPr>
        <w:t>identified that it w</w:t>
      </w:r>
      <w:r w:rsidRPr="00EA127E">
        <w:rPr>
          <w:rFonts w:cs="Arial"/>
        </w:rPr>
        <w:t xml:space="preserve">ould encompass: </w:t>
      </w:r>
    </w:p>
    <w:p w14:paraId="044F4714" w14:textId="77777777" w:rsidR="00E36BED" w:rsidRPr="00EA127E" w:rsidRDefault="009C0230" w:rsidP="000849EF">
      <w:pPr>
        <w:pStyle w:val="ListParagraph"/>
        <w:numPr>
          <w:ilvl w:val="0"/>
          <w:numId w:val="15"/>
        </w:numPr>
        <w:spacing w:after="0"/>
        <w:contextualSpacing w:val="0"/>
        <w:rPr>
          <w:rFonts w:cs="Arial"/>
        </w:rPr>
      </w:pPr>
      <w:r w:rsidRPr="00EA127E">
        <w:rPr>
          <w:rFonts w:cs="Arial"/>
        </w:rPr>
        <w:t xml:space="preserve">a UK-wide, four nations </w:t>
      </w:r>
      <w:r w:rsidR="00E36BED" w:rsidRPr="00EA127E">
        <w:rPr>
          <w:rFonts w:cs="Arial"/>
        </w:rPr>
        <w:t xml:space="preserve">perspective; </w:t>
      </w:r>
    </w:p>
    <w:p w14:paraId="70666DEE" w14:textId="575C085E" w:rsidR="00602E29" w:rsidRPr="00EA127E" w:rsidRDefault="00E36BED" w:rsidP="000849EF">
      <w:pPr>
        <w:pStyle w:val="ListParagraph"/>
        <w:numPr>
          <w:ilvl w:val="0"/>
          <w:numId w:val="15"/>
        </w:numPr>
        <w:spacing w:after="0"/>
        <w:contextualSpacing w:val="0"/>
        <w:rPr>
          <w:rFonts w:cs="Arial"/>
        </w:rPr>
      </w:pPr>
      <w:r w:rsidRPr="00EA127E">
        <w:rPr>
          <w:rFonts w:cs="Arial"/>
        </w:rPr>
        <w:t xml:space="preserve">perspectives </w:t>
      </w:r>
      <w:r w:rsidR="000849EF" w:rsidRPr="00EA127E">
        <w:rPr>
          <w:rFonts w:cs="Arial"/>
        </w:rPr>
        <w:t>of those in</w:t>
      </w:r>
      <w:r w:rsidR="00602E29" w:rsidRPr="00EA127E">
        <w:rPr>
          <w:rFonts w:cs="Arial"/>
        </w:rPr>
        <w:t xml:space="preserve"> </w:t>
      </w:r>
      <w:r w:rsidR="00C97601" w:rsidRPr="00EA127E">
        <w:rPr>
          <w:rFonts w:cs="Arial"/>
        </w:rPr>
        <w:t>a</w:t>
      </w:r>
      <w:r w:rsidRPr="00EA127E">
        <w:rPr>
          <w:rFonts w:cs="Arial"/>
        </w:rPr>
        <w:t xml:space="preserve"> range of practice-based roles </w:t>
      </w:r>
      <w:r w:rsidR="00C97601" w:rsidRPr="00EA127E">
        <w:rPr>
          <w:rFonts w:cs="Arial"/>
        </w:rPr>
        <w:t>delivering</w:t>
      </w:r>
      <w:r w:rsidRPr="00EA127E">
        <w:rPr>
          <w:rFonts w:cs="Arial"/>
        </w:rPr>
        <w:t xml:space="preserve"> occupational therapy services, </w:t>
      </w:r>
      <w:r w:rsidR="009C0230" w:rsidRPr="00EA127E">
        <w:rPr>
          <w:rFonts w:cs="Arial"/>
        </w:rPr>
        <w:t>including</w:t>
      </w:r>
      <w:r w:rsidRPr="00EA127E">
        <w:rPr>
          <w:rFonts w:cs="Arial"/>
        </w:rPr>
        <w:t xml:space="preserve"> </w:t>
      </w:r>
      <w:r w:rsidR="00C97601" w:rsidRPr="00EA127E">
        <w:rPr>
          <w:rFonts w:cs="Arial"/>
        </w:rPr>
        <w:t>Health and Care Professions Council registered</w:t>
      </w:r>
      <w:r w:rsidRPr="00EA127E">
        <w:rPr>
          <w:rFonts w:cs="Arial"/>
        </w:rPr>
        <w:t xml:space="preserve"> occupational therapists, their assistants</w:t>
      </w:r>
      <w:r w:rsidR="00602E29" w:rsidRPr="00EA127E">
        <w:rPr>
          <w:rFonts w:cs="Arial"/>
        </w:rPr>
        <w:t xml:space="preserve"> and</w:t>
      </w:r>
      <w:r w:rsidRPr="00EA127E">
        <w:rPr>
          <w:rFonts w:cs="Arial"/>
        </w:rPr>
        <w:t xml:space="preserve"> support workers, anyone delivering occupational therapy interventions,</w:t>
      </w:r>
      <w:r w:rsidR="00602E29" w:rsidRPr="00EA127E">
        <w:rPr>
          <w:rFonts w:cs="Arial"/>
        </w:rPr>
        <w:t xml:space="preserve"> and </w:t>
      </w:r>
      <w:r w:rsidRPr="00EA127E">
        <w:rPr>
          <w:rFonts w:cs="Arial"/>
        </w:rPr>
        <w:t>occupational therapy students</w:t>
      </w:r>
      <w:r w:rsidR="00602E29" w:rsidRPr="00EA127E">
        <w:rPr>
          <w:rFonts w:cs="Arial"/>
        </w:rPr>
        <w:t>;</w:t>
      </w:r>
    </w:p>
    <w:p w14:paraId="24942EFC" w14:textId="6FADE909" w:rsidR="00E36BED" w:rsidRPr="00EA127E" w:rsidRDefault="00602E29" w:rsidP="000849EF">
      <w:pPr>
        <w:pStyle w:val="ListParagraph"/>
        <w:numPr>
          <w:ilvl w:val="0"/>
          <w:numId w:val="15"/>
        </w:numPr>
        <w:spacing w:after="0"/>
        <w:contextualSpacing w:val="0"/>
        <w:rPr>
          <w:rFonts w:cs="Arial"/>
        </w:rPr>
      </w:pPr>
      <w:r w:rsidRPr="00EA127E">
        <w:rPr>
          <w:rFonts w:cs="Arial"/>
        </w:rPr>
        <w:t xml:space="preserve">perspectives </w:t>
      </w:r>
      <w:r w:rsidR="000849EF" w:rsidRPr="00EA127E">
        <w:rPr>
          <w:rFonts w:cs="Arial"/>
        </w:rPr>
        <w:t xml:space="preserve">of </w:t>
      </w:r>
      <w:r w:rsidR="00E36BED" w:rsidRPr="00EA127E">
        <w:rPr>
          <w:rFonts w:cs="Arial"/>
        </w:rPr>
        <w:t xml:space="preserve">others working </w:t>
      </w:r>
      <w:r w:rsidR="00F431FF" w:rsidRPr="00EA127E">
        <w:rPr>
          <w:rFonts w:cs="Arial"/>
        </w:rPr>
        <w:t xml:space="preserve">alongside occupational therapists </w:t>
      </w:r>
      <w:r w:rsidR="00E36BED" w:rsidRPr="00EA127E">
        <w:rPr>
          <w:rFonts w:cs="Arial"/>
        </w:rPr>
        <w:t xml:space="preserve">in the health and social care environment; </w:t>
      </w:r>
    </w:p>
    <w:p w14:paraId="63DB4632" w14:textId="77777777" w:rsidR="00E36BED" w:rsidRPr="00EA127E" w:rsidRDefault="00E36BED" w:rsidP="000849EF">
      <w:pPr>
        <w:pStyle w:val="ListParagraph"/>
        <w:numPr>
          <w:ilvl w:val="0"/>
          <w:numId w:val="15"/>
        </w:numPr>
        <w:spacing w:after="0"/>
        <w:contextualSpacing w:val="0"/>
        <w:rPr>
          <w:rFonts w:cs="Arial"/>
        </w:rPr>
      </w:pPr>
      <w:r w:rsidRPr="00EA127E">
        <w:rPr>
          <w:rFonts w:cs="Arial"/>
        </w:rPr>
        <w:lastRenderedPageBreak/>
        <w:t xml:space="preserve">occupational therapy practice based within </w:t>
      </w:r>
      <w:r w:rsidR="009C0230" w:rsidRPr="00EA127E">
        <w:rPr>
          <w:rFonts w:cs="Arial"/>
        </w:rPr>
        <w:t xml:space="preserve">and beyond </w:t>
      </w:r>
      <w:r w:rsidRPr="00EA127E">
        <w:rPr>
          <w:rFonts w:cs="Arial"/>
        </w:rPr>
        <w:t xml:space="preserve">statutory services; </w:t>
      </w:r>
    </w:p>
    <w:p w14:paraId="6E20E565" w14:textId="77777777" w:rsidR="00E36BED" w:rsidRPr="00EA127E" w:rsidRDefault="00E36BED" w:rsidP="000849EF">
      <w:pPr>
        <w:pStyle w:val="ListParagraph"/>
        <w:numPr>
          <w:ilvl w:val="0"/>
          <w:numId w:val="15"/>
        </w:numPr>
        <w:spacing w:after="0"/>
        <w:contextualSpacing w:val="0"/>
        <w:rPr>
          <w:rFonts w:cs="Arial"/>
        </w:rPr>
      </w:pPr>
      <w:r w:rsidRPr="00EA127E">
        <w:rPr>
          <w:rFonts w:cs="Arial"/>
        </w:rPr>
        <w:t>physical and mental health</w:t>
      </w:r>
      <w:r w:rsidR="000849EF" w:rsidRPr="00EA127E">
        <w:rPr>
          <w:rFonts w:cs="Arial"/>
        </w:rPr>
        <w:t>,</w:t>
      </w:r>
      <w:r w:rsidRPr="00EA127E">
        <w:rPr>
          <w:rFonts w:cs="Arial"/>
        </w:rPr>
        <w:t xml:space="preserve"> and the areas of overlap between them; </w:t>
      </w:r>
      <w:r w:rsidR="009C0230" w:rsidRPr="00EA127E">
        <w:rPr>
          <w:rFonts w:cs="Arial"/>
        </w:rPr>
        <w:t>and</w:t>
      </w:r>
    </w:p>
    <w:p w14:paraId="7F0D4FD8" w14:textId="77777777" w:rsidR="00E36BED" w:rsidRPr="00EA127E" w:rsidRDefault="00E36BED" w:rsidP="000849EF">
      <w:pPr>
        <w:pStyle w:val="ListParagraph"/>
        <w:numPr>
          <w:ilvl w:val="0"/>
          <w:numId w:val="15"/>
        </w:numPr>
        <w:spacing w:after="0"/>
        <w:contextualSpacing w:val="0"/>
        <w:rPr>
          <w:rFonts w:cs="Arial"/>
        </w:rPr>
      </w:pPr>
      <w:r w:rsidRPr="00EA127E">
        <w:rPr>
          <w:rFonts w:cs="Arial"/>
        </w:rPr>
        <w:t>the needs and perspectives of people accessing occupational therapy services across the full spectrum of age ranges, including those at key transition periods in various stages of life</w:t>
      </w:r>
      <w:r w:rsidR="009C0230" w:rsidRPr="00EA127E">
        <w:rPr>
          <w:rFonts w:cs="Arial"/>
        </w:rPr>
        <w:t>, along with those of their family and/or carers.</w:t>
      </w:r>
    </w:p>
    <w:p w14:paraId="3CBD10EC" w14:textId="77777777" w:rsidR="009C0230" w:rsidRPr="00EA127E" w:rsidRDefault="009C0230" w:rsidP="009C0230">
      <w:pPr>
        <w:pStyle w:val="ListParagraph"/>
        <w:spacing w:after="0"/>
        <w:contextualSpacing w:val="0"/>
        <w:rPr>
          <w:rFonts w:cs="Arial"/>
        </w:rPr>
      </w:pPr>
    </w:p>
    <w:p w14:paraId="3C3F0686" w14:textId="77777777" w:rsidR="007D5824" w:rsidRPr="00EA127E" w:rsidRDefault="007D5824" w:rsidP="00300C9C">
      <w:r w:rsidRPr="00EA127E">
        <w:t xml:space="preserve">Excluded from the scope of the work were questions </w:t>
      </w:r>
      <w:r w:rsidR="007075D0" w:rsidRPr="00EA127E">
        <w:t xml:space="preserve">or uncertainties submitted </w:t>
      </w:r>
      <w:r w:rsidRPr="00EA127E">
        <w:t>about:</w:t>
      </w:r>
    </w:p>
    <w:p w14:paraId="58EA25E2" w14:textId="77777777" w:rsidR="007D5824" w:rsidRPr="00EA127E" w:rsidRDefault="007D5824" w:rsidP="00D31A66">
      <w:pPr>
        <w:pStyle w:val="ListParagraph"/>
        <w:numPr>
          <w:ilvl w:val="0"/>
          <w:numId w:val="16"/>
        </w:numPr>
        <w:ind w:left="709" w:hanging="426"/>
        <w:rPr>
          <w:rFonts w:cs="Arial"/>
        </w:rPr>
      </w:pPr>
      <w:r w:rsidRPr="00EA127E">
        <w:rPr>
          <w:rFonts w:cs="Arial"/>
        </w:rPr>
        <w:t>occupational therapy practice outside the UK, although evidence from around the world was reviewed and considered where it addressed the uncertainties submitted;</w:t>
      </w:r>
    </w:p>
    <w:p w14:paraId="29BC3BD3" w14:textId="77777777" w:rsidR="007D5824" w:rsidRPr="00EA127E" w:rsidRDefault="007D5824" w:rsidP="00D31A66">
      <w:pPr>
        <w:pStyle w:val="ListParagraph"/>
        <w:numPr>
          <w:ilvl w:val="0"/>
          <w:numId w:val="16"/>
        </w:numPr>
        <w:spacing w:after="0"/>
        <w:ind w:left="709" w:hanging="426"/>
        <w:rPr>
          <w:rFonts w:cs="Arial"/>
        </w:rPr>
      </w:pPr>
      <w:r w:rsidRPr="00EA127E">
        <w:rPr>
          <w:rFonts w:cs="Arial"/>
        </w:rPr>
        <w:t>specific government policies from across the four nations related to health and social care, unless the uncertaint</w:t>
      </w:r>
      <w:r w:rsidR="008C42DE" w:rsidRPr="00EA127E">
        <w:rPr>
          <w:rFonts w:cs="Arial"/>
        </w:rPr>
        <w:t>y was</w:t>
      </w:r>
      <w:r w:rsidRPr="00EA127E">
        <w:rPr>
          <w:rFonts w:cs="Arial"/>
        </w:rPr>
        <w:t xml:space="preserve"> an issue that required the generation of evidence through research to address it;</w:t>
      </w:r>
    </w:p>
    <w:p w14:paraId="354FD6A2" w14:textId="77777777" w:rsidR="007D5824" w:rsidRPr="00EA127E" w:rsidRDefault="007D5824" w:rsidP="00D31A66">
      <w:pPr>
        <w:pStyle w:val="ListParagraph"/>
        <w:numPr>
          <w:ilvl w:val="0"/>
          <w:numId w:val="16"/>
        </w:numPr>
        <w:ind w:left="709" w:hanging="426"/>
        <w:rPr>
          <w:rFonts w:cs="Arial"/>
        </w:rPr>
      </w:pPr>
      <w:r w:rsidRPr="00EA127E">
        <w:rPr>
          <w:rFonts w:cs="Arial"/>
        </w:rPr>
        <w:t>the pre- and post-registration education of occupational therapists; and</w:t>
      </w:r>
    </w:p>
    <w:p w14:paraId="52E9DB8B" w14:textId="77777777" w:rsidR="007D5824" w:rsidRPr="00EA127E" w:rsidRDefault="007D5824" w:rsidP="00D31A66">
      <w:pPr>
        <w:pStyle w:val="ListParagraph"/>
        <w:numPr>
          <w:ilvl w:val="0"/>
          <w:numId w:val="16"/>
        </w:numPr>
        <w:ind w:left="709" w:hanging="426"/>
        <w:rPr>
          <w:rFonts w:cs="Arial"/>
        </w:rPr>
      </w:pPr>
      <w:r w:rsidRPr="00EA127E">
        <w:rPr>
          <w:rFonts w:cs="Arial"/>
        </w:rPr>
        <w:t>services with a commercial interest.</w:t>
      </w:r>
    </w:p>
    <w:p w14:paraId="70984367" w14:textId="77777777" w:rsidR="003403A7" w:rsidRPr="00EA127E" w:rsidRDefault="00BA726C" w:rsidP="00300C9C">
      <w:pPr>
        <w:rPr>
          <w:b/>
        </w:rPr>
      </w:pPr>
      <w:r w:rsidRPr="00EA127E">
        <w:rPr>
          <w:b/>
        </w:rPr>
        <w:t>Methodology</w:t>
      </w:r>
    </w:p>
    <w:p w14:paraId="1C5EB371" w14:textId="6798D762" w:rsidR="00E36BED" w:rsidRPr="00EA127E" w:rsidRDefault="003E38A0" w:rsidP="00230A87">
      <w:r w:rsidRPr="00EA127E">
        <w:t xml:space="preserve">The OTPSP utilised the JLA’s </w:t>
      </w:r>
      <w:r w:rsidR="003403A7" w:rsidRPr="00EA127E">
        <w:t>well-established and well-respected methodology, as outlined in their Guidebook, Version 8, November 2018</w:t>
      </w:r>
      <w:r w:rsidR="00D226DC" w:rsidRPr="00EA127E">
        <w:t xml:space="preserve"> (JLA 2018</w:t>
      </w:r>
      <w:r w:rsidR="00D610BD" w:rsidRPr="00EA127E">
        <w:t xml:space="preserve">). </w:t>
      </w:r>
      <w:r w:rsidR="009B6275" w:rsidRPr="00EA127E">
        <w:t xml:space="preserve">A fundamental </w:t>
      </w:r>
      <w:r w:rsidR="00145150" w:rsidRPr="00EA127E">
        <w:t>principle</w:t>
      </w:r>
      <w:r w:rsidR="009B6275" w:rsidRPr="00EA127E">
        <w:t xml:space="preserve"> of</w:t>
      </w:r>
      <w:r w:rsidR="00B845F1" w:rsidRPr="00EA127E">
        <w:t xml:space="preserve"> the </w:t>
      </w:r>
      <w:r w:rsidR="003C69A5" w:rsidRPr="00EA127E">
        <w:t xml:space="preserve">JLA </w:t>
      </w:r>
      <w:r w:rsidR="00B845F1" w:rsidRPr="00EA127E">
        <w:t>approach is that</w:t>
      </w:r>
      <w:r w:rsidR="00E1798B" w:rsidRPr="00EA127E">
        <w:t xml:space="preserve"> people with lived experience and people with professional expertise work in partnership </w:t>
      </w:r>
      <w:r w:rsidR="00306FAD" w:rsidRPr="00EA127E">
        <w:t xml:space="preserve">throughout all aspects of </w:t>
      </w:r>
      <w:r w:rsidR="00E323E7" w:rsidRPr="00EA127E">
        <w:t>a PSP</w:t>
      </w:r>
      <w:r w:rsidR="00934BA5" w:rsidRPr="00EA127E">
        <w:t xml:space="preserve"> </w:t>
      </w:r>
      <w:r w:rsidR="00E1798B" w:rsidRPr="00EA127E">
        <w:t xml:space="preserve">to identify and agree the </w:t>
      </w:r>
      <w:r w:rsidR="00145150" w:rsidRPr="00EA127E">
        <w:t xml:space="preserve">priorities for research. </w:t>
      </w:r>
      <w:r w:rsidR="00190F9B" w:rsidRPr="00EA127E">
        <w:t xml:space="preserve">Co-production is therefore a core tenet. </w:t>
      </w:r>
      <w:r w:rsidR="00E17A48" w:rsidRPr="00EA127E">
        <w:t xml:space="preserve">A launch event was held in March 2019 to raise awareness of the work being undertaken, </w:t>
      </w:r>
      <w:r w:rsidR="00A4728B" w:rsidRPr="00EA127E">
        <w:t xml:space="preserve">to </w:t>
      </w:r>
      <w:r w:rsidR="00E17A48" w:rsidRPr="00EA127E">
        <w:t>start to explore its scope and methods of communicating and engaging effectively with the target audiences</w:t>
      </w:r>
      <w:r w:rsidR="00A4728B" w:rsidRPr="00EA127E">
        <w:t>,</w:t>
      </w:r>
      <w:r w:rsidR="00E17A48" w:rsidRPr="00EA127E">
        <w:t xml:space="preserve"> and to begin to secure expressions of interest in joining the Steering Group </w:t>
      </w:r>
      <w:r w:rsidR="00D31A66" w:rsidRPr="00EA127E">
        <w:t>and</w:t>
      </w:r>
      <w:r w:rsidR="00E17A48" w:rsidRPr="00EA127E">
        <w:t xml:space="preserve"> </w:t>
      </w:r>
      <w:r w:rsidR="00F03365" w:rsidRPr="00EA127E">
        <w:t xml:space="preserve">registration of </w:t>
      </w:r>
      <w:r w:rsidR="00E17A48" w:rsidRPr="00EA127E">
        <w:t>partner org</w:t>
      </w:r>
      <w:r w:rsidR="00F03365" w:rsidRPr="00EA127E">
        <w:t>anisations actively supporting the OTPSP</w:t>
      </w:r>
      <w:r w:rsidR="003403A7" w:rsidRPr="00EA127E">
        <w:t>.</w:t>
      </w:r>
      <w:r w:rsidR="00E36BED" w:rsidRPr="00EA127E">
        <w:t xml:space="preserve"> </w:t>
      </w:r>
    </w:p>
    <w:p w14:paraId="7816B49D" w14:textId="2653AB8F" w:rsidR="00D610BD" w:rsidRPr="00EA127E" w:rsidRDefault="00D610BD" w:rsidP="00230A87">
      <w:pPr>
        <w:autoSpaceDE w:val="0"/>
        <w:autoSpaceDN w:val="0"/>
        <w:adjustRightInd w:val="0"/>
        <w:spacing w:after="0"/>
      </w:pPr>
      <w:r w:rsidRPr="00EA127E">
        <w:t xml:space="preserve">Once confirmed, and with advice </w:t>
      </w:r>
      <w:r w:rsidR="00D31A66" w:rsidRPr="00EA127E">
        <w:t>from</w:t>
      </w:r>
      <w:r w:rsidRPr="00EA127E">
        <w:t xml:space="preserve"> KC as Chair, the Steering Group was responsible for agreeing their terms of reference, the scope of the project and its protocol. </w:t>
      </w:r>
      <w:r w:rsidR="003D7A1A" w:rsidRPr="00EA127E">
        <w:t xml:space="preserve">They met </w:t>
      </w:r>
      <w:r w:rsidR="008476D6" w:rsidRPr="00EA127E">
        <w:rPr>
          <w:rFonts w:cs="OpenSans"/>
        </w:rPr>
        <w:t xml:space="preserve">for the first time </w:t>
      </w:r>
      <w:r w:rsidR="003D7A1A" w:rsidRPr="00EA127E">
        <w:rPr>
          <w:rFonts w:cs="OpenSans"/>
        </w:rPr>
        <w:t xml:space="preserve">in April 2019, and continued to meet regularly, in total eleven times, </w:t>
      </w:r>
      <w:r w:rsidR="008476D6" w:rsidRPr="00EA127E">
        <w:rPr>
          <w:rFonts w:cs="OpenSans"/>
        </w:rPr>
        <w:t xml:space="preserve">via </w:t>
      </w:r>
      <w:r w:rsidR="003D7A1A" w:rsidRPr="00EA127E">
        <w:rPr>
          <w:rFonts w:cs="OpenSans"/>
        </w:rPr>
        <w:t xml:space="preserve">teleconference, </w:t>
      </w:r>
      <w:r w:rsidR="008476D6" w:rsidRPr="00EA127E">
        <w:rPr>
          <w:rFonts w:cs="OpenSans"/>
        </w:rPr>
        <w:t xml:space="preserve">video-conference and </w:t>
      </w:r>
      <w:r w:rsidR="003D7A1A" w:rsidRPr="00EA127E">
        <w:rPr>
          <w:rFonts w:cs="OpenSans"/>
        </w:rPr>
        <w:t xml:space="preserve">face-to-face, until August 2020. </w:t>
      </w:r>
      <w:r w:rsidRPr="00EA127E">
        <w:t xml:space="preserve">The work </w:t>
      </w:r>
      <w:r w:rsidR="003D7A1A" w:rsidRPr="00EA127E">
        <w:t xml:space="preserve">that the Steering Group oversaw </w:t>
      </w:r>
      <w:r w:rsidRPr="00EA127E">
        <w:t>followed the four key stages</w:t>
      </w:r>
      <w:r w:rsidR="00D346D4" w:rsidRPr="00EA127E">
        <w:t xml:space="preserve"> of the JLA methodology, as outlined in Figure 1.</w:t>
      </w:r>
      <w:r w:rsidR="00D346D4" w:rsidRPr="00EA127E">
        <w:br/>
      </w:r>
    </w:p>
    <w:p w14:paraId="1A1BDE94" w14:textId="77777777" w:rsidR="00D346D4" w:rsidRPr="00EA127E" w:rsidRDefault="00D346D4" w:rsidP="003E38A0">
      <w:r w:rsidRPr="00EA127E">
        <w:rPr>
          <w:rFonts w:ascii="Arial" w:hAnsi="Arial" w:cs="Arial"/>
          <w:noProof/>
          <w:lang w:eastAsia="en-GB"/>
        </w:rPr>
        <w:drawing>
          <wp:inline distT="0" distB="0" distL="0" distR="0" wp14:anchorId="234F93F9" wp14:editId="36074D3A">
            <wp:extent cx="5711825" cy="2190750"/>
            <wp:effectExtent l="76200" t="57150" r="60325" b="3810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368AD7" w14:textId="77777777" w:rsidR="00D346D4" w:rsidRPr="00EA127E" w:rsidRDefault="00D346D4" w:rsidP="00D346D4">
      <w:pPr>
        <w:jc w:val="center"/>
        <w:rPr>
          <w:b/>
        </w:rPr>
      </w:pPr>
      <w:r w:rsidRPr="00EA127E">
        <w:rPr>
          <w:b/>
        </w:rPr>
        <w:t>Figure 1: Key stages and timelines of the OTPSP</w:t>
      </w:r>
    </w:p>
    <w:p w14:paraId="597920FD" w14:textId="20B09735" w:rsidR="00230A87" w:rsidRPr="00EA127E" w:rsidRDefault="00230A87" w:rsidP="00D346D4">
      <w:pPr>
        <w:rPr>
          <w:u w:val="single"/>
        </w:rPr>
      </w:pPr>
      <w:r w:rsidRPr="00EA127E">
        <w:rPr>
          <w:u w:val="single"/>
        </w:rPr>
        <w:lastRenderedPageBreak/>
        <w:t>Ethical approval</w:t>
      </w:r>
    </w:p>
    <w:p w14:paraId="16F35D4F" w14:textId="50566D73" w:rsidR="00F54154" w:rsidRPr="00EA127E" w:rsidRDefault="00F54154" w:rsidP="00024E93">
      <w:pPr>
        <w:autoSpaceDE w:val="0"/>
        <w:autoSpaceDN w:val="0"/>
        <w:adjustRightInd w:val="0"/>
        <w:spacing w:after="0"/>
        <w:rPr>
          <w:rFonts w:cs="OpenSans"/>
        </w:rPr>
      </w:pPr>
      <w:r w:rsidRPr="00EA127E">
        <w:rPr>
          <w:rFonts w:cs="OpenSans"/>
        </w:rPr>
        <w:t xml:space="preserve">The </w:t>
      </w:r>
      <w:r w:rsidR="005E3B27" w:rsidRPr="00EA127E">
        <w:rPr>
          <w:rFonts w:cs="OpenSans"/>
        </w:rPr>
        <w:t xml:space="preserve">UK </w:t>
      </w:r>
      <w:r w:rsidRPr="00EA127E">
        <w:rPr>
          <w:rFonts w:cs="OpenSans"/>
        </w:rPr>
        <w:t>National Health Service (NH</w:t>
      </w:r>
      <w:r w:rsidR="00D14E55" w:rsidRPr="00EA127E">
        <w:rPr>
          <w:rFonts w:cs="OpenSans"/>
        </w:rPr>
        <w:t>S</w:t>
      </w:r>
      <w:r w:rsidRPr="00EA127E">
        <w:rPr>
          <w:rFonts w:cs="OpenSans"/>
        </w:rPr>
        <w:t xml:space="preserve">) Health Research Authority confirmed that the OTPSP would not be considered research by the NHS and therefore was not required to go through their processes for ethical approval (Health Research Authority 2019). </w:t>
      </w:r>
      <w:r w:rsidR="00024E93" w:rsidRPr="00EA127E">
        <w:rPr>
          <w:rFonts w:cs="OpenSans"/>
        </w:rPr>
        <w:t xml:space="preserve"> </w:t>
      </w:r>
      <w:r w:rsidRPr="00EA127E">
        <w:rPr>
          <w:rFonts w:cs="OpenSans"/>
        </w:rPr>
        <w:t xml:space="preserve">However, all aspects of the work were reviewed under Category 2 </w:t>
      </w:r>
      <w:r w:rsidR="00952160" w:rsidRPr="00EA127E">
        <w:rPr>
          <w:rFonts w:cs="OpenSans"/>
        </w:rPr>
        <w:t>(</w:t>
      </w:r>
      <w:r w:rsidR="00024E93" w:rsidRPr="00EA127E">
        <w:rPr>
          <w:rFonts w:cs="OpenSans"/>
        </w:rPr>
        <w:t xml:space="preserve">for </w:t>
      </w:r>
      <w:r w:rsidR="00952160" w:rsidRPr="00EA127E">
        <w:rPr>
          <w:rFonts w:cs="OpenSans"/>
        </w:rPr>
        <w:t xml:space="preserve">service evaluation, service development and audit activities) </w:t>
      </w:r>
      <w:r w:rsidRPr="00EA127E">
        <w:rPr>
          <w:rFonts w:cs="OpenSans"/>
        </w:rPr>
        <w:t xml:space="preserve">of RCOT’s internal research governance process. An application and supporting documentation related to the opening consultation </w:t>
      </w:r>
      <w:r w:rsidR="00D31A66" w:rsidRPr="00EA127E">
        <w:rPr>
          <w:rFonts w:cs="OpenSans"/>
        </w:rPr>
        <w:t xml:space="preserve">survey </w:t>
      </w:r>
      <w:r w:rsidRPr="00EA127E">
        <w:rPr>
          <w:rFonts w:cs="OpenSans"/>
        </w:rPr>
        <w:t xml:space="preserve">were submitted, and revisions were made in response to the reviewer’s </w:t>
      </w:r>
      <w:r w:rsidR="00C6361D" w:rsidRPr="00EA127E">
        <w:rPr>
          <w:rFonts w:cs="OpenSans"/>
        </w:rPr>
        <w:t>r</w:t>
      </w:r>
      <w:r w:rsidRPr="00EA127E">
        <w:rPr>
          <w:rFonts w:cs="OpenSans"/>
        </w:rPr>
        <w:t>ecommendations</w:t>
      </w:r>
      <w:r w:rsidR="00A92C21" w:rsidRPr="00EA127E">
        <w:rPr>
          <w:rFonts w:cs="OpenSans"/>
        </w:rPr>
        <w:t>,</w:t>
      </w:r>
      <w:r w:rsidRPr="00EA127E">
        <w:rPr>
          <w:rFonts w:cs="OpenSans"/>
        </w:rPr>
        <w:t xml:space="preserve"> ahead of approval being received on July 26th 2019</w:t>
      </w:r>
      <w:r w:rsidR="008C0193" w:rsidRPr="00EA127E">
        <w:rPr>
          <w:rFonts w:cs="OpenSans"/>
        </w:rPr>
        <w:t xml:space="preserve"> (</w:t>
      </w:r>
      <w:r w:rsidRPr="00EA127E">
        <w:rPr>
          <w:rFonts w:cs="OpenSans"/>
        </w:rPr>
        <w:t>reference: PE36/2019</w:t>
      </w:r>
      <w:r w:rsidR="008C0193" w:rsidRPr="00EA127E">
        <w:rPr>
          <w:rFonts w:cs="OpenSans"/>
        </w:rPr>
        <w:t>)</w:t>
      </w:r>
      <w:r w:rsidRPr="00EA127E">
        <w:rPr>
          <w:rFonts w:cs="OpenSans"/>
        </w:rPr>
        <w:t xml:space="preserve">. </w:t>
      </w:r>
      <w:r w:rsidR="008C0193" w:rsidRPr="00EA127E">
        <w:rPr>
          <w:rFonts w:cs="OpenSans"/>
        </w:rPr>
        <w:t>Approval was gained for</w:t>
      </w:r>
      <w:r w:rsidRPr="00EA127E">
        <w:rPr>
          <w:rFonts w:cs="OpenSans"/>
        </w:rPr>
        <w:t xml:space="preserve"> the interim prioritisation survey on February 24th 2020</w:t>
      </w:r>
      <w:r w:rsidR="008C0193" w:rsidRPr="00EA127E">
        <w:rPr>
          <w:rFonts w:cs="OpenSans"/>
        </w:rPr>
        <w:t xml:space="preserve"> (</w:t>
      </w:r>
      <w:r w:rsidRPr="00EA127E">
        <w:rPr>
          <w:rFonts w:cs="OpenSans"/>
        </w:rPr>
        <w:t>reference: PE48/2020</w:t>
      </w:r>
      <w:r w:rsidR="008C0193" w:rsidRPr="00EA127E">
        <w:rPr>
          <w:rFonts w:cs="OpenSans"/>
        </w:rPr>
        <w:t>)</w:t>
      </w:r>
      <w:r w:rsidRPr="00EA127E">
        <w:rPr>
          <w:rFonts w:cs="OpenSans"/>
        </w:rPr>
        <w:t xml:space="preserve"> and</w:t>
      </w:r>
      <w:r w:rsidR="008C0193" w:rsidRPr="00EA127E">
        <w:rPr>
          <w:rFonts w:cs="OpenSans"/>
        </w:rPr>
        <w:t xml:space="preserve"> for</w:t>
      </w:r>
      <w:r w:rsidRPr="00EA127E">
        <w:rPr>
          <w:rFonts w:cs="OpenSans"/>
        </w:rPr>
        <w:t xml:space="preserve"> the final prioritisation workshop on July 10th 2020</w:t>
      </w:r>
      <w:r w:rsidR="008C0193" w:rsidRPr="00EA127E">
        <w:rPr>
          <w:rFonts w:cs="OpenSans"/>
        </w:rPr>
        <w:t xml:space="preserve"> (</w:t>
      </w:r>
      <w:r w:rsidRPr="00EA127E">
        <w:rPr>
          <w:rFonts w:cs="OpenSans"/>
        </w:rPr>
        <w:t>reference:</w:t>
      </w:r>
      <w:r w:rsidR="00C6361D" w:rsidRPr="00EA127E">
        <w:rPr>
          <w:rFonts w:cs="OpenSans"/>
        </w:rPr>
        <w:t xml:space="preserve"> </w:t>
      </w:r>
      <w:r w:rsidRPr="00EA127E">
        <w:rPr>
          <w:rFonts w:cs="OpenSans"/>
        </w:rPr>
        <w:t>PE55/2020</w:t>
      </w:r>
      <w:r w:rsidR="008C0193" w:rsidRPr="00EA127E">
        <w:rPr>
          <w:rFonts w:cs="OpenSans"/>
        </w:rPr>
        <w:t>) using the same process</w:t>
      </w:r>
      <w:r w:rsidRPr="00EA127E">
        <w:rPr>
          <w:rFonts w:cs="OpenSans"/>
        </w:rPr>
        <w:t>.</w:t>
      </w:r>
    </w:p>
    <w:p w14:paraId="114F598C" w14:textId="77777777" w:rsidR="00F54154" w:rsidRPr="00EA127E" w:rsidRDefault="00F54154" w:rsidP="00024E93">
      <w:pPr>
        <w:autoSpaceDE w:val="0"/>
        <w:autoSpaceDN w:val="0"/>
        <w:adjustRightInd w:val="0"/>
        <w:spacing w:after="0"/>
        <w:rPr>
          <w:rFonts w:cs="OpenSans"/>
        </w:rPr>
      </w:pPr>
    </w:p>
    <w:p w14:paraId="2C2B0C07" w14:textId="77777777" w:rsidR="00D346D4" w:rsidRPr="00EA127E" w:rsidRDefault="00D346D4" w:rsidP="00D346D4">
      <w:pPr>
        <w:rPr>
          <w:u w:val="single"/>
        </w:rPr>
      </w:pPr>
      <w:r w:rsidRPr="00EA127E">
        <w:rPr>
          <w:u w:val="single"/>
        </w:rPr>
        <w:t>Opening consultation survey</w:t>
      </w:r>
    </w:p>
    <w:p w14:paraId="0A793CEA" w14:textId="77777777" w:rsidR="00E60174" w:rsidRPr="00EA127E" w:rsidRDefault="00F832F2" w:rsidP="00300C9C">
      <w:pPr>
        <w:autoSpaceDE w:val="0"/>
        <w:autoSpaceDN w:val="0"/>
        <w:adjustRightInd w:val="0"/>
        <w:rPr>
          <w:rFonts w:cs="OpenSans"/>
        </w:rPr>
      </w:pPr>
      <w:r w:rsidRPr="00EA127E">
        <w:t xml:space="preserve">The </w:t>
      </w:r>
      <w:r w:rsidR="00D543B7" w:rsidRPr="00EA127E">
        <w:t>opening</w:t>
      </w:r>
      <w:r w:rsidRPr="00EA127E">
        <w:t xml:space="preserve"> phase of the OTPSP </w:t>
      </w:r>
      <w:r w:rsidR="003959FF" w:rsidRPr="00EA127E">
        <w:t>invited</w:t>
      </w:r>
      <w:r w:rsidRPr="00EA127E">
        <w:rPr>
          <w:rFonts w:cs="OpenSans"/>
        </w:rPr>
        <w:t xml:space="preserve"> people to identify questions about occupational therapy </w:t>
      </w:r>
      <w:r w:rsidR="0076591D" w:rsidRPr="00EA127E">
        <w:rPr>
          <w:rFonts w:cs="OpenSans"/>
        </w:rPr>
        <w:t>for</w:t>
      </w:r>
      <w:r w:rsidRPr="00EA127E">
        <w:rPr>
          <w:rFonts w:cs="OpenSans"/>
        </w:rPr>
        <w:t xml:space="preserve"> research </w:t>
      </w:r>
      <w:r w:rsidR="0076591D" w:rsidRPr="00EA127E">
        <w:rPr>
          <w:rFonts w:cs="OpenSans"/>
        </w:rPr>
        <w:t>to</w:t>
      </w:r>
      <w:r w:rsidRPr="00EA127E">
        <w:rPr>
          <w:rFonts w:cs="OpenSans"/>
        </w:rPr>
        <w:t xml:space="preserve"> answer. Contributions were actively sought from people who access services, their </w:t>
      </w:r>
      <w:proofErr w:type="spellStart"/>
      <w:r w:rsidRPr="00EA127E">
        <w:rPr>
          <w:rFonts w:cs="OpenSans"/>
        </w:rPr>
        <w:t>carers</w:t>
      </w:r>
      <w:proofErr w:type="spellEnd"/>
      <w:r w:rsidRPr="00EA127E">
        <w:rPr>
          <w:rFonts w:cs="OpenSans"/>
        </w:rPr>
        <w:t xml:space="preserve"> and/or family, occupational therapists, and others with an interest in occupational therapy, such as those also working in the health and social care environment. The Steering Group developed and piloted </w:t>
      </w:r>
      <w:r w:rsidR="00D31A66" w:rsidRPr="00EA127E">
        <w:rPr>
          <w:rFonts w:cs="OpenSans"/>
        </w:rPr>
        <w:t xml:space="preserve">a </w:t>
      </w:r>
      <w:r w:rsidRPr="00EA127E">
        <w:rPr>
          <w:rFonts w:cs="OpenSans"/>
        </w:rPr>
        <w:t xml:space="preserve">survey which was </w:t>
      </w:r>
      <w:r w:rsidR="00E60174" w:rsidRPr="00EA127E">
        <w:rPr>
          <w:rFonts w:cs="OpenSans"/>
        </w:rPr>
        <w:t>open between August 5th and November 5th 2019 and posed two key questions:</w:t>
      </w:r>
    </w:p>
    <w:p w14:paraId="6822A4B6" w14:textId="77777777" w:rsidR="00E60174" w:rsidRPr="00EA127E" w:rsidRDefault="00E60174" w:rsidP="00300C9C">
      <w:pPr>
        <w:pStyle w:val="ListParagraph"/>
        <w:numPr>
          <w:ilvl w:val="0"/>
          <w:numId w:val="17"/>
        </w:numPr>
        <w:autoSpaceDE w:val="0"/>
        <w:autoSpaceDN w:val="0"/>
        <w:adjustRightInd w:val="0"/>
        <w:rPr>
          <w:rFonts w:cs="OpenSans"/>
        </w:rPr>
      </w:pPr>
      <w:r w:rsidRPr="00EA127E">
        <w:rPr>
          <w:rFonts w:cs="OpenSans"/>
        </w:rPr>
        <w:t>What questions do you have about occupational therapy that you haven’t been able to find the answer to?</w:t>
      </w:r>
    </w:p>
    <w:p w14:paraId="1415D3CE" w14:textId="77777777" w:rsidR="00F832F2" w:rsidRPr="00EA127E" w:rsidRDefault="00E60174" w:rsidP="00300C9C">
      <w:pPr>
        <w:pStyle w:val="ListParagraph"/>
        <w:numPr>
          <w:ilvl w:val="0"/>
          <w:numId w:val="17"/>
        </w:numPr>
        <w:autoSpaceDE w:val="0"/>
        <w:autoSpaceDN w:val="0"/>
        <w:adjustRightInd w:val="0"/>
        <w:rPr>
          <w:rFonts w:cs="OpenSans"/>
        </w:rPr>
      </w:pPr>
      <w:r w:rsidRPr="00EA127E">
        <w:rPr>
          <w:rFonts w:cs="OpenSans"/>
        </w:rPr>
        <w:t>What questions do you have about the difference that occupational therapy makes to people’s lives?</w:t>
      </w:r>
    </w:p>
    <w:p w14:paraId="246B38B7" w14:textId="77777777" w:rsidR="00F92BDD" w:rsidRPr="00EA127E" w:rsidRDefault="00F832F2" w:rsidP="00300C9C">
      <w:pPr>
        <w:autoSpaceDE w:val="0"/>
        <w:autoSpaceDN w:val="0"/>
        <w:adjustRightInd w:val="0"/>
        <w:rPr>
          <w:rFonts w:cs="OpenSans"/>
        </w:rPr>
      </w:pPr>
      <w:r w:rsidRPr="00EA127E">
        <w:rPr>
          <w:rFonts w:cs="OpenSans"/>
        </w:rPr>
        <w:t>The survey was made available</w:t>
      </w:r>
      <w:r w:rsidR="00E60174" w:rsidRPr="00EA127E">
        <w:rPr>
          <w:rFonts w:cs="OpenSans"/>
        </w:rPr>
        <w:t xml:space="preserve"> </w:t>
      </w:r>
      <w:r w:rsidRPr="00EA127E">
        <w:rPr>
          <w:rFonts w:cs="OpenSans"/>
        </w:rPr>
        <w:t>in English and Welsh language versions via the Joint</w:t>
      </w:r>
      <w:r w:rsidR="00E60174" w:rsidRPr="00EA127E">
        <w:rPr>
          <w:rFonts w:cs="OpenSans"/>
        </w:rPr>
        <w:t xml:space="preserve"> </w:t>
      </w:r>
      <w:r w:rsidRPr="00EA127E">
        <w:rPr>
          <w:rFonts w:cs="OpenSans"/>
        </w:rPr>
        <w:t>Information Systems Committee</w:t>
      </w:r>
      <w:r w:rsidR="00E60174" w:rsidRPr="00EA127E">
        <w:rPr>
          <w:rFonts w:cs="OpenSans"/>
        </w:rPr>
        <w:t xml:space="preserve"> </w:t>
      </w:r>
      <w:r w:rsidRPr="00EA127E">
        <w:rPr>
          <w:rFonts w:cs="OpenSans"/>
        </w:rPr>
        <w:t>(JISC) online platform, in a downloadable format and in hard copy on request. It was also</w:t>
      </w:r>
      <w:r w:rsidR="00E60174" w:rsidRPr="00EA127E">
        <w:rPr>
          <w:rFonts w:cs="OpenSans"/>
        </w:rPr>
        <w:t xml:space="preserve"> </w:t>
      </w:r>
      <w:r w:rsidRPr="00EA127E">
        <w:rPr>
          <w:rFonts w:cs="OpenSans"/>
        </w:rPr>
        <w:t>available in an easy-read version in a downloadable print format, which was also</w:t>
      </w:r>
      <w:r w:rsidR="00E60174" w:rsidRPr="00EA127E">
        <w:rPr>
          <w:rFonts w:cs="OpenSans"/>
        </w:rPr>
        <w:t xml:space="preserve"> </w:t>
      </w:r>
      <w:r w:rsidRPr="00EA127E">
        <w:rPr>
          <w:rFonts w:cs="OpenSans"/>
        </w:rPr>
        <w:t xml:space="preserve">provided in hard copy on request. </w:t>
      </w:r>
      <w:r w:rsidR="009667D8" w:rsidRPr="00EA127E">
        <w:rPr>
          <w:rFonts w:cs="OpenSans"/>
        </w:rPr>
        <w:t xml:space="preserve">Participant information was included in all versions and written informed consent was secured before participants accessed the actual survey. </w:t>
      </w:r>
      <w:r w:rsidRPr="00EA127E">
        <w:rPr>
          <w:rFonts w:cs="OpenSans"/>
        </w:rPr>
        <w:t>A number of supporting resources were made available,</w:t>
      </w:r>
      <w:r w:rsidR="00F92BDD" w:rsidRPr="00EA127E">
        <w:rPr>
          <w:rFonts w:cs="OpenSans"/>
        </w:rPr>
        <w:t xml:space="preserve"> </w:t>
      </w:r>
      <w:r w:rsidRPr="00EA127E">
        <w:rPr>
          <w:rFonts w:cs="OpenSans"/>
        </w:rPr>
        <w:t>including a media guide for project partners and a facilitated discussion guide to</w:t>
      </w:r>
      <w:r w:rsidR="00F92BDD" w:rsidRPr="00EA127E">
        <w:rPr>
          <w:rFonts w:cs="OpenSans"/>
        </w:rPr>
        <w:t xml:space="preserve"> assist the</w:t>
      </w:r>
      <w:r w:rsidRPr="00EA127E">
        <w:rPr>
          <w:rFonts w:cs="OpenSans"/>
        </w:rPr>
        <w:t xml:space="preserve"> holding</w:t>
      </w:r>
      <w:r w:rsidR="00F92BDD" w:rsidRPr="00EA127E">
        <w:rPr>
          <w:rFonts w:cs="OpenSans"/>
        </w:rPr>
        <w:t xml:space="preserve"> of </w:t>
      </w:r>
      <w:r w:rsidRPr="00EA127E">
        <w:rPr>
          <w:rFonts w:cs="OpenSans"/>
        </w:rPr>
        <w:t xml:space="preserve">discussion groups, particularly with people </w:t>
      </w:r>
      <w:r w:rsidR="00F92BDD" w:rsidRPr="00EA127E">
        <w:rPr>
          <w:rFonts w:cs="OpenSans"/>
        </w:rPr>
        <w:t>with lived experience</w:t>
      </w:r>
      <w:r w:rsidRPr="00EA127E">
        <w:rPr>
          <w:rFonts w:cs="OpenSans"/>
        </w:rPr>
        <w:t>.</w:t>
      </w:r>
    </w:p>
    <w:p w14:paraId="406B84C5" w14:textId="1CB0612D" w:rsidR="00D346D4" w:rsidRPr="00EA127E" w:rsidRDefault="00F832F2" w:rsidP="00300C9C">
      <w:pPr>
        <w:autoSpaceDE w:val="0"/>
        <w:autoSpaceDN w:val="0"/>
        <w:adjustRightInd w:val="0"/>
        <w:rPr>
          <w:rFonts w:cs="OpenSans"/>
        </w:rPr>
      </w:pPr>
      <w:r w:rsidRPr="00EA127E">
        <w:rPr>
          <w:rFonts w:cs="OpenSans"/>
        </w:rPr>
        <w:t xml:space="preserve">Completion rates and the </w:t>
      </w:r>
      <w:r w:rsidR="00F92BDD" w:rsidRPr="00EA127E">
        <w:rPr>
          <w:rFonts w:cs="OpenSans"/>
        </w:rPr>
        <w:t xml:space="preserve">demographics of respondents were </w:t>
      </w:r>
      <w:r w:rsidRPr="00EA127E">
        <w:rPr>
          <w:rFonts w:cs="OpenSans"/>
        </w:rPr>
        <w:t>monitored</w:t>
      </w:r>
      <w:r w:rsidR="00F92BDD" w:rsidRPr="00EA127E">
        <w:rPr>
          <w:rFonts w:cs="OpenSans"/>
        </w:rPr>
        <w:t xml:space="preserve"> </w:t>
      </w:r>
      <w:r w:rsidRPr="00EA127E">
        <w:rPr>
          <w:rFonts w:cs="OpenSans"/>
        </w:rPr>
        <w:t xml:space="preserve">throughout the period the survey was open. </w:t>
      </w:r>
      <w:r w:rsidR="00F92BDD" w:rsidRPr="00EA127E">
        <w:rPr>
          <w:rFonts w:cs="OpenSans"/>
        </w:rPr>
        <w:t>A</w:t>
      </w:r>
      <w:r w:rsidRPr="00EA127E">
        <w:rPr>
          <w:rFonts w:cs="OpenSans"/>
        </w:rPr>
        <w:t xml:space="preserve">ctive steps </w:t>
      </w:r>
      <w:r w:rsidR="00F92BDD" w:rsidRPr="00EA127E">
        <w:rPr>
          <w:rFonts w:cs="OpenSans"/>
        </w:rPr>
        <w:t xml:space="preserve">were taken </w:t>
      </w:r>
      <w:r w:rsidRPr="00EA127E">
        <w:rPr>
          <w:rFonts w:cs="OpenSans"/>
        </w:rPr>
        <w:t>to work collaboratively with the</w:t>
      </w:r>
      <w:r w:rsidR="00F92BDD" w:rsidRPr="00EA127E">
        <w:rPr>
          <w:rFonts w:cs="OpenSans"/>
        </w:rPr>
        <w:t xml:space="preserve"> </w:t>
      </w:r>
      <w:r w:rsidRPr="00EA127E">
        <w:rPr>
          <w:rFonts w:cs="OpenSans"/>
        </w:rPr>
        <w:t>project’s partners and supporters in an effort to secure responses from as wide an</w:t>
      </w:r>
      <w:r w:rsidR="00F92BDD" w:rsidRPr="00EA127E">
        <w:rPr>
          <w:rFonts w:cs="OpenSans"/>
        </w:rPr>
        <w:t xml:space="preserve"> </w:t>
      </w:r>
      <w:r w:rsidRPr="00EA127E">
        <w:rPr>
          <w:rFonts w:cs="OpenSans"/>
        </w:rPr>
        <w:t xml:space="preserve">audience as possible, with particular emphasis given </w:t>
      </w:r>
      <w:r w:rsidR="009D6868" w:rsidRPr="00EA127E">
        <w:rPr>
          <w:rFonts w:cs="OpenSans"/>
        </w:rPr>
        <w:t xml:space="preserve">to </w:t>
      </w:r>
      <w:r w:rsidR="00F92BDD" w:rsidRPr="00EA127E">
        <w:rPr>
          <w:rFonts w:cs="OpenSans"/>
        </w:rPr>
        <w:t xml:space="preserve">those with lived experience and </w:t>
      </w:r>
      <w:r w:rsidRPr="00EA127E">
        <w:rPr>
          <w:rFonts w:cs="OpenSans"/>
        </w:rPr>
        <w:t>those from groups whose voices are</w:t>
      </w:r>
      <w:r w:rsidR="00F92BDD" w:rsidRPr="00EA127E">
        <w:rPr>
          <w:rFonts w:cs="OpenSans"/>
        </w:rPr>
        <w:t xml:space="preserve"> </w:t>
      </w:r>
      <w:r w:rsidR="00CE26A4" w:rsidRPr="00EA127E">
        <w:rPr>
          <w:rFonts w:cs="OpenSans"/>
        </w:rPr>
        <w:t>s</w:t>
      </w:r>
      <w:r w:rsidR="00300C9C" w:rsidRPr="00EA127E">
        <w:rPr>
          <w:rFonts w:cs="OpenSans"/>
        </w:rPr>
        <w:t>eldom heard.</w:t>
      </w:r>
    </w:p>
    <w:p w14:paraId="77D14D8F" w14:textId="77777777" w:rsidR="008476D6" w:rsidRPr="00EA127E" w:rsidRDefault="008476D6" w:rsidP="00492F54">
      <w:pPr>
        <w:rPr>
          <w:u w:val="single"/>
        </w:rPr>
      </w:pPr>
      <w:r w:rsidRPr="00EA127E">
        <w:rPr>
          <w:u w:val="single"/>
        </w:rPr>
        <w:t>Analysis of responses and evidence checking</w:t>
      </w:r>
    </w:p>
    <w:p w14:paraId="3399588B" w14:textId="2CFCEA7E" w:rsidR="001242E7" w:rsidRPr="00EA127E" w:rsidRDefault="001242E7" w:rsidP="00492F54">
      <w:pPr>
        <w:pStyle w:val="CommentText"/>
        <w:spacing w:line="276" w:lineRule="auto"/>
        <w:rPr>
          <w:rFonts w:asciiTheme="minorHAnsi" w:hAnsiTheme="minorHAnsi" w:cs="OpenSans"/>
          <w:sz w:val="22"/>
          <w:szCs w:val="22"/>
        </w:rPr>
      </w:pPr>
      <w:r w:rsidRPr="00EA127E">
        <w:rPr>
          <w:rFonts w:asciiTheme="minorHAnsi" w:hAnsiTheme="minorHAnsi" w:cs="OpenSans"/>
          <w:sz w:val="22"/>
          <w:szCs w:val="22"/>
        </w:rPr>
        <w:t>The uncertainties or questions submitted in response to the opening consultation survey were analysed thematically</w:t>
      </w:r>
      <w:r w:rsidR="0059100A" w:rsidRPr="00EA127E">
        <w:rPr>
          <w:rFonts w:asciiTheme="minorHAnsi" w:hAnsiTheme="minorHAnsi" w:cs="OpenSans"/>
          <w:sz w:val="22"/>
          <w:szCs w:val="22"/>
        </w:rPr>
        <w:t xml:space="preserve"> (Braun and Clarke</w:t>
      </w:r>
      <w:r w:rsidRPr="00EA127E">
        <w:rPr>
          <w:rFonts w:asciiTheme="minorHAnsi" w:hAnsiTheme="minorHAnsi" w:cs="OpenSans"/>
          <w:sz w:val="22"/>
          <w:szCs w:val="22"/>
        </w:rPr>
        <w:t xml:space="preserve"> </w:t>
      </w:r>
      <w:r w:rsidR="0059100A" w:rsidRPr="00EA127E">
        <w:rPr>
          <w:rFonts w:asciiTheme="minorHAnsi" w:hAnsiTheme="minorHAnsi" w:cs="OpenSans"/>
          <w:sz w:val="22"/>
          <w:szCs w:val="22"/>
        </w:rPr>
        <w:t xml:space="preserve">2013) </w:t>
      </w:r>
      <w:r w:rsidRPr="00EA127E">
        <w:rPr>
          <w:rFonts w:asciiTheme="minorHAnsi" w:hAnsiTheme="minorHAnsi" w:cs="OpenSans"/>
          <w:sz w:val="22"/>
          <w:szCs w:val="22"/>
        </w:rPr>
        <w:t xml:space="preserve">to synthesise them into a series of overarching summary questions that remained true to the essence of the individually submitted questions they </w:t>
      </w:r>
      <w:r w:rsidRPr="00EA127E">
        <w:rPr>
          <w:rFonts w:asciiTheme="minorHAnsi" w:hAnsiTheme="minorHAnsi" w:cs="OpenSans"/>
          <w:sz w:val="22"/>
          <w:szCs w:val="22"/>
        </w:rPr>
        <w:lastRenderedPageBreak/>
        <w:t xml:space="preserve">represented. HS undertook the primary analysis </w:t>
      </w:r>
      <w:r w:rsidR="000A73D1" w:rsidRPr="00EA127E">
        <w:rPr>
          <w:rFonts w:asciiTheme="minorHAnsi" w:hAnsiTheme="minorHAnsi" w:cs="OpenSans"/>
          <w:sz w:val="22"/>
          <w:szCs w:val="22"/>
        </w:rPr>
        <w:t>and</w:t>
      </w:r>
      <w:r w:rsidRPr="00EA127E">
        <w:rPr>
          <w:rFonts w:asciiTheme="minorHAnsi" w:hAnsiTheme="minorHAnsi" w:cs="OpenSans"/>
          <w:sz w:val="22"/>
          <w:szCs w:val="22"/>
        </w:rPr>
        <w:t xml:space="preserve"> was supported by a data sub-group of the Steering Group</w:t>
      </w:r>
      <w:r w:rsidR="00492F54" w:rsidRPr="00EA127E">
        <w:rPr>
          <w:rFonts w:asciiTheme="minorHAnsi" w:hAnsiTheme="minorHAnsi" w:cs="OpenSans"/>
          <w:sz w:val="22"/>
          <w:szCs w:val="22"/>
        </w:rPr>
        <w:t xml:space="preserve">, which included those with lived experience. </w:t>
      </w:r>
      <w:r w:rsidR="00492F54" w:rsidRPr="00EA127E">
        <w:rPr>
          <w:rFonts w:asciiTheme="minorHAnsi" w:hAnsiTheme="minorHAnsi"/>
          <w:sz w:val="22"/>
          <w:szCs w:val="22"/>
        </w:rPr>
        <w:t xml:space="preserve">Their role was to question and check the categorisation process and audit whether summary questions were true to individual questions submitted. They </w:t>
      </w:r>
      <w:r w:rsidRPr="00EA127E">
        <w:rPr>
          <w:rFonts w:asciiTheme="minorHAnsi" w:hAnsiTheme="minorHAnsi" w:cs="OpenSans"/>
          <w:sz w:val="22"/>
          <w:szCs w:val="22"/>
        </w:rPr>
        <w:t>provide</w:t>
      </w:r>
      <w:r w:rsidR="00492F54" w:rsidRPr="00EA127E">
        <w:rPr>
          <w:rFonts w:asciiTheme="minorHAnsi" w:hAnsiTheme="minorHAnsi" w:cs="OpenSans"/>
          <w:sz w:val="22"/>
          <w:szCs w:val="22"/>
        </w:rPr>
        <w:t>d</w:t>
      </w:r>
      <w:r w:rsidRPr="00EA127E">
        <w:rPr>
          <w:rFonts w:asciiTheme="minorHAnsi" w:hAnsiTheme="minorHAnsi" w:cs="OpenSans"/>
          <w:sz w:val="22"/>
          <w:szCs w:val="22"/>
        </w:rPr>
        <w:t xml:space="preserve"> detailed scrutiny and critical advice, including via a day-long face-to-face meeting, in addition to </w:t>
      </w:r>
      <w:r w:rsidR="000A73D1" w:rsidRPr="00EA127E">
        <w:rPr>
          <w:rFonts w:asciiTheme="minorHAnsi" w:hAnsiTheme="minorHAnsi" w:cs="OpenSans"/>
          <w:sz w:val="22"/>
          <w:szCs w:val="22"/>
        </w:rPr>
        <w:t xml:space="preserve">the oversight of </w:t>
      </w:r>
      <w:r w:rsidRPr="00EA127E">
        <w:rPr>
          <w:rFonts w:asciiTheme="minorHAnsi" w:hAnsiTheme="minorHAnsi" w:cs="OpenSans"/>
          <w:sz w:val="22"/>
          <w:szCs w:val="22"/>
        </w:rPr>
        <w:t>the full Steering Group</w:t>
      </w:r>
      <w:r w:rsidR="003959FF" w:rsidRPr="00EA127E">
        <w:rPr>
          <w:rFonts w:asciiTheme="minorHAnsi" w:hAnsiTheme="minorHAnsi" w:cs="OpenSans"/>
          <w:sz w:val="22"/>
          <w:szCs w:val="22"/>
        </w:rPr>
        <w:t xml:space="preserve"> via their regular meetings</w:t>
      </w:r>
      <w:r w:rsidRPr="00EA127E">
        <w:rPr>
          <w:rFonts w:asciiTheme="minorHAnsi" w:hAnsiTheme="minorHAnsi" w:cs="OpenSans"/>
          <w:sz w:val="22"/>
          <w:szCs w:val="22"/>
        </w:rPr>
        <w:t xml:space="preserve">. </w:t>
      </w:r>
      <w:r w:rsidR="00061440" w:rsidRPr="00EA127E">
        <w:rPr>
          <w:rFonts w:asciiTheme="minorHAnsi" w:hAnsiTheme="minorHAnsi" w:cs="OpenSans"/>
          <w:sz w:val="22"/>
          <w:szCs w:val="22"/>
        </w:rPr>
        <w:t xml:space="preserve">All of the raw data is </w:t>
      </w:r>
      <w:r w:rsidR="006C60ED" w:rsidRPr="00EA127E">
        <w:rPr>
          <w:rFonts w:asciiTheme="minorHAnsi" w:hAnsiTheme="minorHAnsi" w:cs="OpenSans"/>
          <w:sz w:val="22"/>
          <w:szCs w:val="22"/>
        </w:rPr>
        <w:t>publicly</w:t>
      </w:r>
      <w:r w:rsidR="00061440" w:rsidRPr="00EA127E">
        <w:rPr>
          <w:rFonts w:asciiTheme="minorHAnsi" w:hAnsiTheme="minorHAnsi" w:cs="OpenSans"/>
          <w:sz w:val="22"/>
          <w:szCs w:val="22"/>
        </w:rPr>
        <w:t xml:space="preserve"> available (RCOT 2021).</w:t>
      </w:r>
    </w:p>
    <w:p w14:paraId="1CE68E10" w14:textId="49638C7B" w:rsidR="009F67D5" w:rsidRPr="00EA127E" w:rsidRDefault="000C2230" w:rsidP="00300C9C">
      <w:pPr>
        <w:autoSpaceDE w:val="0"/>
        <w:autoSpaceDN w:val="0"/>
        <w:adjustRightInd w:val="0"/>
        <w:rPr>
          <w:rFonts w:cs="OpenSans"/>
        </w:rPr>
      </w:pPr>
      <w:r w:rsidRPr="00EA127E">
        <w:rPr>
          <w:rFonts w:cs="OpenSans"/>
        </w:rPr>
        <w:t xml:space="preserve">The evidence checks </w:t>
      </w:r>
      <w:r w:rsidR="000A73D1" w:rsidRPr="00EA127E">
        <w:rPr>
          <w:rFonts w:cs="OpenSans"/>
        </w:rPr>
        <w:t xml:space="preserve">for the resulting </w:t>
      </w:r>
      <w:r w:rsidR="00DF4FCC" w:rsidRPr="00EA127E">
        <w:rPr>
          <w:rFonts w:cs="OpenSans"/>
        </w:rPr>
        <w:t xml:space="preserve">in-scope </w:t>
      </w:r>
      <w:r w:rsidR="000A73D1" w:rsidRPr="00EA127E">
        <w:rPr>
          <w:rFonts w:cs="OpenSans"/>
        </w:rPr>
        <w:t xml:space="preserve">summary questions </w:t>
      </w:r>
      <w:r w:rsidRPr="00EA127E">
        <w:rPr>
          <w:rFonts w:cs="OpenSans"/>
        </w:rPr>
        <w:t xml:space="preserve">were undertaken by </w:t>
      </w:r>
      <w:r w:rsidR="000A73D1" w:rsidRPr="00EA127E">
        <w:rPr>
          <w:rFonts w:cs="OpenSans"/>
        </w:rPr>
        <w:t>HS</w:t>
      </w:r>
      <w:r w:rsidRPr="00EA127E">
        <w:rPr>
          <w:rFonts w:cs="OpenSans"/>
        </w:rPr>
        <w:t xml:space="preserve"> during December</w:t>
      </w:r>
      <w:r w:rsidR="000A73D1" w:rsidRPr="00EA127E">
        <w:rPr>
          <w:rFonts w:cs="OpenSans"/>
        </w:rPr>
        <w:t xml:space="preserve"> </w:t>
      </w:r>
      <w:r w:rsidRPr="00EA127E">
        <w:rPr>
          <w:rFonts w:cs="OpenSans"/>
        </w:rPr>
        <w:t xml:space="preserve">2019 and January 2020. </w:t>
      </w:r>
      <w:r w:rsidR="00A33281" w:rsidRPr="00EA127E">
        <w:rPr>
          <w:rFonts w:cs="OpenSans"/>
        </w:rPr>
        <w:t>Whilst a systematic search for each summary question was not feasible within the time and resource constraints of the OTPSP, a highly focused, targeted and systematised approach was applied.</w:t>
      </w:r>
      <w:r w:rsidR="002D3B87" w:rsidRPr="00EA127E">
        <w:rPr>
          <w:rFonts w:cs="OpenSans"/>
        </w:rPr>
        <w:t xml:space="preserve"> This included checking each summary question </w:t>
      </w:r>
      <w:r w:rsidRPr="00EA127E">
        <w:rPr>
          <w:rFonts w:cs="OpenSans"/>
        </w:rPr>
        <w:t>against existing research evidence to verify that they were genuine</w:t>
      </w:r>
      <w:r w:rsidR="000A73D1" w:rsidRPr="00EA127E">
        <w:rPr>
          <w:rFonts w:cs="OpenSans"/>
        </w:rPr>
        <w:t xml:space="preserve"> </w:t>
      </w:r>
      <w:r w:rsidRPr="00EA127E">
        <w:rPr>
          <w:rFonts w:cs="OpenSans"/>
        </w:rPr>
        <w:t>uncertainties</w:t>
      </w:r>
      <w:r w:rsidR="000A73D1" w:rsidRPr="00EA127E">
        <w:rPr>
          <w:rFonts w:cs="OpenSans"/>
        </w:rPr>
        <w:t xml:space="preserve"> that had not already been answered by research</w:t>
      </w:r>
      <w:r w:rsidRPr="00EA127E">
        <w:rPr>
          <w:rFonts w:cs="OpenSans"/>
        </w:rPr>
        <w:t>. A federated search method</w:t>
      </w:r>
      <w:r w:rsidR="0056765F" w:rsidRPr="00EA127E">
        <w:rPr>
          <w:rFonts w:cs="OpenSans"/>
        </w:rPr>
        <w:t>,</w:t>
      </w:r>
      <w:r w:rsidR="000A73D1" w:rsidRPr="00EA127E">
        <w:rPr>
          <w:rFonts w:cs="OpenSans"/>
        </w:rPr>
        <w:t xml:space="preserve"> which </w:t>
      </w:r>
      <w:r w:rsidRPr="00EA127E">
        <w:rPr>
          <w:rFonts w:cs="OpenSans"/>
        </w:rPr>
        <w:t>applied free text keyword-only searches</w:t>
      </w:r>
      <w:r w:rsidR="0056765F" w:rsidRPr="00EA127E">
        <w:rPr>
          <w:rFonts w:cs="OpenSans"/>
        </w:rPr>
        <w:t>, was employed</w:t>
      </w:r>
      <w:r w:rsidRPr="00EA127E">
        <w:rPr>
          <w:rFonts w:cs="OpenSans"/>
        </w:rPr>
        <w:t xml:space="preserve">. </w:t>
      </w:r>
      <w:r w:rsidR="000A73D1" w:rsidRPr="00EA127E">
        <w:rPr>
          <w:rFonts w:cs="OpenSans"/>
        </w:rPr>
        <w:t>R</w:t>
      </w:r>
      <w:r w:rsidRPr="00EA127E">
        <w:rPr>
          <w:rFonts w:cs="OpenSans"/>
        </w:rPr>
        <w:t>egular overlap and duplication in retrievals across th</w:t>
      </w:r>
      <w:r w:rsidR="00E56B7F" w:rsidRPr="00EA127E">
        <w:rPr>
          <w:rFonts w:cs="OpenSans"/>
        </w:rPr>
        <w:t xml:space="preserve">e different platforms searched, </w:t>
      </w:r>
      <w:r w:rsidRPr="00EA127E">
        <w:rPr>
          <w:rFonts w:cs="OpenSans"/>
        </w:rPr>
        <w:t xml:space="preserve">indicated that a very good level of saturation was achieved. </w:t>
      </w:r>
    </w:p>
    <w:p w14:paraId="53E4ACD1" w14:textId="77777777" w:rsidR="008476D6" w:rsidRPr="00EA127E" w:rsidRDefault="000C2230" w:rsidP="00300C9C">
      <w:pPr>
        <w:autoSpaceDE w:val="0"/>
        <w:autoSpaceDN w:val="0"/>
        <w:adjustRightInd w:val="0"/>
        <w:rPr>
          <w:rFonts w:cs="OpenSans"/>
        </w:rPr>
      </w:pPr>
      <w:r w:rsidRPr="00EA127E">
        <w:rPr>
          <w:rFonts w:cs="OpenSans"/>
        </w:rPr>
        <w:t xml:space="preserve">Resources searched </w:t>
      </w:r>
      <w:r w:rsidR="00E56B7F" w:rsidRPr="00EA127E">
        <w:rPr>
          <w:rFonts w:cs="OpenSans"/>
        </w:rPr>
        <w:t xml:space="preserve">for each of the summary questions </w:t>
      </w:r>
      <w:r w:rsidRPr="00EA127E">
        <w:rPr>
          <w:rFonts w:cs="OpenSans"/>
        </w:rPr>
        <w:t>included: Cumulative Index to Nursing</w:t>
      </w:r>
      <w:r w:rsidR="00E56B7F" w:rsidRPr="00EA127E">
        <w:rPr>
          <w:rFonts w:cs="OpenSans"/>
        </w:rPr>
        <w:t xml:space="preserve"> </w:t>
      </w:r>
      <w:r w:rsidRPr="00EA127E">
        <w:rPr>
          <w:rFonts w:cs="OpenSans"/>
        </w:rPr>
        <w:t>and Allied Health Literature (CINAHL); Allied and Complementary Medicine (AMED);</w:t>
      </w:r>
      <w:r w:rsidR="00E56B7F" w:rsidRPr="00EA127E">
        <w:rPr>
          <w:rFonts w:cs="OpenSans"/>
        </w:rPr>
        <w:t xml:space="preserve"> </w:t>
      </w:r>
      <w:r w:rsidRPr="00EA127E">
        <w:rPr>
          <w:rFonts w:cs="OpenSans"/>
        </w:rPr>
        <w:t xml:space="preserve">Medline (all searched via the EBSCO platform); The Cochrane Library; </w:t>
      </w:r>
      <w:r w:rsidR="00E1618E" w:rsidRPr="00EA127E">
        <w:rPr>
          <w:rFonts w:cs="OpenSans"/>
        </w:rPr>
        <w:t xml:space="preserve">the NHS Evidence platform; </w:t>
      </w:r>
      <w:proofErr w:type="spellStart"/>
      <w:r w:rsidRPr="00EA127E">
        <w:rPr>
          <w:rFonts w:cs="OpenSans"/>
        </w:rPr>
        <w:t>Epistemonikos</w:t>
      </w:r>
      <w:proofErr w:type="spellEnd"/>
      <w:r w:rsidRPr="00EA127E">
        <w:rPr>
          <w:rFonts w:cs="OpenSans"/>
        </w:rPr>
        <w:t>;</w:t>
      </w:r>
      <w:r w:rsidR="00E56B7F" w:rsidRPr="00EA127E">
        <w:rPr>
          <w:rFonts w:cs="OpenSans"/>
        </w:rPr>
        <w:t xml:space="preserve"> </w:t>
      </w:r>
      <w:r w:rsidRPr="00EA127E">
        <w:rPr>
          <w:rFonts w:cs="OpenSans"/>
        </w:rPr>
        <w:t>TRIP Database; Scottish Intercollegiate Guidelines Network (SIGN); Google Scholar;</w:t>
      </w:r>
      <w:r w:rsidR="00E56B7F" w:rsidRPr="00EA127E">
        <w:rPr>
          <w:rFonts w:cs="OpenSans"/>
        </w:rPr>
        <w:t xml:space="preserve"> </w:t>
      </w:r>
      <w:r w:rsidR="0056765F" w:rsidRPr="00EA127E">
        <w:rPr>
          <w:rFonts w:cs="OpenSans"/>
        </w:rPr>
        <w:t xml:space="preserve">and </w:t>
      </w:r>
      <w:r w:rsidRPr="00EA127E">
        <w:rPr>
          <w:rFonts w:cs="OpenSans"/>
        </w:rPr>
        <w:t>RCOT’s website.</w:t>
      </w:r>
      <w:r w:rsidR="00E56B7F" w:rsidRPr="00EA127E">
        <w:rPr>
          <w:rFonts w:cs="OpenSans"/>
        </w:rPr>
        <w:t xml:space="preserve"> </w:t>
      </w:r>
      <w:r w:rsidRPr="00EA127E">
        <w:rPr>
          <w:rFonts w:cs="OpenSans"/>
        </w:rPr>
        <w:t>Papers met the criteria for inclusion if they were published within the previous five years</w:t>
      </w:r>
      <w:r w:rsidR="00E56B7F" w:rsidRPr="00EA127E">
        <w:rPr>
          <w:rFonts w:cs="OpenSans"/>
        </w:rPr>
        <w:t xml:space="preserve"> </w:t>
      </w:r>
      <w:r w:rsidRPr="00EA127E">
        <w:rPr>
          <w:rFonts w:cs="OpenSans"/>
        </w:rPr>
        <w:t xml:space="preserve">(i.e. from 2014 onwards). The exception was where Cochrane reviews </w:t>
      </w:r>
      <w:r w:rsidR="00E56B7F" w:rsidRPr="00EA127E">
        <w:rPr>
          <w:rFonts w:cs="OpenSans"/>
        </w:rPr>
        <w:t>o</w:t>
      </w:r>
      <w:r w:rsidRPr="00EA127E">
        <w:rPr>
          <w:rFonts w:cs="OpenSans"/>
        </w:rPr>
        <w:t>riginally</w:t>
      </w:r>
      <w:r w:rsidR="00E56B7F" w:rsidRPr="00EA127E">
        <w:rPr>
          <w:rFonts w:cs="OpenSans"/>
        </w:rPr>
        <w:t xml:space="preserve"> </w:t>
      </w:r>
      <w:r w:rsidRPr="00EA127E">
        <w:rPr>
          <w:rFonts w:cs="OpenSans"/>
        </w:rPr>
        <w:t>published earlier than 2014 had recently been updated. Conference presentations were</w:t>
      </w:r>
      <w:r w:rsidR="00E56B7F" w:rsidRPr="00EA127E">
        <w:rPr>
          <w:rFonts w:cs="OpenSans"/>
        </w:rPr>
        <w:t xml:space="preserve"> e</w:t>
      </w:r>
      <w:r w:rsidRPr="00EA127E">
        <w:rPr>
          <w:rFonts w:cs="OpenSans"/>
        </w:rPr>
        <w:t>xcluded</w:t>
      </w:r>
      <w:r w:rsidR="00E56B7F" w:rsidRPr="00EA127E">
        <w:rPr>
          <w:rFonts w:cs="OpenSans"/>
        </w:rPr>
        <w:t>,</w:t>
      </w:r>
      <w:r w:rsidRPr="00EA127E">
        <w:rPr>
          <w:rFonts w:cs="OpenSans"/>
        </w:rPr>
        <w:t xml:space="preserve"> alongside papers that addressed the area of uncertainty but were not written</w:t>
      </w:r>
      <w:r w:rsidR="00E56B7F" w:rsidRPr="00EA127E">
        <w:rPr>
          <w:rFonts w:cs="OpenSans"/>
        </w:rPr>
        <w:t xml:space="preserve"> </w:t>
      </w:r>
      <w:r w:rsidRPr="00EA127E">
        <w:rPr>
          <w:rFonts w:cs="OpenSans"/>
        </w:rPr>
        <w:t>within the context of occupational therapy.</w:t>
      </w:r>
      <w:r w:rsidR="00E56B7F" w:rsidRPr="00EA127E">
        <w:rPr>
          <w:rFonts w:cs="OpenSans"/>
        </w:rPr>
        <w:t xml:space="preserve"> </w:t>
      </w:r>
      <w:r w:rsidRPr="00EA127E">
        <w:rPr>
          <w:rFonts w:cs="OpenSans"/>
        </w:rPr>
        <w:t>As the evidence base in many areas of occupational therapy is under-developed, weak</w:t>
      </w:r>
      <w:r w:rsidR="00E56B7F" w:rsidRPr="00EA127E">
        <w:rPr>
          <w:rFonts w:cs="OpenSans"/>
        </w:rPr>
        <w:t xml:space="preserve"> </w:t>
      </w:r>
      <w:r w:rsidRPr="00EA127E">
        <w:rPr>
          <w:rFonts w:cs="OpenSans"/>
        </w:rPr>
        <w:t xml:space="preserve">or varied in nature, selection was broadly inclusive of all evidence types. </w:t>
      </w:r>
    </w:p>
    <w:p w14:paraId="06C69FD4" w14:textId="77777777" w:rsidR="008476D6" w:rsidRPr="00EA127E" w:rsidRDefault="008476D6" w:rsidP="00300C9C">
      <w:pPr>
        <w:rPr>
          <w:u w:val="single"/>
        </w:rPr>
      </w:pPr>
      <w:r w:rsidRPr="00EA127E">
        <w:rPr>
          <w:u w:val="single"/>
        </w:rPr>
        <w:t>Initial prioritisation survey</w:t>
      </w:r>
    </w:p>
    <w:p w14:paraId="0CEE2996" w14:textId="77777777" w:rsidR="007D2D0B" w:rsidRPr="00EA127E" w:rsidRDefault="00D543B7" w:rsidP="00300C9C">
      <w:pPr>
        <w:rPr>
          <w:rFonts w:cs="OpenSans"/>
        </w:rPr>
      </w:pPr>
      <w:r w:rsidRPr="00EA127E">
        <w:t xml:space="preserve">The next phase of the OTPSP required the Steering Group to develop a second survey to begin to prioritise the longlist of 66 summary questions </w:t>
      </w:r>
      <w:r w:rsidR="00410C91" w:rsidRPr="00EA127E">
        <w:t xml:space="preserve">representing verified uncertainties </w:t>
      </w:r>
      <w:r w:rsidR="006766B8" w:rsidRPr="00EA127E">
        <w:t>in</w:t>
      </w:r>
      <w:r w:rsidRPr="00EA127E">
        <w:t>to a shorter list for consideration in the final priority setting workshop</w:t>
      </w:r>
      <w:r w:rsidRPr="00EA127E">
        <w:rPr>
          <w:rFonts w:cs="OpenSans"/>
        </w:rPr>
        <w:t xml:space="preserve">. Once again, contributions were sought from people who access services, their </w:t>
      </w:r>
      <w:proofErr w:type="spellStart"/>
      <w:r w:rsidRPr="00EA127E">
        <w:rPr>
          <w:rFonts w:cs="OpenSans"/>
        </w:rPr>
        <w:t>carers</w:t>
      </w:r>
      <w:proofErr w:type="spellEnd"/>
      <w:r w:rsidRPr="00EA127E">
        <w:rPr>
          <w:rFonts w:cs="OpenSans"/>
        </w:rPr>
        <w:t xml:space="preserve"> and/or family, occupational therapists, and others with an interest in occupational therapy. Respondents were asked to </w:t>
      </w:r>
      <w:r w:rsidR="00B802C6" w:rsidRPr="00EA127E">
        <w:rPr>
          <w:rFonts w:cs="OpenSans"/>
        </w:rPr>
        <w:t>choose</w:t>
      </w:r>
      <w:r w:rsidRPr="00EA127E">
        <w:rPr>
          <w:rFonts w:cs="OpenSans"/>
        </w:rPr>
        <w:t xml:space="preserve"> up to ten questions that they felt were the most important for research to answer. Automatic randomisation of the 66 summary questions via the JISC platform was not possible</w:t>
      </w:r>
      <w:r w:rsidR="00015EFB" w:rsidRPr="00EA127E">
        <w:rPr>
          <w:rFonts w:cs="OpenSans"/>
        </w:rPr>
        <w:t>. T</w:t>
      </w:r>
      <w:r w:rsidRPr="00EA127E">
        <w:rPr>
          <w:rFonts w:cs="OpenSans"/>
        </w:rPr>
        <w:t xml:space="preserve">o mitigate the </w:t>
      </w:r>
      <w:r w:rsidR="00473D32" w:rsidRPr="00EA127E">
        <w:rPr>
          <w:rFonts w:cs="OpenSans"/>
        </w:rPr>
        <w:t xml:space="preserve">potential for sequencing of the summary questions to bias responses, </w:t>
      </w:r>
      <w:r w:rsidRPr="00EA127E">
        <w:rPr>
          <w:rFonts w:cs="OpenSans"/>
        </w:rPr>
        <w:t>four versions of the survey, each presenting the 66 questions in a different sequence, were carefully constructed</w:t>
      </w:r>
      <w:r w:rsidR="007C0AFC" w:rsidRPr="00EA127E">
        <w:rPr>
          <w:rFonts w:cs="OpenSans"/>
        </w:rPr>
        <w:t>. T</w:t>
      </w:r>
      <w:r w:rsidR="00284B27" w:rsidRPr="00EA127E">
        <w:rPr>
          <w:rFonts w:cs="OpenSans"/>
        </w:rPr>
        <w:t xml:space="preserve">he version available to respondents was </w:t>
      </w:r>
      <w:r w:rsidRPr="00EA127E">
        <w:rPr>
          <w:rFonts w:cs="OpenSans"/>
        </w:rPr>
        <w:t>rotated throughout the period the survey was open</w:t>
      </w:r>
      <w:r w:rsidR="00284B27" w:rsidRPr="00EA127E">
        <w:rPr>
          <w:rFonts w:cs="OpenSans"/>
        </w:rPr>
        <w:t xml:space="preserve">. </w:t>
      </w:r>
    </w:p>
    <w:p w14:paraId="27BE215B" w14:textId="77777777" w:rsidR="00B461A7" w:rsidRPr="00EA127E" w:rsidRDefault="00284B27" w:rsidP="00300C9C">
      <w:pPr>
        <w:rPr>
          <w:rFonts w:cs="OpenSans"/>
        </w:rPr>
      </w:pPr>
      <w:r w:rsidRPr="00EA127E">
        <w:rPr>
          <w:rFonts w:cs="OpenSans"/>
        </w:rPr>
        <w:t>The initial prioritisation survey was made available in English and Welsh language versions via the JISC platform, in a downloadable format and</w:t>
      </w:r>
      <w:r w:rsidR="00410C91" w:rsidRPr="00EA127E">
        <w:rPr>
          <w:rFonts w:cs="OpenSans"/>
        </w:rPr>
        <w:t>,</w:t>
      </w:r>
      <w:r w:rsidRPr="00EA127E">
        <w:rPr>
          <w:rFonts w:cs="OpenSans"/>
        </w:rPr>
        <w:t xml:space="preserve"> initially</w:t>
      </w:r>
      <w:r w:rsidR="00410C91" w:rsidRPr="00EA127E">
        <w:rPr>
          <w:rFonts w:cs="OpenSans"/>
        </w:rPr>
        <w:t>,</w:t>
      </w:r>
      <w:r w:rsidRPr="00EA127E">
        <w:rPr>
          <w:rFonts w:cs="OpenSans"/>
        </w:rPr>
        <w:t xml:space="preserve"> in hard copy on request. Expert advice indicated that it was not feasible to translate the 66 summary questions into an easy-read format</w:t>
      </w:r>
      <w:r w:rsidR="00015EFB" w:rsidRPr="00EA127E">
        <w:rPr>
          <w:rFonts w:cs="OpenSans"/>
        </w:rPr>
        <w:t xml:space="preserve">. </w:t>
      </w:r>
      <w:r w:rsidR="007D2D0B" w:rsidRPr="00EA127E">
        <w:rPr>
          <w:rFonts w:cs="OpenSans"/>
        </w:rPr>
        <w:t>T</w:t>
      </w:r>
      <w:r w:rsidR="007D2D0B" w:rsidRPr="00EA127E">
        <w:t>he language of the survey respondents was used as much as possible</w:t>
      </w:r>
      <w:r w:rsidR="00A60248" w:rsidRPr="00EA127E">
        <w:rPr>
          <w:rFonts w:cs="OpenSans"/>
        </w:rPr>
        <w:t>,</w:t>
      </w:r>
      <w:r w:rsidR="007D2D0B" w:rsidRPr="00EA127E">
        <w:rPr>
          <w:rFonts w:cs="OpenSans"/>
        </w:rPr>
        <w:t xml:space="preserve"> but</w:t>
      </w:r>
      <w:r w:rsidR="00A60248" w:rsidRPr="00EA127E">
        <w:rPr>
          <w:rFonts w:cs="OpenSans"/>
        </w:rPr>
        <w:t xml:space="preserve"> the steering group </w:t>
      </w:r>
      <w:r w:rsidR="007D2D0B" w:rsidRPr="00EA127E">
        <w:rPr>
          <w:rFonts w:cs="OpenSans"/>
        </w:rPr>
        <w:t>had</w:t>
      </w:r>
      <w:r w:rsidR="00A60248" w:rsidRPr="00EA127E">
        <w:rPr>
          <w:rFonts w:cs="OpenSans"/>
        </w:rPr>
        <w:t xml:space="preserve"> detailed discussions about the </w:t>
      </w:r>
      <w:r w:rsidR="007D2D0B" w:rsidRPr="00EA127E">
        <w:rPr>
          <w:rFonts w:cs="OpenSans"/>
        </w:rPr>
        <w:t>phrasing of</w:t>
      </w:r>
      <w:r w:rsidR="00A60248" w:rsidRPr="00EA127E">
        <w:rPr>
          <w:rFonts w:cs="OpenSans"/>
        </w:rPr>
        <w:t xml:space="preserve"> each</w:t>
      </w:r>
      <w:r w:rsidR="007D2D0B" w:rsidRPr="00EA127E">
        <w:rPr>
          <w:rFonts w:cs="OpenSans"/>
        </w:rPr>
        <w:t xml:space="preserve"> summary</w:t>
      </w:r>
      <w:r w:rsidR="00A60248" w:rsidRPr="00EA127E">
        <w:rPr>
          <w:rFonts w:cs="OpenSans"/>
        </w:rPr>
        <w:t xml:space="preserve"> question to avoid jargon and enhance accessibility. </w:t>
      </w:r>
      <w:r w:rsidR="009667D8" w:rsidRPr="00EA127E">
        <w:rPr>
          <w:rFonts w:cs="OpenSans"/>
        </w:rPr>
        <w:t xml:space="preserve">Participant information was included in all versions and written informed consent was </w:t>
      </w:r>
      <w:r w:rsidR="009667D8" w:rsidRPr="00EA127E">
        <w:rPr>
          <w:rFonts w:cs="OpenSans"/>
        </w:rPr>
        <w:lastRenderedPageBreak/>
        <w:t xml:space="preserve">secured before participants accessed the actual survey. </w:t>
      </w:r>
      <w:r w:rsidR="00015EFB" w:rsidRPr="00EA127E">
        <w:rPr>
          <w:rFonts w:cs="OpenSans"/>
        </w:rPr>
        <w:t>Supporting resources, including a media guide for project partners and a facilitated discussion guide</w:t>
      </w:r>
      <w:r w:rsidR="00410C91" w:rsidRPr="00EA127E">
        <w:rPr>
          <w:rFonts w:cs="OpenSans"/>
        </w:rPr>
        <w:t>,</w:t>
      </w:r>
      <w:r w:rsidR="00015EFB" w:rsidRPr="00EA127E">
        <w:rPr>
          <w:rFonts w:cs="OpenSans"/>
        </w:rPr>
        <w:t xml:space="preserve"> were once again made available.</w:t>
      </w:r>
    </w:p>
    <w:p w14:paraId="44126CEF" w14:textId="77777777" w:rsidR="00895E06" w:rsidRPr="00EA127E" w:rsidRDefault="00895E06" w:rsidP="00D346D4">
      <w:pPr>
        <w:rPr>
          <w:rFonts w:cs="OpenSans"/>
        </w:rPr>
      </w:pPr>
      <w:r w:rsidRPr="00EA127E">
        <w:rPr>
          <w:rFonts w:cs="OpenSans"/>
        </w:rPr>
        <w:t>The initial prioritisation survey was to be open between February 26</w:t>
      </w:r>
      <w:r w:rsidRPr="00EA127E">
        <w:rPr>
          <w:rFonts w:cs="OpenSans"/>
          <w:vertAlign w:val="superscript"/>
        </w:rPr>
        <w:t>th</w:t>
      </w:r>
      <w:r w:rsidRPr="00EA127E">
        <w:rPr>
          <w:rFonts w:cs="OpenSans"/>
        </w:rPr>
        <w:t xml:space="preserve"> and April 14</w:t>
      </w:r>
      <w:r w:rsidRPr="00EA127E">
        <w:rPr>
          <w:rFonts w:cs="OpenSans"/>
          <w:vertAlign w:val="superscript"/>
        </w:rPr>
        <w:t>th</w:t>
      </w:r>
      <w:r w:rsidRPr="00EA127E">
        <w:rPr>
          <w:rFonts w:cs="OpenSans"/>
        </w:rPr>
        <w:t xml:space="preserve"> 2020. However, at the end of March 2020 the UK government</w:t>
      </w:r>
      <w:r w:rsidR="00A708B6" w:rsidRPr="00EA127E">
        <w:rPr>
          <w:rFonts w:cs="OpenSans"/>
        </w:rPr>
        <w:t>s</w:t>
      </w:r>
      <w:r w:rsidRPr="00EA127E">
        <w:rPr>
          <w:rFonts w:cs="OpenSans"/>
        </w:rPr>
        <w:t xml:space="preserve"> imposed a full national lockdown </w:t>
      </w:r>
      <w:r w:rsidR="00410C91" w:rsidRPr="00EA127E">
        <w:rPr>
          <w:rFonts w:cs="OpenSans"/>
        </w:rPr>
        <w:t xml:space="preserve">in </w:t>
      </w:r>
      <w:r w:rsidR="00B802C6" w:rsidRPr="00EA127E">
        <w:rPr>
          <w:rFonts w:cs="OpenSans"/>
        </w:rPr>
        <w:t>response to the</w:t>
      </w:r>
      <w:r w:rsidRPr="00EA127E">
        <w:rPr>
          <w:rFonts w:cs="OpenSans"/>
        </w:rPr>
        <w:t xml:space="preserve"> COVID-19 pandemic. To optimise response rates at a time of national crisis, while ensuring the OTPSP completed with</w:t>
      </w:r>
      <w:r w:rsidR="00D14E55" w:rsidRPr="00EA127E">
        <w:rPr>
          <w:rFonts w:cs="OpenSans"/>
        </w:rPr>
        <w:t>in</w:t>
      </w:r>
      <w:r w:rsidRPr="00EA127E">
        <w:rPr>
          <w:rFonts w:cs="OpenSans"/>
        </w:rPr>
        <w:t xml:space="preserve"> agreed timescales, the Steering Group agreed to extend the closing date of the survey to May 20</w:t>
      </w:r>
      <w:r w:rsidRPr="00EA127E">
        <w:rPr>
          <w:rFonts w:cs="OpenSans"/>
          <w:vertAlign w:val="superscript"/>
        </w:rPr>
        <w:t>th</w:t>
      </w:r>
      <w:r w:rsidRPr="00EA127E">
        <w:rPr>
          <w:rFonts w:cs="OpenSans"/>
        </w:rPr>
        <w:t xml:space="preserve"> 2020. T</w:t>
      </w:r>
      <w:r w:rsidR="00410C91" w:rsidRPr="00EA127E">
        <w:rPr>
          <w:rFonts w:cs="OpenSans"/>
        </w:rPr>
        <w:t>he facilitated discussion guide was</w:t>
      </w:r>
      <w:r w:rsidRPr="00EA127E">
        <w:rPr>
          <w:rFonts w:cs="OpenSans"/>
        </w:rPr>
        <w:t xml:space="preserve"> withdrawn as it was no longer appropriate to suggest </w:t>
      </w:r>
      <w:r w:rsidR="00410C91" w:rsidRPr="00EA127E">
        <w:rPr>
          <w:rFonts w:cs="OpenSans"/>
        </w:rPr>
        <w:t xml:space="preserve">face-to-face </w:t>
      </w:r>
      <w:r w:rsidRPr="00EA127E">
        <w:rPr>
          <w:rFonts w:cs="OpenSans"/>
        </w:rPr>
        <w:t>group meetings</w:t>
      </w:r>
      <w:r w:rsidR="00265C0C" w:rsidRPr="00EA127E">
        <w:rPr>
          <w:rFonts w:cs="OpenSans"/>
        </w:rPr>
        <w:t>. As people became more familiar with meeting virtually, on-line discussions were suggested if appropriate</w:t>
      </w:r>
      <w:r w:rsidRPr="00EA127E">
        <w:rPr>
          <w:rFonts w:cs="OpenSans"/>
        </w:rPr>
        <w:t xml:space="preserve">. Similarly, the </w:t>
      </w:r>
      <w:r w:rsidR="003E1387" w:rsidRPr="00EA127E">
        <w:rPr>
          <w:rFonts w:cs="OpenSans"/>
        </w:rPr>
        <w:t xml:space="preserve">option to submit hardcopy responses was withdrawn as the </w:t>
      </w:r>
      <w:r w:rsidR="00300C9C" w:rsidRPr="00EA127E">
        <w:rPr>
          <w:rFonts w:cs="OpenSans"/>
        </w:rPr>
        <w:t>Project Team</w:t>
      </w:r>
      <w:r w:rsidR="003E1387" w:rsidRPr="00EA127E">
        <w:rPr>
          <w:rFonts w:cs="OpenSans"/>
        </w:rPr>
        <w:t xml:space="preserve"> were working from their home addresses. E-mail submission of scanned or electronically completed surveys remained possible throughout. </w:t>
      </w:r>
    </w:p>
    <w:p w14:paraId="11E9F49A" w14:textId="77777777" w:rsidR="002B2C0F" w:rsidRPr="00EA127E" w:rsidRDefault="002B2C0F" w:rsidP="00D346D4">
      <w:r w:rsidRPr="00EA127E">
        <w:rPr>
          <w:rFonts w:cs="OpenSans"/>
        </w:rPr>
        <w:t xml:space="preserve">Completion rates and the demographics of respondents were monitored throughout the period the initial prioritisation survey was open. </w:t>
      </w:r>
      <w:r w:rsidRPr="00EA127E">
        <w:rPr>
          <w:rFonts w:cs="Arial"/>
        </w:rPr>
        <w:t xml:space="preserve">As the impact of the pandemic began to </w:t>
      </w:r>
      <w:r w:rsidR="00300C9C" w:rsidRPr="00EA127E">
        <w:rPr>
          <w:rFonts w:cs="Arial"/>
        </w:rPr>
        <w:t>take hold</w:t>
      </w:r>
      <w:r w:rsidRPr="00EA127E">
        <w:rPr>
          <w:rFonts w:cs="Arial"/>
        </w:rPr>
        <w:t>, occupational therapists became increasingly drawn into the national response, and project partners turned their attention to supporting their own audiences and members</w:t>
      </w:r>
      <w:r w:rsidR="00A708B6" w:rsidRPr="00EA127E">
        <w:rPr>
          <w:rFonts w:cs="Arial"/>
        </w:rPr>
        <w:t xml:space="preserve"> through the crisis</w:t>
      </w:r>
      <w:r w:rsidRPr="00EA127E">
        <w:rPr>
          <w:rFonts w:cs="Arial"/>
        </w:rPr>
        <w:t>, the OTPSP encountered notable challenges in securing responses to the survey</w:t>
      </w:r>
      <w:r w:rsidR="00A708B6" w:rsidRPr="00EA127E">
        <w:rPr>
          <w:rFonts w:cs="Arial"/>
        </w:rPr>
        <w:t>. This was</w:t>
      </w:r>
      <w:r w:rsidRPr="00EA127E">
        <w:rPr>
          <w:rFonts w:cs="Arial"/>
        </w:rPr>
        <w:t xml:space="preserve"> particularly </w:t>
      </w:r>
      <w:r w:rsidR="00A708B6" w:rsidRPr="00EA127E">
        <w:rPr>
          <w:rFonts w:cs="Arial"/>
        </w:rPr>
        <w:t xml:space="preserve">the case in relation to </w:t>
      </w:r>
      <w:r w:rsidRPr="00EA127E">
        <w:rPr>
          <w:rFonts w:cs="Arial"/>
        </w:rPr>
        <w:t xml:space="preserve">people who access occupational therapy services, their </w:t>
      </w:r>
      <w:proofErr w:type="spellStart"/>
      <w:r w:rsidRPr="00EA127E">
        <w:rPr>
          <w:rFonts w:cs="Arial"/>
        </w:rPr>
        <w:t>carers</w:t>
      </w:r>
      <w:proofErr w:type="spellEnd"/>
      <w:r w:rsidRPr="00EA127E">
        <w:rPr>
          <w:rFonts w:cs="Arial"/>
        </w:rPr>
        <w:t xml:space="preserve"> and/or families. </w:t>
      </w:r>
      <w:r w:rsidRPr="00EA127E">
        <w:rPr>
          <w:rFonts w:cs="OpenSans"/>
        </w:rPr>
        <w:t xml:space="preserve">All reasonable steps were taken to continue to promote engagement with the survey while being sensitive to the prevailing circumstances. </w:t>
      </w:r>
    </w:p>
    <w:p w14:paraId="57598160" w14:textId="77777777" w:rsidR="008476D6" w:rsidRPr="00EA127E" w:rsidRDefault="0030219F" w:rsidP="00D346D4">
      <w:pPr>
        <w:rPr>
          <w:u w:val="single"/>
        </w:rPr>
      </w:pPr>
      <w:r w:rsidRPr="00EA127E">
        <w:rPr>
          <w:u w:val="single"/>
        </w:rPr>
        <w:t>Analysis of initial prioritisation survey responses</w:t>
      </w:r>
    </w:p>
    <w:p w14:paraId="1FC51A04" w14:textId="164C333D" w:rsidR="0030219F" w:rsidRPr="00EA127E" w:rsidRDefault="00335EC6" w:rsidP="00D346D4">
      <w:r w:rsidRPr="00EA127E">
        <w:t>Responses</w:t>
      </w:r>
      <w:r w:rsidR="00F542C1" w:rsidRPr="00EA127E">
        <w:t xml:space="preserve"> to the initial prioritisation survey </w:t>
      </w:r>
      <w:r w:rsidRPr="00EA127E">
        <w:t>from people with lived experience and those from people with professional expertise</w:t>
      </w:r>
      <w:r w:rsidR="00AA1C97" w:rsidRPr="00EA127E">
        <w:t xml:space="preserve"> (including </w:t>
      </w:r>
      <w:r w:rsidR="00DC5532" w:rsidRPr="00EA127E">
        <w:t>occupational therapists, occupational therapy students and people other than occupational therapists working in health and social care)</w:t>
      </w:r>
      <w:r w:rsidRPr="00EA127E">
        <w:t xml:space="preserve"> were analysed separately. This enabled the identification of any differences regarding how the question were prioritised by the two audiences, and permitted equal weighting to be given to their responses, despite the differing numbers in each group.</w:t>
      </w:r>
    </w:p>
    <w:p w14:paraId="6783D2A2" w14:textId="0F8681D6" w:rsidR="00335EC6" w:rsidRPr="00EA127E" w:rsidRDefault="00335EC6" w:rsidP="00D346D4">
      <w:r w:rsidRPr="00EA127E">
        <w:t xml:space="preserve">Each time a question was identified within an individual respondent’s ten most important questions, it was allocated one point. </w:t>
      </w:r>
      <w:r w:rsidR="00F56348" w:rsidRPr="00EA127E">
        <w:t>The JISC survey platform was unable to cap</w:t>
      </w:r>
      <w:r w:rsidR="00BB6CCE" w:rsidRPr="00EA127E">
        <w:t xml:space="preserve"> individual responses to their ten most important questions.</w:t>
      </w:r>
      <w:r w:rsidR="002070F4" w:rsidRPr="00EA127E">
        <w:t xml:space="preserve"> 564 respondents </w:t>
      </w:r>
      <w:r w:rsidR="00BE4F8F" w:rsidRPr="00EA127E">
        <w:t>identified</w:t>
      </w:r>
      <w:r w:rsidR="002070F4" w:rsidRPr="00EA127E">
        <w:t xml:space="preserve"> </w:t>
      </w:r>
      <w:r w:rsidR="00733033" w:rsidRPr="00EA127E">
        <w:t>more than</w:t>
      </w:r>
      <w:r w:rsidR="002070F4" w:rsidRPr="00EA127E">
        <w:t xml:space="preserve"> </w:t>
      </w:r>
      <w:r w:rsidR="009F459C" w:rsidRPr="00EA127E">
        <w:t>the requested number</w:t>
      </w:r>
      <w:r w:rsidR="00181D05" w:rsidRPr="00EA127E">
        <w:t xml:space="preserve">. Upon examination, </w:t>
      </w:r>
      <w:r w:rsidR="00677FA9" w:rsidRPr="00EA127E">
        <w:t>most of</w:t>
      </w:r>
      <w:r w:rsidR="00181D05" w:rsidRPr="00EA127E">
        <w:t xml:space="preserve"> those respondents </w:t>
      </w:r>
      <w:r w:rsidR="004B5F5E" w:rsidRPr="00EA127E">
        <w:t>were people with lived experience</w:t>
      </w:r>
      <w:r w:rsidR="00B40592" w:rsidRPr="00EA127E">
        <w:t xml:space="preserve">. </w:t>
      </w:r>
      <w:r w:rsidRPr="00EA127E">
        <w:t xml:space="preserve">In an effort to be as inclusive as possible, </w:t>
      </w:r>
      <w:r w:rsidR="005374C1" w:rsidRPr="00EA127E">
        <w:t xml:space="preserve">and in line with the flexibility </w:t>
      </w:r>
      <w:r w:rsidR="005E1539" w:rsidRPr="00EA127E">
        <w:t>permitted by the JLA approach</w:t>
      </w:r>
      <w:r w:rsidR="00D27393" w:rsidRPr="00EA127E">
        <w:t xml:space="preserve">, </w:t>
      </w:r>
      <w:r w:rsidR="00F47410" w:rsidRPr="00EA127E">
        <w:t>the Steering Group</w:t>
      </w:r>
      <w:r w:rsidR="00B13390" w:rsidRPr="00EA127E">
        <w:t xml:space="preserve"> decided that </w:t>
      </w:r>
      <w:r w:rsidRPr="00EA127E">
        <w:t>where a respondent had identified more than 10 but less than 20 questions as their most important, the ten available points were divided evenly amongst them</w:t>
      </w:r>
      <w:r w:rsidR="002475C0" w:rsidRPr="00EA127E">
        <w:t xml:space="preserve">. </w:t>
      </w:r>
      <w:r w:rsidR="00A67BD7" w:rsidRPr="00EA127E">
        <w:t xml:space="preserve">Having agreed </w:t>
      </w:r>
      <w:r w:rsidR="000A6432" w:rsidRPr="00EA127E">
        <w:t>it as</w:t>
      </w:r>
      <w:r w:rsidR="00A67BD7" w:rsidRPr="00EA127E">
        <w:t xml:space="preserve"> pragmatic </w:t>
      </w:r>
      <w:r w:rsidR="001E5496" w:rsidRPr="00EA127E">
        <w:t>cut-off point, r</w:t>
      </w:r>
      <w:r w:rsidR="002475C0" w:rsidRPr="00EA127E">
        <w:t>esponses identifying more than 20 questions</w:t>
      </w:r>
      <w:r w:rsidR="00122A1D" w:rsidRPr="00EA127E">
        <w:t>, along with</w:t>
      </w:r>
      <w:r w:rsidR="002475C0" w:rsidRPr="00EA127E">
        <w:t xml:space="preserve"> those from outside the UK</w:t>
      </w:r>
      <w:r w:rsidR="00122A1D" w:rsidRPr="00EA127E">
        <w:t>,</w:t>
      </w:r>
      <w:r w:rsidR="002475C0" w:rsidRPr="00EA127E">
        <w:t xml:space="preserve"> were deemed invalid.</w:t>
      </w:r>
    </w:p>
    <w:p w14:paraId="4734801F" w14:textId="77777777" w:rsidR="008476D6" w:rsidRPr="00EA127E" w:rsidRDefault="008476D6" w:rsidP="00D346D4">
      <w:pPr>
        <w:rPr>
          <w:u w:val="single"/>
        </w:rPr>
      </w:pPr>
      <w:r w:rsidRPr="00EA127E">
        <w:rPr>
          <w:u w:val="single"/>
        </w:rPr>
        <w:t>Final priority setting workshop</w:t>
      </w:r>
    </w:p>
    <w:p w14:paraId="4423F4FC" w14:textId="77777777" w:rsidR="008476D6" w:rsidRPr="00EA127E" w:rsidRDefault="008D67E6" w:rsidP="00D346D4">
      <w:r w:rsidRPr="00EA127E">
        <w:t>The 18 summary questions shortlisted via the interim prioritisation survey were presented for prioritisation by consensus at the final workshop held virtually, using the Zoom platform, on July 27</w:t>
      </w:r>
      <w:r w:rsidRPr="00EA127E">
        <w:rPr>
          <w:vertAlign w:val="superscript"/>
        </w:rPr>
        <w:t>th</w:t>
      </w:r>
      <w:r w:rsidRPr="00EA127E">
        <w:t xml:space="preserve"> 2020. As the first JLA PSP internationally to adopt this format, the Steering Group agreed to invite 20 participants, ten with lived experience and ten with professional expertise, in an effort to ensure </w:t>
      </w:r>
      <w:r w:rsidRPr="00EA127E">
        <w:lastRenderedPageBreak/>
        <w:t>that the workshop was manageable and that everyone had a genuine opportunity to actively contribute. Seventy-nine expressions of interest in participating in the final workshop were received, including 25 from people with lived experience. Invitations to participate were extended on the basis of criteria previously agreed with the Steering Group</w:t>
      </w:r>
      <w:r w:rsidR="00B96CA9" w:rsidRPr="00EA127E">
        <w:t>,</w:t>
      </w:r>
      <w:r w:rsidRPr="00EA127E">
        <w:t xml:space="preserve"> which encompassed perspectives representing:</w:t>
      </w:r>
    </w:p>
    <w:p w14:paraId="327A4B94" w14:textId="77777777" w:rsidR="008D67E6" w:rsidRPr="00EA127E" w:rsidRDefault="008D67E6" w:rsidP="008D67E6">
      <w:pPr>
        <w:pStyle w:val="ListParagraph"/>
        <w:numPr>
          <w:ilvl w:val="0"/>
          <w:numId w:val="21"/>
        </w:numPr>
        <w:spacing w:after="0"/>
        <w:contextualSpacing w:val="0"/>
        <w:rPr>
          <w:rFonts w:cs="Arial"/>
        </w:rPr>
      </w:pPr>
      <w:r w:rsidRPr="00EA127E">
        <w:rPr>
          <w:rFonts w:cs="Arial"/>
        </w:rPr>
        <w:t>the four nations of the UK;</w:t>
      </w:r>
    </w:p>
    <w:p w14:paraId="18B2330D" w14:textId="77777777" w:rsidR="008D67E6" w:rsidRPr="00EA127E" w:rsidRDefault="008D67E6" w:rsidP="008D67E6">
      <w:pPr>
        <w:pStyle w:val="ListParagraph"/>
        <w:numPr>
          <w:ilvl w:val="0"/>
          <w:numId w:val="21"/>
        </w:numPr>
        <w:spacing w:after="0"/>
        <w:contextualSpacing w:val="0"/>
        <w:rPr>
          <w:rFonts w:cs="Arial"/>
        </w:rPr>
      </w:pPr>
      <w:r w:rsidRPr="00EA127E">
        <w:rPr>
          <w:rFonts w:cs="Arial"/>
        </w:rPr>
        <w:t>lived experiences of the impact of a range of physical and mental health challenges across the lifespan;</w:t>
      </w:r>
    </w:p>
    <w:p w14:paraId="075D3BBD" w14:textId="77777777" w:rsidR="008D67E6" w:rsidRPr="00EA127E" w:rsidRDefault="008D67E6" w:rsidP="008D67E6">
      <w:pPr>
        <w:pStyle w:val="ListParagraph"/>
        <w:numPr>
          <w:ilvl w:val="0"/>
          <w:numId w:val="21"/>
        </w:numPr>
        <w:spacing w:after="0"/>
        <w:contextualSpacing w:val="0"/>
        <w:rPr>
          <w:rFonts w:cs="Arial"/>
        </w:rPr>
      </w:pPr>
      <w:r w:rsidRPr="00EA127E">
        <w:rPr>
          <w:rFonts w:cs="Arial"/>
        </w:rPr>
        <w:t>a wide breadth of practice areas and contexts, spanning mental and physical health across the lifespan, and within NHS, social care and non-statutory services;</w:t>
      </w:r>
    </w:p>
    <w:p w14:paraId="1EC9761D" w14:textId="77777777" w:rsidR="008D67E6" w:rsidRPr="00EA127E" w:rsidRDefault="008D67E6" w:rsidP="008D67E6">
      <w:pPr>
        <w:pStyle w:val="ListParagraph"/>
        <w:numPr>
          <w:ilvl w:val="0"/>
          <w:numId w:val="21"/>
        </w:numPr>
        <w:spacing w:after="0"/>
        <w:contextualSpacing w:val="0"/>
        <w:rPr>
          <w:rFonts w:cs="Arial"/>
        </w:rPr>
      </w:pPr>
      <w:r w:rsidRPr="00EA127E">
        <w:rPr>
          <w:rFonts w:cs="Arial"/>
        </w:rPr>
        <w:t xml:space="preserve">occupational therapy career levels </w:t>
      </w:r>
      <w:r w:rsidR="001E0EE6" w:rsidRPr="00EA127E">
        <w:rPr>
          <w:rFonts w:cs="Arial"/>
        </w:rPr>
        <w:t xml:space="preserve">ranging </w:t>
      </w:r>
      <w:r w:rsidRPr="00EA127E">
        <w:rPr>
          <w:rFonts w:cs="Arial"/>
        </w:rPr>
        <w:t xml:space="preserve">from student to senior leadership and management roles; </w:t>
      </w:r>
    </w:p>
    <w:p w14:paraId="31C4EFB5" w14:textId="77777777" w:rsidR="008D67E6" w:rsidRPr="00EA127E" w:rsidRDefault="008D67E6" w:rsidP="008D67E6">
      <w:pPr>
        <w:pStyle w:val="ListParagraph"/>
        <w:numPr>
          <w:ilvl w:val="0"/>
          <w:numId w:val="21"/>
        </w:numPr>
        <w:spacing w:after="0"/>
        <w:contextualSpacing w:val="0"/>
        <w:rPr>
          <w:rFonts w:cs="Arial"/>
        </w:rPr>
      </w:pPr>
      <w:r w:rsidRPr="00EA127E">
        <w:rPr>
          <w:rFonts w:cs="Arial"/>
        </w:rPr>
        <w:t>diversity of voices in terms of personal characteristics such as ethnicity, gender, age and sexual orientation, where these were known.</w:t>
      </w:r>
    </w:p>
    <w:p w14:paraId="6B2CBCEE" w14:textId="77777777" w:rsidR="004653D9" w:rsidRPr="00EA127E" w:rsidRDefault="00B37D39" w:rsidP="00D346D4">
      <w:r w:rsidRPr="00EA127E">
        <w:br/>
      </w:r>
      <w:r w:rsidR="004653D9" w:rsidRPr="00EA127E">
        <w:t>Participant information was issued</w:t>
      </w:r>
      <w:r w:rsidR="00265C0C" w:rsidRPr="00EA127E">
        <w:t xml:space="preserve"> by post and electronically</w:t>
      </w:r>
      <w:r w:rsidR="004653D9" w:rsidRPr="00EA127E">
        <w:t>, and written informed consent secured ahead</w:t>
      </w:r>
      <w:r w:rsidR="00265C0C" w:rsidRPr="00EA127E">
        <w:t>,</w:t>
      </w:r>
      <w:r w:rsidR="004653D9" w:rsidRPr="00EA127E">
        <w:t xml:space="preserve"> of the workshop.</w:t>
      </w:r>
    </w:p>
    <w:p w14:paraId="2E58EFEC" w14:textId="724E2AA9" w:rsidR="008D67E6" w:rsidRPr="00EA127E" w:rsidRDefault="00B37D39" w:rsidP="00D346D4">
      <w:r w:rsidRPr="00EA127E">
        <w:t xml:space="preserve">The workshop was chaired by KC, with </w:t>
      </w:r>
      <w:r w:rsidR="004A5136" w:rsidRPr="00EA127E">
        <w:t xml:space="preserve">small group </w:t>
      </w:r>
      <w:r w:rsidRPr="00EA127E">
        <w:t>facilitation supported by three additional independent JLA advisors. A small number of non-participant observers were drawn from the OTPSP Project Team, the RCOT executive team and the JLA secretariat. The established JLA format for final priority setting workshops was carefully adapted for this inaugural on-line format. Participants were allocated into four groups ensuring a mix of backgrounds</w:t>
      </w:r>
      <w:r w:rsidR="004C10CE" w:rsidRPr="00EA127E">
        <w:t xml:space="preserve">. </w:t>
      </w:r>
      <w:r w:rsidR="001536BF" w:rsidRPr="00EA127E">
        <w:t xml:space="preserve">Initially, they shared </w:t>
      </w:r>
      <w:r w:rsidR="00A40D41" w:rsidRPr="00EA127E">
        <w:t xml:space="preserve">and discussed </w:t>
      </w:r>
      <w:r w:rsidR="00F531F7" w:rsidRPr="00EA127E">
        <w:t>each group members’</w:t>
      </w:r>
      <w:r w:rsidR="00454C0D" w:rsidRPr="00EA127E">
        <w:t xml:space="preserve"> top and bottom three questions </w:t>
      </w:r>
      <w:r w:rsidR="00A40D41" w:rsidRPr="00EA127E">
        <w:t xml:space="preserve">according to their </w:t>
      </w:r>
      <w:r w:rsidR="00F531F7" w:rsidRPr="00EA127E">
        <w:t>individual</w:t>
      </w:r>
      <w:r w:rsidR="00A40D41" w:rsidRPr="00EA127E">
        <w:t xml:space="preserve"> ranking</w:t>
      </w:r>
      <w:r w:rsidR="00F531F7" w:rsidRPr="00EA127E">
        <w:t>s</w:t>
      </w:r>
      <w:r w:rsidR="00A40D41" w:rsidRPr="00EA127E">
        <w:t xml:space="preserve"> in preparation for the workshop. </w:t>
      </w:r>
      <w:r w:rsidR="005C799D" w:rsidRPr="00EA127E">
        <w:t>Examini</w:t>
      </w:r>
      <w:r w:rsidR="0010122F" w:rsidRPr="00EA127E">
        <w:t>ng consensus and divergence of opinion in this way</w:t>
      </w:r>
      <w:r w:rsidR="000319CF" w:rsidRPr="00EA127E">
        <w:t xml:space="preserve"> facilitated early engagement of all participants and the</w:t>
      </w:r>
      <w:r w:rsidR="00312AB1" w:rsidRPr="00EA127E">
        <w:t xml:space="preserve"> building of trust</w:t>
      </w:r>
      <w:r w:rsidR="003D23CE" w:rsidRPr="00EA127E">
        <w:t xml:space="preserve">. </w:t>
      </w:r>
      <w:r w:rsidR="004C10CE" w:rsidRPr="00EA127E">
        <w:t>Using an adapted nominal group technique</w:t>
      </w:r>
      <w:r w:rsidR="003F54DE" w:rsidRPr="00EA127E">
        <w:t xml:space="preserve"> (Jones and Hunter 1995)</w:t>
      </w:r>
      <w:r w:rsidR="004C10CE" w:rsidRPr="00EA127E">
        <w:t xml:space="preserve"> the groups worked together to</w:t>
      </w:r>
      <w:r w:rsidR="004D4E80" w:rsidRPr="00EA127E">
        <w:t xml:space="preserve"> discuss and</w:t>
      </w:r>
      <w:r w:rsidR="004C10CE" w:rsidRPr="00EA127E">
        <w:t xml:space="preserve"> </w:t>
      </w:r>
      <w:r w:rsidR="00902F1A" w:rsidRPr="00EA127E">
        <w:t>rank the 18 shortlisted questions</w:t>
      </w:r>
      <w:r w:rsidR="00D147C3" w:rsidRPr="00EA127E">
        <w:t xml:space="preserve">. Each facilitator </w:t>
      </w:r>
      <w:r w:rsidR="00444D30" w:rsidRPr="00EA127E">
        <w:t xml:space="preserve">used </w:t>
      </w:r>
      <w:r w:rsidR="0030169B" w:rsidRPr="00EA127E">
        <w:t>a prepared Power</w:t>
      </w:r>
      <w:r w:rsidR="00777E7F" w:rsidRPr="00EA127E">
        <w:t xml:space="preserve">Point slide that enabled </w:t>
      </w:r>
      <w:r w:rsidR="00444D30" w:rsidRPr="00EA127E">
        <w:t>them</w:t>
      </w:r>
      <w:r w:rsidR="00777E7F" w:rsidRPr="00EA127E">
        <w:t xml:space="preserve"> to</w:t>
      </w:r>
      <w:r w:rsidR="008F4BE8" w:rsidRPr="00EA127E">
        <w:t xml:space="preserve"> move individual questions around the shared screen </w:t>
      </w:r>
      <w:r w:rsidR="00C3620C" w:rsidRPr="00EA127E">
        <w:t>in response to the flow of the discussions</w:t>
      </w:r>
      <w:r w:rsidR="00EF3BA7" w:rsidRPr="00EA127E">
        <w:t xml:space="preserve"> </w:t>
      </w:r>
      <w:r w:rsidR="008F4BE8" w:rsidRPr="00EA127E">
        <w:t>(RCOT 2021</w:t>
      </w:r>
      <w:r w:rsidR="00C3620C" w:rsidRPr="00EA127E">
        <w:t>, p21-22)</w:t>
      </w:r>
      <w:r w:rsidR="00902F1A" w:rsidRPr="00EA127E">
        <w:t xml:space="preserve">. Group membership was </w:t>
      </w:r>
      <w:r w:rsidR="00B96CA9" w:rsidRPr="00EA127E">
        <w:t xml:space="preserve">then </w:t>
      </w:r>
      <w:r w:rsidR="00902F1A" w:rsidRPr="00EA127E">
        <w:t>changed, again ensuring a diversity of perspectives</w:t>
      </w:r>
      <w:r w:rsidR="00B96CA9" w:rsidRPr="00EA127E">
        <w:t>. The task within these new groups</w:t>
      </w:r>
      <w:r w:rsidR="00A4425B" w:rsidRPr="00EA127E">
        <w:t xml:space="preserve"> was to </w:t>
      </w:r>
      <w:r w:rsidR="00EF3BA7" w:rsidRPr="00EA127E">
        <w:t xml:space="preserve">use the same process to </w:t>
      </w:r>
      <w:r w:rsidR="00A4425B" w:rsidRPr="00EA127E">
        <w:t>reach a consen</w:t>
      </w:r>
      <w:r w:rsidR="00B96CA9" w:rsidRPr="00EA127E">
        <w:t xml:space="preserve">sus about </w:t>
      </w:r>
      <w:r w:rsidR="00A4425B" w:rsidRPr="00EA127E">
        <w:t xml:space="preserve">the ranking of the top and middle ranked questions </w:t>
      </w:r>
      <w:r w:rsidR="001A5354" w:rsidRPr="00EA127E">
        <w:t>based on</w:t>
      </w:r>
      <w:r w:rsidR="00525D05" w:rsidRPr="00EA127E">
        <w:t xml:space="preserve"> the </w:t>
      </w:r>
      <w:r w:rsidR="004F0CE4" w:rsidRPr="00EA127E">
        <w:t>aggregate</w:t>
      </w:r>
      <w:r w:rsidR="00525D05" w:rsidRPr="00EA127E">
        <w:t xml:space="preserve"> ranking</w:t>
      </w:r>
      <w:r w:rsidR="00A4425B" w:rsidRPr="00EA127E">
        <w:t xml:space="preserve"> from the earlier group-work.  </w:t>
      </w:r>
      <w:r w:rsidR="00902F1A" w:rsidRPr="00EA127E">
        <w:t xml:space="preserve">The aggregate rankings from the second round of small group exercises was presented at a final plenary session and identified the </w:t>
      </w:r>
      <w:r w:rsidR="0034120C" w:rsidRPr="00EA127E">
        <w:t>T</w:t>
      </w:r>
      <w:r w:rsidR="00902F1A" w:rsidRPr="00EA127E">
        <w:t xml:space="preserve">op </w:t>
      </w:r>
      <w:r w:rsidR="0034120C" w:rsidRPr="00EA127E">
        <w:t>10</w:t>
      </w:r>
      <w:r w:rsidR="00902F1A" w:rsidRPr="00EA127E">
        <w:t xml:space="preserve"> priorities for occupational therapy research in the UK.</w:t>
      </w:r>
    </w:p>
    <w:p w14:paraId="24F8F525" w14:textId="77777777" w:rsidR="007362B0" w:rsidRPr="00EA127E" w:rsidRDefault="007362B0" w:rsidP="003403A7">
      <w:pPr>
        <w:rPr>
          <w:b/>
        </w:rPr>
      </w:pPr>
      <w:r w:rsidRPr="00EA127E">
        <w:rPr>
          <w:b/>
        </w:rPr>
        <w:t>Results</w:t>
      </w:r>
    </w:p>
    <w:p w14:paraId="7DE1600F" w14:textId="77777777" w:rsidR="007362B0" w:rsidRPr="00EA127E" w:rsidRDefault="00CE26A4" w:rsidP="003403A7">
      <w:pPr>
        <w:rPr>
          <w:u w:val="single"/>
        </w:rPr>
      </w:pPr>
      <w:r w:rsidRPr="00EA127E">
        <w:rPr>
          <w:u w:val="single"/>
        </w:rPr>
        <w:t>Opening consultation survey</w:t>
      </w:r>
    </w:p>
    <w:p w14:paraId="4A2F1490" w14:textId="77777777" w:rsidR="00464C9B" w:rsidRPr="00EA127E" w:rsidRDefault="00464C9B" w:rsidP="00464C9B">
      <w:pPr>
        <w:autoSpaceDE w:val="0"/>
        <w:autoSpaceDN w:val="0"/>
        <w:adjustRightInd w:val="0"/>
        <w:spacing w:after="0"/>
        <w:rPr>
          <w:rFonts w:cs="OpenSans"/>
        </w:rPr>
      </w:pPr>
      <w:r w:rsidRPr="00EA127E">
        <w:rPr>
          <w:rFonts w:cs="OpenSans"/>
        </w:rPr>
        <w:t>The opening consultation survey secured 927 responses. Respondents were able to select up to three boxes to identify their interest in participating in the study. On that basis, responses were received from:</w:t>
      </w:r>
    </w:p>
    <w:p w14:paraId="0B34AE8F" w14:textId="77777777" w:rsidR="00464C9B" w:rsidRPr="00EA127E" w:rsidRDefault="00464C9B" w:rsidP="00464C9B">
      <w:pPr>
        <w:pStyle w:val="ListParagraph"/>
        <w:numPr>
          <w:ilvl w:val="0"/>
          <w:numId w:val="18"/>
        </w:numPr>
        <w:autoSpaceDE w:val="0"/>
        <w:autoSpaceDN w:val="0"/>
        <w:adjustRightInd w:val="0"/>
        <w:spacing w:after="0"/>
        <w:rPr>
          <w:rFonts w:cs="OpenSans"/>
        </w:rPr>
      </w:pPr>
      <w:r w:rsidRPr="00EA127E">
        <w:rPr>
          <w:rFonts w:cs="OpenSans"/>
        </w:rPr>
        <w:t>654 occupational therapists and occupational therapy students;</w:t>
      </w:r>
    </w:p>
    <w:p w14:paraId="7F195A0B" w14:textId="77777777" w:rsidR="00464C9B" w:rsidRPr="00EA127E" w:rsidRDefault="00464C9B" w:rsidP="00464C9B">
      <w:pPr>
        <w:pStyle w:val="ListParagraph"/>
        <w:numPr>
          <w:ilvl w:val="0"/>
          <w:numId w:val="18"/>
        </w:numPr>
        <w:autoSpaceDE w:val="0"/>
        <w:autoSpaceDN w:val="0"/>
        <w:adjustRightInd w:val="0"/>
        <w:spacing w:after="0"/>
        <w:rPr>
          <w:rFonts w:cs="OpenSans"/>
        </w:rPr>
      </w:pPr>
      <w:r w:rsidRPr="00EA127E">
        <w:rPr>
          <w:rFonts w:cs="OpenSans"/>
        </w:rPr>
        <w:t xml:space="preserve">328 people accessing occupational therapy services and their </w:t>
      </w:r>
      <w:proofErr w:type="spellStart"/>
      <w:r w:rsidRPr="00EA127E">
        <w:rPr>
          <w:rFonts w:cs="OpenSans"/>
        </w:rPr>
        <w:t>carers</w:t>
      </w:r>
      <w:proofErr w:type="spellEnd"/>
      <w:r w:rsidRPr="00EA127E">
        <w:rPr>
          <w:rFonts w:cs="OpenSans"/>
        </w:rPr>
        <w:t xml:space="preserve"> and/or family;</w:t>
      </w:r>
    </w:p>
    <w:p w14:paraId="0AA05DBF" w14:textId="77777777" w:rsidR="00464C9B" w:rsidRPr="00EA127E" w:rsidRDefault="00464C9B" w:rsidP="00464C9B">
      <w:pPr>
        <w:pStyle w:val="ListParagraph"/>
        <w:numPr>
          <w:ilvl w:val="0"/>
          <w:numId w:val="18"/>
        </w:numPr>
        <w:autoSpaceDE w:val="0"/>
        <w:autoSpaceDN w:val="0"/>
        <w:adjustRightInd w:val="0"/>
        <w:spacing w:after="0"/>
        <w:rPr>
          <w:rFonts w:cs="OpenSans"/>
        </w:rPr>
      </w:pPr>
      <w:r w:rsidRPr="00EA127E">
        <w:rPr>
          <w:rFonts w:cs="OpenSans"/>
        </w:rPr>
        <w:lastRenderedPageBreak/>
        <w:t>105 people other than occupational therapists working in the health and care environment, or with a different interest in occupational therapy.</w:t>
      </w:r>
    </w:p>
    <w:p w14:paraId="453924B4" w14:textId="77777777" w:rsidR="008C3BFE" w:rsidRPr="00EA127E" w:rsidRDefault="008C3BFE" w:rsidP="008C3BFE">
      <w:pPr>
        <w:autoSpaceDE w:val="0"/>
        <w:autoSpaceDN w:val="0"/>
        <w:adjustRightInd w:val="0"/>
        <w:spacing w:after="0"/>
        <w:rPr>
          <w:rFonts w:cs="OpenSans"/>
        </w:rPr>
      </w:pPr>
    </w:p>
    <w:p w14:paraId="3C41EFB2" w14:textId="77777777" w:rsidR="00C75BB3" w:rsidRPr="00EA127E" w:rsidRDefault="008366C3" w:rsidP="00C75BB3">
      <w:pPr>
        <w:autoSpaceDE w:val="0"/>
        <w:autoSpaceDN w:val="0"/>
        <w:adjustRightInd w:val="0"/>
        <w:rPr>
          <w:rFonts w:cs="OpenSans"/>
        </w:rPr>
      </w:pPr>
      <w:r w:rsidRPr="00EA127E">
        <w:rPr>
          <w:rFonts w:cs="OpenSans"/>
        </w:rPr>
        <w:t>Respondents were predominately female (88%</w:t>
      </w:r>
      <w:r w:rsidR="00E31F85" w:rsidRPr="00EA127E">
        <w:rPr>
          <w:rFonts w:cs="OpenSans"/>
        </w:rPr>
        <w:t>; 9% male; 3% self-describe/no response</w:t>
      </w:r>
      <w:r w:rsidRPr="00EA127E">
        <w:rPr>
          <w:rFonts w:cs="OpenSans"/>
        </w:rPr>
        <w:t>)</w:t>
      </w:r>
      <w:r w:rsidR="00E31F85" w:rsidRPr="00EA127E">
        <w:rPr>
          <w:rFonts w:cs="OpenSans"/>
        </w:rPr>
        <w:t xml:space="preserve">, with 45% falling </w:t>
      </w:r>
      <w:r w:rsidR="00057594" w:rsidRPr="00EA127E">
        <w:rPr>
          <w:rFonts w:cs="OpenSans"/>
        </w:rPr>
        <w:t>with</w:t>
      </w:r>
      <w:r w:rsidR="00E31F85" w:rsidRPr="00EA127E">
        <w:rPr>
          <w:rFonts w:cs="OpenSans"/>
        </w:rPr>
        <w:t xml:space="preserve">in the 45-64 years age-band and 43% </w:t>
      </w:r>
      <w:r w:rsidR="00057594" w:rsidRPr="00EA127E">
        <w:rPr>
          <w:rFonts w:cs="OpenSans"/>
        </w:rPr>
        <w:t>with</w:t>
      </w:r>
      <w:r w:rsidRPr="00EA127E">
        <w:rPr>
          <w:rFonts w:cs="OpenSans"/>
        </w:rPr>
        <w:t xml:space="preserve">in the </w:t>
      </w:r>
      <w:r w:rsidR="00E31F85" w:rsidRPr="00EA127E">
        <w:rPr>
          <w:rFonts w:cs="OpenSans"/>
        </w:rPr>
        <w:t>25-44 years age-band (4% 16-24yrs; 3% 65-79yr</w:t>
      </w:r>
      <w:r w:rsidR="0020799C" w:rsidRPr="00EA127E">
        <w:rPr>
          <w:rFonts w:cs="OpenSans"/>
        </w:rPr>
        <w:t>s</w:t>
      </w:r>
      <w:r w:rsidR="00E31F85" w:rsidRPr="00EA127E">
        <w:rPr>
          <w:rFonts w:cs="OpenSans"/>
        </w:rPr>
        <w:t>; 1% 80yrs+). Only 13.8% identified as having a disability (84.3% no disability; 1.9% no response). A significant majority identified as white (87.38%), while 2.48% identified as Asian/British Asian, 0.76% identified as Black/Black British, 0.32% identified as Chinese or being</w:t>
      </w:r>
      <w:r w:rsidR="0020799C" w:rsidRPr="00EA127E">
        <w:rPr>
          <w:rFonts w:cs="OpenSans"/>
        </w:rPr>
        <w:t xml:space="preserve"> </w:t>
      </w:r>
      <w:r w:rsidR="00E31F85" w:rsidRPr="00EA127E">
        <w:rPr>
          <w:rFonts w:cs="OpenSans"/>
        </w:rPr>
        <w:t>from another ethnic group</w:t>
      </w:r>
      <w:r w:rsidR="0020799C" w:rsidRPr="00EA127E">
        <w:rPr>
          <w:rFonts w:cs="OpenSans"/>
        </w:rPr>
        <w:t xml:space="preserve"> and 2.37% identified as being from mixed/multiple ethnicities.  A</w:t>
      </w:r>
      <w:r w:rsidR="00C75BB3" w:rsidRPr="00EA127E">
        <w:rPr>
          <w:rFonts w:cs="OpenSans"/>
        </w:rPr>
        <w:t xml:space="preserve"> further </w:t>
      </w:r>
      <w:r w:rsidR="0020799C" w:rsidRPr="00EA127E">
        <w:rPr>
          <w:rFonts w:cs="OpenSans"/>
        </w:rPr>
        <w:t xml:space="preserve">0.76% of respondents preferred to self-describe and 5.93% preferred not to say or offered no response. Most respondents were based in </w:t>
      </w:r>
      <w:r w:rsidRPr="00EA127E">
        <w:rPr>
          <w:rFonts w:cs="OpenSans"/>
        </w:rPr>
        <w:t xml:space="preserve">England (82.52%), followed by Scotland (8.74%), Wales (6.15%) and Northern Ireland (2.16%). </w:t>
      </w:r>
    </w:p>
    <w:p w14:paraId="4895657E" w14:textId="77777777" w:rsidR="009F3462" w:rsidRPr="00EA127E" w:rsidRDefault="005927E9" w:rsidP="00C75BB3">
      <w:pPr>
        <w:autoSpaceDE w:val="0"/>
        <w:autoSpaceDN w:val="0"/>
        <w:adjustRightInd w:val="0"/>
        <w:rPr>
          <w:rFonts w:cs="OpenSans"/>
        </w:rPr>
      </w:pPr>
      <w:r w:rsidRPr="00EA127E">
        <w:rPr>
          <w:rFonts w:cs="OpenSans"/>
        </w:rPr>
        <w:t>The 927 respondents submitted 2193 questions, or</w:t>
      </w:r>
      <w:r w:rsidR="00C54E4C" w:rsidRPr="00EA127E">
        <w:rPr>
          <w:rFonts w:cs="OpenSans"/>
        </w:rPr>
        <w:t xml:space="preserve"> ‘uncertainties’</w:t>
      </w:r>
      <w:r w:rsidR="00514027" w:rsidRPr="00EA127E">
        <w:rPr>
          <w:rFonts w:cs="OpenSans"/>
        </w:rPr>
        <w:t>,</w:t>
      </w:r>
      <w:r w:rsidR="00C54E4C" w:rsidRPr="00EA127E">
        <w:rPr>
          <w:rFonts w:cs="OpenSans"/>
        </w:rPr>
        <w:t xml:space="preserve"> in the opening consultation survey. </w:t>
      </w:r>
      <w:r w:rsidRPr="00EA127E">
        <w:rPr>
          <w:rFonts w:cs="OpenSans"/>
        </w:rPr>
        <w:t>Of the</w:t>
      </w:r>
      <w:r w:rsidR="00C54E4C" w:rsidRPr="00EA127E">
        <w:rPr>
          <w:rFonts w:cs="OpenSans"/>
        </w:rPr>
        <w:t xml:space="preserve">se, </w:t>
      </w:r>
      <w:r w:rsidRPr="00EA127E">
        <w:rPr>
          <w:rFonts w:cs="OpenSans"/>
        </w:rPr>
        <w:t xml:space="preserve">1255 were </w:t>
      </w:r>
      <w:r w:rsidR="00C54E4C" w:rsidRPr="00EA127E">
        <w:rPr>
          <w:rFonts w:cs="OpenSans"/>
        </w:rPr>
        <w:t xml:space="preserve">within the scope of the project </w:t>
      </w:r>
      <w:r w:rsidR="00614BA3" w:rsidRPr="00EA127E">
        <w:rPr>
          <w:rFonts w:cs="OpenSans"/>
        </w:rPr>
        <w:t xml:space="preserve">and </w:t>
      </w:r>
      <w:r w:rsidRPr="00EA127E">
        <w:rPr>
          <w:rFonts w:cs="OpenSans"/>
        </w:rPr>
        <w:t>were captured within 66</w:t>
      </w:r>
      <w:r w:rsidR="00C54E4C" w:rsidRPr="00EA127E">
        <w:rPr>
          <w:rFonts w:cs="OpenSans"/>
        </w:rPr>
        <w:t xml:space="preserve"> </w:t>
      </w:r>
      <w:r w:rsidRPr="00EA127E">
        <w:rPr>
          <w:rFonts w:cs="OpenSans"/>
        </w:rPr>
        <w:t xml:space="preserve">overarching summary questions that </w:t>
      </w:r>
      <w:r w:rsidR="00514027" w:rsidRPr="00EA127E">
        <w:rPr>
          <w:rFonts w:cs="OpenSans"/>
        </w:rPr>
        <w:t xml:space="preserve">represented the </w:t>
      </w:r>
      <w:r w:rsidR="004A5136" w:rsidRPr="00EA127E">
        <w:rPr>
          <w:rFonts w:cs="OpenSans"/>
        </w:rPr>
        <w:t>essence</w:t>
      </w:r>
      <w:r w:rsidR="00514027" w:rsidRPr="00EA127E">
        <w:rPr>
          <w:rFonts w:cs="OpenSans"/>
        </w:rPr>
        <w:t xml:space="preserve"> of </w:t>
      </w:r>
      <w:r w:rsidRPr="00EA127E">
        <w:rPr>
          <w:rFonts w:cs="OpenSans"/>
        </w:rPr>
        <w:t>the individually</w:t>
      </w:r>
      <w:r w:rsidR="00C54E4C" w:rsidRPr="00EA127E">
        <w:rPr>
          <w:rFonts w:cs="OpenSans"/>
        </w:rPr>
        <w:t xml:space="preserve"> </w:t>
      </w:r>
      <w:r w:rsidRPr="00EA127E">
        <w:rPr>
          <w:rFonts w:cs="OpenSans"/>
        </w:rPr>
        <w:t xml:space="preserve">submitted questions they </w:t>
      </w:r>
      <w:r w:rsidR="00514027" w:rsidRPr="00EA127E">
        <w:rPr>
          <w:rFonts w:cs="OpenSans"/>
        </w:rPr>
        <w:t>encompassed</w:t>
      </w:r>
      <w:r w:rsidRPr="00EA127E">
        <w:rPr>
          <w:rFonts w:cs="OpenSans"/>
        </w:rPr>
        <w:t xml:space="preserve">. </w:t>
      </w:r>
    </w:p>
    <w:p w14:paraId="266366D8" w14:textId="77777777" w:rsidR="007B0ADA" w:rsidRPr="00EA127E" w:rsidRDefault="007B0ADA" w:rsidP="00C75BB3">
      <w:pPr>
        <w:autoSpaceDE w:val="0"/>
        <w:autoSpaceDN w:val="0"/>
        <w:adjustRightInd w:val="0"/>
        <w:rPr>
          <w:rFonts w:cs="OpenSans"/>
          <w:u w:val="single"/>
        </w:rPr>
      </w:pPr>
      <w:r w:rsidRPr="00EA127E">
        <w:rPr>
          <w:rFonts w:cs="OpenSans"/>
          <w:u w:val="single"/>
        </w:rPr>
        <w:t>Verification of uncertainties</w:t>
      </w:r>
    </w:p>
    <w:p w14:paraId="4E6D3EAA" w14:textId="77777777" w:rsidR="00E56B7F" w:rsidRPr="00EA127E" w:rsidRDefault="00E56B7F" w:rsidP="00CA1A7A">
      <w:pPr>
        <w:autoSpaceDE w:val="0"/>
        <w:autoSpaceDN w:val="0"/>
        <w:adjustRightInd w:val="0"/>
        <w:rPr>
          <w:u w:val="single"/>
        </w:rPr>
      </w:pPr>
      <w:r w:rsidRPr="00EA127E">
        <w:rPr>
          <w:rFonts w:cs="OpenSans"/>
        </w:rPr>
        <w:t xml:space="preserve">Evidence </w:t>
      </w:r>
      <w:r w:rsidR="00CA1A7A" w:rsidRPr="00EA127E">
        <w:rPr>
          <w:rFonts w:cs="OpenSans"/>
        </w:rPr>
        <w:t xml:space="preserve">checking against the 66 summary questions identified </w:t>
      </w:r>
      <w:r w:rsidRPr="00EA127E">
        <w:rPr>
          <w:rFonts w:cs="OpenSans"/>
        </w:rPr>
        <w:t>both high and low quality</w:t>
      </w:r>
      <w:r w:rsidR="00614BA3" w:rsidRPr="00EA127E">
        <w:rPr>
          <w:rFonts w:cs="OpenSans"/>
        </w:rPr>
        <w:t xml:space="preserve"> evidence</w:t>
      </w:r>
      <w:r w:rsidR="00CA1A7A" w:rsidRPr="00EA127E">
        <w:rPr>
          <w:rFonts w:cs="OpenSans"/>
        </w:rPr>
        <w:t>, presenting an o</w:t>
      </w:r>
      <w:r w:rsidRPr="00EA127E">
        <w:rPr>
          <w:rFonts w:cs="OpenSans"/>
        </w:rPr>
        <w:t xml:space="preserve">verall picture </w:t>
      </w:r>
      <w:r w:rsidR="00CA1A7A" w:rsidRPr="00EA127E">
        <w:rPr>
          <w:rFonts w:cs="OpenSans"/>
        </w:rPr>
        <w:t xml:space="preserve">that justified the verification of most </w:t>
      </w:r>
      <w:r w:rsidR="00F50996" w:rsidRPr="00EA127E">
        <w:rPr>
          <w:rFonts w:cs="OpenSans"/>
        </w:rPr>
        <w:t xml:space="preserve">questions </w:t>
      </w:r>
      <w:r w:rsidR="00CA1A7A" w:rsidRPr="00EA127E">
        <w:rPr>
          <w:rFonts w:cs="OpenSans"/>
        </w:rPr>
        <w:t xml:space="preserve">as having been only partially answered by research. </w:t>
      </w:r>
      <w:r w:rsidRPr="00EA127E">
        <w:rPr>
          <w:rFonts w:cs="OpenSans"/>
        </w:rPr>
        <w:t>The majority of evidence was located in peer-reviewed research</w:t>
      </w:r>
      <w:r w:rsidR="00CA1A7A" w:rsidRPr="00EA127E">
        <w:rPr>
          <w:rFonts w:cs="OpenSans"/>
        </w:rPr>
        <w:t xml:space="preserve"> </w:t>
      </w:r>
      <w:r w:rsidRPr="00EA127E">
        <w:rPr>
          <w:rFonts w:cs="OpenSans"/>
        </w:rPr>
        <w:t>papers, evidence-based clinical and practice guidelines, grey literature and unpublished,</w:t>
      </w:r>
      <w:r w:rsidR="00CA1A7A" w:rsidRPr="00EA127E">
        <w:rPr>
          <w:rFonts w:cs="OpenSans"/>
        </w:rPr>
        <w:t xml:space="preserve"> </w:t>
      </w:r>
      <w:r w:rsidRPr="00EA127E">
        <w:rPr>
          <w:rFonts w:cs="OpenSans"/>
        </w:rPr>
        <w:t>in-progress registered trials.</w:t>
      </w:r>
    </w:p>
    <w:p w14:paraId="5009E390" w14:textId="7C2FD772" w:rsidR="005927E9" w:rsidRPr="00EA127E" w:rsidRDefault="00CA1A7A" w:rsidP="00D904CA">
      <w:pPr>
        <w:rPr>
          <w:u w:val="single"/>
        </w:rPr>
      </w:pPr>
      <w:r w:rsidRPr="00EA127E">
        <w:rPr>
          <w:rFonts w:cs="OpenSans"/>
        </w:rPr>
        <w:t xml:space="preserve">The 938 submitted uncertainties that were agreed to be out of scope of the OTPSP could be grouped into </w:t>
      </w:r>
      <w:r w:rsidR="005927E9" w:rsidRPr="00EA127E">
        <w:rPr>
          <w:rFonts w:cs="OpenSans"/>
        </w:rPr>
        <w:t>themes including</w:t>
      </w:r>
      <w:r w:rsidRPr="00EA127E">
        <w:rPr>
          <w:rFonts w:cs="OpenSans"/>
        </w:rPr>
        <w:t xml:space="preserve"> </w:t>
      </w:r>
      <w:r w:rsidR="005927E9" w:rsidRPr="00EA127E">
        <w:rPr>
          <w:rFonts w:cs="OpenSans"/>
        </w:rPr>
        <w:t>questions related to specific health conditions, pre- and post-registration education of</w:t>
      </w:r>
      <w:r w:rsidRPr="00EA127E">
        <w:rPr>
          <w:rFonts w:cs="OpenSans"/>
        </w:rPr>
        <w:t xml:space="preserve"> </w:t>
      </w:r>
      <w:r w:rsidR="005927E9" w:rsidRPr="00EA127E">
        <w:rPr>
          <w:rFonts w:cs="OpenSans"/>
        </w:rPr>
        <w:t>occupational therapists, government policy, service provision issues such as waiting</w:t>
      </w:r>
      <w:r w:rsidRPr="00EA127E">
        <w:rPr>
          <w:rFonts w:cs="OpenSans"/>
        </w:rPr>
        <w:t xml:space="preserve"> </w:t>
      </w:r>
      <w:r w:rsidR="005927E9" w:rsidRPr="00EA127E">
        <w:rPr>
          <w:rFonts w:cs="OpenSans"/>
        </w:rPr>
        <w:t xml:space="preserve">times, staff resources, access to services, and so on. </w:t>
      </w:r>
      <w:r w:rsidRPr="00EA127E">
        <w:rPr>
          <w:rFonts w:cs="OpenSans"/>
        </w:rPr>
        <w:t xml:space="preserve">While outside the scope of the OTPSP, these questions will inform </w:t>
      </w:r>
      <w:r w:rsidR="00D904CA" w:rsidRPr="00EA127E">
        <w:rPr>
          <w:rFonts w:cs="OpenSans"/>
        </w:rPr>
        <w:t>strands of RCOT’s ongoing work</w:t>
      </w:r>
      <w:r w:rsidR="00F50996" w:rsidRPr="00EA127E">
        <w:rPr>
          <w:rFonts w:cs="OpenSans"/>
        </w:rPr>
        <w:t xml:space="preserve"> as a professional body</w:t>
      </w:r>
      <w:r w:rsidR="00D904CA" w:rsidRPr="00EA127E">
        <w:rPr>
          <w:rFonts w:cs="OpenSans"/>
        </w:rPr>
        <w:t xml:space="preserve">. </w:t>
      </w:r>
      <w:r w:rsidR="005927E9" w:rsidRPr="00EA127E">
        <w:rPr>
          <w:rFonts w:cs="OpenSans"/>
        </w:rPr>
        <w:t xml:space="preserve">For example, condition-specific questions </w:t>
      </w:r>
      <w:r w:rsidR="00D904CA" w:rsidRPr="00EA127E">
        <w:rPr>
          <w:rFonts w:cs="OpenSans"/>
        </w:rPr>
        <w:t xml:space="preserve">will </w:t>
      </w:r>
      <w:r w:rsidR="005927E9" w:rsidRPr="00EA127E">
        <w:rPr>
          <w:rFonts w:cs="OpenSans"/>
        </w:rPr>
        <w:t>be considered by RCOT specialist sections as part of their work to</w:t>
      </w:r>
      <w:r w:rsidR="00D904CA" w:rsidRPr="00EA127E">
        <w:rPr>
          <w:rFonts w:cs="OpenSans"/>
        </w:rPr>
        <w:t xml:space="preserve"> translate the </w:t>
      </w:r>
      <w:r w:rsidR="00DA69E2" w:rsidRPr="00EA127E">
        <w:rPr>
          <w:rFonts w:cs="OpenSans"/>
        </w:rPr>
        <w:t>T</w:t>
      </w:r>
      <w:r w:rsidR="005927E9" w:rsidRPr="00EA127E">
        <w:rPr>
          <w:rFonts w:cs="OpenSans"/>
        </w:rPr>
        <w:t xml:space="preserve">op </w:t>
      </w:r>
      <w:r w:rsidR="00DA69E2" w:rsidRPr="00EA127E">
        <w:rPr>
          <w:rFonts w:cs="OpenSans"/>
        </w:rPr>
        <w:t>10</w:t>
      </w:r>
      <w:r w:rsidR="00D904CA" w:rsidRPr="00EA127E">
        <w:rPr>
          <w:rFonts w:cs="OpenSans"/>
        </w:rPr>
        <w:t xml:space="preserve"> priorities </w:t>
      </w:r>
      <w:r w:rsidR="005927E9" w:rsidRPr="00EA127E">
        <w:rPr>
          <w:rFonts w:cs="OpenSans"/>
        </w:rPr>
        <w:t xml:space="preserve">into more focused research questions </w:t>
      </w:r>
      <w:r w:rsidR="00D904CA" w:rsidRPr="00EA127E">
        <w:rPr>
          <w:rFonts w:cs="OpenSans"/>
        </w:rPr>
        <w:t xml:space="preserve">relevant </w:t>
      </w:r>
      <w:r w:rsidR="005927E9" w:rsidRPr="00EA127E">
        <w:rPr>
          <w:rFonts w:cs="OpenSans"/>
        </w:rPr>
        <w:t>to their</w:t>
      </w:r>
      <w:r w:rsidR="00D904CA" w:rsidRPr="00EA127E">
        <w:rPr>
          <w:rFonts w:cs="OpenSans"/>
        </w:rPr>
        <w:t xml:space="preserve"> </w:t>
      </w:r>
      <w:r w:rsidR="005927E9" w:rsidRPr="00EA127E">
        <w:rPr>
          <w:rFonts w:cs="OpenSans"/>
        </w:rPr>
        <w:t>specialist areas of practice</w:t>
      </w:r>
      <w:r w:rsidR="00F50996" w:rsidRPr="00EA127E">
        <w:rPr>
          <w:rFonts w:cs="OpenSans"/>
        </w:rPr>
        <w:t>. O</w:t>
      </w:r>
      <w:r w:rsidR="00D904CA" w:rsidRPr="00EA127E">
        <w:rPr>
          <w:rFonts w:cs="OpenSans"/>
        </w:rPr>
        <w:t>ther</w:t>
      </w:r>
      <w:r w:rsidR="000317B9" w:rsidRPr="00EA127E">
        <w:rPr>
          <w:rFonts w:cs="OpenSans"/>
        </w:rPr>
        <w:t xml:space="preserve"> question</w:t>
      </w:r>
      <w:r w:rsidR="00D904CA" w:rsidRPr="00EA127E">
        <w:rPr>
          <w:rFonts w:cs="OpenSans"/>
        </w:rPr>
        <w:t xml:space="preserve">s will inform </w:t>
      </w:r>
      <w:r w:rsidR="00F50996" w:rsidRPr="00EA127E">
        <w:rPr>
          <w:rFonts w:cs="OpenSans"/>
        </w:rPr>
        <w:t>member engagement, policy and public affairs,</w:t>
      </w:r>
      <w:r w:rsidR="00D904CA" w:rsidRPr="00EA127E">
        <w:rPr>
          <w:rFonts w:cs="OpenSans"/>
        </w:rPr>
        <w:t xml:space="preserve"> and </w:t>
      </w:r>
      <w:r w:rsidR="00F50996" w:rsidRPr="00EA127E">
        <w:rPr>
          <w:rFonts w:cs="OpenSans"/>
        </w:rPr>
        <w:t>additional</w:t>
      </w:r>
      <w:r w:rsidR="00D904CA" w:rsidRPr="00EA127E">
        <w:rPr>
          <w:rFonts w:cs="OpenSans"/>
        </w:rPr>
        <w:t xml:space="preserve"> influencing work</w:t>
      </w:r>
      <w:r w:rsidR="005927E9" w:rsidRPr="00EA127E">
        <w:rPr>
          <w:rFonts w:cs="OpenSans"/>
        </w:rPr>
        <w:t xml:space="preserve">. </w:t>
      </w:r>
      <w:r w:rsidR="00D904CA" w:rsidRPr="00EA127E">
        <w:rPr>
          <w:rFonts w:cs="OpenSans"/>
        </w:rPr>
        <w:t xml:space="preserve"> </w:t>
      </w:r>
    </w:p>
    <w:p w14:paraId="266BE30E" w14:textId="77777777" w:rsidR="00CE26A4" w:rsidRPr="00EA127E" w:rsidRDefault="00CE26A4" w:rsidP="003403A7">
      <w:pPr>
        <w:rPr>
          <w:u w:val="single"/>
        </w:rPr>
      </w:pPr>
      <w:r w:rsidRPr="00EA127E">
        <w:rPr>
          <w:u w:val="single"/>
        </w:rPr>
        <w:t>Interim prioritisation survey</w:t>
      </w:r>
    </w:p>
    <w:p w14:paraId="13F25E77" w14:textId="77777777" w:rsidR="00F542B8" w:rsidRPr="00EA127E" w:rsidRDefault="00516E33" w:rsidP="00F542B8">
      <w:pPr>
        <w:rPr>
          <w:rFonts w:cs="Arial"/>
        </w:rPr>
      </w:pPr>
      <w:r w:rsidRPr="00EA127E">
        <w:rPr>
          <w:rFonts w:cs="Arial"/>
        </w:rPr>
        <w:t>T</w:t>
      </w:r>
      <w:r w:rsidR="00F542B8" w:rsidRPr="00EA127E">
        <w:rPr>
          <w:rFonts w:cs="Arial"/>
        </w:rPr>
        <w:t xml:space="preserve">here were 1140 valid responses to the </w:t>
      </w:r>
      <w:r w:rsidR="005921F6" w:rsidRPr="00EA127E">
        <w:rPr>
          <w:rFonts w:cs="Arial"/>
        </w:rPr>
        <w:t xml:space="preserve">initial prioritisation </w:t>
      </w:r>
      <w:r w:rsidR="00F542B8" w:rsidRPr="00EA127E">
        <w:rPr>
          <w:rFonts w:cs="Arial"/>
        </w:rPr>
        <w:t xml:space="preserve">survey. Although the survey </w:t>
      </w:r>
      <w:r w:rsidR="00D91330" w:rsidRPr="00EA127E">
        <w:rPr>
          <w:rFonts w:cs="Arial"/>
        </w:rPr>
        <w:t>asked respondents</w:t>
      </w:r>
      <w:r w:rsidR="00F542B8" w:rsidRPr="00EA127E">
        <w:rPr>
          <w:rFonts w:cs="Arial"/>
        </w:rPr>
        <w:t xml:space="preserve"> to ‘</w:t>
      </w:r>
      <w:r w:rsidR="00F542B8" w:rsidRPr="00EA127E">
        <w:rPr>
          <w:rFonts w:cs="Arial"/>
          <w:bCs/>
        </w:rPr>
        <w:t>choose up to 10</w:t>
      </w:r>
      <w:r w:rsidR="00F542B8" w:rsidRPr="00EA127E">
        <w:rPr>
          <w:rFonts w:cs="Arial"/>
        </w:rPr>
        <w:t xml:space="preserve"> questions that you think are most important for researchers to answer’, 332 responses identified between 11 and 20 questions, and 132 respondents identified in excess of 20 questions. </w:t>
      </w:r>
      <w:r w:rsidR="00DA388E" w:rsidRPr="00EA127E">
        <w:rPr>
          <w:rFonts w:cs="Arial"/>
        </w:rPr>
        <w:t xml:space="preserve">To optimise inclusion, only those responses </w:t>
      </w:r>
      <w:r w:rsidR="00F542B8" w:rsidRPr="00EA127E">
        <w:rPr>
          <w:rFonts w:cs="Arial"/>
        </w:rPr>
        <w:t xml:space="preserve">with more than 20 were </w:t>
      </w:r>
      <w:r w:rsidR="00DA388E" w:rsidRPr="00EA127E">
        <w:rPr>
          <w:rFonts w:cs="Arial"/>
        </w:rPr>
        <w:t>excluded</w:t>
      </w:r>
      <w:r w:rsidR="00F542B8" w:rsidRPr="00EA127E">
        <w:rPr>
          <w:rFonts w:cs="Arial"/>
        </w:rPr>
        <w:t>.</w:t>
      </w:r>
      <w:r w:rsidR="00DA388E" w:rsidRPr="00EA127E">
        <w:rPr>
          <w:rFonts w:cs="Arial"/>
        </w:rPr>
        <w:t xml:space="preserve"> The </w:t>
      </w:r>
      <w:r w:rsidR="00F542B8" w:rsidRPr="00EA127E">
        <w:rPr>
          <w:rFonts w:cs="Arial"/>
        </w:rPr>
        <w:t xml:space="preserve">26 responses that </w:t>
      </w:r>
      <w:r w:rsidR="00DA388E" w:rsidRPr="00EA127E">
        <w:rPr>
          <w:rFonts w:cs="Arial"/>
        </w:rPr>
        <w:t xml:space="preserve">were blank or </w:t>
      </w:r>
      <w:r w:rsidR="00F542B8" w:rsidRPr="00EA127E">
        <w:rPr>
          <w:rFonts w:cs="Arial"/>
        </w:rPr>
        <w:t>originated from outside the UK were deemed invalid.</w:t>
      </w:r>
    </w:p>
    <w:p w14:paraId="541EAE8E" w14:textId="77777777" w:rsidR="00304A52" w:rsidRPr="00EA127E" w:rsidRDefault="00F542B8" w:rsidP="00304A52">
      <w:pPr>
        <w:rPr>
          <w:rStyle w:val="Hyperlink"/>
          <w:rFonts w:cs="Arial"/>
          <w:color w:val="auto"/>
          <w:u w:val="none"/>
        </w:rPr>
      </w:pPr>
      <w:r w:rsidRPr="00EA127E">
        <w:rPr>
          <w:rFonts w:cs="Arial"/>
        </w:rPr>
        <w:t xml:space="preserve">The 1140 valid responses </w:t>
      </w:r>
      <w:r w:rsidR="003F723B" w:rsidRPr="00EA127E">
        <w:rPr>
          <w:rFonts w:cs="Arial"/>
        </w:rPr>
        <w:t xml:space="preserve">were received from </w:t>
      </w:r>
      <w:r w:rsidRPr="00EA127E">
        <w:rPr>
          <w:rFonts w:cs="Arial"/>
        </w:rPr>
        <w:t>883 occupational therapists</w:t>
      </w:r>
      <w:r w:rsidR="003F723B" w:rsidRPr="00EA127E">
        <w:rPr>
          <w:rFonts w:cs="Arial"/>
        </w:rPr>
        <w:t xml:space="preserve">, </w:t>
      </w:r>
      <w:r w:rsidRPr="00EA127E">
        <w:rPr>
          <w:rFonts w:cs="Arial"/>
        </w:rPr>
        <w:t>101 occupational therapy students</w:t>
      </w:r>
      <w:r w:rsidR="003F723B" w:rsidRPr="00EA127E">
        <w:rPr>
          <w:rFonts w:cs="Arial"/>
        </w:rPr>
        <w:t>,</w:t>
      </w:r>
      <w:r w:rsidRPr="00EA127E">
        <w:rPr>
          <w:rFonts w:cs="Arial"/>
        </w:rPr>
        <w:t xml:space="preserve"> </w:t>
      </w:r>
      <w:r w:rsidR="003F723B" w:rsidRPr="00EA127E">
        <w:rPr>
          <w:rFonts w:cs="Arial"/>
        </w:rPr>
        <w:t xml:space="preserve">and </w:t>
      </w:r>
      <w:r w:rsidRPr="00EA127E">
        <w:rPr>
          <w:rFonts w:cs="Arial"/>
        </w:rPr>
        <w:t xml:space="preserve">105 people who access occupational therapy services and/or their carers or families. </w:t>
      </w:r>
      <w:r w:rsidR="00057594" w:rsidRPr="00EA127E">
        <w:rPr>
          <w:rFonts w:cs="Arial"/>
        </w:rPr>
        <w:t>The majority of respondents were once again female (90%; 8</w:t>
      </w:r>
      <w:r w:rsidR="00C0238C" w:rsidRPr="00EA127E">
        <w:rPr>
          <w:rFonts w:cs="Arial"/>
        </w:rPr>
        <w:t>% male; 2% self-describe/prefer</w:t>
      </w:r>
      <w:r w:rsidR="00057594" w:rsidRPr="00EA127E">
        <w:rPr>
          <w:rFonts w:cs="Arial"/>
        </w:rPr>
        <w:t xml:space="preserve"> not to </w:t>
      </w:r>
      <w:r w:rsidR="00057594" w:rsidRPr="00EA127E">
        <w:rPr>
          <w:rFonts w:cs="Arial"/>
        </w:rPr>
        <w:lastRenderedPageBreak/>
        <w:t>say/no response), with 49% within the 25-44 years age-band and 44% within the 45-64 years age-band (4% 16-24yrs; 2% 65-79yrs; &lt;1% 80yrs+; &lt;1% prefer not to say/no response).</w:t>
      </w:r>
      <w:r w:rsidR="00304A52" w:rsidRPr="00EA127E">
        <w:rPr>
          <w:rFonts w:cs="Arial"/>
        </w:rPr>
        <w:t xml:space="preserve"> Only 10.53% of respondents </w:t>
      </w:r>
      <w:r w:rsidR="00304A52" w:rsidRPr="00EA127E">
        <w:rPr>
          <w:rStyle w:val="Hyperlink"/>
          <w:rFonts w:cs="Arial"/>
          <w:color w:val="auto"/>
          <w:u w:val="none"/>
        </w:rPr>
        <w:t>identified as having a disability (87.63% no disability; 1.84% no response). The majority of respondents identified as white (91%), 2% identified as Asian/Asian British, 2% as Black/Black British and 1% as being from mixed/multiple ethnicities. A further 1% preferred to self-describe and 3% preferred not to say. Most respondents were based in England (81%), while 8% were from Wales, 8% from Scotland and 2% from Northern Ireland.</w:t>
      </w:r>
    </w:p>
    <w:p w14:paraId="381B67AF" w14:textId="77777777" w:rsidR="00CE26A4" w:rsidRPr="00EA127E" w:rsidRDefault="00304A52" w:rsidP="003403A7">
      <w:pPr>
        <w:rPr>
          <w:u w:val="single"/>
        </w:rPr>
      </w:pPr>
      <w:r w:rsidRPr="00EA127E">
        <w:rPr>
          <w:u w:val="single"/>
        </w:rPr>
        <w:t xml:space="preserve">Interim prioritisation of </w:t>
      </w:r>
      <w:r w:rsidR="009725F0" w:rsidRPr="00EA127E">
        <w:rPr>
          <w:u w:val="single"/>
        </w:rPr>
        <w:t xml:space="preserve">summary </w:t>
      </w:r>
      <w:r w:rsidRPr="00EA127E">
        <w:rPr>
          <w:u w:val="single"/>
        </w:rPr>
        <w:t>questions</w:t>
      </w:r>
    </w:p>
    <w:p w14:paraId="0E658636" w14:textId="0D6DCC2B" w:rsidR="009C757A" w:rsidRPr="00EA127E" w:rsidRDefault="000B603F" w:rsidP="003403A7">
      <w:r w:rsidRPr="00EA127E">
        <w:t xml:space="preserve">Responses </w:t>
      </w:r>
      <w:r w:rsidR="00A3515E" w:rsidRPr="00EA127E">
        <w:t xml:space="preserve">to the interim prioritisation survey </w:t>
      </w:r>
      <w:r w:rsidRPr="00EA127E">
        <w:t xml:space="preserve">from people with lived experience and those from people with professional expertise were analysed separately to </w:t>
      </w:r>
      <w:r w:rsidR="00304A52" w:rsidRPr="00EA127E">
        <w:t>identif</w:t>
      </w:r>
      <w:r w:rsidRPr="00EA127E">
        <w:t xml:space="preserve">y those </w:t>
      </w:r>
      <w:r w:rsidR="00304A52" w:rsidRPr="00EA127E">
        <w:t xml:space="preserve">questions </w:t>
      </w:r>
      <w:r w:rsidRPr="00EA127E">
        <w:t>ranked most highly by each audience. Given the differences between them, t</w:t>
      </w:r>
      <w:r w:rsidR="00304A52" w:rsidRPr="00EA127E">
        <w:t xml:space="preserve">he Steering Group deemed it appropriate </w:t>
      </w:r>
      <w:r w:rsidRPr="00EA127E">
        <w:t xml:space="preserve">that the ten most highly ranked questions from each group </w:t>
      </w:r>
      <w:r w:rsidR="00304A52" w:rsidRPr="00EA127E">
        <w:t>be presented for consideration at the final prioritisation workshop. The two lists overlapped to a limited degree, such that 18 summary questions were shortlisted</w:t>
      </w:r>
      <w:r w:rsidR="000E1CB2" w:rsidRPr="00EA127E">
        <w:t>, as outlined in Table 1 below.</w:t>
      </w:r>
    </w:p>
    <w:tbl>
      <w:tblPr>
        <w:tblW w:w="9070" w:type="dxa"/>
        <w:jc w:val="center"/>
        <w:tblLayout w:type="fixed"/>
        <w:tblCellMar>
          <w:left w:w="0" w:type="dxa"/>
          <w:right w:w="0" w:type="dxa"/>
        </w:tblCellMar>
        <w:tblLook w:val="0000" w:firstRow="0" w:lastRow="0" w:firstColumn="0" w:lastColumn="0" w:noHBand="0" w:noVBand="0"/>
      </w:tblPr>
      <w:tblGrid>
        <w:gridCol w:w="6399"/>
        <w:gridCol w:w="1276"/>
        <w:gridCol w:w="1395"/>
      </w:tblGrid>
      <w:tr w:rsidR="009C757A" w:rsidRPr="00EA127E" w14:paraId="79BF0367" w14:textId="77777777" w:rsidTr="000E1CB2">
        <w:trPr>
          <w:trHeight w:val="855"/>
          <w:jc w:val="center"/>
        </w:trPr>
        <w:tc>
          <w:tcPr>
            <w:tcW w:w="6399" w:type="dxa"/>
            <w:tcBorders>
              <w:top w:val="none" w:sz="6" w:space="0" w:color="auto"/>
              <w:left w:val="none" w:sz="6" w:space="0" w:color="auto"/>
              <w:bottom w:val="none" w:sz="6" w:space="0" w:color="auto"/>
              <w:right w:val="single" w:sz="4" w:space="0" w:color="FFFFFF"/>
            </w:tcBorders>
            <w:shd w:val="clear" w:color="auto" w:fill="904998"/>
          </w:tcPr>
          <w:p w14:paraId="67DA6CBA" w14:textId="77777777" w:rsidR="009C757A" w:rsidRPr="00EA127E" w:rsidRDefault="009C757A" w:rsidP="00B343D8">
            <w:pPr>
              <w:pStyle w:val="TableParagraph"/>
              <w:kinsoku w:val="0"/>
              <w:overflowPunct w:val="0"/>
              <w:spacing w:before="9"/>
              <w:ind w:left="0"/>
              <w:rPr>
                <w:b/>
                <w:bCs/>
                <w:sz w:val="38"/>
                <w:szCs w:val="38"/>
              </w:rPr>
            </w:pPr>
          </w:p>
          <w:p w14:paraId="418A14BB" w14:textId="77777777" w:rsidR="009C757A" w:rsidRPr="00EA127E" w:rsidRDefault="009C757A" w:rsidP="00B343D8">
            <w:pPr>
              <w:pStyle w:val="TableParagraph"/>
              <w:kinsoku w:val="0"/>
              <w:overflowPunct w:val="0"/>
              <w:spacing w:before="1"/>
              <w:ind w:left="125"/>
              <w:rPr>
                <w:b/>
                <w:bCs/>
                <w:color w:val="FFFFFF"/>
                <w:w w:val="105"/>
                <w:sz w:val="19"/>
                <w:szCs w:val="19"/>
              </w:rPr>
            </w:pPr>
            <w:r w:rsidRPr="00EA127E">
              <w:rPr>
                <w:b/>
                <w:bCs/>
                <w:color w:val="FFFFFF"/>
                <w:w w:val="105"/>
                <w:sz w:val="19"/>
                <w:szCs w:val="19"/>
              </w:rPr>
              <w:t>Question</w:t>
            </w:r>
          </w:p>
        </w:tc>
        <w:tc>
          <w:tcPr>
            <w:tcW w:w="1276" w:type="dxa"/>
            <w:tcBorders>
              <w:top w:val="none" w:sz="6" w:space="0" w:color="auto"/>
              <w:left w:val="single" w:sz="4" w:space="0" w:color="FFFFFF"/>
              <w:bottom w:val="none" w:sz="6" w:space="0" w:color="auto"/>
              <w:right w:val="single" w:sz="4" w:space="0" w:color="FFFFFF"/>
            </w:tcBorders>
            <w:shd w:val="clear" w:color="auto" w:fill="904998"/>
          </w:tcPr>
          <w:p w14:paraId="694A18C2" w14:textId="77777777" w:rsidR="009C757A" w:rsidRPr="00EA127E" w:rsidRDefault="009C757A" w:rsidP="000E1CB2">
            <w:pPr>
              <w:pStyle w:val="TableParagraph"/>
              <w:kinsoku w:val="0"/>
              <w:overflowPunct w:val="0"/>
              <w:spacing w:before="90" w:line="213" w:lineRule="auto"/>
              <w:rPr>
                <w:b/>
                <w:bCs/>
                <w:color w:val="FFFFFF"/>
                <w:w w:val="110"/>
                <w:sz w:val="19"/>
                <w:szCs w:val="19"/>
              </w:rPr>
            </w:pPr>
            <w:r w:rsidRPr="00EA127E">
              <w:rPr>
                <w:b/>
                <w:bCs/>
                <w:color w:val="FFFFFF"/>
                <w:w w:val="110"/>
                <w:sz w:val="19"/>
                <w:szCs w:val="19"/>
              </w:rPr>
              <w:t xml:space="preserve">Lived </w:t>
            </w:r>
            <w:r w:rsidRPr="00EA127E">
              <w:rPr>
                <w:b/>
                <w:bCs/>
                <w:color w:val="FFFFFF"/>
                <w:w w:val="105"/>
                <w:sz w:val="19"/>
                <w:szCs w:val="19"/>
              </w:rPr>
              <w:t xml:space="preserve">experience </w:t>
            </w:r>
            <w:r w:rsidRPr="00EA127E">
              <w:rPr>
                <w:b/>
                <w:bCs/>
                <w:color w:val="FFFFFF"/>
                <w:w w:val="110"/>
                <w:sz w:val="19"/>
                <w:szCs w:val="19"/>
              </w:rPr>
              <w:t>rank</w:t>
            </w:r>
          </w:p>
        </w:tc>
        <w:tc>
          <w:tcPr>
            <w:tcW w:w="1395" w:type="dxa"/>
            <w:tcBorders>
              <w:top w:val="none" w:sz="6" w:space="0" w:color="auto"/>
              <w:left w:val="single" w:sz="4" w:space="0" w:color="FFFFFF"/>
              <w:bottom w:val="none" w:sz="6" w:space="0" w:color="auto"/>
              <w:right w:val="none" w:sz="6" w:space="0" w:color="auto"/>
            </w:tcBorders>
            <w:shd w:val="clear" w:color="auto" w:fill="904998"/>
          </w:tcPr>
          <w:p w14:paraId="5AA4A79C" w14:textId="77777777" w:rsidR="009C757A" w:rsidRPr="00EA127E" w:rsidRDefault="009C757A" w:rsidP="00B343D8">
            <w:pPr>
              <w:pStyle w:val="TableParagraph"/>
              <w:kinsoku w:val="0"/>
              <w:overflowPunct w:val="0"/>
              <w:spacing w:before="90" w:line="213" w:lineRule="auto"/>
              <w:rPr>
                <w:b/>
                <w:bCs/>
                <w:color w:val="FFFFFF"/>
                <w:w w:val="110"/>
                <w:sz w:val="19"/>
                <w:szCs w:val="19"/>
              </w:rPr>
            </w:pPr>
            <w:r w:rsidRPr="00EA127E">
              <w:rPr>
                <w:b/>
                <w:bCs/>
                <w:color w:val="FFFFFF"/>
                <w:w w:val="105"/>
                <w:sz w:val="19"/>
                <w:szCs w:val="19"/>
              </w:rPr>
              <w:t xml:space="preserve">Professional </w:t>
            </w:r>
            <w:r w:rsidRPr="00EA127E">
              <w:rPr>
                <w:b/>
                <w:bCs/>
                <w:color w:val="FFFFFF"/>
                <w:w w:val="110"/>
                <w:sz w:val="19"/>
                <w:szCs w:val="19"/>
              </w:rPr>
              <w:t>expertise rank</w:t>
            </w:r>
          </w:p>
        </w:tc>
      </w:tr>
      <w:tr w:rsidR="009C757A" w:rsidRPr="00EA127E" w14:paraId="505B79C4" w14:textId="77777777" w:rsidTr="000E1CB2">
        <w:trPr>
          <w:trHeight w:val="700"/>
          <w:jc w:val="center"/>
        </w:trPr>
        <w:tc>
          <w:tcPr>
            <w:tcW w:w="6399" w:type="dxa"/>
            <w:tcBorders>
              <w:top w:val="none" w:sz="6" w:space="0" w:color="auto"/>
              <w:left w:val="single" w:sz="4" w:space="0" w:color="904998"/>
              <w:bottom w:val="single" w:sz="4" w:space="0" w:color="904998"/>
              <w:right w:val="single" w:sz="4" w:space="0" w:color="904998"/>
            </w:tcBorders>
          </w:tcPr>
          <w:p w14:paraId="2FF290A9" w14:textId="77777777" w:rsidR="009C757A" w:rsidRPr="00EA127E" w:rsidRDefault="009C757A" w:rsidP="00B343D8">
            <w:pPr>
              <w:pStyle w:val="TableParagraph"/>
              <w:kinsoku w:val="0"/>
              <w:overflowPunct w:val="0"/>
              <w:spacing w:before="80" w:line="213" w:lineRule="auto"/>
              <w:ind w:right="244"/>
              <w:rPr>
                <w:sz w:val="19"/>
                <w:szCs w:val="19"/>
              </w:rPr>
            </w:pPr>
            <w:r w:rsidRPr="00EA127E">
              <w:rPr>
                <w:sz w:val="19"/>
                <w:szCs w:val="19"/>
              </w:rPr>
              <w:t>How can occupational therapists work effectively with digital technology to enhance their interventions and lives of people who access services? (e.g. using smart devices to manage health and illness)</w:t>
            </w:r>
          </w:p>
        </w:tc>
        <w:tc>
          <w:tcPr>
            <w:tcW w:w="1276" w:type="dxa"/>
            <w:tcBorders>
              <w:top w:val="none" w:sz="6" w:space="0" w:color="auto"/>
              <w:left w:val="single" w:sz="4" w:space="0" w:color="904998"/>
              <w:bottom w:val="single" w:sz="4" w:space="0" w:color="904998"/>
              <w:right w:val="single" w:sz="4" w:space="0" w:color="904998"/>
            </w:tcBorders>
          </w:tcPr>
          <w:p w14:paraId="07A4822F"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11</w:t>
            </w:r>
          </w:p>
        </w:tc>
        <w:tc>
          <w:tcPr>
            <w:tcW w:w="1395" w:type="dxa"/>
            <w:tcBorders>
              <w:top w:val="none" w:sz="6" w:space="0" w:color="auto"/>
              <w:left w:val="single" w:sz="4" w:space="0" w:color="904998"/>
              <w:bottom w:val="single" w:sz="4" w:space="0" w:color="904998"/>
              <w:right w:val="single" w:sz="4" w:space="0" w:color="904998"/>
            </w:tcBorders>
          </w:tcPr>
          <w:p w14:paraId="4D22EFEF" w14:textId="77777777" w:rsidR="009C757A" w:rsidRPr="00EA127E" w:rsidRDefault="009C757A" w:rsidP="000E1CB2">
            <w:pPr>
              <w:pStyle w:val="TableParagraph"/>
              <w:kinsoku w:val="0"/>
              <w:overflowPunct w:val="0"/>
              <w:ind w:left="226"/>
              <w:jc w:val="center"/>
              <w:rPr>
                <w:sz w:val="19"/>
                <w:szCs w:val="19"/>
              </w:rPr>
            </w:pPr>
            <w:r w:rsidRPr="00EA127E">
              <w:rPr>
                <w:sz w:val="19"/>
                <w:szCs w:val="19"/>
              </w:rPr>
              <w:t>4</w:t>
            </w:r>
          </w:p>
        </w:tc>
      </w:tr>
      <w:tr w:rsidR="009C757A" w:rsidRPr="00EA127E" w14:paraId="2C298D4D" w14:textId="77777777" w:rsidTr="000E1CB2">
        <w:trPr>
          <w:trHeight w:val="415"/>
          <w:jc w:val="center"/>
        </w:trPr>
        <w:tc>
          <w:tcPr>
            <w:tcW w:w="6399" w:type="dxa"/>
            <w:tcBorders>
              <w:top w:val="single" w:sz="4" w:space="0" w:color="904998"/>
              <w:left w:val="single" w:sz="4" w:space="0" w:color="904998"/>
              <w:bottom w:val="single" w:sz="4" w:space="0" w:color="904998"/>
              <w:right w:val="single" w:sz="4" w:space="0" w:color="904998"/>
            </w:tcBorders>
          </w:tcPr>
          <w:p w14:paraId="605B3B27" w14:textId="77777777" w:rsidR="009C757A" w:rsidRPr="00EA127E" w:rsidRDefault="009C757A" w:rsidP="00B343D8">
            <w:pPr>
              <w:pStyle w:val="TableParagraph"/>
              <w:kinsoku w:val="0"/>
              <w:overflowPunct w:val="0"/>
              <w:spacing w:before="80" w:line="213" w:lineRule="auto"/>
              <w:ind w:right="476"/>
              <w:rPr>
                <w:sz w:val="19"/>
                <w:szCs w:val="19"/>
              </w:rPr>
            </w:pPr>
            <w:r w:rsidRPr="00EA127E">
              <w:rPr>
                <w:sz w:val="19"/>
                <w:szCs w:val="19"/>
              </w:rPr>
              <w:t>How can occupational therapists work more effectively with the family and carers of people who access services?</w:t>
            </w:r>
          </w:p>
        </w:tc>
        <w:tc>
          <w:tcPr>
            <w:tcW w:w="1276" w:type="dxa"/>
            <w:tcBorders>
              <w:top w:val="single" w:sz="4" w:space="0" w:color="904998"/>
              <w:left w:val="single" w:sz="4" w:space="0" w:color="904998"/>
              <w:bottom w:val="single" w:sz="4" w:space="0" w:color="904998"/>
              <w:right w:val="single" w:sz="4" w:space="0" w:color="904998"/>
            </w:tcBorders>
          </w:tcPr>
          <w:p w14:paraId="26F9370A"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2</w:t>
            </w:r>
          </w:p>
        </w:tc>
        <w:tc>
          <w:tcPr>
            <w:tcW w:w="1395" w:type="dxa"/>
            <w:tcBorders>
              <w:top w:val="single" w:sz="4" w:space="0" w:color="904998"/>
              <w:left w:val="single" w:sz="4" w:space="0" w:color="904998"/>
              <w:bottom w:val="single" w:sz="4" w:space="0" w:color="904998"/>
              <w:right w:val="single" w:sz="4" w:space="0" w:color="904998"/>
            </w:tcBorders>
          </w:tcPr>
          <w:p w14:paraId="41C13560" w14:textId="77777777" w:rsidR="009C757A" w:rsidRPr="00EA127E" w:rsidRDefault="009C757A" w:rsidP="000E1CB2">
            <w:pPr>
              <w:pStyle w:val="TableParagraph"/>
              <w:kinsoku w:val="0"/>
              <w:overflowPunct w:val="0"/>
              <w:jc w:val="center"/>
              <w:rPr>
                <w:sz w:val="19"/>
                <w:szCs w:val="19"/>
              </w:rPr>
            </w:pPr>
            <w:r w:rsidRPr="00EA127E">
              <w:rPr>
                <w:sz w:val="19"/>
                <w:szCs w:val="19"/>
              </w:rPr>
              <w:t>41</w:t>
            </w:r>
          </w:p>
        </w:tc>
      </w:tr>
      <w:tr w:rsidR="009C757A" w:rsidRPr="00EA127E" w14:paraId="7CD78ED9" w14:textId="77777777" w:rsidTr="000E1CB2">
        <w:trPr>
          <w:trHeight w:val="706"/>
          <w:jc w:val="center"/>
        </w:trPr>
        <w:tc>
          <w:tcPr>
            <w:tcW w:w="6399" w:type="dxa"/>
            <w:tcBorders>
              <w:top w:val="single" w:sz="4" w:space="0" w:color="904998"/>
              <w:left w:val="single" w:sz="4" w:space="0" w:color="904998"/>
              <w:bottom w:val="single" w:sz="4" w:space="0" w:color="904998"/>
              <w:right w:val="single" w:sz="4" w:space="0" w:color="904998"/>
            </w:tcBorders>
          </w:tcPr>
          <w:p w14:paraId="511E8C40" w14:textId="77777777" w:rsidR="009C757A" w:rsidRPr="00EA127E" w:rsidRDefault="009C757A" w:rsidP="00B343D8">
            <w:pPr>
              <w:pStyle w:val="TableParagraph"/>
              <w:kinsoku w:val="0"/>
              <w:overflowPunct w:val="0"/>
              <w:spacing w:before="80" w:line="213" w:lineRule="auto"/>
              <w:ind w:right="105"/>
              <w:rPr>
                <w:sz w:val="19"/>
                <w:szCs w:val="19"/>
              </w:rPr>
            </w:pPr>
            <w:r w:rsidRPr="00EA127E">
              <w:rPr>
                <w:sz w:val="19"/>
                <w:szCs w:val="19"/>
              </w:rPr>
              <w:t>How can occupational therapists work most effectively with other professionals to improve outcomes for people who access services? (e.g. multi-disciplinary teams, commissioners, community agencies)</w:t>
            </w:r>
          </w:p>
        </w:tc>
        <w:tc>
          <w:tcPr>
            <w:tcW w:w="1276" w:type="dxa"/>
            <w:tcBorders>
              <w:top w:val="single" w:sz="4" w:space="0" w:color="904998"/>
              <w:left w:val="single" w:sz="4" w:space="0" w:color="904998"/>
              <w:bottom w:val="single" w:sz="4" w:space="0" w:color="904998"/>
              <w:right w:val="single" w:sz="4" w:space="0" w:color="904998"/>
            </w:tcBorders>
          </w:tcPr>
          <w:p w14:paraId="1BF765D1"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4</w:t>
            </w:r>
          </w:p>
        </w:tc>
        <w:tc>
          <w:tcPr>
            <w:tcW w:w="1395" w:type="dxa"/>
            <w:tcBorders>
              <w:top w:val="single" w:sz="4" w:space="0" w:color="904998"/>
              <w:left w:val="single" w:sz="4" w:space="0" w:color="904998"/>
              <w:bottom w:val="single" w:sz="4" w:space="0" w:color="904998"/>
              <w:right w:val="single" w:sz="4" w:space="0" w:color="904998"/>
            </w:tcBorders>
          </w:tcPr>
          <w:p w14:paraId="7D09D259" w14:textId="77777777" w:rsidR="009C757A" w:rsidRPr="00EA127E" w:rsidRDefault="009C757A" w:rsidP="000E1CB2">
            <w:pPr>
              <w:pStyle w:val="TableParagraph"/>
              <w:kinsoku w:val="0"/>
              <w:overflowPunct w:val="0"/>
              <w:jc w:val="center"/>
              <w:rPr>
                <w:sz w:val="19"/>
                <w:szCs w:val="19"/>
              </w:rPr>
            </w:pPr>
            <w:r w:rsidRPr="00EA127E">
              <w:rPr>
                <w:sz w:val="19"/>
                <w:szCs w:val="19"/>
              </w:rPr>
              <w:t>22</w:t>
            </w:r>
          </w:p>
        </w:tc>
      </w:tr>
      <w:tr w:rsidR="009C757A" w:rsidRPr="00EA127E" w14:paraId="50E48C6D" w14:textId="77777777" w:rsidTr="000E1CB2">
        <w:trPr>
          <w:trHeight w:val="503"/>
          <w:jc w:val="center"/>
        </w:trPr>
        <w:tc>
          <w:tcPr>
            <w:tcW w:w="6399" w:type="dxa"/>
            <w:tcBorders>
              <w:top w:val="single" w:sz="4" w:space="0" w:color="904998"/>
              <w:left w:val="single" w:sz="4" w:space="0" w:color="904998"/>
              <w:bottom w:val="single" w:sz="4" w:space="0" w:color="904998"/>
              <w:right w:val="single" w:sz="4" w:space="0" w:color="904998"/>
            </w:tcBorders>
          </w:tcPr>
          <w:p w14:paraId="74901809" w14:textId="77777777" w:rsidR="009C757A" w:rsidRPr="00EA127E" w:rsidRDefault="009C757A" w:rsidP="00B343D8">
            <w:pPr>
              <w:pStyle w:val="TableParagraph"/>
              <w:kinsoku w:val="0"/>
              <w:overflowPunct w:val="0"/>
              <w:spacing w:before="80" w:line="213" w:lineRule="auto"/>
              <w:ind w:right="166"/>
              <w:rPr>
                <w:sz w:val="19"/>
                <w:szCs w:val="19"/>
              </w:rPr>
            </w:pPr>
            <w:r w:rsidRPr="00EA127E">
              <w:rPr>
                <w:sz w:val="19"/>
                <w:szCs w:val="19"/>
              </w:rPr>
              <w:t>How can occupational therapy ensure that person-centred practice is central to how they work?</w:t>
            </w:r>
          </w:p>
        </w:tc>
        <w:tc>
          <w:tcPr>
            <w:tcW w:w="1276" w:type="dxa"/>
            <w:tcBorders>
              <w:top w:val="single" w:sz="4" w:space="0" w:color="904998"/>
              <w:left w:val="single" w:sz="4" w:space="0" w:color="904998"/>
              <w:bottom w:val="single" w:sz="4" w:space="0" w:color="904998"/>
              <w:right w:val="single" w:sz="4" w:space="0" w:color="904998"/>
            </w:tcBorders>
          </w:tcPr>
          <w:p w14:paraId="56F6FF30"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3</w:t>
            </w:r>
          </w:p>
        </w:tc>
        <w:tc>
          <w:tcPr>
            <w:tcW w:w="1395" w:type="dxa"/>
            <w:tcBorders>
              <w:top w:val="single" w:sz="4" w:space="0" w:color="904998"/>
              <w:left w:val="single" w:sz="4" w:space="0" w:color="904998"/>
              <w:bottom w:val="single" w:sz="4" w:space="0" w:color="904998"/>
              <w:right w:val="single" w:sz="4" w:space="0" w:color="904998"/>
            </w:tcBorders>
          </w:tcPr>
          <w:p w14:paraId="5CA8C042" w14:textId="77777777" w:rsidR="009C757A" w:rsidRPr="00EA127E" w:rsidRDefault="009C757A" w:rsidP="000E1CB2">
            <w:pPr>
              <w:pStyle w:val="TableParagraph"/>
              <w:kinsoku w:val="0"/>
              <w:overflowPunct w:val="0"/>
              <w:jc w:val="center"/>
              <w:rPr>
                <w:sz w:val="19"/>
                <w:szCs w:val="19"/>
              </w:rPr>
            </w:pPr>
            <w:r w:rsidRPr="00EA127E">
              <w:rPr>
                <w:sz w:val="19"/>
                <w:szCs w:val="19"/>
              </w:rPr>
              <w:t>57</w:t>
            </w:r>
          </w:p>
        </w:tc>
      </w:tr>
      <w:tr w:rsidR="009C757A" w:rsidRPr="00EA127E" w14:paraId="60A22A5B" w14:textId="77777777" w:rsidTr="000E1CB2">
        <w:trPr>
          <w:trHeight w:val="411"/>
          <w:jc w:val="center"/>
        </w:trPr>
        <w:tc>
          <w:tcPr>
            <w:tcW w:w="6399" w:type="dxa"/>
            <w:tcBorders>
              <w:top w:val="single" w:sz="4" w:space="0" w:color="904998"/>
              <w:left w:val="single" w:sz="4" w:space="0" w:color="904998"/>
              <w:bottom w:val="single" w:sz="4" w:space="0" w:color="904998"/>
              <w:right w:val="single" w:sz="4" w:space="0" w:color="904998"/>
            </w:tcBorders>
          </w:tcPr>
          <w:p w14:paraId="6AEC1360" w14:textId="77777777" w:rsidR="009C757A" w:rsidRPr="00EA127E" w:rsidRDefault="009C757A" w:rsidP="00B343D8">
            <w:pPr>
              <w:pStyle w:val="TableParagraph"/>
              <w:kinsoku w:val="0"/>
              <w:overflowPunct w:val="0"/>
              <w:spacing w:before="80" w:line="213" w:lineRule="auto"/>
              <w:ind w:right="347"/>
              <w:rPr>
                <w:sz w:val="19"/>
                <w:szCs w:val="19"/>
              </w:rPr>
            </w:pPr>
            <w:r w:rsidRPr="00EA127E">
              <w:rPr>
                <w:sz w:val="19"/>
                <w:szCs w:val="19"/>
              </w:rPr>
              <w:t>How can occupational therapy services be more inclusive of both mental and physical health?</w:t>
            </w:r>
          </w:p>
        </w:tc>
        <w:tc>
          <w:tcPr>
            <w:tcW w:w="1276" w:type="dxa"/>
            <w:tcBorders>
              <w:top w:val="single" w:sz="4" w:space="0" w:color="904998"/>
              <w:left w:val="single" w:sz="4" w:space="0" w:color="904998"/>
              <w:bottom w:val="single" w:sz="4" w:space="0" w:color="904998"/>
              <w:right w:val="single" w:sz="4" w:space="0" w:color="904998"/>
            </w:tcBorders>
          </w:tcPr>
          <w:p w14:paraId="7DB04BA6"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6</w:t>
            </w:r>
          </w:p>
        </w:tc>
        <w:tc>
          <w:tcPr>
            <w:tcW w:w="1395" w:type="dxa"/>
            <w:tcBorders>
              <w:top w:val="single" w:sz="4" w:space="0" w:color="904998"/>
              <w:left w:val="single" w:sz="4" w:space="0" w:color="904998"/>
              <w:bottom w:val="single" w:sz="4" w:space="0" w:color="904998"/>
              <w:right w:val="single" w:sz="4" w:space="0" w:color="904998"/>
            </w:tcBorders>
          </w:tcPr>
          <w:p w14:paraId="6F531038" w14:textId="77777777" w:rsidR="009C757A" w:rsidRPr="00EA127E" w:rsidRDefault="009C757A" w:rsidP="000E1CB2">
            <w:pPr>
              <w:pStyle w:val="TableParagraph"/>
              <w:kinsoku w:val="0"/>
              <w:overflowPunct w:val="0"/>
              <w:jc w:val="center"/>
              <w:rPr>
                <w:sz w:val="19"/>
                <w:szCs w:val="19"/>
              </w:rPr>
            </w:pPr>
            <w:r w:rsidRPr="00EA127E">
              <w:rPr>
                <w:sz w:val="19"/>
                <w:szCs w:val="19"/>
              </w:rPr>
              <w:t>28</w:t>
            </w:r>
          </w:p>
        </w:tc>
      </w:tr>
      <w:tr w:rsidR="009C757A" w:rsidRPr="00EA127E" w14:paraId="3D3F6F04" w14:textId="77777777" w:rsidTr="000E1CB2">
        <w:trPr>
          <w:trHeight w:val="659"/>
          <w:jc w:val="center"/>
        </w:trPr>
        <w:tc>
          <w:tcPr>
            <w:tcW w:w="6399" w:type="dxa"/>
            <w:tcBorders>
              <w:top w:val="single" w:sz="4" w:space="0" w:color="904998"/>
              <w:left w:val="single" w:sz="4" w:space="0" w:color="904998"/>
              <w:bottom w:val="single" w:sz="4" w:space="0" w:color="904998"/>
              <w:right w:val="single" w:sz="4" w:space="0" w:color="904998"/>
            </w:tcBorders>
          </w:tcPr>
          <w:p w14:paraId="483FC232" w14:textId="77777777" w:rsidR="009C757A" w:rsidRPr="00EA127E" w:rsidRDefault="009C757A" w:rsidP="00B343D8">
            <w:pPr>
              <w:pStyle w:val="TableParagraph"/>
              <w:kinsoku w:val="0"/>
              <w:overflowPunct w:val="0"/>
              <w:spacing w:before="80" w:line="213" w:lineRule="auto"/>
              <w:ind w:right="98"/>
              <w:rPr>
                <w:sz w:val="19"/>
                <w:szCs w:val="19"/>
              </w:rPr>
            </w:pPr>
            <w:r w:rsidRPr="00EA127E">
              <w:rPr>
                <w:sz w:val="19"/>
                <w:szCs w:val="19"/>
              </w:rPr>
              <w:t>How does assistive technology, compensatory equipment and housing adaptations provided through occupational therapy impact on the lives of people who access services?</w:t>
            </w:r>
          </w:p>
        </w:tc>
        <w:tc>
          <w:tcPr>
            <w:tcW w:w="1276" w:type="dxa"/>
            <w:tcBorders>
              <w:top w:val="single" w:sz="4" w:space="0" w:color="904998"/>
              <w:left w:val="single" w:sz="4" w:space="0" w:color="904998"/>
              <w:bottom w:val="single" w:sz="4" w:space="0" w:color="904998"/>
              <w:right w:val="single" w:sz="4" w:space="0" w:color="904998"/>
            </w:tcBorders>
          </w:tcPr>
          <w:p w14:paraId="5109C989"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9</w:t>
            </w:r>
          </w:p>
        </w:tc>
        <w:tc>
          <w:tcPr>
            <w:tcW w:w="1395" w:type="dxa"/>
            <w:tcBorders>
              <w:top w:val="single" w:sz="4" w:space="0" w:color="904998"/>
              <w:left w:val="single" w:sz="4" w:space="0" w:color="904998"/>
              <w:bottom w:val="single" w:sz="4" w:space="0" w:color="904998"/>
              <w:right w:val="single" w:sz="4" w:space="0" w:color="904998"/>
            </w:tcBorders>
          </w:tcPr>
          <w:p w14:paraId="7F8570A5" w14:textId="77777777" w:rsidR="009C757A" w:rsidRPr="00EA127E" w:rsidRDefault="009C757A" w:rsidP="000E1CB2">
            <w:pPr>
              <w:pStyle w:val="TableParagraph"/>
              <w:kinsoku w:val="0"/>
              <w:overflowPunct w:val="0"/>
              <w:jc w:val="center"/>
              <w:rPr>
                <w:sz w:val="19"/>
                <w:szCs w:val="19"/>
              </w:rPr>
            </w:pPr>
            <w:r w:rsidRPr="00EA127E">
              <w:rPr>
                <w:sz w:val="19"/>
                <w:szCs w:val="19"/>
              </w:rPr>
              <w:t>32</w:t>
            </w:r>
          </w:p>
        </w:tc>
      </w:tr>
      <w:tr w:rsidR="009C757A" w:rsidRPr="00EA127E" w14:paraId="22C588E4" w14:textId="77777777" w:rsidTr="000E1CB2">
        <w:trPr>
          <w:trHeight w:val="385"/>
          <w:jc w:val="center"/>
        </w:trPr>
        <w:tc>
          <w:tcPr>
            <w:tcW w:w="6399" w:type="dxa"/>
            <w:tcBorders>
              <w:top w:val="single" w:sz="4" w:space="0" w:color="904998"/>
              <w:left w:val="single" w:sz="4" w:space="0" w:color="904998"/>
              <w:bottom w:val="single" w:sz="4" w:space="0" w:color="904998"/>
              <w:right w:val="single" w:sz="4" w:space="0" w:color="904998"/>
            </w:tcBorders>
          </w:tcPr>
          <w:p w14:paraId="4592B6B5" w14:textId="77777777" w:rsidR="009C757A" w:rsidRPr="00EA127E" w:rsidRDefault="009C757A" w:rsidP="00B343D8">
            <w:pPr>
              <w:pStyle w:val="TableParagraph"/>
              <w:kinsoku w:val="0"/>
              <w:overflowPunct w:val="0"/>
              <w:spacing w:before="80" w:line="213" w:lineRule="auto"/>
              <w:ind w:right="131"/>
              <w:rPr>
                <w:sz w:val="19"/>
                <w:szCs w:val="19"/>
              </w:rPr>
            </w:pPr>
            <w:r w:rsidRPr="00EA127E">
              <w:rPr>
                <w:sz w:val="19"/>
                <w:szCs w:val="19"/>
              </w:rPr>
              <w:t>How does occupational therapy make a difference and have impact on everyday lives?</w:t>
            </w:r>
          </w:p>
        </w:tc>
        <w:tc>
          <w:tcPr>
            <w:tcW w:w="1276" w:type="dxa"/>
            <w:tcBorders>
              <w:top w:val="single" w:sz="4" w:space="0" w:color="904998"/>
              <w:left w:val="single" w:sz="4" w:space="0" w:color="904998"/>
              <w:bottom w:val="single" w:sz="4" w:space="0" w:color="904998"/>
              <w:right w:val="single" w:sz="4" w:space="0" w:color="904998"/>
            </w:tcBorders>
          </w:tcPr>
          <w:p w14:paraId="287817D2"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1</w:t>
            </w:r>
          </w:p>
        </w:tc>
        <w:tc>
          <w:tcPr>
            <w:tcW w:w="1395" w:type="dxa"/>
            <w:tcBorders>
              <w:top w:val="single" w:sz="4" w:space="0" w:color="904998"/>
              <w:left w:val="single" w:sz="4" w:space="0" w:color="904998"/>
              <w:bottom w:val="single" w:sz="4" w:space="0" w:color="904998"/>
              <w:right w:val="single" w:sz="4" w:space="0" w:color="904998"/>
            </w:tcBorders>
          </w:tcPr>
          <w:p w14:paraId="22369381" w14:textId="77777777" w:rsidR="009C757A" w:rsidRPr="00EA127E" w:rsidRDefault="009C757A" w:rsidP="000E1CB2">
            <w:pPr>
              <w:pStyle w:val="TableParagraph"/>
              <w:kinsoku w:val="0"/>
              <w:overflowPunct w:val="0"/>
              <w:ind w:left="226"/>
              <w:jc w:val="center"/>
              <w:rPr>
                <w:sz w:val="19"/>
                <w:szCs w:val="19"/>
              </w:rPr>
            </w:pPr>
            <w:r w:rsidRPr="00EA127E">
              <w:rPr>
                <w:sz w:val="19"/>
                <w:szCs w:val="19"/>
              </w:rPr>
              <w:t>3</w:t>
            </w:r>
          </w:p>
        </w:tc>
      </w:tr>
      <w:tr w:rsidR="009C757A" w:rsidRPr="00EA127E" w14:paraId="05EF168E" w14:textId="77777777" w:rsidTr="000E1CB2">
        <w:trPr>
          <w:trHeight w:val="491"/>
          <w:jc w:val="center"/>
        </w:trPr>
        <w:tc>
          <w:tcPr>
            <w:tcW w:w="6399" w:type="dxa"/>
            <w:tcBorders>
              <w:top w:val="single" w:sz="4" w:space="0" w:color="904998"/>
              <w:left w:val="single" w:sz="4" w:space="0" w:color="904998"/>
              <w:bottom w:val="single" w:sz="4" w:space="0" w:color="904998"/>
              <w:right w:val="single" w:sz="4" w:space="0" w:color="904998"/>
            </w:tcBorders>
          </w:tcPr>
          <w:p w14:paraId="0F21622E" w14:textId="77777777" w:rsidR="009C757A" w:rsidRPr="00EA127E" w:rsidRDefault="009C757A" w:rsidP="00B343D8">
            <w:pPr>
              <w:pStyle w:val="TableParagraph"/>
              <w:kinsoku w:val="0"/>
              <w:overflowPunct w:val="0"/>
              <w:spacing w:before="80" w:line="213" w:lineRule="auto"/>
              <w:ind w:right="626"/>
              <w:rPr>
                <w:sz w:val="19"/>
                <w:szCs w:val="19"/>
              </w:rPr>
            </w:pPr>
            <w:r w:rsidRPr="00EA127E">
              <w:rPr>
                <w:sz w:val="19"/>
                <w:szCs w:val="19"/>
              </w:rPr>
              <w:t>How does the amount of occupational therapy received affect outcomes for people who access services?</w:t>
            </w:r>
          </w:p>
        </w:tc>
        <w:tc>
          <w:tcPr>
            <w:tcW w:w="1276" w:type="dxa"/>
            <w:tcBorders>
              <w:top w:val="single" w:sz="4" w:space="0" w:color="904998"/>
              <w:left w:val="single" w:sz="4" w:space="0" w:color="904998"/>
              <w:bottom w:val="single" w:sz="4" w:space="0" w:color="904998"/>
              <w:right w:val="single" w:sz="4" w:space="0" w:color="904998"/>
            </w:tcBorders>
          </w:tcPr>
          <w:p w14:paraId="0EC03FE7"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8</w:t>
            </w:r>
          </w:p>
        </w:tc>
        <w:tc>
          <w:tcPr>
            <w:tcW w:w="1395" w:type="dxa"/>
            <w:tcBorders>
              <w:top w:val="single" w:sz="4" w:space="0" w:color="904998"/>
              <w:left w:val="single" w:sz="4" w:space="0" w:color="904998"/>
              <w:bottom w:val="single" w:sz="4" w:space="0" w:color="904998"/>
              <w:right w:val="single" w:sz="4" w:space="0" w:color="904998"/>
            </w:tcBorders>
          </w:tcPr>
          <w:p w14:paraId="00603572" w14:textId="77777777" w:rsidR="009C757A" w:rsidRPr="00EA127E" w:rsidRDefault="009C757A" w:rsidP="000E1CB2">
            <w:pPr>
              <w:pStyle w:val="TableParagraph"/>
              <w:kinsoku w:val="0"/>
              <w:overflowPunct w:val="0"/>
              <w:jc w:val="center"/>
              <w:rPr>
                <w:sz w:val="19"/>
                <w:szCs w:val="19"/>
              </w:rPr>
            </w:pPr>
            <w:r w:rsidRPr="00EA127E">
              <w:rPr>
                <w:sz w:val="19"/>
                <w:szCs w:val="19"/>
              </w:rPr>
              <w:t>12</w:t>
            </w:r>
          </w:p>
        </w:tc>
      </w:tr>
      <w:tr w:rsidR="009C757A" w:rsidRPr="00EA127E" w14:paraId="3447C44C" w14:textId="77777777" w:rsidTr="000E1CB2">
        <w:trPr>
          <w:trHeight w:val="684"/>
          <w:jc w:val="center"/>
        </w:trPr>
        <w:tc>
          <w:tcPr>
            <w:tcW w:w="6399" w:type="dxa"/>
            <w:tcBorders>
              <w:top w:val="single" w:sz="4" w:space="0" w:color="904998"/>
              <w:left w:val="single" w:sz="4" w:space="0" w:color="904998"/>
              <w:bottom w:val="single" w:sz="4" w:space="0" w:color="904998"/>
              <w:right w:val="single" w:sz="4" w:space="0" w:color="904998"/>
            </w:tcBorders>
          </w:tcPr>
          <w:p w14:paraId="40410BA5" w14:textId="77777777" w:rsidR="009C757A" w:rsidRPr="00EA127E" w:rsidRDefault="009C757A" w:rsidP="00B343D8">
            <w:pPr>
              <w:pStyle w:val="TableParagraph"/>
              <w:kinsoku w:val="0"/>
              <w:overflowPunct w:val="0"/>
              <w:spacing w:before="80" w:line="213" w:lineRule="auto"/>
              <w:ind w:right="172"/>
              <w:rPr>
                <w:sz w:val="19"/>
                <w:szCs w:val="19"/>
              </w:rPr>
            </w:pPr>
            <w:r w:rsidRPr="00EA127E">
              <w:rPr>
                <w:sz w:val="19"/>
                <w:szCs w:val="19"/>
              </w:rPr>
              <w:t>What are the benefits or impact of occupational therapy in primary care settings? (e.g. services delivered by your local general practice surgery, community pharmacy, dental and optometry (eye health) services)</w:t>
            </w:r>
          </w:p>
        </w:tc>
        <w:tc>
          <w:tcPr>
            <w:tcW w:w="1276" w:type="dxa"/>
            <w:tcBorders>
              <w:top w:val="single" w:sz="4" w:space="0" w:color="904998"/>
              <w:left w:val="single" w:sz="4" w:space="0" w:color="904998"/>
              <w:bottom w:val="single" w:sz="4" w:space="0" w:color="904998"/>
              <w:right w:val="single" w:sz="4" w:space="0" w:color="904998"/>
            </w:tcBorders>
          </w:tcPr>
          <w:p w14:paraId="1A689AC9"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48</w:t>
            </w:r>
          </w:p>
        </w:tc>
        <w:tc>
          <w:tcPr>
            <w:tcW w:w="1395" w:type="dxa"/>
            <w:tcBorders>
              <w:top w:val="single" w:sz="4" w:space="0" w:color="904998"/>
              <w:left w:val="single" w:sz="4" w:space="0" w:color="904998"/>
              <w:bottom w:val="single" w:sz="4" w:space="0" w:color="904998"/>
              <w:right w:val="single" w:sz="4" w:space="0" w:color="904998"/>
            </w:tcBorders>
          </w:tcPr>
          <w:p w14:paraId="3A06DC8C" w14:textId="77777777" w:rsidR="009C757A" w:rsidRPr="00EA127E" w:rsidRDefault="009C757A" w:rsidP="000E1CB2">
            <w:pPr>
              <w:pStyle w:val="TableParagraph"/>
              <w:kinsoku w:val="0"/>
              <w:overflowPunct w:val="0"/>
              <w:ind w:left="226"/>
              <w:jc w:val="center"/>
              <w:rPr>
                <w:sz w:val="19"/>
                <w:szCs w:val="19"/>
              </w:rPr>
            </w:pPr>
            <w:r w:rsidRPr="00EA127E">
              <w:rPr>
                <w:sz w:val="19"/>
                <w:szCs w:val="19"/>
              </w:rPr>
              <w:t>5</w:t>
            </w:r>
          </w:p>
        </w:tc>
      </w:tr>
      <w:tr w:rsidR="009C757A" w:rsidRPr="00EA127E" w14:paraId="2379078C" w14:textId="77777777" w:rsidTr="000E1CB2">
        <w:trPr>
          <w:trHeight w:val="397"/>
          <w:jc w:val="center"/>
        </w:trPr>
        <w:tc>
          <w:tcPr>
            <w:tcW w:w="6399" w:type="dxa"/>
            <w:tcBorders>
              <w:top w:val="single" w:sz="4" w:space="0" w:color="904998"/>
              <w:left w:val="single" w:sz="4" w:space="0" w:color="904998"/>
              <w:bottom w:val="single" w:sz="4" w:space="0" w:color="904998"/>
              <w:right w:val="single" w:sz="4" w:space="0" w:color="904998"/>
            </w:tcBorders>
          </w:tcPr>
          <w:p w14:paraId="40425E7E" w14:textId="77777777" w:rsidR="009C757A" w:rsidRPr="00EA127E" w:rsidRDefault="009C757A" w:rsidP="00B343D8">
            <w:pPr>
              <w:pStyle w:val="TableParagraph"/>
              <w:kinsoku w:val="0"/>
              <w:overflowPunct w:val="0"/>
              <w:spacing w:before="81" w:line="213" w:lineRule="auto"/>
              <w:ind w:right="1106"/>
              <w:rPr>
                <w:sz w:val="19"/>
                <w:szCs w:val="19"/>
              </w:rPr>
            </w:pPr>
            <w:r w:rsidRPr="00EA127E">
              <w:rPr>
                <w:sz w:val="19"/>
                <w:szCs w:val="19"/>
              </w:rPr>
              <w:t>What are the long-term benefits of occupational therapy intervention?</w:t>
            </w:r>
          </w:p>
        </w:tc>
        <w:tc>
          <w:tcPr>
            <w:tcW w:w="1276" w:type="dxa"/>
            <w:tcBorders>
              <w:top w:val="single" w:sz="4" w:space="0" w:color="904998"/>
              <w:left w:val="single" w:sz="4" w:space="0" w:color="904998"/>
              <w:bottom w:val="single" w:sz="4" w:space="0" w:color="904998"/>
              <w:right w:val="single" w:sz="4" w:space="0" w:color="904998"/>
            </w:tcBorders>
          </w:tcPr>
          <w:p w14:paraId="4D2FDB2B" w14:textId="77777777" w:rsidR="009C757A" w:rsidRPr="00EA127E" w:rsidRDefault="009C757A" w:rsidP="000E1CB2">
            <w:pPr>
              <w:pStyle w:val="TableParagraph"/>
              <w:kinsoku w:val="0"/>
              <w:overflowPunct w:val="0"/>
              <w:ind w:left="0" w:right="142"/>
              <w:jc w:val="center"/>
              <w:rPr>
                <w:sz w:val="19"/>
                <w:szCs w:val="19"/>
              </w:rPr>
            </w:pPr>
            <w:r w:rsidRPr="00EA127E">
              <w:rPr>
                <w:sz w:val="19"/>
                <w:szCs w:val="19"/>
              </w:rPr>
              <w:t>5</w:t>
            </w:r>
          </w:p>
        </w:tc>
        <w:tc>
          <w:tcPr>
            <w:tcW w:w="1395" w:type="dxa"/>
            <w:tcBorders>
              <w:top w:val="single" w:sz="4" w:space="0" w:color="904998"/>
              <w:left w:val="single" w:sz="4" w:space="0" w:color="904998"/>
              <w:bottom w:val="single" w:sz="4" w:space="0" w:color="904998"/>
              <w:right w:val="single" w:sz="4" w:space="0" w:color="904998"/>
            </w:tcBorders>
          </w:tcPr>
          <w:p w14:paraId="3FF7E0D4" w14:textId="77777777" w:rsidR="009C757A" w:rsidRPr="00EA127E" w:rsidRDefault="009C757A" w:rsidP="000E1CB2">
            <w:pPr>
              <w:pStyle w:val="TableParagraph"/>
              <w:kinsoku w:val="0"/>
              <w:overflowPunct w:val="0"/>
              <w:ind w:left="226"/>
              <w:jc w:val="center"/>
              <w:rPr>
                <w:sz w:val="19"/>
                <w:szCs w:val="19"/>
              </w:rPr>
            </w:pPr>
            <w:r w:rsidRPr="00EA127E">
              <w:rPr>
                <w:sz w:val="19"/>
                <w:szCs w:val="19"/>
              </w:rPr>
              <w:t>2</w:t>
            </w:r>
          </w:p>
        </w:tc>
      </w:tr>
      <w:tr w:rsidR="009C757A" w:rsidRPr="00EA127E" w14:paraId="166AF32B" w14:textId="77777777" w:rsidTr="000E1CB2">
        <w:trPr>
          <w:trHeight w:val="848"/>
          <w:jc w:val="center"/>
        </w:trPr>
        <w:tc>
          <w:tcPr>
            <w:tcW w:w="6399" w:type="dxa"/>
            <w:tcBorders>
              <w:top w:val="single" w:sz="4" w:space="0" w:color="904998"/>
              <w:left w:val="single" w:sz="4" w:space="0" w:color="904998"/>
              <w:bottom w:val="single" w:sz="4" w:space="0" w:color="904998"/>
              <w:right w:val="single" w:sz="4" w:space="0" w:color="904998"/>
            </w:tcBorders>
          </w:tcPr>
          <w:p w14:paraId="75235A3A" w14:textId="77777777" w:rsidR="009C757A" w:rsidRPr="00EA127E" w:rsidRDefault="009C757A" w:rsidP="00B343D8">
            <w:pPr>
              <w:pStyle w:val="TableParagraph"/>
              <w:kinsoku w:val="0"/>
              <w:overflowPunct w:val="0"/>
              <w:spacing w:before="81" w:line="213" w:lineRule="auto"/>
              <w:ind w:right="91"/>
              <w:rPr>
                <w:sz w:val="19"/>
                <w:szCs w:val="19"/>
              </w:rPr>
            </w:pPr>
            <w:r w:rsidRPr="00EA127E">
              <w:rPr>
                <w:sz w:val="19"/>
                <w:szCs w:val="19"/>
              </w:rPr>
              <w:t>What do other people (including healthcare professionals and other colleagues occupational therapists might work with, people who access services and their families and carers) think about the role of occupational therapy?</w:t>
            </w:r>
          </w:p>
        </w:tc>
        <w:tc>
          <w:tcPr>
            <w:tcW w:w="1276" w:type="dxa"/>
            <w:tcBorders>
              <w:top w:val="single" w:sz="4" w:space="0" w:color="904998"/>
              <w:left w:val="single" w:sz="4" w:space="0" w:color="904998"/>
              <w:bottom w:val="single" w:sz="4" w:space="0" w:color="904998"/>
              <w:right w:val="single" w:sz="4" w:space="0" w:color="904998"/>
            </w:tcBorders>
          </w:tcPr>
          <w:p w14:paraId="68495123"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15</w:t>
            </w:r>
          </w:p>
        </w:tc>
        <w:tc>
          <w:tcPr>
            <w:tcW w:w="1395" w:type="dxa"/>
            <w:tcBorders>
              <w:top w:val="single" w:sz="4" w:space="0" w:color="904998"/>
              <w:left w:val="single" w:sz="4" w:space="0" w:color="904998"/>
              <w:bottom w:val="single" w:sz="4" w:space="0" w:color="904998"/>
              <w:right w:val="single" w:sz="4" w:space="0" w:color="904998"/>
            </w:tcBorders>
          </w:tcPr>
          <w:p w14:paraId="5FBAA579" w14:textId="77777777" w:rsidR="009C757A" w:rsidRPr="00EA127E" w:rsidRDefault="009C757A" w:rsidP="000E1CB2">
            <w:pPr>
              <w:pStyle w:val="TableParagraph"/>
              <w:kinsoku w:val="0"/>
              <w:overflowPunct w:val="0"/>
              <w:spacing w:before="59"/>
              <w:ind w:left="226"/>
              <w:jc w:val="center"/>
              <w:rPr>
                <w:sz w:val="19"/>
                <w:szCs w:val="19"/>
              </w:rPr>
            </w:pPr>
            <w:r w:rsidRPr="00EA127E">
              <w:rPr>
                <w:sz w:val="19"/>
                <w:szCs w:val="19"/>
              </w:rPr>
              <w:t>6</w:t>
            </w:r>
          </w:p>
        </w:tc>
      </w:tr>
      <w:tr w:rsidR="009C757A" w:rsidRPr="00EA127E" w14:paraId="45CD379C" w14:textId="77777777" w:rsidTr="000E1CB2">
        <w:trPr>
          <w:trHeight w:val="260"/>
          <w:jc w:val="center"/>
        </w:trPr>
        <w:tc>
          <w:tcPr>
            <w:tcW w:w="6399" w:type="dxa"/>
            <w:tcBorders>
              <w:top w:val="single" w:sz="4" w:space="0" w:color="904998"/>
              <w:left w:val="single" w:sz="4" w:space="0" w:color="904998"/>
              <w:bottom w:val="single" w:sz="4" w:space="0" w:color="904998"/>
              <w:right w:val="single" w:sz="4" w:space="0" w:color="904998"/>
            </w:tcBorders>
          </w:tcPr>
          <w:p w14:paraId="1FFF74CA" w14:textId="77777777" w:rsidR="009C757A" w:rsidRPr="00EA127E" w:rsidRDefault="009C757A" w:rsidP="00B343D8">
            <w:pPr>
              <w:pStyle w:val="TableParagraph"/>
              <w:kinsoku w:val="0"/>
              <w:overflowPunct w:val="0"/>
              <w:spacing w:before="59"/>
              <w:rPr>
                <w:sz w:val="19"/>
                <w:szCs w:val="19"/>
              </w:rPr>
            </w:pPr>
            <w:r w:rsidRPr="00EA127E">
              <w:rPr>
                <w:sz w:val="19"/>
                <w:szCs w:val="19"/>
              </w:rPr>
              <w:lastRenderedPageBreak/>
              <w:t>What is the cost-effectiveness of occupational therapy services?</w:t>
            </w:r>
          </w:p>
        </w:tc>
        <w:tc>
          <w:tcPr>
            <w:tcW w:w="1276" w:type="dxa"/>
            <w:tcBorders>
              <w:top w:val="single" w:sz="4" w:space="0" w:color="904998"/>
              <w:left w:val="single" w:sz="4" w:space="0" w:color="904998"/>
              <w:bottom w:val="single" w:sz="4" w:space="0" w:color="904998"/>
              <w:right w:val="single" w:sz="4" w:space="0" w:color="904998"/>
            </w:tcBorders>
          </w:tcPr>
          <w:p w14:paraId="26303DC1"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30</w:t>
            </w:r>
          </w:p>
        </w:tc>
        <w:tc>
          <w:tcPr>
            <w:tcW w:w="1395" w:type="dxa"/>
            <w:tcBorders>
              <w:top w:val="single" w:sz="4" w:space="0" w:color="904998"/>
              <w:left w:val="single" w:sz="4" w:space="0" w:color="904998"/>
              <w:bottom w:val="single" w:sz="4" w:space="0" w:color="904998"/>
              <w:right w:val="single" w:sz="4" w:space="0" w:color="904998"/>
            </w:tcBorders>
          </w:tcPr>
          <w:p w14:paraId="23BDDCD2" w14:textId="77777777" w:rsidR="009C757A" w:rsidRPr="00EA127E" w:rsidRDefault="009C757A" w:rsidP="000E1CB2">
            <w:pPr>
              <w:pStyle w:val="TableParagraph"/>
              <w:kinsoku w:val="0"/>
              <w:overflowPunct w:val="0"/>
              <w:spacing w:before="59"/>
              <w:ind w:left="226"/>
              <w:jc w:val="center"/>
              <w:rPr>
                <w:sz w:val="19"/>
                <w:szCs w:val="19"/>
              </w:rPr>
            </w:pPr>
            <w:r w:rsidRPr="00EA127E">
              <w:rPr>
                <w:sz w:val="19"/>
                <w:szCs w:val="19"/>
              </w:rPr>
              <w:t>1</w:t>
            </w:r>
          </w:p>
        </w:tc>
      </w:tr>
      <w:tr w:rsidR="009C757A" w:rsidRPr="00EA127E" w14:paraId="5CDFDD47" w14:textId="77777777" w:rsidTr="000E1CB2">
        <w:trPr>
          <w:trHeight w:val="407"/>
          <w:jc w:val="center"/>
        </w:trPr>
        <w:tc>
          <w:tcPr>
            <w:tcW w:w="6399" w:type="dxa"/>
            <w:tcBorders>
              <w:top w:val="single" w:sz="4" w:space="0" w:color="904998"/>
              <w:left w:val="single" w:sz="4" w:space="0" w:color="904998"/>
              <w:bottom w:val="single" w:sz="4" w:space="0" w:color="904998"/>
              <w:right w:val="single" w:sz="4" w:space="0" w:color="904998"/>
            </w:tcBorders>
          </w:tcPr>
          <w:p w14:paraId="6CDB34E9" w14:textId="77777777" w:rsidR="009C757A" w:rsidRPr="00EA127E" w:rsidRDefault="009C757A" w:rsidP="00B343D8">
            <w:pPr>
              <w:pStyle w:val="TableParagraph"/>
              <w:kinsoku w:val="0"/>
              <w:overflowPunct w:val="0"/>
              <w:spacing w:before="81" w:line="213" w:lineRule="auto"/>
              <w:ind w:right="766"/>
              <w:rPr>
                <w:sz w:val="19"/>
                <w:szCs w:val="19"/>
              </w:rPr>
            </w:pPr>
            <w:r w:rsidRPr="00EA127E">
              <w:rPr>
                <w:sz w:val="19"/>
                <w:szCs w:val="19"/>
              </w:rPr>
              <w:t>What is the effectiveness of occupational therapy for mental health?</w:t>
            </w:r>
          </w:p>
        </w:tc>
        <w:tc>
          <w:tcPr>
            <w:tcW w:w="1276" w:type="dxa"/>
            <w:tcBorders>
              <w:top w:val="single" w:sz="4" w:space="0" w:color="904998"/>
              <w:left w:val="single" w:sz="4" w:space="0" w:color="904998"/>
              <w:bottom w:val="single" w:sz="4" w:space="0" w:color="904998"/>
              <w:right w:val="single" w:sz="4" w:space="0" w:color="904998"/>
            </w:tcBorders>
          </w:tcPr>
          <w:p w14:paraId="3089B54C"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10</w:t>
            </w:r>
          </w:p>
        </w:tc>
        <w:tc>
          <w:tcPr>
            <w:tcW w:w="1395" w:type="dxa"/>
            <w:tcBorders>
              <w:top w:val="single" w:sz="4" w:space="0" w:color="904998"/>
              <w:left w:val="single" w:sz="4" w:space="0" w:color="904998"/>
              <w:bottom w:val="single" w:sz="4" w:space="0" w:color="904998"/>
              <w:right w:val="single" w:sz="4" w:space="0" w:color="904998"/>
            </w:tcBorders>
          </w:tcPr>
          <w:p w14:paraId="2DFCF8C1" w14:textId="77777777" w:rsidR="009C757A" w:rsidRPr="00EA127E" w:rsidRDefault="009C757A" w:rsidP="000E1CB2">
            <w:pPr>
              <w:pStyle w:val="TableParagraph"/>
              <w:kinsoku w:val="0"/>
              <w:overflowPunct w:val="0"/>
              <w:spacing w:before="59"/>
              <w:jc w:val="center"/>
              <w:rPr>
                <w:sz w:val="19"/>
                <w:szCs w:val="19"/>
              </w:rPr>
            </w:pPr>
            <w:r w:rsidRPr="00EA127E">
              <w:rPr>
                <w:sz w:val="19"/>
                <w:szCs w:val="19"/>
              </w:rPr>
              <w:t>19</w:t>
            </w:r>
          </w:p>
        </w:tc>
      </w:tr>
      <w:tr w:rsidR="009C757A" w:rsidRPr="00EA127E" w14:paraId="623E1C94" w14:textId="77777777" w:rsidTr="000E1CB2">
        <w:trPr>
          <w:trHeight w:val="499"/>
          <w:jc w:val="center"/>
        </w:trPr>
        <w:tc>
          <w:tcPr>
            <w:tcW w:w="6399" w:type="dxa"/>
            <w:tcBorders>
              <w:top w:val="single" w:sz="4" w:space="0" w:color="904998"/>
              <w:left w:val="single" w:sz="4" w:space="0" w:color="904998"/>
              <w:bottom w:val="single" w:sz="4" w:space="0" w:color="904998"/>
              <w:right w:val="single" w:sz="4" w:space="0" w:color="904998"/>
            </w:tcBorders>
          </w:tcPr>
          <w:p w14:paraId="1338CC7B" w14:textId="77777777" w:rsidR="009C757A" w:rsidRPr="00EA127E" w:rsidRDefault="009C757A" w:rsidP="00B343D8">
            <w:pPr>
              <w:pStyle w:val="TableParagraph"/>
              <w:kinsoku w:val="0"/>
              <w:overflowPunct w:val="0"/>
              <w:spacing w:before="81" w:line="213" w:lineRule="auto"/>
              <w:ind w:right="544"/>
              <w:rPr>
                <w:sz w:val="19"/>
                <w:szCs w:val="19"/>
              </w:rPr>
            </w:pPr>
            <w:r w:rsidRPr="00EA127E">
              <w:rPr>
                <w:sz w:val="19"/>
                <w:szCs w:val="19"/>
              </w:rPr>
              <w:t>What is the nature of the relationship between occupation and health and well-being?</w:t>
            </w:r>
          </w:p>
        </w:tc>
        <w:tc>
          <w:tcPr>
            <w:tcW w:w="1276" w:type="dxa"/>
            <w:tcBorders>
              <w:top w:val="single" w:sz="4" w:space="0" w:color="904998"/>
              <w:left w:val="single" w:sz="4" w:space="0" w:color="904998"/>
              <w:bottom w:val="single" w:sz="4" w:space="0" w:color="904998"/>
              <w:right w:val="single" w:sz="4" w:space="0" w:color="904998"/>
            </w:tcBorders>
          </w:tcPr>
          <w:p w14:paraId="05093C71"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7</w:t>
            </w:r>
          </w:p>
        </w:tc>
        <w:tc>
          <w:tcPr>
            <w:tcW w:w="1395" w:type="dxa"/>
            <w:tcBorders>
              <w:top w:val="single" w:sz="4" w:space="0" w:color="904998"/>
              <w:left w:val="single" w:sz="4" w:space="0" w:color="904998"/>
              <w:bottom w:val="single" w:sz="4" w:space="0" w:color="904998"/>
              <w:right w:val="single" w:sz="4" w:space="0" w:color="904998"/>
            </w:tcBorders>
          </w:tcPr>
          <w:p w14:paraId="4E605F8A" w14:textId="77777777" w:rsidR="009C757A" w:rsidRPr="00EA127E" w:rsidRDefault="009C757A" w:rsidP="000E1CB2">
            <w:pPr>
              <w:pStyle w:val="TableParagraph"/>
              <w:kinsoku w:val="0"/>
              <w:overflowPunct w:val="0"/>
              <w:spacing w:before="59"/>
              <w:jc w:val="center"/>
              <w:rPr>
                <w:sz w:val="19"/>
                <w:szCs w:val="19"/>
              </w:rPr>
            </w:pPr>
            <w:r w:rsidRPr="00EA127E">
              <w:rPr>
                <w:sz w:val="19"/>
                <w:szCs w:val="19"/>
              </w:rPr>
              <w:t>23</w:t>
            </w:r>
          </w:p>
        </w:tc>
      </w:tr>
      <w:tr w:rsidR="009C757A" w:rsidRPr="00EA127E" w14:paraId="14AB26B3" w14:textId="77777777" w:rsidTr="000E1CB2">
        <w:trPr>
          <w:trHeight w:val="625"/>
          <w:jc w:val="center"/>
        </w:trPr>
        <w:tc>
          <w:tcPr>
            <w:tcW w:w="6399" w:type="dxa"/>
            <w:tcBorders>
              <w:top w:val="single" w:sz="4" w:space="0" w:color="904998"/>
              <w:left w:val="single" w:sz="4" w:space="0" w:color="904998"/>
              <w:bottom w:val="single" w:sz="4" w:space="0" w:color="904998"/>
              <w:right w:val="single" w:sz="4" w:space="0" w:color="904998"/>
            </w:tcBorders>
          </w:tcPr>
          <w:p w14:paraId="03DB45BE" w14:textId="77777777" w:rsidR="009C757A" w:rsidRPr="00EA127E" w:rsidRDefault="009C757A" w:rsidP="00B343D8">
            <w:pPr>
              <w:pStyle w:val="TableParagraph"/>
              <w:kinsoku w:val="0"/>
              <w:overflowPunct w:val="0"/>
              <w:spacing w:before="81" w:line="213" w:lineRule="auto"/>
              <w:ind w:right="554"/>
              <w:rPr>
                <w:sz w:val="19"/>
                <w:szCs w:val="19"/>
              </w:rPr>
            </w:pPr>
            <w:r w:rsidRPr="00EA127E">
              <w:rPr>
                <w:sz w:val="19"/>
                <w:szCs w:val="19"/>
              </w:rPr>
              <w:t>What is the role of occupational therapy in addressing social, political and environmental issues at a societal level to address well-being and participation?</w:t>
            </w:r>
          </w:p>
        </w:tc>
        <w:tc>
          <w:tcPr>
            <w:tcW w:w="1276" w:type="dxa"/>
            <w:tcBorders>
              <w:top w:val="single" w:sz="4" w:space="0" w:color="904998"/>
              <w:left w:val="single" w:sz="4" w:space="0" w:color="904998"/>
              <w:bottom w:val="single" w:sz="4" w:space="0" w:color="904998"/>
              <w:right w:val="single" w:sz="4" w:space="0" w:color="904998"/>
            </w:tcBorders>
          </w:tcPr>
          <w:p w14:paraId="0E0F33B0"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14</w:t>
            </w:r>
          </w:p>
        </w:tc>
        <w:tc>
          <w:tcPr>
            <w:tcW w:w="1395" w:type="dxa"/>
            <w:tcBorders>
              <w:top w:val="single" w:sz="4" w:space="0" w:color="904998"/>
              <w:left w:val="single" w:sz="4" w:space="0" w:color="904998"/>
              <w:bottom w:val="single" w:sz="4" w:space="0" w:color="904998"/>
              <w:right w:val="single" w:sz="4" w:space="0" w:color="904998"/>
            </w:tcBorders>
          </w:tcPr>
          <w:p w14:paraId="783E9A1C" w14:textId="77777777" w:rsidR="009C757A" w:rsidRPr="00EA127E" w:rsidRDefault="009C757A" w:rsidP="000E1CB2">
            <w:pPr>
              <w:pStyle w:val="TableParagraph"/>
              <w:kinsoku w:val="0"/>
              <w:overflowPunct w:val="0"/>
              <w:spacing w:before="59"/>
              <w:jc w:val="center"/>
              <w:rPr>
                <w:sz w:val="19"/>
                <w:szCs w:val="19"/>
              </w:rPr>
            </w:pPr>
            <w:r w:rsidRPr="00EA127E">
              <w:rPr>
                <w:sz w:val="19"/>
                <w:szCs w:val="19"/>
              </w:rPr>
              <w:t>10</w:t>
            </w:r>
          </w:p>
        </w:tc>
      </w:tr>
      <w:tr w:rsidR="009C757A" w:rsidRPr="00EA127E" w14:paraId="6BC255EA" w14:textId="77777777" w:rsidTr="000E1CB2">
        <w:trPr>
          <w:trHeight w:val="554"/>
          <w:jc w:val="center"/>
        </w:trPr>
        <w:tc>
          <w:tcPr>
            <w:tcW w:w="6399" w:type="dxa"/>
            <w:tcBorders>
              <w:top w:val="single" w:sz="4" w:space="0" w:color="904998"/>
              <w:left w:val="single" w:sz="4" w:space="0" w:color="904998"/>
              <w:bottom w:val="single" w:sz="4" w:space="0" w:color="904998"/>
              <w:right w:val="single" w:sz="4" w:space="0" w:color="904998"/>
            </w:tcBorders>
          </w:tcPr>
          <w:p w14:paraId="04F864B1" w14:textId="77777777" w:rsidR="009C757A" w:rsidRPr="00EA127E" w:rsidRDefault="009C757A" w:rsidP="00B343D8">
            <w:pPr>
              <w:pStyle w:val="TableParagraph"/>
              <w:kinsoku w:val="0"/>
              <w:overflowPunct w:val="0"/>
              <w:spacing w:before="81" w:line="213" w:lineRule="auto"/>
              <w:ind w:right="552"/>
              <w:rPr>
                <w:sz w:val="19"/>
                <w:szCs w:val="19"/>
              </w:rPr>
            </w:pPr>
            <w:r w:rsidRPr="00EA127E">
              <w:rPr>
                <w:sz w:val="19"/>
                <w:szCs w:val="19"/>
              </w:rPr>
              <w:t>What is the role of occupational therapy in supporting self- management? (e.g. helping people with illness to manage their health on a day-to-day basis)</w:t>
            </w:r>
          </w:p>
        </w:tc>
        <w:tc>
          <w:tcPr>
            <w:tcW w:w="1276" w:type="dxa"/>
            <w:tcBorders>
              <w:top w:val="single" w:sz="4" w:space="0" w:color="904998"/>
              <w:left w:val="single" w:sz="4" w:space="0" w:color="904998"/>
              <w:bottom w:val="single" w:sz="4" w:space="0" w:color="904998"/>
              <w:right w:val="single" w:sz="4" w:space="0" w:color="904998"/>
            </w:tcBorders>
          </w:tcPr>
          <w:p w14:paraId="483B8E9A"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33</w:t>
            </w:r>
          </w:p>
        </w:tc>
        <w:tc>
          <w:tcPr>
            <w:tcW w:w="1395" w:type="dxa"/>
            <w:tcBorders>
              <w:top w:val="single" w:sz="4" w:space="0" w:color="904998"/>
              <w:left w:val="single" w:sz="4" w:space="0" w:color="904998"/>
              <w:bottom w:val="single" w:sz="4" w:space="0" w:color="904998"/>
              <w:right w:val="single" w:sz="4" w:space="0" w:color="904998"/>
            </w:tcBorders>
          </w:tcPr>
          <w:p w14:paraId="2FDA7B8B" w14:textId="77777777" w:rsidR="009C757A" w:rsidRPr="00EA127E" w:rsidRDefault="009C757A" w:rsidP="000E1CB2">
            <w:pPr>
              <w:pStyle w:val="TableParagraph"/>
              <w:kinsoku w:val="0"/>
              <w:overflowPunct w:val="0"/>
              <w:spacing w:before="59"/>
              <w:ind w:left="226"/>
              <w:jc w:val="center"/>
              <w:rPr>
                <w:sz w:val="19"/>
                <w:szCs w:val="19"/>
              </w:rPr>
            </w:pPr>
            <w:r w:rsidRPr="00EA127E">
              <w:rPr>
                <w:sz w:val="19"/>
                <w:szCs w:val="19"/>
              </w:rPr>
              <w:t>8</w:t>
            </w:r>
          </w:p>
        </w:tc>
      </w:tr>
      <w:tr w:rsidR="009C757A" w:rsidRPr="00EA127E" w14:paraId="11633C46" w14:textId="77777777" w:rsidTr="000E1CB2">
        <w:trPr>
          <w:trHeight w:val="489"/>
          <w:jc w:val="center"/>
        </w:trPr>
        <w:tc>
          <w:tcPr>
            <w:tcW w:w="6399" w:type="dxa"/>
            <w:tcBorders>
              <w:top w:val="single" w:sz="4" w:space="0" w:color="904998"/>
              <w:left w:val="single" w:sz="4" w:space="0" w:color="904998"/>
              <w:bottom w:val="single" w:sz="4" w:space="0" w:color="904998"/>
              <w:right w:val="single" w:sz="4" w:space="0" w:color="904998"/>
            </w:tcBorders>
          </w:tcPr>
          <w:p w14:paraId="1966EAB8" w14:textId="77777777" w:rsidR="009C757A" w:rsidRPr="00EA127E" w:rsidRDefault="009C757A" w:rsidP="00B343D8">
            <w:pPr>
              <w:pStyle w:val="TableParagraph"/>
              <w:kinsoku w:val="0"/>
              <w:overflowPunct w:val="0"/>
              <w:spacing w:before="81" w:line="213" w:lineRule="auto"/>
              <w:ind w:right="613"/>
              <w:rPr>
                <w:sz w:val="19"/>
                <w:szCs w:val="19"/>
              </w:rPr>
            </w:pPr>
            <w:r w:rsidRPr="00EA127E">
              <w:rPr>
                <w:sz w:val="19"/>
                <w:szCs w:val="19"/>
              </w:rPr>
              <w:t>What is the role or impact of occupational therapy in reducing hospital admissions?</w:t>
            </w:r>
          </w:p>
        </w:tc>
        <w:tc>
          <w:tcPr>
            <w:tcW w:w="1276" w:type="dxa"/>
            <w:tcBorders>
              <w:top w:val="single" w:sz="4" w:space="0" w:color="904998"/>
              <w:left w:val="single" w:sz="4" w:space="0" w:color="904998"/>
              <w:bottom w:val="single" w:sz="4" w:space="0" w:color="904998"/>
              <w:right w:val="single" w:sz="4" w:space="0" w:color="904998"/>
            </w:tcBorders>
          </w:tcPr>
          <w:p w14:paraId="1C47604D" w14:textId="77777777" w:rsidR="009C757A" w:rsidRPr="00EA127E" w:rsidRDefault="009C757A" w:rsidP="000E1CB2">
            <w:pPr>
              <w:pStyle w:val="TableParagraph"/>
              <w:kinsoku w:val="0"/>
              <w:overflowPunct w:val="0"/>
              <w:spacing w:before="59"/>
              <w:ind w:left="0" w:right="142"/>
              <w:jc w:val="center"/>
              <w:rPr>
                <w:sz w:val="19"/>
                <w:szCs w:val="19"/>
              </w:rPr>
            </w:pPr>
            <w:r w:rsidRPr="00EA127E">
              <w:rPr>
                <w:sz w:val="19"/>
                <w:szCs w:val="19"/>
              </w:rPr>
              <w:t>38</w:t>
            </w:r>
          </w:p>
        </w:tc>
        <w:tc>
          <w:tcPr>
            <w:tcW w:w="1395" w:type="dxa"/>
            <w:tcBorders>
              <w:top w:val="single" w:sz="4" w:space="0" w:color="904998"/>
              <w:left w:val="single" w:sz="4" w:space="0" w:color="904998"/>
              <w:bottom w:val="single" w:sz="4" w:space="0" w:color="904998"/>
              <w:right w:val="single" w:sz="4" w:space="0" w:color="904998"/>
            </w:tcBorders>
          </w:tcPr>
          <w:p w14:paraId="79461A13" w14:textId="77777777" w:rsidR="009C757A" w:rsidRPr="00EA127E" w:rsidRDefault="009C757A" w:rsidP="000E1CB2">
            <w:pPr>
              <w:pStyle w:val="TableParagraph"/>
              <w:kinsoku w:val="0"/>
              <w:overflowPunct w:val="0"/>
              <w:spacing w:before="59"/>
              <w:ind w:left="226"/>
              <w:jc w:val="center"/>
              <w:rPr>
                <w:sz w:val="19"/>
                <w:szCs w:val="19"/>
              </w:rPr>
            </w:pPr>
            <w:r w:rsidRPr="00EA127E">
              <w:rPr>
                <w:sz w:val="19"/>
                <w:szCs w:val="19"/>
              </w:rPr>
              <w:t>9</w:t>
            </w:r>
          </w:p>
        </w:tc>
      </w:tr>
    </w:tbl>
    <w:p w14:paraId="270BF62A" w14:textId="77777777" w:rsidR="009C757A" w:rsidRPr="00EA127E" w:rsidRDefault="009C757A" w:rsidP="009C757A">
      <w:pPr>
        <w:pStyle w:val="BodyText"/>
        <w:kinsoku w:val="0"/>
        <w:overflowPunct w:val="0"/>
        <w:spacing w:before="268"/>
        <w:ind w:left="0"/>
        <w:jc w:val="center"/>
        <w:rPr>
          <w:rFonts w:asciiTheme="minorHAnsi" w:hAnsiTheme="minorHAnsi"/>
          <w:b/>
        </w:rPr>
      </w:pPr>
      <w:r w:rsidRPr="00EA127E">
        <w:rPr>
          <w:rFonts w:asciiTheme="minorHAnsi" w:hAnsiTheme="minorHAnsi"/>
          <w:b/>
        </w:rPr>
        <w:t xml:space="preserve">Table 1: The 18 shortlisted </w:t>
      </w:r>
      <w:r w:rsidR="00A3515E" w:rsidRPr="00EA127E">
        <w:rPr>
          <w:rFonts w:asciiTheme="minorHAnsi" w:hAnsiTheme="minorHAnsi"/>
          <w:b/>
        </w:rPr>
        <w:t xml:space="preserve">summary </w:t>
      </w:r>
      <w:r w:rsidRPr="00EA127E">
        <w:rPr>
          <w:rFonts w:asciiTheme="minorHAnsi" w:hAnsiTheme="minorHAnsi"/>
          <w:b/>
        </w:rPr>
        <w:t xml:space="preserve">questions considered at the final </w:t>
      </w:r>
      <w:r w:rsidRPr="00EA127E">
        <w:rPr>
          <w:rFonts w:asciiTheme="minorHAnsi" w:hAnsiTheme="minorHAnsi"/>
          <w:b/>
          <w:lang w:val="en-GB"/>
        </w:rPr>
        <w:t>priorit</w:t>
      </w:r>
      <w:r w:rsidR="000E1CB2" w:rsidRPr="00EA127E">
        <w:rPr>
          <w:rFonts w:asciiTheme="minorHAnsi" w:hAnsiTheme="minorHAnsi"/>
          <w:b/>
          <w:lang w:val="en-GB"/>
        </w:rPr>
        <w:t>isation</w:t>
      </w:r>
      <w:r w:rsidRPr="00EA127E">
        <w:rPr>
          <w:rFonts w:asciiTheme="minorHAnsi" w:hAnsiTheme="minorHAnsi"/>
          <w:b/>
        </w:rPr>
        <w:t xml:space="preserve"> workshop</w:t>
      </w:r>
    </w:p>
    <w:p w14:paraId="10EF6D98" w14:textId="77777777" w:rsidR="009C757A" w:rsidRPr="00EA127E" w:rsidRDefault="009C757A" w:rsidP="009C757A">
      <w:pPr>
        <w:jc w:val="center"/>
      </w:pPr>
    </w:p>
    <w:p w14:paraId="4C4C2CDF" w14:textId="77777777" w:rsidR="00CE26A4" w:rsidRPr="00EA127E" w:rsidRDefault="00CE26A4" w:rsidP="003403A7">
      <w:pPr>
        <w:rPr>
          <w:u w:val="single"/>
        </w:rPr>
      </w:pPr>
      <w:r w:rsidRPr="00EA127E">
        <w:rPr>
          <w:u w:val="single"/>
        </w:rPr>
        <w:t>Final priority setting workshop</w:t>
      </w:r>
    </w:p>
    <w:p w14:paraId="216239E2" w14:textId="0359164E" w:rsidR="007362B0" w:rsidRPr="00EA127E" w:rsidRDefault="004B799B" w:rsidP="003403A7">
      <w:r w:rsidRPr="00EA127E">
        <w:t>There were 19 participants in the final prioritisation workshop</w:t>
      </w:r>
      <w:r w:rsidR="00351FE3" w:rsidRPr="00EA127E">
        <w:t xml:space="preserve"> of the OTPSP</w:t>
      </w:r>
      <w:r w:rsidRPr="00EA127E">
        <w:t xml:space="preserve">; nine with lived experience (one </w:t>
      </w:r>
      <w:r w:rsidR="00351FE3" w:rsidRPr="00EA127E">
        <w:t xml:space="preserve">invited individual </w:t>
      </w:r>
      <w:r w:rsidRPr="00EA127E">
        <w:t>was unable to participate on the day) and ten from the occupational therapy profession.</w:t>
      </w:r>
      <w:r w:rsidR="00351FE3" w:rsidRPr="00EA127E">
        <w:t xml:space="preserve"> Together they </w:t>
      </w:r>
      <w:r w:rsidR="00850609" w:rsidRPr="00EA127E">
        <w:t>considered the 18 shortlisted summary questions to reach</w:t>
      </w:r>
      <w:r w:rsidR="00351FE3" w:rsidRPr="00EA127E">
        <w:t xml:space="preserve"> a consensus </w:t>
      </w:r>
      <w:r w:rsidR="00850609" w:rsidRPr="00EA127E">
        <w:t>and</w:t>
      </w:r>
      <w:r w:rsidR="00351FE3" w:rsidRPr="00EA127E">
        <w:t xml:space="preserve"> identify the </w:t>
      </w:r>
      <w:r w:rsidR="007569BF" w:rsidRPr="00EA127E">
        <w:t>T</w:t>
      </w:r>
      <w:r w:rsidR="00351FE3" w:rsidRPr="00EA127E">
        <w:t xml:space="preserve">op </w:t>
      </w:r>
      <w:r w:rsidR="007569BF" w:rsidRPr="00EA127E">
        <w:t>10</w:t>
      </w:r>
      <w:r w:rsidR="00351FE3" w:rsidRPr="00EA127E">
        <w:t xml:space="preserve"> research priorities for occupation therapy in the UK</w:t>
      </w:r>
      <w:r w:rsidR="00A3515E" w:rsidRPr="00EA127E">
        <w:t xml:space="preserve">, as outlined in </w:t>
      </w:r>
      <w:r w:rsidR="00850609" w:rsidRPr="00EA127E">
        <w:t>Figure 2 below.</w:t>
      </w:r>
    </w:p>
    <w:p w14:paraId="505368E5" w14:textId="77777777" w:rsidR="00F542B8" w:rsidRPr="00EA127E" w:rsidRDefault="00850609" w:rsidP="00516E33">
      <w:pPr>
        <w:jc w:val="center"/>
        <w:rPr>
          <w:b/>
        </w:rPr>
      </w:pPr>
      <w:r w:rsidRPr="00EA127E">
        <w:rPr>
          <w:noProof/>
        </w:rPr>
        <w:drawing>
          <wp:inline distT="0" distB="0" distL="0" distR="0" wp14:anchorId="13EDE987" wp14:editId="39E1E906">
            <wp:extent cx="5479368" cy="3253374"/>
            <wp:effectExtent l="0" t="0" r="7620" b="4445"/>
            <wp:docPr id="8" name="Picture 8" descr="H:\RESEARCH PRIORITY SETTING\RCOT JLA PSP\THE TOP 10\Top10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479368" cy="3253374"/>
                    </a:xfrm>
                    <a:prstGeom prst="rect">
                      <a:avLst/>
                    </a:prstGeom>
                  </pic:spPr>
                </pic:pic>
              </a:graphicData>
            </a:graphic>
          </wp:inline>
        </w:drawing>
      </w:r>
      <w:r w:rsidRPr="00EA127E">
        <w:rPr>
          <w:rFonts w:cs="Arial"/>
          <w:b/>
          <w:bCs/>
        </w:rPr>
        <w:t>Figure 2: The Top 10 research priorities for occupational therapy in the UK</w:t>
      </w:r>
      <w:r w:rsidRPr="00EA127E">
        <w:br/>
      </w:r>
    </w:p>
    <w:p w14:paraId="2AEBF235" w14:textId="77777777" w:rsidR="00F542B8" w:rsidRPr="00EA127E" w:rsidRDefault="009509F6" w:rsidP="003403A7">
      <w:pPr>
        <w:rPr>
          <w:b/>
        </w:rPr>
      </w:pPr>
      <w:r w:rsidRPr="00EA127E">
        <w:rPr>
          <w:b/>
        </w:rPr>
        <w:t>Discussion</w:t>
      </w:r>
    </w:p>
    <w:p w14:paraId="38B7AD00" w14:textId="77777777" w:rsidR="00EC648D" w:rsidRPr="00EA127E" w:rsidRDefault="00EC648D" w:rsidP="00EC648D">
      <w:pPr>
        <w:rPr>
          <w:rStyle w:val="Hyperlink"/>
          <w:rFonts w:cs="Arial"/>
          <w:color w:val="auto"/>
          <w:u w:val="none"/>
        </w:rPr>
      </w:pPr>
      <w:r w:rsidRPr="00EA127E">
        <w:rPr>
          <w:rFonts w:cs="Arial"/>
          <w:bCs/>
        </w:rPr>
        <w:t xml:space="preserve">The Top 10 research priorities for occupational therapy in the UK provide a framework for focusing future research on the issues that matters most to the people accessing and delivering occupational </w:t>
      </w:r>
      <w:r w:rsidRPr="00EA127E">
        <w:rPr>
          <w:rFonts w:cs="Arial"/>
          <w:bCs/>
        </w:rPr>
        <w:lastRenderedPageBreak/>
        <w:t xml:space="preserve">therapy services. </w:t>
      </w:r>
      <w:r w:rsidRPr="00EA127E">
        <w:rPr>
          <w:rStyle w:val="Hyperlink"/>
          <w:rFonts w:cs="Arial"/>
          <w:color w:val="auto"/>
          <w:u w:val="none"/>
        </w:rPr>
        <w:t xml:space="preserve">Each is a summary question reflecting the essence of the individual questions submitted during the opening consultation survey. There will be many, more focused, research questions that need to be answered to address each of the priorities, which </w:t>
      </w:r>
      <w:r w:rsidRPr="00EA127E">
        <w:rPr>
          <w:rFonts w:cs="Arial"/>
        </w:rPr>
        <w:t xml:space="preserve">are applicable across the full range of contexts within which occupational therapists practise. This includes application to a </w:t>
      </w:r>
      <w:r w:rsidRPr="00EA127E">
        <w:rPr>
          <w:rStyle w:val="Hyperlink"/>
          <w:rFonts w:cs="Arial"/>
          <w:color w:val="auto"/>
          <w:u w:val="none"/>
        </w:rPr>
        <w:t xml:space="preserve">wide range of conditions, symptoms, interventions, areas of practice and service delivery models, within statutory and non-statutory service provision. It also includes application across the lifespan and with specific communities or segments of the population of the UK particularly in mind. </w:t>
      </w:r>
    </w:p>
    <w:p w14:paraId="7974B95B" w14:textId="7A126D1D" w:rsidR="00150354" w:rsidRPr="00EA127E" w:rsidRDefault="00E3461E" w:rsidP="00150354">
      <w:pPr>
        <w:autoSpaceDE w:val="0"/>
        <w:autoSpaceDN w:val="0"/>
        <w:adjustRightInd w:val="0"/>
        <w:rPr>
          <w:rFonts w:cs="Arial"/>
        </w:rPr>
      </w:pPr>
      <w:r w:rsidRPr="00EA127E">
        <w:t xml:space="preserve">This was also a feature of the research priorities previously identified by the College (COT 2007) which the Top 10 now replaces. Whilst the involvement of people who access occupational therapy services is not explicit within the Top 10, as was </w:t>
      </w:r>
      <w:r w:rsidR="00C5140B" w:rsidRPr="00EA127E">
        <w:t>the case in the earlier priorities</w:t>
      </w:r>
      <w:r w:rsidRPr="00EA127E">
        <w:t xml:space="preserve">, </w:t>
      </w:r>
      <w:r w:rsidRPr="00EA127E">
        <w:rPr>
          <w:rStyle w:val="Hyperlink"/>
          <w:rFonts w:cs="Arial"/>
          <w:color w:val="auto"/>
          <w:u w:val="none"/>
        </w:rPr>
        <w:t xml:space="preserve">it is unambiguously identified </w:t>
      </w:r>
      <w:r w:rsidR="0064348A" w:rsidRPr="00EA127E">
        <w:rPr>
          <w:rStyle w:val="Hyperlink"/>
          <w:rFonts w:cs="Arial"/>
          <w:color w:val="auto"/>
          <w:u w:val="none"/>
        </w:rPr>
        <w:t xml:space="preserve">as an expectation </w:t>
      </w:r>
      <w:r w:rsidRPr="00EA127E">
        <w:rPr>
          <w:rStyle w:val="Hyperlink"/>
          <w:rFonts w:cs="Arial"/>
          <w:color w:val="auto"/>
          <w:u w:val="none"/>
        </w:rPr>
        <w:t xml:space="preserve">in the first of ten key principles underpinning the </w:t>
      </w:r>
      <w:r w:rsidRPr="00EA127E">
        <w:rPr>
          <w:rStyle w:val="Hyperlink"/>
          <w:rFonts w:cs="Arial"/>
          <w:i/>
          <w:color w:val="auto"/>
          <w:u w:val="none"/>
        </w:rPr>
        <w:t>RCOT research and development strategy 2019-2024</w:t>
      </w:r>
      <w:r w:rsidRPr="00EA127E">
        <w:rPr>
          <w:rStyle w:val="Hyperlink"/>
          <w:rFonts w:cs="Arial"/>
          <w:color w:val="auto"/>
          <w:u w:val="none"/>
        </w:rPr>
        <w:t xml:space="preserve"> (RCOT 2019, p9).</w:t>
      </w:r>
      <w:r w:rsidR="000D2E62" w:rsidRPr="00EA127E">
        <w:rPr>
          <w:rStyle w:val="Hyperlink"/>
          <w:rFonts w:cs="Arial"/>
          <w:color w:val="auto"/>
          <w:u w:val="none"/>
        </w:rPr>
        <w:t xml:space="preserve"> There are, however, other recognisable similarities between the two sets of priorities. The fact that the need to build evidence of the cost-effectiveness of interventions features in both indicates that there remains a good deal of progress to be made in this area.</w:t>
      </w:r>
      <w:r w:rsidR="00150354" w:rsidRPr="00EA127E">
        <w:rPr>
          <w:rStyle w:val="Hyperlink"/>
          <w:rFonts w:cs="Arial"/>
          <w:color w:val="auto"/>
          <w:u w:val="none"/>
        </w:rPr>
        <w:t xml:space="preserve"> There are commonalities related to the effectiveness of interventions, although they are more focused and applied in the contemporary priorities. The evidence base underpinning practice has undoubtedly developed during the thirteen years separating priority setting exercises. </w:t>
      </w:r>
      <w:r w:rsidR="00150354" w:rsidRPr="00EA127E">
        <w:rPr>
          <w:rFonts w:cs="Arial"/>
        </w:rPr>
        <w:t xml:space="preserve">The quality of some of that evidence has been </w:t>
      </w:r>
      <w:r w:rsidR="008D6D84" w:rsidRPr="00EA127E">
        <w:rPr>
          <w:rFonts w:cs="Arial"/>
        </w:rPr>
        <w:t>identified</w:t>
      </w:r>
      <w:r w:rsidR="0015257D" w:rsidRPr="00EA127E">
        <w:rPr>
          <w:rFonts w:cs="Arial"/>
        </w:rPr>
        <w:t xml:space="preserve"> </w:t>
      </w:r>
      <w:r w:rsidR="00150354" w:rsidRPr="00EA127E">
        <w:rPr>
          <w:rFonts w:cs="Arial"/>
        </w:rPr>
        <w:t>within practice guidelines produced by the National Institute for Health and Care Excellence and the Scottish Intercollegiate Guidelines Network (RCOT 2019).  However, as building the evidence base remains a work in progress, the recognisable commonalities between the two sets of priorities are to be expected.</w:t>
      </w:r>
    </w:p>
    <w:p w14:paraId="0DF7C888" w14:textId="77777777" w:rsidR="00150354" w:rsidRPr="00EA127E" w:rsidRDefault="00150354" w:rsidP="00150354">
      <w:pPr>
        <w:autoSpaceDE w:val="0"/>
        <w:autoSpaceDN w:val="0"/>
        <w:adjustRightInd w:val="0"/>
        <w:rPr>
          <w:rStyle w:val="Hyperlink"/>
          <w:rFonts w:cs="Arial"/>
          <w:color w:val="auto"/>
          <w:u w:val="none"/>
        </w:rPr>
      </w:pPr>
      <w:r w:rsidRPr="00EA127E">
        <w:rPr>
          <w:rFonts w:cs="Arial"/>
        </w:rPr>
        <w:t xml:space="preserve">The Top 10 are compatible with </w:t>
      </w:r>
      <w:r w:rsidRPr="00EA127E">
        <w:rPr>
          <w:rStyle w:val="Hyperlink"/>
          <w:rFonts w:cs="Arial"/>
          <w:color w:val="auto"/>
          <w:u w:val="none"/>
        </w:rPr>
        <w:t>the World Federation of Occupational Therapists’ (WFOT’s) eight research priorities for occupational therapy internationally (Mackenzie et al 2018). T</w:t>
      </w:r>
      <w:r w:rsidRPr="00EA127E">
        <w:rPr>
          <w:rFonts w:cs="Arial"/>
        </w:rPr>
        <w:t>he</w:t>
      </w:r>
      <w:r w:rsidRPr="00EA127E">
        <w:rPr>
          <w:rStyle w:val="Hyperlink"/>
          <w:rFonts w:cs="Arial"/>
          <w:color w:val="auto"/>
          <w:u w:val="none"/>
        </w:rPr>
        <w:t xml:space="preserve"> WFOT priorities are broader and more generalised in scope, but there are clear links</w:t>
      </w:r>
      <w:r w:rsidR="0064348A" w:rsidRPr="00EA127E">
        <w:rPr>
          <w:rStyle w:val="Hyperlink"/>
          <w:rFonts w:cs="Arial"/>
          <w:color w:val="auto"/>
          <w:u w:val="none"/>
        </w:rPr>
        <w:t>. For</w:t>
      </w:r>
      <w:r w:rsidRPr="00EA127E">
        <w:rPr>
          <w:rStyle w:val="Hyperlink"/>
          <w:rFonts w:cs="Arial"/>
          <w:color w:val="auto"/>
          <w:u w:val="none"/>
        </w:rPr>
        <w:t xml:space="preserve"> example</w:t>
      </w:r>
      <w:r w:rsidR="0064348A" w:rsidRPr="00EA127E">
        <w:rPr>
          <w:rStyle w:val="Hyperlink"/>
          <w:rFonts w:cs="Arial"/>
          <w:color w:val="auto"/>
          <w:u w:val="none"/>
        </w:rPr>
        <w:t>:</w:t>
      </w:r>
      <w:r w:rsidRPr="00EA127E">
        <w:rPr>
          <w:rStyle w:val="Hyperlink"/>
          <w:rFonts w:cs="Arial"/>
          <w:color w:val="auto"/>
          <w:u w:val="none"/>
        </w:rPr>
        <w:t xml:space="preserve"> </w:t>
      </w:r>
      <w:r w:rsidR="0064348A" w:rsidRPr="00EA127E">
        <w:rPr>
          <w:rStyle w:val="Hyperlink"/>
          <w:rFonts w:cs="Arial"/>
          <w:color w:val="auto"/>
          <w:u w:val="none"/>
        </w:rPr>
        <w:t xml:space="preserve">between </w:t>
      </w:r>
      <w:r w:rsidRPr="00EA127E">
        <w:rPr>
          <w:rFonts w:cs="Arial"/>
        </w:rPr>
        <w:t xml:space="preserve">the OTPSP number 1 priority: </w:t>
      </w:r>
      <w:r w:rsidRPr="00EA127E">
        <w:rPr>
          <w:rFonts w:cs="Arial"/>
          <w:i/>
        </w:rPr>
        <w:t>How does occupational therapy make a difference and impact on everyday lives?</w:t>
      </w:r>
      <w:r w:rsidRPr="00EA127E">
        <w:rPr>
          <w:rFonts w:cs="Arial"/>
        </w:rPr>
        <w:t xml:space="preserve"> and the WFOT number 3 priority: </w:t>
      </w:r>
      <w:r w:rsidRPr="00EA127E">
        <w:rPr>
          <w:rFonts w:cs="Arial"/>
          <w:i/>
        </w:rPr>
        <w:t>Participating in everyday life</w:t>
      </w:r>
      <w:r w:rsidR="0064348A" w:rsidRPr="00EA127E">
        <w:rPr>
          <w:rFonts w:cs="Arial"/>
        </w:rPr>
        <w:t>;</w:t>
      </w:r>
      <w:r w:rsidRPr="00EA127E">
        <w:rPr>
          <w:rFonts w:cs="Arial"/>
        </w:rPr>
        <w:t xml:space="preserve"> and between the OTPSP number 7: </w:t>
      </w:r>
      <w:r w:rsidRPr="00EA127E">
        <w:rPr>
          <w:rFonts w:cs="Arial"/>
          <w:i/>
        </w:rPr>
        <w:t>What is the role of occupational therapy in supporting self-management?</w:t>
      </w:r>
      <w:r w:rsidRPr="00EA127E">
        <w:rPr>
          <w:rFonts w:cs="Arial"/>
        </w:rPr>
        <w:t xml:space="preserve"> and the WFOT number 5: </w:t>
      </w:r>
      <w:r w:rsidRPr="00EA127E">
        <w:rPr>
          <w:rFonts w:cs="Arial"/>
          <w:i/>
        </w:rPr>
        <w:t>Occupational therapy and chronic conditions</w:t>
      </w:r>
      <w:r w:rsidRPr="00EA127E">
        <w:rPr>
          <w:rFonts w:cs="Arial"/>
        </w:rPr>
        <w:t xml:space="preserve">. In other cases, the links are equally or somewhat less direct. While the WFOT priorities make explicit reference to </w:t>
      </w:r>
      <w:r w:rsidRPr="00EA127E">
        <w:rPr>
          <w:rFonts w:cs="Arial"/>
          <w:i/>
        </w:rPr>
        <w:t>occupational therapy professional issues</w:t>
      </w:r>
      <w:r w:rsidRPr="00EA127E">
        <w:rPr>
          <w:rFonts w:cs="Arial"/>
        </w:rPr>
        <w:t>, which were out of scope in the OTPSP, the two sets of priorities sit very comfortably alongside each other.</w:t>
      </w:r>
    </w:p>
    <w:p w14:paraId="75D4AF3E" w14:textId="77777777" w:rsidR="00F542B8" w:rsidRPr="00EA127E" w:rsidRDefault="00D177E3" w:rsidP="003403A7">
      <w:pPr>
        <w:rPr>
          <w:u w:val="single"/>
        </w:rPr>
      </w:pPr>
      <w:r w:rsidRPr="00EA127E">
        <w:rPr>
          <w:u w:val="single"/>
        </w:rPr>
        <w:t>Limitations</w:t>
      </w:r>
    </w:p>
    <w:p w14:paraId="7B53D34F" w14:textId="77777777" w:rsidR="00923D5C" w:rsidRPr="00EA127E" w:rsidRDefault="000C17FE" w:rsidP="00923D5C">
      <w:pPr>
        <w:autoSpaceDE w:val="0"/>
        <w:autoSpaceDN w:val="0"/>
        <w:adjustRightInd w:val="0"/>
        <w:rPr>
          <w:rFonts w:cs="OpenSans"/>
        </w:rPr>
      </w:pPr>
      <w:r w:rsidRPr="00EA127E">
        <w:rPr>
          <w:rFonts w:cs="OpenSans"/>
        </w:rPr>
        <w:t xml:space="preserve">Despite limited resources, and despite the global COVID-19 pandemic, every reasonable effort was made to optimise the response rates to both surveys. </w:t>
      </w:r>
      <w:r w:rsidR="00EC648D" w:rsidRPr="00EA127E">
        <w:rPr>
          <w:rFonts w:cs="OpenSans"/>
        </w:rPr>
        <w:t>Participation by</w:t>
      </w:r>
      <w:r w:rsidR="00D177E3" w:rsidRPr="00EA127E">
        <w:t xml:space="preserve"> occupational therapists </w:t>
      </w:r>
      <w:r w:rsidR="00EC648D" w:rsidRPr="00EA127E">
        <w:t>was</w:t>
      </w:r>
      <w:r w:rsidRPr="00EA127E">
        <w:t>, however,</w:t>
      </w:r>
      <w:r w:rsidR="00D177E3" w:rsidRPr="00EA127E">
        <w:t xml:space="preserve"> limited to a </w:t>
      </w:r>
      <w:r w:rsidR="00992303" w:rsidRPr="00EA127E">
        <w:t>fraction of the approximately 39</w:t>
      </w:r>
      <w:r w:rsidR="00D177E3" w:rsidRPr="00EA127E">
        <w:t>,000 registered with the Health and Care Professions Council</w:t>
      </w:r>
      <w:r w:rsidR="005F32DF" w:rsidRPr="00EA127E">
        <w:t xml:space="preserve"> (HCPC)</w:t>
      </w:r>
      <w:r w:rsidR="00D177E3" w:rsidRPr="00EA127E">
        <w:t xml:space="preserve"> at the time</w:t>
      </w:r>
      <w:r w:rsidRPr="00EA127E">
        <w:t xml:space="preserve"> </w:t>
      </w:r>
      <w:r w:rsidR="005F32DF" w:rsidRPr="00EA127E">
        <w:t>(HCPC 2020)</w:t>
      </w:r>
      <w:r w:rsidR="00D177E3" w:rsidRPr="00EA127E">
        <w:t xml:space="preserve">. </w:t>
      </w:r>
      <w:r w:rsidR="00923D5C" w:rsidRPr="00EA127E">
        <w:t>Notwithstanding</w:t>
      </w:r>
      <w:r w:rsidR="00D177E3" w:rsidRPr="00EA127E">
        <w:t>,</w:t>
      </w:r>
      <w:r w:rsidR="00EC648D" w:rsidRPr="00EA127E">
        <w:t xml:space="preserve"> </w:t>
      </w:r>
      <w:r w:rsidR="00923D5C" w:rsidRPr="00EA127E">
        <w:t>professional participation rates for both surveys markedly exceeded those of the adult social work PSP (</w:t>
      </w:r>
      <w:r w:rsidR="00923D5C" w:rsidRPr="00EA127E">
        <w:rPr>
          <w:rFonts w:cs="OpenSans"/>
        </w:rPr>
        <w:t>Department of Health and Social Care (DHSC) 2018) and the physiotherapy PSP (Rankin et al 2020), despite both professions having significantly larger registrant populations.</w:t>
      </w:r>
      <w:r w:rsidRPr="00EA127E">
        <w:rPr>
          <w:rFonts w:cs="OpenSans"/>
        </w:rPr>
        <w:t xml:space="preserve"> The participation rates of </w:t>
      </w:r>
      <w:r w:rsidR="00923D5C" w:rsidRPr="00EA127E">
        <w:rPr>
          <w:rFonts w:cs="OpenSans"/>
        </w:rPr>
        <w:t>people with lived experience</w:t>
      </w:r>
      <w:r w:rsidRPr="00EA127E">
        <w:rPr>
          <w:rFonts w:cs="OpenSans"/>
        </w:rPr>
        <w:t xml:space="preserve"> in both </w:t>
      </w:r>
      <w:r w:rsidR="00EC648D" w:rsidRPr="00EA127E">
        <w:rPr>
          <w:rFonts w:cs="OpenSans"/>
        </w:rPr>
        <w:t xml:space="preserve">OTPSP </w:t>
      </w:r>
      <w:r w:rsidRPr="00EA127E">
        <w:rPr>
          <w:rFonts w:cs="OpenSans"/>
        </w:rPr>
        <w:t xml:space="preserve">surveys also </w:t>
      </w:r>
      <w:r w:rsidR="00923D5C" w:rsidRPr="00EA127E">
        <w:rPr>
          <w:rFonts w:cs="OpenSans"/>
        </w:rPr>
        <w:t>compared favourably with those achieved by the adult social work and physiotherapy PSPs.</w:t>
      </w:r>
    </w:p>
    <w:p w14:paraId="59DE6C38" w14:textId="47FA6BB9" w:rsidR="000C17FE" w:rsidRPr="00EA127E" w:rsidRDefault="000C17FE" w:rsidP="00923D5C">
      <w:pPr>
        <w:autoSpaceDE w:val="0"/>
        <w:autoSpaceDN w:val="0"/>
        <w:adjustRightInd w:val="0"/>
        <w:rPr>
          <w:rFonts w:cs="OpenSans"/>
        </w:rPr>
      </w:pPr>
      <w:r w:rsidRPr="00EA127E">
        <w:rPr>
          <w:rFonts w:cs="OpenSans"/>
        </w:rPr>
        <w:lastRenderedPageBreak/>
        <w:t xml:space="preserve">Adaptation of the </w:t>
      </w:r>
      <w:r w:rsidR="00EC648D" w:rsidRPr="00EA127E">
        <w:rPr>
          <w:rFonts w:cs="OpenSans"/>
        </w:rPr>
        <w:t xml:space="preserve">established JLA method for the </w:t>
      </w:r>
      <w:r w:rsidRPr="00EA127E">
        <w:rPr>
          <w:rFonts w:cs="OpenSans"/>
        </w:rPr>
        <w:t>final prioritisation workshop to a virtual format</w:t>
      </w:r>
      <w:r w:rsidR="00E321B6" w:rsidRPr="00EA127E">
        <w:rPr>
          <w:rFonts w:cs="OpenSans"/>
        </w:rPr>
        <w:t xml:space="preserve"> required participants to have access to good internet connections and the capacity to use Zoom for a full day, with regular screen-breaks. While there were clear benefits to a virtual workshop, including enhanced accessibility despite geographical locations and safe engagement in the context of a highly contagious virus, this approach may have presented barriers for some potential participants. However, </w:t>
      </w:r>
      <w:r w:rsidR="006A5859" w:rsidRPr="00EA127E">
        <w:rPr>
          <w:rFonts w:cs="OpenSans"/>
        </w:rPr>
        <w:t xml:space="preserve">the Steering Group </w:t>
      </w:r>
      <w:r w:rsidR="00CB258B" w:rsidRPr="00EA127E">
        <w:rPr>
          <w:rFonts w:cs="OpenSans"/>
        </w:rPr>
        <w:t xml:space="preserve">considered </w:t>
      </w:r>
      <w:r w:rsidR="00E321B6" w:rsidRPr="00EA127E">
        <w:rPr>
          <w:rFonts w:cs="OpenSans"/>
        </w:rPr>
        <w:t xml:space="preserve">these barriers to </w:t>
      </w:r>
      <w:r w:rsidR="00CB258B" w:rsidRPr="00EA127E">
        <w:rPr>
          <w:rFonts w:cs="OpenSans"/>
        </w:rPr>
        <w:t>be</w:t>
      </w:r>
      <w:r w:rsidR="00E321B6" w:rsidRPr="00EA127E">
        <w:rPr>
          <w:rFonts w:cs="OpenSans"/>
        </w:rPr>
        <w:t xml:space="preserve"> different to, but no more restrictive than, attendance at a full-day face-to-face workshop in London. </w:t>
      </w:r>
    </w:p>
    <w:p w14:paraId="44EA7730" w14:textId="54F7A81C" w:rsidR="00C76B91" w:rsidRPr="00EA127E" w:rsidRDefault="00E321B6" w:rsidP="005F0700">
      <w:pPr>
        <w:autoSpaceDE w:val="0"/>
        <w:autoSpaceDN w:val="0"/>
        <w:adjustRightInd w:val="0"/>
      </w:pPr>
      <w:r w:rsidRPr="00EA127E">
        <w:rPr>
          <w:rFonts w:cs="OpenSans"/>
        </w:rPr>
        <w:t>Regardless of best efforts to optimise the diversity of people engaging in all three key elements of the OTPSP, the significant majority were white</w:t>
      </w:r>
      <w:r w:rsidR="00C76B91" w:rsidRPr="00EA127E">
        <w:rPr>
          <w:rFonts w:cs="OpenSans"/>
        </w:rPr>
        <w:t>. Under-representation of the voices of those from minorit</w:t>
      </w:r>
      <w:r w:rsidR="00645979">
        <w:rPr>
          <w:rFonts w:cs="OpenSans"/>
        </w:rPr>
        <w:t>y</w:t>
      </w:r>
      <w:r w:rsidR="00C76B91" w:rsidRPr="00EA127E">
        <w:rPr>
          <w:rFonts w:cs="OpenSans"/>
        </w:rPr>
        <w:t xml:space="preserve"> ethnic groups is a recognised limitation in many PSPs (Finer et al. 2018, Rankin et al. 2020), but RCOT will draw on the learning from </w:t>
      </w:r>
      <w:r w:rsidR="00841765" w:rsidRPr="00EA127E">
        <w:rPr>
          <w:rFonts w:cs="OpenSans"/>
        </w:rPr>
        <w:t>the OTPSP</w:t>
      </w:r>
      <w:r w:rsidR="00C76B91" w:rsidRPr="00EA127E">
        <w:rPr>
          <w:rFonts w:cs="OpenSans"/>
        </w:rPr>
        <w:t xml:space="preserve"> experience to inform</w:t>
      </w:r>
      <w:r w:rsidR="00841765" w:rsidRPr="00EA127E">
        <w:rPr>
          <w:rFonts w:cs="OpenSans"/>
        </w:rPr>
        <w:t xml:space="preserve"> and enhance its approach</w:t>
      </w:r>
      <w:r w:rsidR="00C76B91" w:rsidRPr="00EA127E">
        <w:rPr>
          <w:rFonts w:cs="OpenSans"/>
        </w:rPr>
        <w:t xml:space="preserve"> </w:t>
      </w:r>
      <w:r w:rsidR="00841765" w:rsidRPr="00EA127E">
        <w:rPr>
          <w:rFonts w:cs="OpenSans"/>
        </w:rPr>
        <w:t xml:space="preserve">to </w:t>
      </w:r>
      <w:r w:rsidR="00C76B91" w:rsidRPr="00EA127E">
        <w:rPr>
          <w:rFonts w:cs="OpenSans"/>
        </w:rPr>
        <w:t>future work in this area</w:t>
      </w:r>
      <w:r w:rsidR="00841765" w:rsidRPr="00EA127E">
        <w:rPr>
          <w:rFonts w:cs="OpenSans"/>
        </w:rPr>
        <w:t xml:space="preserve"> (RCOT 2021)</w:t>
      </w:r>
      <w:r w:rsidR="00C76B91" w:rsidRPr="00EA127E">
        <w:rPr>
          <w:rFonts w:cs="OpenSans"/>
        </w:rPr>
        <w:t xml:space="preserve">. </w:t>
      </w:r>
      <w:r w:rsidR="00C76B91" w:rsidRPr="00EA127E">
        <w:t xml:space="preserve">The vast majority of survey respondents were female and aged between 25 and 64 years, which reflects the profile of the occupational therapy workforce and </w:t>
      </w:r>
      <w:r w:rsidR="00841765" w:rsidRPr="00EA127E">
        <w:t>learner</w:t>
      </w:r>
      <w:r w:rsidR="00C76B91" w:rsidRPr="00EA127E">
        <w:t xml:space="preserve"> population, and their predominance in the responses received. Although people with lived experience engaged comparatively positively with the surveys, </w:t>
      </w:r>
      <w:r w:rsidR="005F0700" w:rsidRPr="00EA127E">
        <w:t xml:space="preserve">the number of respondents </w:t>
      </w:r>
      <w:r w:rsidR="00C76B91" w:rsidRPr="00EA127E">
        <w:t xml:space="preserve">identifying as disabled </w:t>
      </w:r>
      <w:r w:rsidR="005F0700" w:rsidRPr="00EA127E">
        <w:t>were</w:t>
      </w:r>
      <w:r w:rsidR="00C76B91" w:rsidRPr="00EA127E">
        <w:t xml:space="preserve"> below the national figure of approximately 18% (Office for National Statistics 2013, UK Census Data 2011). Nevertheless, this represents a significant improvement on the previous research priorities for occupational therapy in the UK, which did not actively include the perspectives of those accessing services (COT 2007).</w:t>
      </w:r>
    </w:p>
    <w:p w14:paraId="71EB33EB" w14:textId="77777777" w:rsidR="007D186E" w:rsidRPr="00EA127E" w:rsidRDefault="002C7345" w:rsidP="005F0700">
      <w:pPr>
        <w:autoSpaceDE w:val="0"/>
        <w:autoSpaceDN w:val="0"/>
        <w:adjustRightInd w:val="0"/>
        <w:rPr>
          <w:u w:val="single"/>
        </w:rPr>
      </w:pPr>
      <w:r w:rsidRPr="00EA127E">
        <w:rPr>
          <w:u w:val="single"/>
        </w:rPr>
        <w:t>Beyond the Top 10</w:t>
      </w:r>
    </w:p>
    <w:p w14:paraId="6733A326" w14:textId="77777777" w:rsidR="00C76B91" w:rsidRPr="00EA127E" w:rsidRDefault="00154311" w:rsidP="00E321B6">
      <w:pPr>
        <w:autoSpaceDE w:val="0"/>
        <w:autoSpaceDN w:val="0"/>
        <w:adjustRightInd w:val="0"/>
        <w:rPr>
          <w:rFonts w:cs="Arial"/>
        </w:rPr>
      </w:pPr>
      <w:r w:rsidRPr="00EA127E">
        <w:rPr>
          <w:rFonts w:cs="Arial"/>
        </w:rPr>
        <w:t>As identified by Staley et al (2020), there are more benefits to a PSP than the primary goal of identifying a Top 10. Amongst them are individual and organisational benefits.</w:t>
      </w:r>
      <w:r w:rsidR="007D186E" w:rsidRPr="00EA127E">
        <w:rPr>
          <w:rFonts w:cs="Arial"/>
        </w:rPr>
        <w:t xml:space="preserve"> In feedback received from participants in the final prioritisation workshop, an occupational therapist observed:</w:t>
      </w:r>
    </w:p>
    <w:p w14:paraId="4306CE7C" w14:textId="77777777" w:rsidR="007D186E" w:rsidRPr="00EA127E" w:rsidRDefault="007D186E" w:rsidP="007D186E">
      <w:pPr>
        <w:pStyle w:val="ListParagraph"/>
        <w:ind w:left="567" w:right="798"/>
        <w:rPr>
          <w:rFonts w:cs="Arial"/>
          <w:i/>
        </w:rPr>
      </w:pPr>
      <w:r w:rsidRPr="00EA127E">
        <w:rPr>
          <w:rFonts w:cs="Arial"/>
          <w:i/>
        </w:rPr>
        <w:t>“It was very useful to have people with lived experience of accessing services as part of the groups, their views and priorities were very different from mine on some and very similar on other</w:t>
      </w:r>
      <w:r w:rsidR="00B33A67" w:rsidRPr="00EA127E">
        <w:rPr>
          <w:rFonts w:cs="Arial"/>
          <w:i/>
        </w:rPr>
        <w:t>s,</w:t>
      </w:r>
      <w:r w:rsidRPr="00EA127E">
        <w:rPr>
          <w:rFonts w:cs="Arial"/>
          <w:i/>
        </w:rPr>
        <w:t xml:space="preserve"> but for different reasons.”</w:t>
      </w:r>
    </w:p>
    <w:p w14:paraId="772C312D" w14:textId="77777777" w:rsidR="007D186E" w:rsidRPr="00EA127E" w:rsidRDefault="007D186E" w:rsidP="00E321B6">
      <w:pPr>
        <w:autoSpaceDE w:val="0"/>
        <w:autoSpaceDN w:val="0"/>
        <w:adjustRightInd w:val="0"/>
        <w:rPr>
          <w:rFonts w:cs="OpenSans"/>
        </w:rPr>
      </w:pPr>
      <w:r w:rsidRPr="00EA127E">
        <w:rPr>
          <w:rFonts w:cs="OpenSans"/>
        </w:rPr>
        <w:t xml:space="preserve">The co-production approach underpinning the OTPSP highlighted some important differences in perspectives between those with lived and professional </w:t>
      </w:r>
      <w:r w:rsidR="00B33A67" w:rsidRPr="00EA127E">
        <w:rPr>
          <w:rFonts w:cs="OpenSans"/>
        </w:rPr>
        <w:t>experience</w:t>
      </w:r>
      <w:r w:rsidRPr="00EA127E">
        <w:rPr>
          <w:rFonts w:cs="OpenSans"/>
        </w:rPr>
        <w:t xml:space="preserve">, as this feedback from a </w:t>
      </w:r>
      <w:r w:rsidR="002C7345" w:rsidRPr="00EA127E">
        <w:rPr>
          <w:rFonts w:cs="OpenSans"/>
        </w:rPr>
        <w:t>workshop participant with lived experience illustrates:</w:t>
      </w:r>
    </w:p>
    <w:p w14:paraId="75678C25" w14:textId="77777777" w:rsidR="002C7345" w:rsidRPr="00EA127E" w:rsidRDefault="002C7345" w:rsidP="002C7345">
      <w:pPr>
        <w:autoSpaceDE w:val="0"/>
        <w:autoSpaceDN w:val="0"/>
        <w:adjustRightInd w:val="0"/>
        <w:ind w:left="567" w:right="946"/>
        <w:rPr>
          <w:rFonts w:cs="OpenSans"/>
        </w:rPr>
      </w:pPr>
      <w:r w:rsidRPr="00EA127E">
        <w:rPr>
          <w:rFonts w:cs="Arial"/>
        </w:rPr>
        <w:t>“</w:t>
      </w:r>
      <w:r w:rsidRPr="00EA127E">
        <w:rPr>
          <w:rFonts w:cs="Arial"/>
          <w:i/>
        </w:rPr>
        <w:t>What was very interesting was that carers and service users were very clear that person-centred practice was really important but many OTs actually hadn’t included this in their top 10 because as far as they were concerned, this always happened anyway. The lived experience of those receiving services was clearly very different to this in a time of budget cuts, slim eligibility criteria and rationing of services. I hope that these discussions helped the OTs to understand that one of their central professional tenets is not currently being translated into everyday practice</w:t>
      </w:r>
      <w:r w:rsidRPr="00EA127E">
        <w:rPr>
          <w:rFonts w:cs="Arial"/>
        </w:rPr>
        <w:t>.”</w:t>
      </w:r>
    </w:p>
    <w:p w14:paraId="207870F0" w14:textId="77777777" w:rsidR="0039280C" w:rsidRPr="00EA127E" w:rsidRDefault="007C22EA" w:rsidP="00515918">
      <w:pPr>
        <w:autoSpaceDE w:val="0"/>
        <w:autoSpaceDN w:val="0"/>
        <w:adjustRightInd w:val="0"/>
        <w:rPr>
          <w:rFonts w:cs="Arial"/>
        </w:rPr>
      </w:pPr>
      <w:r w:rsidRPr="00EA127E">
        <w:t xml:space="preserve">There have also been benefits from </w:t>
      </w:r>
      <w:r w:rsidR="002C7345" w:rsidRPr="00EA127E">
        <w:t>an organisational perspective</w:t>
      </w:r>
      <w:r w:rsidRPr="00EA127E">
        <w:t xml:space="preserve">. </w:t>
      </w:r>
      <w:r w:rsidR="00515918" w:rsidRPr="00EA127E">
        <w:t xml:space="preserve">RCOT has declared its commitment to change and to leading the way to improve diversity, equality and inclusion for the profession. As part of this journey, it is recognised that the reactive approach to optimising </w:t>
      </w:r>
      <w:r w:rsidR="002C7345" w:rsidRPr="00EA127E">
        <w:rPr>
          <w:rFonts w:cs="Arial"/>
        </w:rPr>
        <w:t xml:space="preserve">the diversity of people engaging in all three key elements of the </w:t>
      </w:r>
      <w:r w:rsidR="00515918" w:rsidRPr="00EA127E">
        <w:rPr>
          <w:rFonts w:cs="Arial"/>
        </w:rPr>
        <w:t>OT</w:t>
      </w:r>
      <w:r w:rsidR="002C7345" w:rsidRPr="00EA127E">
        <w:rPr>
          <w:rFonts w:cs="Arial"/>
        </w:rPr>
        <w:t>PSP</w:t>
      </w:r>
      <w:r w:rsidR="00515918" w:rsidRPr="00EA127E">
        <w:rPr>
          <w:rFonts w:cs="Arial"/>
        </w:rPr>
        <w:t xml:space="preserve"> was inadequate. </w:t>
      </w:r>
      <w:r w:rsidR="00516E33" w:rsidRPr="00EA127E">
        <w:rPr>
          <w:rFonts w:cs="Arial"/>
        </w:rPr>
        <w:t xml:space="preserve">The process </w:t>
      </w:r>
      <w:r w:rsidR="0039280C" w:rsidRPr="00EA127E">
        <w:rPr>
          <w:rFonts w:cs="Arial"/>
        </w:rPr>
        <w:lastRenderedPageBreak/>
        <w:t xml:space="preserve">highlighted the fundamental importance of taking time to build trust and strong working relationships </w:t>
      </w:r>
      <w:r w:rsidR="00C3460D" w:rsidRPr="00EA127E">
        <w:rPr>
          <w:rFonts w:cs="Arial"/>
        </w:rPr>
        <w:t xml:space="preserve">with representative organisations and their communities </w:t>
      </w:r>
      <w:r w:rsidR="0039280C" w:rsidRPr="00EA127E">
        <w:rPr>
          <w:rFonts w:cs="Arial"/>
        </w:rPr>
        <w:t>as a necessary precursor</w:t>
      </w:r>
      <w:r w:rsidR="00C3460D" w:rsidRPr="00EA127E">
        <w:rPr>
          <w:rFonts w:cs="Arial"/>
        </w:rPr>
        <w:t xml:space="preserve"> to engaging meaningfully and effectively with them, which is likely to be best achieved through </w:t>
      </w:r>
      <w:r w:rsidR="0039280C" w:rsidRPr="00EA127E">
        <w:rPr>
          <w:rFonts w:cs="Arial"/>
        </w:rPr>
        <w:t>face-to-face contact.</w:t>
      </w:r>
      <w:r w:rsidR="00C3460D" w:rsidRPr="00EA127E">
        <w:rPr>
          <w:rFonts w:cs="Arial"/>
        </w:rPr>
        <w:t xml:space="preserve"> This learning will be </w:t>
      </w:r>
      <w:r w:rsidR="00957F90" w:rsidRPr="00EA127E">
        <w:rPr>
          <w:rFonts w:cs="Arial"/>
        </w:rPr>
        <w:t xml:space="preserve">relevant to future PSPs and will be </w:t>
      </w:r>
      <w:r w:rsidR="00C3460D" w:rsidRPr="00EA127E">
        <w:rPr>
          <w:rFonts w:cs="Arial"/>
        </w:rPr>
        <w:t xml:space="preserve">carried forward as RCOT </w:t>
      </w:r>
      <w:r w:rsidR="006C0854" w:rsidRPr="00EA127E">
        <w:rPr>
          <w:rFonts w:cs="Arial"/>
        </w:rPr>
        <w:t>seeks to make progress against the diversity and inclusion progression framework for professional bodies (Royal Academy of Engineering and Science Council 2021).</w:t>
      </w:r>
    </w:p>
    <w:p w14:paraId="479166A7" w14:textId="77777777" w:rsidR="001710C5" w:rsidRPr="00EA127E" w:rsidRDefault="002C7345" w:rsidP="00923D5C">
      <w:pPr>
        <w:autoSpaceDE w:val="0"/>
        <w:autoSpaceDN w:val="0"/>
        <w:adjustRightInd w:val="0"/>
        <w:rPr>
          <w:rFonts w:cs="Arial"/>
        </w:rPr>
      </w:pPr>
      <w:r w:rsidRPr="00EA127E">
        <w:rPr>
          <w:rFonts w:cs="Arial"/>
        </w:rPr>
        <w:t xml:space="preserve">The experiences and learning from the OTPSP have </w:t>
      </w:r>
      <w:r w:rsidR="007C22EA" w:rsidRPr="00EA127E">
        <w:rPr>
          <w:rFonts w:cs="Arial"/>
        </w:rPr>
        <w:t xml:space="preserve">also </w:t>
      </w:r>
      <w:r w:rsidRPr="00EA127E">
        <w:rPr>
          <w:rFonts w:cs="Arial"/>
        </w:rPr>
        <w:t xml:space="preserve">strengthened </w:t>
      </w:r>
      <w:r w:rsidR="007C22EA" w:rsidRPr="00EA127E">
        <w:rPr>
          <w:rFonts w:cs="Arial"/>
        </w:rPr>
        <w:t xml:space="preserve">organisational </w:t>
      </w:r>
      <w:r w:rsidRPr="00EA127E">
        <w:rPr>
          <w:rFonts w:cs="Arial"/>
        </w:rPr>
        <w:t>resolve to actively engage with people who access services and the public in genuine co-production in other areas of work</w:t>
      </w:r>
      <w:r w:rsidR="005D664C" w:rsidRPr="00EA127E">
        <w:rPr>
          <w:rFonts w:cs="Arial"/>
        </w:rPr>
        <w:t xml:space="preserve"> (RCOT 2019, p12)</w:t>
      </w:r>
      <w:r w:rsidRPr="00EA127E">
        <w:rPr>
          <w:rFonts w:cs="Arial"/>
        </w:rPr>
        <w:t xml:space="preserve">. </w:t>
      </w:r>
      <w:r w:rsidR="005D664C" w:rsidRPr="00EA127E">
        <w:rPr>
          <w:rFonts w:cs="Arial"/>
        </w:rPr>
        <w:t xml:space="preserve">Based on the co-produced policies and processes </w:t>
      </w:r>
      <w:r w:rsidR="007C22EA" w:rsidRPr="00EA127E">
        <w:rPr>
          <w:rFonts w:cs="Arial"/>
        </w:rPr>
        <w:t>developed by</w:t>
      </w:r>
      <w:r w:rsidR="005D664C" w:rsidRPr="00EA127E">
        <w:rPr>
          <w:rFonts w:cs="Arial"/>
        </w:rPr>
        <w:t xml:space="preserve"> a public and patient involvement task and finish group, at the time of writing, recruitment </w:t>
      </w:r>
      <w:r w:rsidRPr="00EA127E">
        <w:rPr>
          <w:rFonts w:cs="Arial"/>
        </w:rPr>
        <w:t xml:space="preserve">of public contributors </w:t>
      </w:r>
      <w:r w:rsidR="005D664C" w:rsidRPr="00EA127E">
        <w:rPr>
          <w:rFonts w:cs="Arial"/>
        </w:rPr>
        <w:t>to</w:t>
      </w:r>
      <w:r w:rsidRPr="00EA127E">
        <w:rPr>
          <w:rFonts w:cs="Arial"/>
        </w:rPr>
        <w:t xml:space="preserve"> the RCOT Research Foundation Advisory Group </w:t>
      </w:r>
      <w:r w:rsidR="005D664C" w:rsidRPr="00EA127E">
        <w:rPr>
          <w:rFonts w:cs="Arial"/>
        </w:rPr>
        <w:t>is underway. F</w:t>
      </w:r>
      <w:r w:rsidRPr="00EA127E">
        <w:rPr>
          <w:rFonts w:cs="Arial"/>
        </w:rPr>
        <w:t>urther developments in this area will follow, illustrating the lasting impact the OTPSP has had on the organisation’s culture and ways of working.</w:t>
      </w:r>
    </w:p>
    <w:p w14:paraId="301BE8BD" w14:textId="70CAE456" w:rsidR="002C7345" w:rsidRPr="00EA127E" w:rsidRDefault="00A0076D" w:rsidP="00923D5C">
      <w:pPr>
        <w:autoSpaceDE w:val="0"/>
        <w:autoSpaceDN w:val="0"/>
        <w:adjustRightInd w:val="0"/>
      </w:pPr>
      <w:r w:rsidRPr="00EA127E">
        <w:t xml:space="preserve">The Top 10 were well received on their launch on July 30th 2020. </w:t>
      </w:r>
      <w:r w:rsidR="007854C9" w:rsidRPr="00EA127E">
        <w:t>Regardless of their position on the spectrum of research engagement (RCOT 2019), o</w:t>
      </w:r>
      <w:r w:rsidR="004B4E0F" w:rsidRPr="00EA127E">
        <w:t>pportunities for occupational therapists and students from across the UK and beyond</w:t>
      </w:r>
      <w:r w:rsidR="00ED43C6" w:rsidRPr="00EA127E">
        <w:t xml:space="preserve"> </w:t>
      </w:r>
      <w:r w:rsidR="004B4E0F" w:rsidRPr="00EA127E">
        <w:t xml:space="preserve">to contribute to addressing the Top 10 have been identified and promoted (RCOT 2021, p33). </w:t>
      </w:r>
      <w:r w:rsidR="00656823" w:rsidRPr="00EA127E">
        <w:t>For example, w</w:t>
      </w:r>
      <w:r w:rsidRPr="00EA127E">
        <w:t xml:space="preserve">ith immediate effect, they have been explicitly linked to the funding available through the RCOT Research Foundation. Work has </w:t>
      </w:r>
      <w:r w:rsidR="00656823" w:rsidRPr="00EA127E">
        <w:t xml:space="preserve">also </w:t>
      </w:r>
      <w:r w:rsidRPr="00EA127E">
        <w:t xml:space="preserve">begun to support RCOT Specialist Sections to </w:t>
      </w:r>
      <w:r w:rsidR="007C22EA" w:rsidRPr="00EA127E">
        <w:t>engage</w:t>
      </w:r>
      <w:r w:rsidRPr="00EA127E">
        <w:t xml:space="preserve"> with relevant sections of the originally submitted uncertainties</w:t>
      </w:r>
      <w:r w:rsidR="007C22EA" w:rsidRPr="00EA127E">
        <w:t>,</w:t>
      </w:r>
      <w:r w:rsidRPr="00EA127E">
        <w:t xml:space="preserve"> and with public contributors</w:t>
      </w:r>
      <w:r w:rsidR="007C22EA" w:rsidRPr="00EA127E">
        <w:t>,</w:t>
      </w:r>
      <w:r w:rsidRPr="00EA127E">
        <w:t xml:space="preserve"> to translate the Top 10 into more focussed research questions related to their areas of practice. Initial work has commenced with the National Institute for Health Research and </w:t>
      </w:r>
      <w:r w:rsidR="008619E5" w:rsidRPr="00EA127E">
        <w:t xml:space="preserve">with </w:t>
      </w:r>
      <w:r w:rsidRPr="00EA127E">
        <w:t xml:space="preserve">occupational therapy specific </w:t>
      </w:r>
      <w:r w:rsidR="00D7192D" w:rsidRPr="00EA127E">
        <w:t xml:space="preserve">charitable </w:t>
      </w:r>
      <w:r w:rsidRPr="00EA127E">
        <w:t>Trusts offering research funding to explore how the Top 10 might be interpreted and fit within</w:t>
      </w:r>
      <w:r w:rsidR="008619E5" w:rsidRPr="00EA127E">
        <w:t>, and therefore be supported by,</w:t>
      </w:r>
      <w:r w:rsidRPr="00EA127E">
        <w:t xml:space="preserve"> their own priority funding areas. The long list of 66 summary questions and the submitted uncertainties are openly accessible via the RCOT and JLA websites, to </w:t>
      </w:r>
      <w:r w:rsidR="008619E5" w:rsidRPr="00EA127E">
        <w:t>enable</w:t>
      </w:r>
      <w:r w:rsidRPr="00EA127E">
        <w:t xml:space="preserve"> researchers to </w:t>
      </w:r>
      <w:r w:rsidR="008619E5" w:rsidRPr="00EA127E">
        <w:t xml:space="preserve">explore and respond to all of the unanswered question raised </w:t>
      </w:r>
      <w:r w:rsidR="007C22EA" w:rsidRPr="00EA127E">
        <w:t>during the opening consultation survey</w:t>
      </w:r>
      <w:r w:rsidR="008619E5" w:rsidRPr="00EA127E">
        <w:t>. There is also scope to cross-reference the Top 10 priorities for occupational therapy against those of more s</w:t>
      </w:r>
      <w:r w:rsidR="008619E5" w:rsidRPr="00EA127E">
        <w:rPr>
          <w:rFonts w:cs="Arial"/>
        </w:rPr>
        <w:t>ubject specific PSPs (e.g. palliative and end of life care, dementia, depression, childhood disability, amongst a range of others) to focus their research in particular contexts.</w:t>
      </w:r>
    </w:p>
    <w:p w14:paraId="39BC6CDB" w14:textId="77777777" w:rsidR="00A0076D" w:rsidRPr="00EA127E" w:rsidRDefault="00A0076D" w:rsidP="00923D5C">
      <w:pPr>
        <w:autoSpaceDE w:val="0"/>
        <w:autoSpaceDN w:val="0"/>
        <w:adjustRightInd w:val="0"/>
        <w:rPr>
          <w:b/>
        </w:rPr>
      </w:pPr>
      <w:r w:rsidRPr="00EA127E">
        <w:rPr>
          <w:b/>
        </w:rPr>
        <w:t>Conclusion</w:t>
      </w:r>
    </w:p>
    <w:p w14:paraId="0CA8F15E" w14:textId="77777777" w:rsidR="00951111" w:rsidRPr="00EA127E" w:rsidRDefault="00951111" w:rsidP="00951111">
      <w:r w:rsidRPr="00EA127E">
        <w:rPr>
          <w:rFonts w:cs="Arial"/>
        </w:rPr>
        <w:t xml:space="preserve">The Top 10 research priorities for occupational therapy in the UK have been identified using the robust and transparent </w:t>
      </w:r>
      <w:r w:rsidR="007C22EA" w:rsidRPr="00EA127E">
        <w:rPr>
          <w:rFonts w:cs="Arial"/>
        </w:rPr>
        <w:t xml:space="preserve">JLA </w:t>
      </w:r>
      <w:r w:rsidRPr="00EA127E">
        <w:rPr>
          <w:rFonts w:cs="Arial"/>
        </w:rPr>
        <w:t>methodology. This approach</w:t>
      </w:r>
      <w:r w:rsidR="00E41124" w:rsidRPr="00EA127E">
        <w:rPr>
          <w:rFonts w:cs="Arial"/>
        </w:rPr>
        <w:t xml:space="preserve"> explicitly affords</w:t>
      </w:r>
      <w:r w:rsidRPr="00EA127E">
        <w:rPr>
          <w:rFonts w:cs="Arial"/>
        </w:rPr>
        <w:t xml:space="preserve"> equal voice to the perspectives</w:t>
      </w:r>
      <w:r w:rsidR="0051471C" w:rsidRPr="00EA127E">
        <w:rPr>
          <w:rFonts w:cs="Arial"/>
        </w:rPr>
        <w:t xml:space="preserve"> of</w:t>
      </w:r>
      <w:r w:rsidRPr="00EA127E">
        <w:rPr>
          <w:rFonts w:cs="Arial"/>
        </w:rPr>
        <w:t xml:space="preserve"> people with lived experience of accessing services and the healthcare professionals offering them</w:t>
      </w:r>
      <w:r w:rsidR="00E41124" w:rsidRPr="00EA127E">
        <w:rPr>
          <w:rFonts w:cs="Arial"/>
        </w:rPr>
        <w:t xml:space="preserve">, which is of </w:t>
      </w:r>
      <w:r w:rsidR="00E41124" w:rsidRPr="00EA127E">
        <w:t xml:space="preserve">fundamental importance given the considerable potential for very different views between these two groups. </w:t>
      </w:r>
      <w:r w:rsidR="0012269F" w:rsidRPr="00EA127E">
        <w:rPr>
          <w:rFonts w:cs="Arial"/>
        </w:rPr>
        <w:t xml:space="preserve">In providing a framework to influence and guide future research, </w:t>
      </w:r>
      <w:r w:rsidRPr="00EA127E">
        <w:rPr>
          <w:rFonts w:cs="Arial"/>
        </w:rPr>
        <w:t xml:space="preserve">the </w:t>
      </w:r>
      <w:r w:rsidRPr="00EA127E">
        <w:t>target audience of the Top</w:t>
      </w:r>
      <w:r w:rsidR="0012269F" w:rsidRPr="00EA127E">
        <w:t xml:space="preserve"> </w:t>
      </w:r>
      <w:r w:rsidRPr="00EA127E">
        <w:t>10 is researchers and research-funding bodies</w:t>
      </w:r>
      <w:r w:rsidR="0012269F" w:rsidRPr="00EA127E">
        <w:t>. However</w:t>
      </w:r>
      <w:r w:rsidRPr="00EA127E">
        <w:t>, the intended beneficiaries</w:t>
      </w:r>
      <w:r w:rsidR="0012269F" w:rsidRPr="00EA127E">
        <w:t xml:space="preserve"> are </w:t>
      </w:r>
      <w:r w:rsidR="00E41124" w:rsidRPr="00EA127E">
        <w:t xml:space="preserve">undoubtedly </w:t>
      </w:r>
      <w:r w:rsidR="0012269F" w:rsidRPr="00EA127E">
        <w:t xml:space="preserve">the </w:t>
      </w:r>
      <w:r w:rsidRPr="00EA127E">
        <w:t>people who access and deliver occupational therapy services.</w:t>
      </w:r>
      <w:r w:rsidR="00E27D5F" w:rsidRPr="00EA127E">
        <w:t xml:space="preserve"> </w:t>
      </w:r>
      <w:r w:rsidR="0012269F" w:rsidRPr="00EA127E">
        <w:t xml:space="preserve">The Top 10 </w:t>
      </w:r>
      <w:r w:rsidR="0012269F" w:rsidRPr="00EA127E">
        <w:rPr>
          <w:rFonts w:cs="Arial"/>
          <w:bCs/>
        </w:rPr>
        <w:t>are flexible and translatable into focused research questions relevant to</w:t>
      </w:r>
      <w:r w:rsidR="0012269F" w:rsidRPr="00EA127E">
        <w:rPr>
          <w:rFonts w:cs="Arial"/>
        </w:rPr>
        <w:t xml:space="preserve"> the full range of contexts within which occupational therapists practise.</w:t>
      </w:r>
      <w:r w:rsidR="00E41124" w:rsidRPr="00EA127E">
        <w:rPr>
          <w:rFonts w:cs="Arial"/>
        </w:rPr>
        <w:t xml:space="preserve"> They are envisaged as </w:t>
      </w:r>
      <w:r w:rsidR="00E41124" w:rsidRPr="00EA127E">
        <w:t>medium to long term prioriti</w:t>
      </w:r>
      <w:r w:rsidR="0051471C" w:rsidRPr="00EA127E">
        <w:t>es, and the proposal is to revi</w:t>
      </w:r>
      <w:r w:rsidR="00E41124" w:rsidRPr="00EA127E">
        <w:t>e</w:t>
      </w:r>
      <w:r w:rsidR="0051471C" w:rsidRPr="00EA127E">
        <w:t>w</w:t>
      </w:r>
      <w:r w:rsidR="00E41124" w:rsidRPr="00EA127E">
        <w:t xml:space="preserve"> progress </w:t>
      </w:r>
      <w:r w:rsidR="007C22EA" w:rsidRPr="00EA127E">
        <w:t xml:space="preserve">against them </w:t>
      </w:r>
      <w:r w:rsidR="00E41124" w:rsidRPr="00EA127E">
        <w:t xml:space="preserve">in approximately five years. </w:t>
      </w:r>
      <w:r w:rsidR="00E27D5F" w:rsidRPr="00EA127E">
        <w:t xml:space="preserve">Further work </w:t>
      </w:r>
      <w:r w:rsidR="007C22EA" w:rsidRPr="00EA127E">
        <w:t xml:space="preserve">is needed </w:t>
      </w:r>
      <w:r w:rsidR="00E27D5F" w:rsidRPr="00EA127E">
        <w:t>to measure the impact of the OTPSP in terms of the influencing research funding bodies and the research community’s engagement with them</w:t>
      </w:r>
      <w:r w:rsidR="0012269F" w:rsidRPr="00EA127E">
        <w:t>.</w:t>
      </w:r>
    </w:p>
    <w:p w14:paraId="48405487" w14:textId="77777777" w:rsidR="007C22EA" w:rsidRPr="00EA127E" w:rsidRDefault="007C22EA" w:rsidP="003428B9">
      <w:pPr>
        <w:rPr>
          <w:b/>
        </w:rPr>
      </w:pPr>
    </w:p>
    <w:p w14:paraId="66F78D6A" w14:textId="77777777" w:rsidR="000507B2" w:rsidRPr="00EA127E" w:rsidRDefault="000507B2" w:rsidP="003428B9">
      <w:pPr>
        <w:rPr>
          <w:b/>
        </w:rPr>
      </w:pPr>
    </w:p>
    <w:p w14:paraId="41F91B8F" w14:textId="77777777" w:rsidR="003428B9" w:rsidRPr="00EA127E" w:rsidRDefault="003428B9" w:rsidP="003428B9">
      <w:pPr>
        <w:rPr>
          <w:rFonts w:cs="Helvetica"/>
          <w:lang w:val="en"/>
        </w:rPr>
      </w:pPr>
      <w:r w:rsidRPr="00EA127E">
        <w:rPr>
          <w:b/>
        </w:rPr>
        <w:t xml:space="preserve">KEY FINDINGS </w:t>
      </w:r>
    </w:p>
    <w:p w14:paraId="0CA3270D" w14:textId="77777777" w:rsidR="003428B9" w:rsidRPr="00EA127E" w:rsidRDefault="003428B9" w:rsidP="003428B9">
      <w:pPr>
        <w:pStyle w:val="ListParagraph"/>
        <w:numPr>
          <w:ilvl w:val="0"/>
          <w:numId w:val="23"/>
        </w:numPr>
        <w:rPr>
          <w:rFonts w:cs="Arial"/>
        </w:rPr>
      </w:pPr>
      <w:r w:rsidRPr="00EA127E">
        <w:rPr>
          <w:rFonts w:cs="Arial"/>
        </w:rPr>
        <w:t>The Top 10 research priorities for occupational therapy in the UK have been identified.</w:t>
      </w:r>
    </w:p>
    <w:p w14:paraId="6A1DD8FD" w14:textId="77777777" w:rsidR="003428B9" w:rsidRPr="00EA127E" w:rsidRDefault="003428B9" w:rsidP="003428B9">
      <w:pPr>
        <w:pStyle w:val="ListParagraph"/>
        <w:numPr>
          <w:ilvl w:val="0"/>
          <w:numId w:val="23"/>
        </w:numPr>
        <w:rPr>
          <w:rFonts w:cs="Arial"/>
        </w:rPr>
      </w:pPr>
      <w:r w:rsidRPr="00EA127E">
        <w:rPr>
          <w:rFonts w:cs="Arial"/>
        </w:rPr>
        <w:t xml:space="preserve">They are based on the issues that matter most to people accessing and delivering services. </w:t>
      </w:r>
    </w:p>
    <w:p w14:paraId="161A55C1" w14:textId="77777777" w:rsidR="00BD3715" w:rsidRPr="00EA127E" w:rsidRDefault="00BD3715" w:rsidP="00BD3715">
      <w:pPr>
        <w:rPr>
          <w:rFonts w:cs="Arial"/>
        </w:rPr>
      </w:pPr>
    </w:p>
    <w:p w14:paraId="0B58798D" w14:textId="77777777" w:rsidR="000507B2" w:rsidRPr="00EA127E" w:rsidRDefault="000507B2" w:rsidP="00BD3715">
      <w:pPr>
        <w:rPr>
          <w:rFonts w:cs="Arial"/>
        </w:rPr>
      </w:pPr>
    </w:p>
    <w:p w14:paraId="5C3BBEAF" w14:textId="77777777" w:rsidR="003428B9" w:rsidRPr="00EA127E" w:rsidRDefault="003428B9" w:rsidP="003428B9">
      <w:pPr>
        <w:autoSpaceDE w:val="0"/>
        <w:autoSpaceDN w:val="0"/>
        <w:adjustRightInd w:val="0"/>
        <w:rPr>
          <w:rFonts w:cs="Helvetica"/>
          <w:lang w:val="en"/>
        </w:rPr>
      </w:pPr>
      <w:r w:rsidRPr="00EA127E">
        <w:rPr>
          <w:rFonts w:cs="Helvetica"/>
          <w:b/>
          <w:lang w:val="en"/>
        </w:rPr>
        <w:t>WHAT THE STUDY HAS ADDED</w:t>
      </w:r>
      <w:r w:rsidRPr="00EA127E">
        <w:rPr>
          <w:rFonts w:cs="Helvetica"/>
          <w:lang w:val="en"/>
        </w:rPr>
        <w:t xml:space="preserve"> </w:t>
      </w:r>
    </w:p>
    <w:p w14:paraId="7B0F1CB5" w14:textId="77777777" w:rsidR="00C36F4D" w:rsidRPr="00EA127E" w:rsidRDefault="00C36F4D" w:rsidP="003403A7">
      <w:pPr>
        <w:rPr>
          <w:rFonts w:cs="Helvetica"/>
          <w:lang w:val="en"/>
        </w:rPr>
      </w:pPr>
      <w:r w:rsidRPr="00EA127E">
        <w:rPr>
          <w:rFonts w:cs="Helvetica"/>
          <w:lang w:val="en"/>
        </w:rPr>
        <w:t>The Top 10 provides a contemporary framework to influence and guide future occupational therapy related research, ensuring that it addresses the issues of greatest importance to the people accessing and delivering services.</w:t>
      </w:r>
    </w:p>
    <w:p w14:paraId="0DCD437E" w14:textId="77777777" w:rsidR="00C36F4D" w:rsidRPr="00EA127E" w:rsidRDefault="00C36F4D" w:rsidP="003403A7">
      <w:pPr>
        <w:rPr>
          <w:b/>
          <w:color w:val="C00000"/>
        </w:rPr>
      </w:pPr>
    </w:p>
    <w:p w14:paraId="16A2F671" w14:textId="77777777" w:rsidR="00BD3715" w:rsidRPr="00EA127E" w:rsidRDefault="00BD3715">
      <w:pPr>
        <w:rPr>
          <w:b/>
        </w:rPr>
      </w:pPr>
      <w:r w:rsidRPr="00EA127E">
        <w:rPr>
          <w:b/>
        </w:rPr>
        <w:br w:type="page"/>
      </w:r>
    </w:p>
    <w:p w14:paraId="04D51356" w14:textId="77777777" w:rsidR="008031B8" w:rsidRPr="00EA127E" w:rsidRDefault="008031B8" w:rsidP="00B8275E">
      <w:pPr>
        <w:rPr>
          <w:b/>
        </w:rPr>
      </w:pPr>
      <w:r w:rsidRPr="00EA127E">
        <w:rPr>
          <w:b/>
        </w:rPr>
        <w:lastRenderedPageBreak/>
        <w:t>References</w:t>
      </w:r>
    </w:p>
    <w:p w14:paraId="7D538C40" w14:textId="77777777" w:rsidR="0059100A" w:rsidRPr="00EA127E" w:rsidRDefault="0059100A" w:rsidP="0059100A">
      <w:pPr>
        <w:pStyle w:val="CommentText"/>
        <w:rPr>
          <w:rFonts w:asciiTheme="minorHAnsi" w:hAnsiTheme="minorHAnsi"/>
          <w:sz w:val="22"/>
          <w:szCs w:val="22"/>
        </w:rPr>
      </w:pPr>
      <w:r w:rsidRPr="00EA127E">
        <w:rPr>
          <w:rFonts w:asciiTheme="minorHAnsi" w:hAnsiTheme="minorHAnsi"/>
          <w:sz w:val="22"/>
          <w:szCs w:val="22"/>
        </w:rPr>
        <w:t>Braun C, Clarke V (2013) Successful qualitative research. London: Thousand Oaks.</w:t>
      </w:r>
    </w:p>
    <w:p w14:paraId="0938746E" w14:textId="77777777" w:rsidR="00884959" w:rsidRPr="00EA127E" w:rsidRDefault="00884959" w:rsidP="00B8275E">
      <w:pPr>
        <w:rPr>
          <w:rFonts w:cs="Arial"/>
        </w:rPr>
      </w:pPr>
      <w:r w:rsidRPr="00EA127E">
        <w:rPr>
          <w:rFonts w:cs="Arial"/>
        </w:rPr>
        <w:t>College of Occupational Therapists (2007)</w:t>
      </w:r>
      <w:r w:rsidRPr="00EA127E">
        <w:rPr>
          <w:rFonts w:cs="Arial"/>
          <w:i/>
        </w:rPr>
        <w:t xml:space="preserve"> Building the evidence for occupational therapy: priorities for research.</w:t>
      </w:r>
      <w:r w:rsidRPr="00EA127E">
        <w:rPr>
          <w:rFonts w:cs="Arial"/>
        </w:rPr>
        <w:t xml:space="preserve"> London: COT.</w:t>
      </w:r>
    </w:p>
    <w:p w14:paraId="55D75921" w14:textId="77777777" w:rsidR="00923D5C" w:rsidRPr="00EA127E" w:rsidRDefault="00923D5C" w:rsidP="00B8275E">
      <w:pPr>
        <w:rPr>
          <w:rFonts w:cs="Arial"/>
        </w:rPr>
      </w:pPr>
      <w:r w:rsidRPr="00EA127E">
        <w:rPr>
          <w:rFonts w:cs="Arial"/>
        </w:rPr>
        <w:t xml:space="preserve">Department of Health and Social Care (2018) </w:t>
      </w:r>
      <w:r w:rsidRPr="00EA127E">
        <w:rPr>
          <w:rFonts w:cs="Arial"/>
          <w:i/>
        </w:rPr>
        <w:t>Priorities for adult social work research: results from the James Lind Alliance Priority Setting Partnership for adult social work</w:t>
      </w:r>
      <w:r w:rsidRPr="00EA127E">
        <w:rPr>
          <w:rFonts w:cs="Arial"/>
        </w:rPr>
        <w:t>. London: DHSC.</w:t>
      </w:r>
    </w:p>
    <w:p w14:paraId="41833788" w14:textId="77777777" w:rsidR="00C76B91" w:rsidRPr="00EA127E" w:rsidRDefault="00C76B91" w:rsidP="00C76B91">
      <w:pPr>
        <w:autoSpaceDE w:val="0"/>
        <w:autoSpaceDN w:val="0"/>
        <w:rPr>
          <w:rFonts w:cs="Arial"/>
        </w:rPr>
      </w:pPr>
      <w:r w:rsidRPr="00EA127E">
        <w:rPr>
          <w:rFonts w:cs="Arial"/>
        </w:rPr>
        <w:t xml:space="preserve">Finer S, Robb P, Cowan K, Daly, A, Shah K, Farmer A (2018) Setting the top 10 research priorities to improve the health of people with Type 2 diabetes: a Diabetes UK-James Lind Alliance Priority Setting Partnership. [Online]. </w:t>
      </w:r>
      <w:r w:rsidRPr="00EA127E">
        <w:rPr>
          <w:rFonts w:cs="Arial"/>
          <w:i/>
          <w:iCs/>
        </w:rPr>
        <w:t>Diabetic Medicine, 34(7),</w:t>
      </w:r>
      <w:r w:rsidRPr="00EA127E">
        <w:rPr>
          <w:rFonts w:cs="Arial"/>
        </w:rPr>
        <w:t xml:space="preserve"> 862-870. </w:t>
      </w:r>
      <w:proofErr w:type="spellStart"/>
      <w:r w:rsidRPr="00EA127E">
        <w:rPr>
          <w:rFonts w:cs="Arial"/>
        </w:rPr>
        <w:t>doi</w:t>
      </w:r>
      <w:proofErr w:type="spellEnd"/>
      <w:r w:rsidRPr="00EA127E">
        <w:rPr>
          <w:rFonts w:cs="Arial"/>
        </w:rPr>
        <w:t>: 10.1111/dme.13613</w:t>
      </w:r>
    </w:p>
    <w:p w14:paraId="61F62F80" w14:textId="77777777" w:rsidR="00D708C6" w:rsidRPr="00EA127E" w:rsidRDefault="00D708C6" w:rsidP="00B8275E">
      <w:pPr>
        <w:rPr>
          <w:rFonts w:eastAsia="Arial" w:cs="Arial"/>
        </w:rPr>
      </w:pPr>
      <w:r w:rsidRPr="00EA127E">
        <w:rPr>
          <w:rFonts w:eastAsia="Arial" w:cs="Arial"/>
        </w:rPr>
        <w:t>Green</w:t>
      </w:r>
      <w:r w:rsidRPr="00EA127E">
        <w:rPr>
          <w:rFonts w:eastAsia="Arial" w:cs="Arial"/>
          <w:spacing w:val="18"/>
        </w:rPr>
        <w:t xml:space="preserve"> </w:t>
      </w:r>
      <w:r w:rsidRPr="00EA127E">
        <w:rPr>
          <w:rFonts w:eastAsia="Arial" w:cs="Arial"/>
        </w:rPr>
        <w:t>S,</w:t>
      </w:r>
      <w:r w:rsidRPr="00EA127E">
        <w:rPr>
          <w:rFonts w:eastAsia="Arial" w:cs="Arial"/>
          <w:spacing w:val="19"/>
        </w:rPr>
        <w:t xml:space="preserve"> </w:t>
      </w:r>
      <w:r w:rsidRPr="00EA127E">
        <w:rPr>
          <w:rFonts w:eastAsia="Arial" w:cs="Arial"/>
        </w:rPr>
        <w:t>Lambert</w:t>
      </w:r>
      <w:r w:rsidRPr="00EA127E">
        <w:rPr>
          <w:rFonts w:eastAsia="Arial" w:cs="Arial"/>
          <w:spacing w:val="17"/>
        </w:rPr>
        <w:t xml:space="preserve"> </w:t>
      </w:r>
      <w:r w:rsidRPr="00EA127E">
        <w:rPr>
          <w:rFonts w:eastAsia="Arial" w:cs="Arial"/>
        </w:rPr>
        <w:t>R</w:t>
      </w:r>
      <w:r w:rsidRPr="00EA127E">
        <w:rPr>
          <w:rFonts w:eastAsia="Arial" w:cs="Arial"/>
          <w:spacing w:val="18"/>
        </w:rPr>
        <w:t xml:space="preserve"> </w:t>
      </w:r>
      <w:r w:rsidRPr="00EA127E">
        <w:rPr>
          <w:rFonts w:eastAsia="Arial" w:cs="Arial"/>
        </w:rPr>
        <w:t>(2017)</w:t>
      </w:r>
      <w:r w:rsidRPr="00EA127E">
        <w:rPr>
          <w:rFonts w:eastAsia="Arial" w:cs="Arial"/>
          <w:spacing w:val="19"/>
        </w:rPr>
        <w:t xml:space="preserve"> </w:t>
      </w:r>
      <w:r w:rsidRPr="00EA127E">
        <w:rPr>
          <w:rFonts w:eastAsia="Arial" w:cs="Arial"/>
        </w:rPr>
        <w:t>A</w:t>
      </w:r>
      <w:r w:rsidRPr="00EA127E">
        <w:rPr>
          <w:rFonts w:eastAsia="Arial" w:cs="Arial"/>
          <w:spacing w:val="18"/>
        </w:rPr>
        <w:t xml:space="preserve"> </w:t>
      </w:r>
      <w:r w:rsidRPr="00EA127E">
        <w:rPr>
          <w:rFonts w:eastAsia="Arial" w:cs="Arial"/>
        </w:rPr>
        <w:t>systematic</w:t>
      </w:r>
      <w:r w:rsidRPr="00EA127E">
        <w:rPr>
          <w:rFonts w:eastAsia="Arial" w:cs="Arial"/>
          <w:spacing w:val="17"/>
        </w:rPr>
        <w:t xml:space="preserve"> </w:t>
      </w:r>
      <w:r w:rsidRPr="00EA127E">
        <w:rPr>
          <w:rFonts w:eastAsia="Arial" w:cs="Arial"/>
        </w:rPr>
        <w:t>review</w:t>
      </w:r>
      <w:r w:rsidRPr="00EA127E">
        <w:rPr>
          <w:rFonts w:eastAsia="Arial" w:cs="Arial"/>
          <w:spacing w:val="19"/>
        </w:rPr>
        <w:t xml:space="preserve"> </w:t>
      </w:r>
      <w:r w:rsidRPr="00EA127E">
        <w:rPr>
          <w:rFonts w:eastAsia="Arial" w:cs="Arial"/>
        </w:rPr>
        <w:t>of</w:t>
      </w:r>
      <w:r w:rsidRPr="00EA127E">
        <w:rPr>
          <w:rFonts w:eastAsia="Arial" w:cs="Arial"/>
          <w:spacing w:val="18"/>
        </w:rPr>
        <w:t xml:space="preserve"> </w:t>
      </w:r>
      <w:r w:rsidRPr="00EA127E">
        <w:rPr>
          <w:rFonts w:eastAsia="Arial" w:cs="Arial"/>
        </w:rPr>
        <w:t>health</w:t>
      </w:r>
      <w:r w:rsidRPr="00EA127E">
        <w:rPr>
          <w:rFonts w:eastAsia="Arial" w:cs="Arial"/>
          <w:spacing w:val="19"/>
        </w:rPr>
        <w:t xml:space="preserve"> </w:t>
      </w:r>
      <w:r w:rsidRPr="00EA127E">
        <w:rPr>
          <w:rFonts w:eastAsia="Arial" w:cs="Arial"/>
        </w:rPr>
        <w:t>economic</w:t>
      </w:r>
      <w:r w:rsidRPr="00EA127E">
        <w:rPr>
          <w:rFonts w:eastAsia="Arial" w:cs="Arial"/>
          <w:spacing w:val="18"/>
        </w:rPr>
        <w:t xml:space="preserve"> </w:t>
      </w:r>
      <w:r w:rsidRPr="00EA127E">
        <w:rPr>
          <w:rFonts w:eastAsia="Arial" w:cs="Arial"/>
        </w:rPr>
        <w:t>evaluations</w:t>
      </w:r>
      <w:r w:rsidRPr="00EA127E">
        <w:rPr>
          <w:rFonts w:eastAsia="Arial" w:cs="Arial"/>
          <w:spacing w:val="19"/>
        </w:rPr>
        <w:t xml:space="preserve"> </w:t>
      </w:r>
      <w:r w:rsidRPr="00EA127E">
        <w:rPr>
          <w:rFonts w:eastAsia="Arial" w:cs="Arial"/>
        </w:rPr>
        <w:t>in</w:t>
      </w:r>
      <w:r w:rsidRPr="00EA127E">
        <w:rPr>
          <w:rFonts w:eastAsia="Arial" w:cs="Arial"/>
          <w:w w:val="111"/>
        </w:rPr>
        <w:t xml:space="preserve"> </w:t>
      </w:r>
      <w:r w:rsidRPr="00EA127E">
        <w:rPr>
          <w:rFonts w:eastAsia="Arial" w:cs="Arial"/>
        </w:rPr>
        <w:t>occupational</w:t>
      </w:r>
      <w:r w:rsidRPr="00EA127E">
        <w:rPr>
          <w:rFonts w:eastAsia="Arial" w:cs="Arial"/>
          <w:spacing w:val="1"/>
        </w:rPr>
        <w:t xml:space="preserve"> </w:t>
      </w:r>
      <w:r w:rsidRPr="00EA127E">
        <w:rPr>
          <w:rFonts w:eastAsia="Arial" w:cs="Arial"/>
        </w:rPr>
        <w:t>therapy.</w:t>
      </w:r>
      <w:r w:rsidRPr="00EA127E">
        <w:rPr>
          <w:rFonts w:eastAsia="Arial" w:cs="Arial"/>
          <w:spacing w:val="1"/>
        </w:rPr>
        <w:t xml:space="preserve"> </w:t>
      </w:r>
      <w:r w:rsidRPr="00EA127E">
        <w:rPr>
          <w:rFonts w:eastAsia="Arial" w:cs="Arial"/>
          <w:i/>
        </w:rPr>
        <w:t>British Journal</w:t>
      </w:r>
      <w:r w:rsidRPr="00EA127E">
        <w:rPr>
          <w:rFonts w:eastAsia="Arial" w:cs="Arial"/>
          <w:i/>
          <w:spacing w:val="2"/>
        </w:rPr>
        <w:t xml:space="preserve"> </w:t>
      </w:r>
      <w:r w:rsidRPr="00EA127E">
        <w:rPr>
          <w:rFonts w:eastAsia="Arial" w:cs="Arial"/>
          <w:i/>
        </w:rPr>
        <w:t>of</w:t>
      </w:r>
      <w:r w:rsidRPr="00EA127E">
        <w:rPr>
          <w:rFonts w:eastAsia="Arial" w:cs="Arial"/>
          <w:i/>
          <w:spacing w:val="2"/>
        </w:rPr>
        <w:t xml:space="preserve"> </w:t>
      </w:r>
      <w:r w:rsidRPr="00EA127E">
        <w:rPr>
          <w:rFonts w:eastAsia="Arial" w:cs="Arial"/>
          <w:i/>
        </w:rPr>
        <w:t>Occupational Therapy</w:t>
      </w:r>
      <w:r w:rsidRPr="00EA127E">
        <w:rPr>
          <w:rFonts w:eastAsia="Arial" w:cs="Arial"/>
        </w:rPr>
        <w:t>,</w:t>
      </w:r>
      <w:r w:rsidRPr="00EA127E">
        <w:rPr>
          <w:rFonts w:eastAsia="Arial" w:cs="Arial"/>
          <w:spacing w:val="2"/>
        </w:rPr>
        <w:t xml:space="preserve"> </w:t>
      </w:r>
      <w:r w:rsidRPr="00EA127E">
        <w:rPr>
          <w:rFonts w:eastAsia="Arial" w:cs="Arial"/>
          <w:i/>
        </w:rPr>
        <w:t>80(1)</w:t>
      </w:r>
      <w:r w:rsidRPr="00EA127E">
        <w:rPr>
          <w:rFonts w:eastAsia="Arial" w:cs="Arial"/>
        </w:rPr>
        <w:t>,</w:t>
      </w:r>
      <w:r w:rsidRPr="00EA127E">
        <w:rPr>
          <w:rFonts w:eastAsia="Arial" w:cs="Arial"/>
          <w:spacing w:val="2"/>
        </w:rPr>
        <w:t xml:space="preserve"> </w:t>
      </w:r>
      <w:r w:rsidRPr="00EA127E">
        <w:rPr>
          <w:rFonts w:eastAsia="Arial" w:cs="Arial"/>
        </w:rPr>
        <w:t>5</w:t>
      </w:r>
      <w:r w:rsidRPr="00EA127E">
        <w:rPr>
          <w:rFonts w:eastAsia="Arial" w:cs="Arial"/>
          <w:i/>
        </w:rPr>
        <w:t>–</w:t>
      </w:r>
      <w:r w:rsidRPr="00EA127E">
        <w:rPr>
          <w:rFonts w:eastAsia="Arial" w:cs="Arial"/>
        </w:rPr>
        <w:t>19.</w:t>
      </w:r>
    </w:p>
    <w:p w14:paraId="3C892C33" w14:textId="77777777" w:rsidR="005F32DF" w:rsidRPr="00EA127E" w:rsidRDefault="005F32DF" w:rsidP="00B8275E">
      <w:pPr>
        <w:autoSpaceDE w:val="0"/>
        <w:autoSpaceDN w:val="0"/>
        <w:adjustRightInd w:val="0"/>
        <w:spacing w:after="0"/>
        <w:rPr>
          <w:rFonts w:cs="OpenSans"/>
        </w:rPr>
      </w:pPr>
      <w:r w:rsidRPr="00EA127E">
        <w:rPr>
          <w:rFonts w:cs="OpenSans"/>
        </w:rPr>
        <w:t xml:space="preserve">Health and Care Professions Council (2020) </w:t>
      </w:r>
      <w:r w:rsidRPr="00EA127E">
        <w:rPr>
          <w:rFonts w:cs="OpenSans"/>
          <w:i/>
        </w:rPr>
        <w:t>A year in highlights 2019-20</w:t>
      </w:r>
      <w:r w:rsidRPr="00EA127E">
        <w:rPr>
          <w:rFonts w:cs="OpenSans"/>
        </w:rPr>
        <w:t xml:space="preserve">. Available at: </w:t>
      </w:r>
      <w:hyperlink r:id="rId14" w:history="1">
        <w:r w:rsidRPr="00EA127E">
          <w:rPr>
            <w:rStyle w:val="Hyperlink"/>
            <w:rFonts w:cs="OpenSans"/>
          </w:rPr>
          <w:t>https://www.hcpc-uk.org/about-us/insights-and-data/reports/a-year-in-highlights-2019-20/</w:t>
        </w:r>
      </w:hyperlink>
      <w:r w:rsidRPr="00EA127E">
        <w:rPr>
          <w:rFonts w:cs="OpenSans"/>
        </w:rPr>
        <w:t xml:space="preserve"> Accessed 19/03/2021.</w:t>
      </w:r>
    </w:p>
    <w:p w14:paraId="75716D2D" w14:textId="77777777" w:rsidR="005F32DF" w:rsidRPr="00EA127E" w:rsidRDefault="005F32DF" w:rsidP="00B8275E">
      <w:pPr>
        <w:autoSpaceDE w:val="0"/>
        <w:autoSpaceDN w:val="0"/>
        <w:adjustRightInd w:val="0"/>
        <w:spacing w:after="0"/>
        <w:rPr>
          <w:rFonts w:cs="OpenSans"/>
        </w:rPr>
      </w:pPr>
    </w:p>
    <w:p w14:paraId="1B765096" w14:textId="77777777" w:rsidR="003D7A1A" w:rsidRPr="00EA127E" w:rsidRDefault="003D7A1A" w:rsidP="00B8275E">
      <w:pPr>
        <w:autoSpaceDE w:val="0"/>
        <w:autoSpaceDN w:val="0"/>
        <w:adjustRightInd w:val="0"/>
        <w:spacing w:after="0"/>
        <w:rPr>
          <w:rFonts w:cs="OpenSans-Italic"/>
          <w:i/>
          <w:iCs/>
        </w:rPr>
      </w:pPr>
      <w:r w:rsidRPr="00EA127E">
        <w:rPr>
          <w:rFonts w:cs="OpenSans"/>
        </w:rPr>
        <w:t xml:space="preserve">INVOLVE (2016) </w:t>
      </w:r>
      <w:r w:rsidRPr="00EA127E">
        <w:rPr>
          <w:rFonts w:cs="OpenSans-Italic"/>
          <w:i/>
          <w:iCs/>
        </w:rPr>
        <w:t>Policy on payment of fees and expenses for members of the public actively</w:t>
      </w:r>
    </w:p>
    <w:p w14:paraId="24FE3A13" w14:textId="77777777" w:rsidR="003D7A1A" w:rsidRPr="00EA127E" w:rsidRDefault="003D7A1A" w:rsidP="00B8275E">
      <w:pPr>
        <w:spacing w:after="240"/>
        <w:rPr>
          <w:rFonts w:cs="Arial"/>
        </w:rPr>
      </w:pPr>
      <w:r w:rsidRPr="00EA127E">
        <w:rPr>
          <w:rFonts w:cs="OpenSans-Italic"/>
          <w:i/>
          <w:iCs/>
        </w:rPr>
        <w:t>involved with INVOLVE</w:t>
      </w:r>
      <w:r w:rsidRPr="00EA127E">
        <w:rPr>
          <w:rFonts w:cs="OpenSans"/>
        </w:rPr>
        <w:t>. Southampton: INVOLVE</w:t>
      </w:r>
      <w:r w:rsidRPr="00EA127E">
        <w:rPr>
          <w:rFonts w:ascii="OpenSans" w:hAnsi="OpenSans" w:cs="OpenSans"/>
        </w:rPr>
        <w:t>.</w:t>
      </w:r>
    </w:p>
    <w:p w14:paraId="4806AB7E" w14:textId="77777777" w:rsidR="00862DD5" w:rsidRPr="00EA127E" w:rsidRDefault="00862DD5" w:rsidP="00B8275E">
      <w:pPr>
        <w:spacing w:after="240"/>
        <w:rPr>
          <w:rFonts w:cs="Arial"/>
        </w:rPr>
      </w:pPr>
      <w:r w:rsidRPr="00EA127E">
        <w:rPr>
          <w:rFonts w:cs="Arial"/>
        </w:rPr>
        <w:t xml:space="preserve">James Lind Alliance (n.d.) The James Lind Alliance. Available at: </w:t>
      </w:r>
      <w:hyperlink r:id="rId15" w:history="1">
        <w:r w:rsidRPr="00EA127E">
          <w:rPr>
            <w:rStyle w:val="Hyperlink"/>
            <w:rFonts w:cs="Arial"/>
          </w:rPr>
          <w:t>https://www.jla.nihr.ac.uk/</w:t>
        </w:r>
      </w:hyperlink>
      <w:r w:rsidRPr="00EA127E">
        <w:rPr>
          <w:rFonts w:cs="Arial"/>
        </w:rPr>
        <w:t xml:space="preserve"> Accessed 22/01/ 2021.</w:t>
      </w:r>
    </w:p>
    <w:p w14:paraId="42EDCA47" w14:textId="77777777" w:rsidR="00B870E9" w:rsidRPr="00EA127E" w:rsidRDefault="00B870E9" w:rsidP="00B8275E">
      <w:pPr>
        <w:autoSpaceDE w:val="0"/>
        <w:autoSpaceDN w:val="0"/>
        <w:adjustRightInd w:val="0"/>
        <w:spacing w:after="0"/>
        <w:rPr>
          <w:rFonts w:cs="OpenSans"/>
        </w:rPr>
      </w:pPr>
      <w:r w:rsidRPr="00EA127E">
        <w:rPr>
          <w:rFonts w:cs="OpenSans"/>
        </w:rPr>
        <w:t xml:space="preserve">James Lind Alliance (2018) </w:t>
      </w:r>
      <w:r w:rsidRPr="00EA127E">
        <w:rPr>
          <w:rFonts w:cs="OpenSans-Italic"/>
          <w:i/>
          <w:iCs/>
        </w:rPr>
        <w:t>The James Lind Alliance guidebook: version 8</w:t>
      </w:r>
      <w:r w:rsidRPr="00EA127E">
        <w:rPr>
          <w:rFonts w:cs="OpenSans"/>
        </w:rPr>
        <w:t>. Southampton:</w:t>
      </w:r>
    </w:p>
    <w:p w14:paraId="3775E6E7" w14:textId="77777777" w:rsidR="00B870E9" w:rsidRPr="00EA127E" w:rsidRDefault="00B870E9" w:rsidP="00B8275E">
      <w:pPr>
        <w:autoSpaceDE w:val="0"/>
        <w:autoSpaceDN w:val="0"/>
        <w:adjustRightInd w:val="0"/>
        <w:spacing w:after="0"/>
        <w:rPr>
          <w:rFonts w:cs="OpenSans-Italic"/>
          <w:i/>
          <w:iCs/>
        </w:rPr>
      </w:pPr>
      <w:r w:rsidRPr="00EA127E">
        <w:rPr>
          <w:rFonts w:cs="OpenSans"/>
        </w:rPr>
        <w:t xml:space="preserve">James Lind Alliance. Originally sourced from: </w:t>
      </w:r>
      <w:r w:rsidRPr="00EA127E">
        <w:rPr>
          <w:rFonts w:cs="OpenSans-Italic"/>
          <w:i/>
          <w:iCs/>
        </w:rPr>
        <w:t>http://www.jla.nihr.ac.uk/jla-guidebook/</w:t>
      </w:r>
    </w:p>
    <w:p w14:paraId="4127EEFB" w14:textId="77777777" w:rsidR="00B870E9" w:rsidRPr="00EA127E" w:rsidRDefault="00B870E9" w:rsidP="00B8275E">
      <w:r w:rsidRPr="00EA127E">
        <w:rPr>
          <w:rFonts w:cs="OpenSans-Italic"/>
          <w:i/>
          <w:iCs/>
        </w:rPr>
        <w:t xml:space="preserve">downloads/JLA-Guidebook-V8-November-2018.pdf </w:t>
      </w:r>
      <w:r w:rsidRPr="00EA127E">
        <w:rPr>
          <w:rFonts w:cs="OpenSans"/>
        </w:rPr>
        <w:t>[No longer available].</w:t>
      </w:r>
    </w:p>
    <w:p w14:paraId="3407DC77" w14:textId="77777777" w:rsidR="005008C8" w:rsidRPr="00EA127E" w:rsidRDefault="005008C8" w:rsidP="000F7DF8">
      <w:pPr>
        <w:pStyle w:val="Bibliography"/>
        <w:spacing w:after="240"/>
        <w:rPr>
          <w:rFonts w:cs="Arial"/>
          <w:noProof/>
        </w:rPr>
      </w:pPr>
      <w:r w:rsidRPr="00EA127E">
        <w:rPr>
          <w:rFonts w:cs="Arial"/>
          <w:noProof/>
        </w:rPr>
        <w:t xml:space="preserve">Jones J, Hunter D (1995) Consensus methods for medical and health services research. </w:t>
      </w:r>
      <w:r w:rsidRPr="00EA127E">
        <w:rPr>
          <w:rFonts w:cs="Arial"/>
          <w:i/>
          <w:noProof/>
        </w:rPr>
        <w:t>British Medical Journal (Clinical Research edition)</w:t>
      </w:r>
      <w:r w:rsidRPr="00EA127E">
        <w:rPr>
          <w:rFonts w:cs="Arial"/>
          <w:noProof/>
        </w:rPr>
        <w:t xml:space="preserve">, </w:t>
      </w:r>
      <w:r w:rsidRPr="00EA127E">
        <w:rPr>
          <w:rFonts w:cs="Arial"/>
          <w:i/>
          <w:noProof/>
        </w:rPr>
        <w:t>311(7001)</w:t>
      </w:r>
      <w:r w:rsidRPr="00EA127E">
        <w:rPr>
          <w:rFonts w:cs="Arial"/>
          <w:noProof/>
        </w:rPr>
        <w:t>, 77-101.</w:t>
      </w:r>
    </w:p>
    <w:p w14:paraId="2CA18D6F" w14:textId="77777777" w:rsidR="000F7DF8" w:rsidRPr="00EA127E" w:rsidRDefault="000F7DF8" w:rsidP="000F7DF8">
      <w:pPr>
        <w:pStyle w:val="Bibliography"/>
        <w:spacing w:after="240"/>
        <w:rPr>
          <w:rFonts w:cs="Arial"/>
          <w:noProof/>
        </w:rPr>
      </w:pPr>
      <w:r w:rsidRPr="00EA127E">
        <w:rPr>
          <w:rFonts w:cs="Arial"/>
          <w:noProof/>
        </w:rPr>
        <w:t>Mackenzie L, Alvarez Jaramillo L, Ledgerd R (2018) Developing international research priorities for occupational therapy</w:t>
      </w:r>
      <w:r w:rsidRPr="00EA127E">
        <w:rPr>
          <w:rFonts w:cs="Arial"/>
          <w:i/>
          <w:noProof/>
        </w:rPr>
        <w:t>, British Journal of Ocupational Therapy</w:t>
      </w:r>
      <w:r w:rsidRPr="00EA127E">
        <w:rPr>
          <w:rFonts w:cs="Arial"/>
          <w:noProof/>
        </w:rPr>
        <w:t xml:space="preserve">, </w:t>
      </w:r>
      <w:r w:rsidRPr="00EA127E">
        <w:rPr>
          <w:rFonts w:cs="Arial"/>
          <w:i/>
          <w:noProof/>
        </w:rPr>
        <w:t>82(3),</w:t>
      </w:r>
      <w:r w:rsidRPr="00EA127E">
        <w:rPr>
          <w:rFonts w:cs="Arial"/>
          <w:noProof/>
        </w:rPr>
        <w:t xml:space="preserve"> 139-140.</w:t>
      </w:r>
    </w:p>
    <w:p w14:paraId="4CBBAABF" w14:textId="77777777" w:rsidR="005F0700" w:rsidRPr="00EA127E" w:rsidRDefault="005F0700" w:rsidP="005F0700">
      <w:pPr>
        <w:pStyle w:val="Bibliography"/>
        <w:spacing w:after="240"/>
        <w:rPr>
          <w:rFonts w:cs="Arial"/>
        </w:rPr>
      </w:pPr>
      <w:r w:rsidRPr="00EA127E">
        <w:rPr>
          <w:rFonts w:cs="Arial"/>
        </w:rPr>
        <w:t xml:space="preserve">Office for National Statistics (2013) </w:t>
      </w:r>
      <w:r w:rsidRPr="00EA127E">
        <w:rPr>
          <w:rFonts w:cs="Arial"/>
          <w:i/>
        </w:rPr>
        <w:t>Disability in England and Wales: 2011 and comparison with 2001</w:t>
      </w:r>
      <w:r w:rsidRPr="00EA127E">
        <w:rPr>
          <w:rFonts w:cs="Arial"/>
        </w:rPr>
        <w:t xml:space="preserve">. [Newport]: [ONS]. Available at: </w:t>
      </w:r>
      <w:hyperlink r:id="rId16" w:history="1">
        <w:r w:rsidRPr="00EA127E">
          <w:rPr>
            <w:rStyle w:val="Hyperlink"/>
            <w:rFonts w:cs="Arial"/>
            <w:i/>
          </w:rPr>
          <w:t>https://www.ons.gov.uk/peoplepopulationandcommunity/healthandsocialcare/disability/articles/disabilityinenglandandwales/2013-01-30</w:t>
        </w:r>
      </w:hyperlink>
      <w:r w:rsidRPr="00EA127E">
        <w:rPr>
          <w:rFonts w:cs="Arial"/>
          <w:i/>
        </w:rPr>
        <w:t xml:space="preserve"> </w:t>
      </w:r>
      <w:r w:rsidRPr="00EA127E">
        <w:rPr>
          <w:rFonts w:cs="Arial"/>
        </w:rPr>
        <w:t>Accessed on 23.08.19.</w:t>
      </w:r>
    </w:p>
    <w:p w14:paraId="56924FE8" w14:textId="77777777" w:rsidR="006C0854" w:rsidRPr="00EA127E" w:rsidRDefault="006C0854" w:rsidP="006C0854">
      <w:pPr>
        <w:pStyle w:val="Bibliography"/>
        <w:spacing w:after="240"/>
        <w:rPr>
          <w:rFonts w:cs="Arial"/>
        </w:rPr>
      </w:pPr>
      <w:r w:rsidRPr="00EA127E">
        <w:rPr>
          <w:rFonts w:cs="Arial"/>
        </w:rPr>
        <w:t xml:space="preserve">Rankin G, Summers R, Cowan K, Barker K, Button K, Carroll S, Fashanu B, Moran F, O’Neill B, ten Hove R, Waterfield J, </w:t>
      </w:r>
      <w:proofErr w:type="spellStart"/>
      <w:r w:rsidRPr="00EA127E">
        <w:rPr>
          <w:rFonts w:cs="Arial"/>
        </w:rPr>
        <w:t>Westwater</w:t>
      </w:r>
      <w:proofErr w:type="spellEnd"/>
      <w:r w:rsidRPr="00EA127E">
        <w:rPr>
          <w:rFonts w:cs="Arial"/>
        </w:rPr>
        <w:t xml:space="preserve">-Wood S, Wellwood I (2020) Identifying priorities for physiotherapy research in the UK: the James Lind Alliance Physiotherapy Priority Setting Partnership. </w:t>
      </w:r>
      <w:r w:rsidRPr="00EA127E">
        <w:rPr>
          <w:rFonts w:cs="Arial"/>
          <w:i/>
        </w:rPr>
        <w:t>Physiotherapy</w:t>
      </w:r>
      <w:r w:rsidRPr="00EA127E">
        <w:rPr>
          <w:rFonts w:cs="Arial"/>
        </w:rPr>
        <w:t xml:space="preserve">, </w:t>
      </w:r>
      <w:r w:rsidRPr="00EA127E">
        <w:rPr>
          <w:rFonts w:cs="Arial"/>
          <w:i/>
        </w:rPr>
        <w:t>107,</w:t>
      </w:r>
      <w:r w:rsidRPr="00EA127E">
        <w:rPr>
          <w:rFonts w:cs="Arial"/>
        </w:rPr>
        <w:t xml:space="preserve"> 161-168.</w:t>
      </w:r>
    </w:p>
    <w:p w14:paraId="46104E0C" w14:textId="77777777" w:rsidR="006C0854" w:rsidRPr="00EA127E" w:rsidRDefault="006C0854" w:rsidP="00B8275E">
      <w:pPr>
        <w:spacing w:after="240"/>
        <w:rPr>
          <w:rFonts w:cs="Arial"/>
        </w:rPr>
      </w:pPr>
      <w:r w:rsidRPr="00EA127E">
        <w:rPr>
          <w:rFonts w:cs="Arial"/>
        </w:rPr>
        <w:t>Royal Academy of Engineering and Science Council (2021) Diversity and inclusion progression framework for professional bodies, 2.0. London: Royal Academy of Engineering.</w:t>
      </w:r>
    </w:p>
    <w:p w14:paraId="7A8F093C" w14:textId="77777777" w:rsidR="00D671B6" w:rsidRPr="00EA127E" w:rsidRDefault="00D671B6" w:rsidP="00B8275E">
      <w:pPr>
        <w:spacing w:after="240"/>
        <w:rPr>
          <w:rFonts w:cs="Arial"/>
        </w:rPr>
      </w:pPr>
      <w:r w:rsidRPr="00EA127E">
        <w:rPr>
          <w:rFonts w:cs="Arial"/>
        </w:rPr>
        <w:lastRenderedPageBreak/>
        <w:t xml:space="preserve">Royal College of Occupational Therapists (2021) </w:t>
      </w:r>
      <w:r w:rsidRPr="00EA127E">
        <w:rPr>
          <w:rFonts w:cs="Arial"/>
          <w:i/>
        </w:rPr>
        <w:t xml:space="preserve">Identifying research priorities for occupational therapy in the UK. What matters most to the people accessing and delivering services? </w:t>
      </w:r>
      <w:r w:rsidRPr="00EA127E">
        <w:rPr>
          <w:rFonts w:cs="Arial"/>
        </w:rPr>
        <w:t>London: RCOT.</w:t>
      </w:r>
    </w:p>
    <w:p w14:paraId="5C622BB2" w14:textId="77777777" w:rsidR="00FC57B2" w:rsidRPr="00EA127E" w:rsidRDefault="00FC57B2" w:rsidP="00B8275E">
      <w:pPr>
        <w:spacing w:after="240"/>
        <w:rPr>
          <w:rFonts w:cs="Arial"/>
        </w:rPr>
      </w:pPr>
      <w:r w:rsidRPr="00EA127E">
        <w:rPr>
          <w:rFonts w:cs="Arial"/>
        </w:rPr>
        <w:t xml:space="preserve">Royal College of Occupational Therapists (2019) </w:t>
      </w:r>
      <w:r w:rsidRPr="00EA127E">
        <w:rPr>
          <w:rFonts w:cs="Arial"/>
          <w:i/>
        </w:rPr>
        <w:t xml:space="preserve">RCOT research and development strategy 2019–2024. </w:t>
      </w:r>
      <w:r w:rsidRPr="00EA127E">
        <w:rPr>
          <w:rFonts w:cs="Arial"/>
        </w:rPr>
        <w:t>London: RCOT.</w:t>
      </w:r>
    </w:p>
    <w:p w14:paraId="3D3330E5" w14:textId="77777777" w:rsidR="00154311" w:rsidRPr="00EA127E" w:rsidRDefault="00154311" w:rsidP="00154311">
      <w:pPr>
        <w:rPr>
          <w:rFonts w:cs="Arial"/>
          <w:lang w:val="en"/>
        </w:rPr>
      </w:pPr>
      <w:r w:rsidRPr="00EA127E">
        <w:rPr>
          <w:rFonts w:cs="Arial"/>
          <w:lang w:val="en"/>
        </w:rPr>
        <w:t xml:space="preserve">Staley K, Crowe S, Crocker J, Madden M, Greenhalgh T (2020) What happens after James Lind Alliance Priority Setting Partnerships? A qualitative study of contexts, processes and impacts. [Online]. </w:t>
      </w:r>
      <w:r w:rsidRPr="00EA127E">
        <w:rPr>
          <w:rFonts w:cs="Arial"/>
          <w:i/>
          <w:iCs/>
          <w:lang w:val="en"/>
        </w:rPr>
        <w:t>Research Involvement and Engagement,</w:t>
      </w:r>
      <w:r w:rsidRPr="00EA127E">
        <w:rPr>
          <w:rFonts w:cs="Arial"/>
          <w:lang w:val="en"/>
        </w:rPr>
        <w:t xml:space="preserve"> </w:t>
      </w:r>
      <w:r w:rsidRPr="00EA127E">
        <w:rPr>
          <w:rFonts w:cs="Arial"/>
          <w:bCs/>
          <w:i/>
          <w:lang w:val="en"/>
        </w:rPr>
        <w:t>6:41</w:t>
      </w:r>
      <w:r w:rsidRPr="00EA127E">
        <w:rPr>
          <w:rFonts w:cs="Arial"/>
          <w:lang w:val="en"/>
        </w:rPr>
        <w:t xml:space="preserve">. </w:t>
      </w:r>
      <w:proofErr w:type="spellStart"/>
      <w:r w:rsidRPr="00EA127E">
        <w:rPr>
          <w:rFonts w:cs="Arial"/>
          <w:lang w:val="en"/>
        </w:rPr>
        <w:t>doi</w:t>
      </w:r>
      <w:proofErr w:type="spellEnd"/>
      <w:r w:rsidRPr="00EA127E">
        <w:rPr>
          <w:rFonts w:cs="Arial"/>
          <w:lang w:val="en"/>
        </w:rPr>
        <w:t xml:space="preserve">: </w:t>
      </w:r>
      <w:r w:rsidRPr="00EA127E">
        <w:rPr>
          <w:rFonts w:cs="Arial"/>
        </w:rPr>
        <w:t>10.1186/s40900-020-00210-9</w:t>
      </w:r>
      <w:r w:rsidRPr="00EA127E">
        <w:rPr>
          <w:rFonts w:cs="Arial"/>
          <w:color w:val="333333"/>
          <w:lang w:val="en"/>
        </w:rPr>
        <w:t xml:space="preserve"> </w:t>
      </w:r>
    </w:p>
    <w:p w14:paraId="6FE783E0" w14:textId="77777777" w:rsidR="008031B8" w:rsidRPr="00EA127E" w:rsidRDefault="008031B8" w:rsidP="00B8275E">
      <w:r w:rsidRPr="00EA127E">
        <w:t xml:space="preserve">Tong A, </w:t>
      </w:r>
      <w:proofErr w:type="spellStart"/>
      <w:r w:rsidRPr="00EA127E">
        <w:t>Synnot</w:t>
      </w:r>
      <w:proofErr w:type="spellEnd"/>
      <w:r w:rsidRPr="00EA127E">
        <w:t xml:space="preserve"> A, Crowe S, Hill S, </w:t>
      </w:r>
      <w:proofErr w:type="spellStart"/>
      <w:r w:rsidRPr="00EA127E">
        <w:t>Matus</w:t>
      </w:r>
      <w:proofErr w:type="spellEnd"/>
      <w:r w:rsidRPr="00EA127E">
        <w:t xml:space="preserve"> A, Scholes-Robertson N, Oliver S, Cowan K, Nasser M, </w:t>
      </w:r>
      <w:proofErr w:type="spellStart"/>
      <w:r w:rsidRPr="00EA127E">
        <w:t>Bhaumik</w:t>
      </w:r>
      <w:proofErr w:type="spellEnd"/>
      <w:r w:rsidRPr="00EA127E">
        <w:t xml:space="preserve"> S, Gutman T, Baumgart A, Craig J (2019)</w:t>
      </w:r>
      <w:r w:rsidR="001A2F22" w:rsidRPr="00EA127E">
        <w:t xml:space="preserve"> Reporting guideline for priority setting of health research (REPRISE). </w:t>
      </w:r>
      <w:r w:rsidR="001A2F22" w:rsidRPr="00EA127E">
        <w:rPr>
          <w:i/>
        </w:rPr>
        <w:t>BMC Medical Research Methodology</w:t>
      </w:r>
      <w:r w:rsidR="001A2F22" w:rsidRPr="00EA127E">
        <w:t xml:space="preserve">, 19:243. </w:t>
      </w:r>
      <w:hyperlink r:id="rId17" w:history="1">
        <w:r w:rsidR="001A2F22" w:rsidRPr="00EA127E">
          <w:rPr>
            <w:rStyle w:val="Hyperlink"/>
          </w:rPr>
          <w:t>https://doi.org/10.1186/s12874-019-0889-3</w:t>
        </w:r>
      </w:hyperlink>
      <w:r w:rsidR="001A2F22" w:rsidRPr="00EA127E">
        <w:t xml:space="preserve"> </w:t>
      </w:r>
    </w:p>
    <w:p w14:paraId="1FBB1B8B" w14:textId="77777777" w:rsidR="005F0700" w:rsidRPr="005F0700" w:rsidRDefault="005F0700" w:rsidP="005F0700">
      <w:pPr>
        <w:spacing w:after="240"/>
        <w:rPr>
          <w:rFonts w:cs="Arial"/>
        </w:rPr>
      </w:pPr>
      <w:r w:rsidRPr="00EA127E">
        <w:rPr>
          <w:rFonts w:cs="Arial"/>
        </w:rPr>
        <w:t xml:space="preserve">UK Census Data (2011) </w:t>
      </w:r>
      <w:r w:rsidRPr="00EA127E">
        <w:rPr>
          <w:rFonts w:cs="Arial"/>
          <w:i/>
        </w:rPr>
        <w:t>Usual resident population (KS101EW)</w:t>
      </w:r>
      <w:r w:rsidRPr="00EA127E">
        <w:rPr>
          <w:rFonts w:cs="Arial"/>
        </w:rPr>
        <w:t>. [</w:t>
      </w:r>
      <w:proofErr w:type="spellStart"/>
      <w:r w:rsidRPr="00EA127E">
        <w:rPr>
          <w:rFonts w:cs="Arial"/>
        </w:rPr>
        <w:t>s.l.</w:t>
      </w:r>
      <w:proofErr w:type="spellEnd"/>
      <w:r w:rsidRPr="00EA127E">
        <w:rPr>
          <w:rFonts w:cs="Arial"/>
        </w:rPr>
        <w:t>]: [</w:t>
      </w:r>
      <w:proofErr w:type="spellStart"/>
      <w:r w:rsidRPr="00EA127E">
        <w:rPr>
          <w:rFonts w:cs="Arial"/>
        </w:rPr>
        <w:t>s.n</w:t>
      </w:r>
      <w:proofErr w:type="spellEnd"/>
      <w:r w:rsidRPr="00EA127E">
        <w:rPr>
          <w:rFonts w:cs="Arial"/>
        </w:rPr>
        <w:t xml:space="preserve">.]. Available at: </w:t>
      </w:r>
      <w:hyperlink r:id="rId18" w:history="1">
        <w:r w:rsidRPr="00EA127E">
          <w:rPr>
            <w:rStyle w:val="Hyperlink"/>
            <w:rFonts w:cs="Arial"/>
            <w:i/>
          </w:rPr>
          <w:t>http://ukcensusdata.com/a-k04000001/b-ks101ew</w:t>
        </w:r>
      </w:hyperlink>
      <w:r w:rsidRPr="00EA127E">
        <w:rPr>
          <w:rFonts w:cs="Arial"/>
          <w:i/>
        </w:rPr>
        <w:t xml:space="preserve"> </w:t>
      </w:r>
      <w:r w:rsidRPr="00EA127E">
        <w:rPr>
          <w:rFonts w:cs="Arial"/>
        </w:rPr>
        <w:t xml:space="preserve"> Accessed on 23.08.19.</w:t>
      </w:r>
    </w:p>
    <w:p w14:paraId="681C5E03" w14:textId="77777777" w:rsidR="005F0700" w:rsidRPr="00D708C6" w:rsidRDefault="005F0700" w:rsidP="00B8275E"/>
    <w:sectPr w:rsidR="005F0700" w:rsidRPr="00D708C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BEE6" w14:textId="77777777" w:rsidR="003A3B8B" w:rsidRDefault="003A3B8B" w:rsidP="00EA2578">
      <w:pPr>
        <w:spacing w:after="0" w:line="240" w:lineRule="auto"/>
      </w:pPr>
      <w:r>
        <w:separator/>
      </w:r>
    </w:p>
  </w:endnote>
  <w:endnote w:type="continuationSeparator" w:id="0">
    <w:p w14:paraId="76AB94A5" w14:textId="77777777" w:rsidR="003A3B8B" w:rsidRDefault="003A3B8B" w:rsidP="00EA2578">
      <w:pPr>
        <w:spacing w:after="0" w:line="240" w:lineRule="auto"/>
      </w:pPr>
      <w:r>
        <w:continuationSeparator/>
      </w:r>
    </w:p>
  </w:endnote>
  <w:endnote w:type="continuationNotice" w:id="1">
    <w:p w14:paraId="57A014B4" w14:textId="77777777" w:rsidR="003A3B8B" w:rsidRDefault="003A3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dvTimes">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96464"/>
      <w:docPartObj>
        <w:docPartGallery w:val="Page Numbers (Bottom of Page)"/>
        <w:docPartUnique/>
      </w:docPartObj>
    </w:sdtPr>
    <w:sdtEndPr>
      <w:rPr>
        <w:noProof/>
        <w:sz w:val="16"/>
        <w:szCs w:val="16"/>
      </w:rPr>
    </w:sdtEndPr>
    <w:sdtContent>
      <w:p w14:paraId="56D4C4B9" w14:textId="77777777" w:rsidR="00EA2578" w:rsidRPr="00EA2578" w:rsidRDefault="00EA2578">
        <w:pPr>
          <w:pStyle w:val="Footer"/>
          <w:jc w:val="right"/>
          <w:rPr>
            <w:sz w:val="16"/>
            <w:szCs w:val="16"/>
          </w:rPr>
        </w:pPr>
        <w:r w:rsidRPr="00EA2578">
          <w:rPr>
            <w:sz w:val="16"/>
            <w:szCs w:val="16"/>
          </w:rPr>
          <w:fldChar w:fldCharType="begin"/>
        </w:r>
        <w:r w:rsidRPr="00EA2578">
          <w:rPr>
            <w:sz w:val="16"/>
            <w:szCs w:val="16"/>
          </w:rPr>
          <w:instrText xml:space="preserve"> PAGE   \* MERGEFORMAT </w:instrText>
        </w:r>
        <w:r w:rsidRPr="00EA2578">
          <w:rPr>
            <w:sz w:val="16"/>
            <w:szCs w:val="16"/>
          </w:rPr>
          <w:fldChar w:fldCharType="separate"/>
        </w:r>
        <w:r w:rsidR="000507B2">
          <w:rPr>
            <w:noProof/>
            <w:sz w:val="16"/>
            <w:szCs w:val="16"/>
          </w:rPr>
          <w:t>16</w:t>
        </w:r>
        <w:r w:rsidRPr="00EA2578">
          <w:rPr>
            <w:noProof/>
            <w:sz w:val="16"/>
            <w:szCs w:val="16"/>
          </w:rPr>
          <w:fldChar w:fldCharType="end"/>
        </w:r>
      </w:p>
    </w:sdtContent>
  </w:sdt>
  <w:p w14:paraId="3B8BE29F" w14:textId="77777777" w:rsidR="00EA2578" w:rsidRDefault="00EA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ACC0" w14:textId="77777777" w:rsidR="003A3B8B" w:rsidRDefault="003A3B8B" w:rsidP="00EA2578">
      <w:pPr>
        <w:spacing w:after="0" w:line="240" w:lineRule="auto"/>
      </w:pPr>
      <w:r>
        <w:separator/>
      </w:r>
    </w:p>
  </w:footnote>
  <w:footnote w:type="continuationSeparator" w:id="0">
    <w:p w14:paraId="1C4425AC" w14:textId="77777777" w:rsidR="003A3B8B" w:rsidRDefault="003A3B8B" w:rsidP="00EA2578">
      <w:pPr>
        <w:spacing w:after="0" w:line="240" w:lineRule="auto"/>
      </w:pPr>
      <w:r>
        <w:continuationSeparator/>
      </w:r>
    </w:p>
  </w:footnote>
  <w:footnote w:type="continuationNotice" w:id="1">
    <w:p w14:paraId="49C5B31C" w14:textId="77777777" w:rsidR="003A3B8B" w:rsidRDefault="003A3B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15:restartNumberingAfterBreak="0">
    <w:nsid w:val="00957A01"/>
    <w:multiLevelType w:val="hybridMultilevel"/>
    <w:tmpl w:val="936C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84662"/>
    <w:multiLevelType w:val="hybridMultilevel"/>
    <w:tmpl w:val="DB9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254E"/>
    <w:multiLevelType w:val="hybridMultilevel"/>
    <w:tmpl w:val="94B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18B0"/>
    <w:multiLevelType w:val="hybridMultilevel"/>
    <w:tmpl w:val="798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B17E6"/>
    <w:multiLevelType w:val="hybridMultilevel"/>
    <w:tmpl w:val="22C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9491D"/>
    <w:multiLevelType w:val="hybridMultilevel"/>
    <w:tmpl w:val="5166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418ED"/>
    <w:multiLevelType w:val="hybridMultilevel"/>
    <w:tmpl w:val="CF0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91179"/>
    <w:multiLevelType w:val="multilevel"/>
    <w:tmpl w:val="19A07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25158"/>
    <w:multiLevelType w:val="hybridMultilevel"/>
    <w:tmpl w:val="D63C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E57D4"/>
    <w:multiLevelType w:val="hybridMultilevel"/>
    <w:tmpl w:val="75DC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2615C"/>
    <w:multiLevelType w:val="hybridMultilevel"/>
    <w:tmpl w:val="9A76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273ED"/>
    <w:multiLevelType w:val="hybridMultilevel"/>
    <w:tmpl w:val="4180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E7123"/>
    <w:multiLevelType w:val="hybridMultilevel"/>
    <w:tmpl w:val="EA58E65A"/>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23913"/>
    <w:multiLevelType w:val="hybridMultilevel"/>
    <w:tmpl w:val="8FF2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F13BB"/>
    <w:multiLevelType w:val="hybridMultilevel"/>
    <w:tmpl w:val="1F14B0E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5" w15:restartNumberingAfterBreak="0">
    <w:nsid w:val="575346B2"/>
    <w:multiLevelType w:val="hybridMultilevel"/>
    <w:tmpl w:val="AE7A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D0562"/>
    <w:multiLevelType w:val="hybridMultilevel"/>
    <w:tmpl w:val="AB8A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00B05"/>
    <w:multiLevelType w:val="hybridMultilevel"/>
    <w:tmpl w:val="FD30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41321"/>
    <w:multiLevelType w:val="hybridMultilevel"/>
    <w:tmpl w:val="268C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01D34"/>
    <w:multiLevelType w:val="hybridMultilevel"/>
    <w:tmpl w:val="29342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424B4"/>
    <w:multiLevelType w:val="hybridMultilevel"/>
    <w:tmpl w:val="7F96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C612D"/>
    <w:multiLevelType w:val="hybridMultilevel"/>
    <w:tmpl w:val="F16683C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E252E90"/>
    <w:multiLevelType w:val="multilevel"/>
    <w:tmpl w:val="FA728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8"/>
  </w:num>
  <w:num w:numId="5">
    <w:abstractNumId w:val="18"/>
  </w:num>
  <w:num w:numId="6">
    <w:abstractNumId w:val="16"/>
  </w:num>
  <w:num w:numId="7">
    <w:abstractNumId w:val="1"/>
  </w:num>
  <w:num w:numId="8">
    <w:abstractNumId w:val="20"/>
  </w:num>
  <w:num w:numId="9">
    <w:abstractNumId w:val="3"/>
  </w:num>
  <w:num w:numId="10">
    <w:abstractNumId w:val="0"/>
  </w:num>
  <w:num w:numId="11">
    <w:abstractNumId w:val="12"/>
  </w:num>
  <w:num w:numId="12">
    <w:abstractNumId w:val="7"/>
  </w:num>
  <w:num w:numId="13">
    <w:abstractNumId w:val="22"/>
  </w:num>
  <w:num w:numId="14">
    <w:abstractNumId w:val="10"/>
  </w:num>
  <w:num w:numId="15">
    <w:abstractNumId w:val="13"/>
  </w:num>
  <w:num w:numId="16">
    <w:abstractNumId w:val="21"/>
  </w:num>
  <w:num w:numId="17">
    <w:abstractNumId w:val="19"/>
  </w:num>
  <w:num w:numId="18">
    <w:abstractNumId w:val="6"/>
  </w:num>
  <w:num w:numId="19">
    <w:abstractNumId w:val="14"/>
  </w:num>
  <w:num w:numId="20">
    <w:abstractNumId w:val="17"/>
  </w:num>
  <w:num w:numId="21">
    <w:abstractNumId w:val="2"/>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E3"/>
    <w:rsid w:val="000062B3"/>
    <w:rsid w:val="00015EFB"/>
    <w:rsid w:val="00017D94"/>
    <w:rsid w:val="00024E93"/>
    <w:rsid w:val="00025219"/>
    <w:rsid w:val="000317B9"/>
    <w:rsid w:val="000319CF"/>
    <w:rsid w:val="00033CAA"/>
    <w:rsid w:val="00034321"/>
    <w:rsid w:val="00045C2B"/>
    <w:rsid w:val="000507B2"/>
    <w:rsid w:val="00053A06"/>
    <w:rsid w:val="000562C9"/>
    <w:rsid w:val="00057594"/>
    <w:rsid w:val="00061440"/>
    <w:rsid w:val="000762AB"/>
    <w:rsid w:val="000801F8"/>
    <w:rsid w:val="00080942"/>
    <w:rsid w:val="000849EF"/>
    <w:rsid w:val="000A6432"/>
    <w:rsid w:val="000A73D1"/>
    <w:rsid w:val="000B054A"/>
    <w:rsid w:val="000B45D5"/>
    <w:rsid w:val="000B603F"/>
    <w:rsid w:val="000C17FE"/>
    <w:rsid w:val="000C2230"/>
    <w:rsid w:val="000D2E62"/>
    <w:rsid w:val="000D7300"/>
    <w:rsid w:val="000E1CB2"/>
    <w:rsid w:val="000F21C5"/>
    <w:rsid w:val="000F7DF8"/>
    <w:rsid w:val="0010122F"/>
    <w:rsid w:val="0010132F"/>
    <w:rsid w:val="00105042"/>
    <w:rsid w:val="00105177"/>
    <w:rsid w:val="00112DE3"/>
    <w:rsid w:val="0012269F"/>
    <w:rsid w:val="001226D9"/>
    <w:rsid w:val="00122A1D"/>
    <w:rsid w:val="001242E7"/>
    <w:rsid w:val="0013339C"/>
    <w:rsid w:val="00145150"/>
    <w:rsid w:val="00150354"/>
    <w:rsid w:val="0015257D"/>
    <w:rsid w:val="001536BF"/>
    <w:rsid w:val="00154311"/>
    <w:rsid w:val="0016214F"/>
    <w:rsid w:val="00164B9C"/>
    <w:rsid w:val="00166350"/>
    <w:rsid w:val="001710C5"/>
    <w:rsid w:val="00181D05"/>
    <w:rsid w:val="00190F9B"/>
    <w:rsid w:val="001A12A4"/>
    <w:rsid w:val="001A2F22"/>
    <w:rsid w:val="001A5354"/>
    <w:rsid w:val="001A7FA2"/>
    <w:rsid w:val="001C5C5A"/>
    <w:rsid w:val="001E0EE6"/>
    <w:rsid w:val="001E4500"/>
    <w:rsid w:val="001E5496"/>
    <w:rsid w:val="001F1B88"/>
    <w:rsid w:val="001F1C61"/>
    <w:rsid w:val="002070F4"/>
    <w:rsid w:val="0020799C"/>
    <w:rsid w:val="002223E4"/>
    <w:rsid w:val="00230A87"/>
    <w:rsid w:val="00244030"/>
    <w:rsid w:val="002475C0"/>
    <w:rsid w:val="00265C0C"/>
    <w:rsid w:val="002837FE"/>
    <w:rsid w:val="002841F4"/>
    <w:rsid w:val="00284B27"/>
    <w:rsid w:val="00285EF6"/>
    <w:rsid w:val="002A238A"/>
    <w:rsid w:val="002A5496"/>
    <w:rsid w:val="002B2C0F"/>
    <w:rsid w:val="002B4671"/>
    <w:rsid w:val="002C7345"/>
    <w:rsid w:val="002D3B87"/>
    <w:rsid w:val="002D4F27"/>
    <w:rsid w:val="002E4758"/>
    <w:rsid w:val="00300C9C"/>
    <w:rsid w:val="0030169B"/>
    <w:rsid w:val="0030219F"/>
    <w:rsid w:val="00304A52"/>
    <w:rsid w:val="00306FAD"/>
    <w:rsid w:val="00312AB1"/>
    <w:rsid w:val="003202CD"/>
    <w:rsid w:val="00321308"/>
    <w:rsid w:val="00331C43"/>
    <w:rsid w:val="00334601"/>
    <w:rsid w:val="003346A6"/>
    <w:rsid w:val="00335EC6"/>
    <w:rsid w:val="003403A7"/>
    <w:rsid w:val="003403B6"/>
    <w:rsid w:val="0034120C"/>
    <w:rsid w:val="003428B9"/>
    <w:rsid w:val="00351FE3"/>
    <w:rsid w:val="00363A0F"/>
    <w:rsid w:val="00365F26"/>
    <w:rsid w:val="0037595F"/>
    <w:rsid w:val="003765A0"/>
    <w:rsid w:val="0039280C"/>
    <w:rsid w:val="0039313F"/>
    <w:rsid w:val="003959FF"/>
    <w:rsid w:val="003A3B8B"/>
    <w:rsid w:val="003A7877"/>
    <w:rsid w:val="003C69A5"/>
    <w:rsid w:val="003D23CE"/>
    <w:rsid w:val="003D7A1A"/>
    <w:rsid w:val="003E1387"/>
    <w:rsid w:val="003E22BF"/>
    <w:rsid w:val="003E38A0"/>
    <w:rsid w:val="003E444F"/>
    <w:rsid w:val="003E4B6D"/>
    <w:rsid w:val="003F19A9"/>
    <w:rsid w:val="003F54DE"/>
    <w:rsid w:val="003F723B"/>
    <w:rsid w:val="00410C91"/>
    <w:rsid w:val="004137BB"/>
    <w:rsid w:val="00431630"/>
    <w:rsid w:val="00442764"/>
    <w:rsid w:val="00444D30"/>
    <w:rsid w:val="00454C0D"/>
    <w:rsid w:val="00464C9B"/>
    <w:rsid w:val="004653D9"/>
    <w:rsid w:val="00470C60"/>
    <w:rsid w:val="00473D32"/>
    <w:rsid w:val="00492F54"/>
    <w:rsid w:val="004A267E"/>
    <w:rsid w:val="004A5105"/>
    <w:rsid w:val="004A5136"/>
    <w:rsid w:val="004B1A59"/>
    <w:rsid w:val="004B4E0F"/>
    <w:rsid w:val="004B5F5E"/>
    <w:rsid w:val="004B799B"/>
    <w:rsid w:val="004C10CE"/>
    <w:rsid w:val="004D4E80"/>
    <w:rsid w:val="004F0CE4"/>
    <w:rsid w:val="004F7D14"/>
    <w:rsid w:val="005008C8"/>
    <w:rsid w:val="005102E2"/>
    <w:rsid w:val="005110F3"/>
    <w:rsid w:val="00514027"/>
    <w:rsid w:val="0051471C"/>
    <w:rsid w:val="00515918"/>
    <w:rsid w:val="00516E33"/>
    <w:rsid w:val="00525D05"/>
    <w:rsid w:val="0053022C"/>
    <w:rsid w:val="00535635"/>
    <w:rsid w:val="005374C1"/>
    <w:rsid w:val="00541006"/>
    <w:rsid w:val="00560623"/>
    <w:rsid w:val="005620AC"/>
    <w:rsid w:val="005641A4"/>
    <w:rsid w:val="0056765F"/>
    <w:rsid w:val="0057010D"/>
    <w:rsid w:val="005774C7"/>
    <w:rsid w:val="0058153A"/>
    <w:rsid w:val="00583788"/>
    <w:rsid w:val="0059100A"/>
    <w:rsid w:val="005921F6"/>
    <w:rsid w:val="005927E9"/>
    <w:rsid w:val="00596879"/>
    <w:rsid w:val="005B0E1F"/>
    <w:rsid w:val="005C799D"/>
    <w:rsid w:val="005D0FA5"/>
    <w:rsid w:val="005D1954"/>
    <w:rsid w:val="005D664C"/>
    <w:rsid w:val="005E1366"/>
    <w:rsid w:val="005E1539"/>
    <w:rsid w:val="005E25EA"/>
    <w:rsid w:val="005E2745"/>
    <w:rsid w:val="005E3B27"/>
    <w:rsid w:val="005F0700"/>
    <w:rsid w:val="005F32DF"/>
    <w:rsid w:val="005F4560"/>
    <w:rsid w:val="00602E29"/>
    <w:rsid w:val="00606549"/>
    <w:rsid w:val="00611C83"/>
    <w:rsid w:val="00613F65"/>
    <w:rsid w:val="00614BA3"/>
    <w:rsid w:val="0062768D"/>
    <w:rsid w:val="00631A1D"/>
    <w:rsid w:val="0063754D"/>
    <w:rsid w:val="0064348A"/>
    <w:rsid w:val="00645979"/>
    <w:rsid w:val="00647D41"/>
    <w:rsid w:val="00656823"/>
    <w:rsid w:val="00671DD7"/>
    <w:rsid w:val="006725B9"/>
    <w:rsid w:val="006766B8"/>
    <w:rsid w:val="00677FA9"/>
    <w:rsid w:val="006840D0"/>
    <w:rsid w:val="00690739"/>
    <w:rsid w:val="006A5859"/>
    <w:rsid w:val="006C0854"/>
    <w:rsid w:val="006C34DF"/>
    <w:rsid w:val="006C60ED"/>
    <w:rsid w:val="006E0A06"/>
    <w:rsid w:val="006E5792"/>
    <w:rsid w:val="006E7FBE"/>
    <w:rsid w:val="006F621C"/>
    <w:rsid w:val="006F6928"/>
    <w:rsid w:val="007075D0"/>
    <w:rsid w:val="00720D65"/>
    <w:rsid w:val="00725D3F"/>
    <w:rsid w:val="00730EBB"/>
    <w:rsid w:val="00733033"/>
    <w:rsid w:val="00735850"/>
    <w:rsid w:val="007362B0"/>
    <w:rsid w:val="0074098F"/>
    <w:rsid w:val="00744C45"/>
    <w:rsid w:val="007569BF"/>
    <w:rsid w:val="0076591D"/>
    <w:rsid w:val="0077247B"/>
    <w:rsid w:val="00777E7F"/>
    <w:rsid w:val="0078007F"/>
    <w:rsid w:val="00784FBB"/>
    <w:rsid w:val="007854C9"/>
    <w:rsid w:val="007914B7"/>
    <w:rsid w:val="00791E06"/>
    <w:rsid w:val="00794F02"/>
    <w:rsid w:val="0079545E"/>
    <w:rsid w:val="007B0ADA"/>
    <w:rsid w:val="007B119A"/>
    <w:rsid w:val="007C0AFC"/>
    <w:rsid w:val="007C22EA"/>
    <w:rsid w:val="007C52AC"/>
    <w:rsid w:val="007C6BED"/>
    <w:rsid w:val="007D186E"/>
    <w:rsid w:val="007D2D0B"/>
    <w:rsid w:val="007D5824"/>
    <w:rsid w:val="007F7B1D"/>
    <w:rsid w:val="008019E3"/>
    <w:rsid w:val="008031B8"/>
    <w:rsid w:val="0081470A"/>
    <w:rsid w:val="00827388"/>
    <w:rsid w:val="0083096B"/>
    <w:rsid w:val="008366C3"/>
    <w:rsid w:val="00841765"/>
    <w:rsid w:val="008476D6"/>
    <w:rsid w:val="00850609"/>
    <w:rsid w:val="00854FB9"/>
    <w:rsid w:val="00855329"/>
    <w:rsid w:val="008619E5"/>
    <w:rsid w:val="00862DD5"/>
    <w:rsid w:val="00884959"/>
    <w:rsid w:val="00884E39"/>
    <w:rsid w:val="00895E06"/>
    <w:rsid w:val="00897DB1"/>
    <w:rsid w:val="008A1792"/>
    <w:rsid w:val="008A6C51"/>
    <w:rsid w:val="008B036F"/>
    <w:rsid w:val="008B1050"/>
    <w:rsid w:val="008C0193"/>
    <w:rsid w:val="008C1AB3"/>
    <w:rsid w:val="008C3BFE"/>
    <w:rsid w:val="008C42DE"/>
    <w:rsid w:val="008D67E6"/>
    <w:rsid w:val="008D6D84"/>
    <w:rsid w:val="008F05FA"/>
    <w:rsid w:val="008F0BD0"/>
    <w:rsid w:val="008F135F"/>
    <w:rsid w:val="008F4BE8"/>
    <w:rsid w:val="00902F1A"/>
    <w:rsid w:val="00911481"/>
    <w:rsid w:val="00911AA6"/>
    <w:rsid w:val="00923D5C"/>
    <w:rsid w:val="0092442F"/>
    <w:rsid w:val="009305DA"/>
    <w:rsid w:val="00931012"/>
    <w:rsid w:val="00934BA5"/>
    <w:rsid w:val="009509F6"/>
    <w:rsid w:val="00951111"/>
    <w:rsid w:val="00952160"/>
    <w:rsid w:val="00957F90"/>
    <w:rsid w:val="009667D8"/>
    <w:rsid w:val="009725F0"/>
    <w:rsid w:val="00985C72"/>
    <w:rsid w:val="00992303"/>
    <w:rsid w:val="009B003E"/>
    <w:rsid w:val="009B58A4"/>
    <w:rsid w:val="009B6275"/>
    <w:rsid w:val="009C0230"/>
    <w:rsid w:val="009C5D0A"/>
    <w:rsid w:val="009C6B9C"/>
    <w:rsid w:val="009C757A"/>
    <w:rsid w:val="009C7809"/>
    <w:rsid w:val="009D6868"/>
    <w:rsid w:val="009D7037"/>
    <w:rsid w:val="009E47BC"/>
    <w:rsid w:val="009E6D6B"/>
    <w:rsid w:val="009F3462"/>
    <w:rsid w:val="009F459C"/>
    <w:rsid w:val="009F67D5"/>
    <w:rsid w:val="00A0076D"/>
    <w:rsid w:val="00A02841"/>
    <w:rsid w:val="00A1195C"/>
    <w:rsid w:val="00A1601A"/>
    <w:rsid w:val="00A246A8"/>
    <w:rsid w:val="00A3189F"/>
    <w:rsid w:val="00A33281"/>
    <w:rsid w:val="00A3515E"/>
    <w:rsid w:val="00A353BD"/>
    <w:rsid w:val="00A40D41"/>
    <w:rsid w:val="00A4425B"/>
    <w:rsid w:val="00A4728B"/>
    <w:rsid w:val="00A60248"/>
    <w:rsid w:val="00A62AC0"/>
    <w:rsid w:val="00A6430B"/>
    <w:rsid w:val="00A66D6E"/>
    <w:rsid w:val="00A67BD7"/>
    <w:rsid w:val="00A708B6"/>
    <w:rsid w:val="00A8698A"/>
    <w:rsid w:val="00A92C21"/>
    <w:rsid w:val="00AA1C97"/>
    <w:rsid w:val="00AC18CC"/>
    <w:rsid w:val="00AD3060"/>
    <w:rsid w:val="00AD58AE"/>
    <w:rsid w:val="00AF57D5"/>
    <w:rsid w:val="00B0099B"/>
    <w:rsid w:val="00B114C4"/>
    <w:rsid w:val="00B13390"/>
    <w:rsid w:val="00B33A67"/>
    <w:rsid w:val="00B343D8"/>
    <w:rsid w:val="00B37D39"/>
    <w:rsid w:val="00B37EAC"/>
    <w:rsid w:val="00B40592"/>
    <w:rsid w:val="00B455DA"/>
    <w:rsid w:val="00B461A7"/>
    <w:rsid w:val="00B6521D"/>
    <w:rsid w:val="00B802C6"/>
    <w:rsid w:val="00B80380"/>
    <w:rsid w:val="00B8275E"/>
    <w:rsid w:val="00B83F7F"/>
    <w:rsid w:val="00B845F1"/>
    <w:rsid w:val="00B870E9"/>
    <w:rsid w:val="00B96CA9"/>
    <w:rsid w:val="00BA726C"/>
    <w:rsid w:val="00BB0F82"/>
    <w:rsid w:val="00BB6CCE"/>
    <w:rsid w:val="00BD3715"/>
    <w:rsid w:val="00BD65EE"/>
    <w:rsid w:val="00BD69CE"/>
    <w:rsid w:val="00BE4F8F"/>
    <w:rsid w:val="00BE684B"/>
    <w:rsid w:val="00C0238C"/>
    <w:rsid w:val="00C05F26"/>
    <w:rsid w:val="00C159C1"/>
    <w:rsid w:val="00C27CF9"/>
    <w:rsid w:val="00C30B87"/>
    <w:rsid w:val="00C3460D"/>
    <w:rsid w:val="00C3620C"/>
    <w:rsid w:val="00C36F4D"/>
    <w:rsid w:val="00C47CF8"/>
    <w:rsid w:val="00C5140B"/>
    <w:rsid w:val="00C54E4C"/>
    <w:rsid w:val="00C6361D"/>
    <w:rsid w:val="00C64193"/>
    <w:rsid w:val="00C6655E"/>
    <w:rsid w:val="00C72B7A"/>
    <w:rsid w:val="00C73812"/>
    <w:rsid w:val="00C75BB3"/>
    <w:rsid w:val="00C76287"/>
    <w:rsid w:val="00C76B91"/>
    <w:rsid w:val="00C97601"/>
    <w:rsid w:val="00CA1A7A"/>
    <w:rsid w:val="00CA7D0B"/>
    <w:rsid w:val="00CB1945"/>
    <w:rsid w:val="00CB258B"/>
    <w:rsid w:val="00CC26B0"/>
    <w:rsid w:val="00CD38AE"/>
    <w:rsid w:val="00CD624B"/>
    <w:rsid w:val="00CE26A4"/>
    <w:rsid w:val="00D03E9F"/>
    <w:rsid w:val="00D147C3"/>
    <w:rsid w:val="00D14E55"/>
    <w:rsid w:val="00D177E3"/>
    <w:rsid w:val="00D226DC"/>
    <w:rsid w:val="00D27393"/>
    <w:rsid w:val="00D27CB2"/>
    <w:rsid w:val="00D31A66"/>
    <w:rsid w:val="00D346D4"/>
    <w:rsid w:val="00D3629A"/>
    <w:rsid w:val="00D53520"/>
    <w:rsid w:val="00D543B7"/>
    <w:rsid w:val="00D6048A"/>
    <w:rsid w:val="00D610BD"/>
    <w:rsid w:val="00D671B6"/>
    <w:rsid w:val="00D708C6"/>
    <w:rsid w:val="00D7192D"/>
    <w:rsid w:val="00D827D6"/>
    <w:rsid w:val="00D904CA"/>
    <w:rsid w:val="00D91330"/>
    <w:rsid w:val="00DA388E"/>
    <w:rsid w:val="00DA69E2"/>
    <w:rsid w:val="00DB1BF6"/>
    <w:rsid w:val="00DB5485"/>
    <w:rsid w:val="00DC5532"/>
    <w:rsid w:val="00DC57EA"/>
    <w:rsid w:val="00DD39DF"/>
    <w:rsid w:val="00DD7639"/>
    <w:rsid w:val="00DE1A37"/>
    <w:rsid w:val="00DE3F1E"/>
    <w:rsid w:val="00DF4F37"/>
    <w:rsid w:val="00DF4FCC"/>
    <w:rsid w:val="00E053F5"/>
    <w:rsid w:val="00E10C34"/>
    <w:rsid w:val="00E1618E"/>
    <w:rsid w:val="00E1798B"/>
    <w:rsid w:val="00E17A48"/>
    <w:rsid w:val="00E24301"/>
    <w:rsid w:val="00E27D5F"/>
    <w:rsid w:val="00E300BA"/>
    <w:rsid w:val="00E31F85"/>
    <w:rsid w:val="00E321B6"/>
    <w:rsid w:val="00E323E7"/>
    <w:rsid w:val="00E3461E"/>
    <w:rsid w:val="00E36BED"/>
    <w:rsid w:val="00E41124"/>
    <w:rsid w:val="00E448FA"/>
    <w:rsid w:val="00E470D1"/>
    <w:rsid w:val="00E56B7F"/>
    <w:rsid w:val="00E57CE8"/>
    <w:rsid w:val="00E60174"/>
    <w:rsid w:val="00E70AD7"/>
    <w:rsid w:val="00E91839"/>
    <w:rsid w:val="00EA127E"/>
    <w:rsid w:val="00EA2578"/>
    <w:rsid w:val="00EA4131"/>
    <w:rsid w:val="00EA480C"/>
    <w:rsid w:val="00EB32E3"/>
    <w:rsid w:val="00EC0096"/>
    <w:rsid w:val="00EC025A"/>
    <w:rsid w:val="00EC648D"/>
    <w:rsid w:val="00ED2746"/>
    <w:rsid w:val="00ED43C6"/>
    <w:rsid w:val="00EE78A9"/>
    <w:rsid w:val="00EF3BA7"/>
    <w:rsid w:val="00F03365"/>
    <w:rsid w:val="00F06C6F"/>
    <w:rsid w:val="00F12331"/>
    <w:rsid w:val="00F15244"/>
    <w:rsid w:val="00F16C6B"/>
    <w:rsid w:val="00F3326C"/>
    <w:rsid w:val="00F431FF"/>
    <w:rsid w:val="00F4687B"/>
    <w:rsid w:val="00F47410"/>
    <w:rsid w:val="00F50996"/>
    <w:rsid w:val="00F531F7"/>
    <w:rsid w:val="00F54154"/>
    <w:rsid w:val="00F542B8"/>
    <w:rsid w:val="00F542C1"/>
    <w:rsid w:val="00F56348"/>
    <w:rsid w:val="00F64555"/>
    <w:rsid w:val="00F832F2"/>
    <w:rsid w:val="00F92BDD"/>
    <w:rsid w:val="00F94C0D"/>
    <w:rsid w:val="00FA7F15"/>
    <w:rsid w:val="00FC071D"/>
    <w:rsid w:val="00FC23E9"/>
    <w:rsid w:val="00FC57B2"/>
    <w:rsid w:val="00FD0BD5"/>
    <w:rsid w:val="00FE172A"/>
    <w:rsid w:val="00FE34C1"/>
    <w:rsid w:val="00FF0196"/>
    <w:rsid w:val="1E4C9FA9"/>
    <w:rsid w:val="27992244"/>
    <w:rsid w:val="27D7C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2D9B"/>
  <w15:docId w15:val="{8DCCB9C1-9A57-422E-97C7-5555D5A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22"/>
    <w:rPr>
      <w:color w:val="0000FF" w:themeColor="hyperlink"/>
      <w:u w:val="single"/>
    </w:rPr>
  </w:style>
  <w:style w:type="paragraph" w:styleId="ListParagraph">
    <w:name w:val="List Paragraph"/>
    <w:basedOn w:val="Normal"/>
    <w:uiPriority w:val="34"/>
    <w:qFormat/>
    <w:rsid w:val="003403A7"/>
    <w:pPr>
      <w:ind w:left="720"/>
      <w:contextualSpacing/>
    </w:pPr>
  </w:style>
  <w:style w:type="paragraph" w:styleId="BodyText">
    <w:name w:val="Body Text"/>
    <w:basedOn w:val="Normal"/>
    <w:link w:val="BodyTextChar"/>
    <w:uiPriority w:val="1"/>
    <w:qFormat/>
    <w:rsid w:val="00D708C6"/>
    <w:pPr>
      <w:widowControl w:val="0"/>
      <w:spacing w:after="0" w:line="240" w:lineRule="auto"/>
      <w:ind w:left="117"/>
    </w:pPr>
    <w:rPr>
      <w:rFonts w:ascii="Arial" w:eastAsia="Arial" w:hAnsi="Arial"/>
      <w:lang w:val="en-US"/>
    </w:rPr>
  </w:style>
  <w:style w:type="character" w:customStyle="1" w:styleId="BodyTextChar">
    <w:name w:val="Body Text Char"/>
    <w:basedOn w:val="DefaultParagraphFont"/>
    <w:link w:val="BodyText"/>
    <w:uiPriority w:val="1"/>
    <w:rsid w:val="00D708C6"/>
    <w:rPr>
      <w:rFonts w:ascii="Arial" w:eastAsia="Arial" w:hAnsi="Arial"/>
      <w:lang w:val="en-US"/>
    </w:rPr>
  </w:style>
  <w:style w:type="character" w:styleId="CommentReference">
    <w:name w:val="annotation reference"/>
    <w:uiPriority w:val="99"/>
    <w:semiHidden/>
    <w:rsid w:val="007F7B1D"/>
    <w:rPr>
      <w:rFonts w:cs="Times New Roman"/>
      <w:sz w:val="16"/>
      <w:szCs w:val="16"/>
    </w:rPr>
  </w:style>
  <w:style w:type="paragraph" w:styleId="CommentText">
    <w:name w:val="annotation text"/>
    <w:basedOn w:val="Normal"/>
    <w:link w:val="CommentTextChar"/>
    <w:uiPriority w:val="99"/>
    <w:rsid w:val="007F7B1D"/>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7F7B1D"/>
    <w:rPr>
      <w:rFonts w:ascii="Arial" w:eastAsia="Arial" w:hAnsi="Arial" w:cs="Times New Roman"/>
      <w:sz w:val="20"/>
      <w:szCs w:val="20"/>
    </w:rPr>
  </w:style>
  <w:style w:type="paragraph" w:styleId="BalloonText">
    <w:name w:val="Balloon Text"/>
    <w:basedOn w:val="Normal"/>
    <w:link w:val="BalloonTextChar"/>
    <w:uiPriority w:val="99"/>
    <w:semiHidden/>
    <w:unhideWhenUsed/>
    <w:rsid w:val="007F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1D"/>
    <w:rPr>
      <w:rFonts w:ascii="Tahoma" w:hAnsi="Tahoma" w:cs="Tahoma"/>
      <w:sz w:val="16"/>
      <w:szCs w:val="16"/>
    </w:rPr>
  </w:style>
  <w:style w:type="paragraph" w:styleId="NoSpacing">
    <w:name w:val="No Spacing"/>
    <w:uiPriority w:val="1"/>
    <w:qFormat/>
    <w:rsid w:val="00EA2578"/>
    <w:pPr>
      <w:spacing w:after="0" w:line="240" w:lineRule="auto"/>
    </w:pPr>
    <w:rPr>
      <w:rFonts w:eastAsiaTheme="minorEastAsia"/>
      <w:lang w:eastAsia="zh-CN"/>
    </w:rPr>
  </w:style>
  <w:style w:type="paragraph" w:styleId="Header">
    <w:name w:val="header"/>
    <w:basedOn w:val="Normal"/>
    <w:link w:val="HeaderChar"/>
    <w:uiPriority w:val="99"/>
    <w:unhideWhenUsed/>
    <w:rsid w:val="00EA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578"/>
  </w:style>
  <w:style w:type="paragraph" w:styleId="Footer">
    <w:name w:val="footer"/>
    <w:basedOn w:val="Normal"/>
    <w:link w:val="FooterChar"/>
    <w:uiPriority w:val="99"/>
    <w:unhideWhenUsed/>
    <w:rsid w:val="00EA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578"/>
  </w:style>
  <w:style w:type="character" w:styleId="Strong">
    <w:name w:val="Strong"/>
    <w:basedOn w:val="DefaultParagraphFont"/>
    <w:uiPriority w:val="99"/>
    <w:qFormat/>
    <w:rsid w:val="00583788"/>
    <w:rPr>
      <w:b/>
      <w:bCs/>
    </w:rPr>
  </w:style>
  <w:style w:type="paragraph" w:styleId="NormalWeb">
    <w:name w:val="Normal (Web)"/>
    <w:basedOn w:val="Normal"/>
    <w:uiPriority w:val="99"/>
    <w:semiHidden/>
    <w:unhideWhenUsed/>
    <w:rsid w:val="00583788"/>
    <w:pPr>
      <w:spacing w:before="100" w:beforeAutospacing="1" w:after="100" w:afterAutospacing="1" w:line="390" w:lineRule="atLeast"/>
    </w:pPr>
    <w:rPr>
      <w:rFonts w:ascii="Times New Roman" w:eastAsia="Times New Roman" w:hAnsi="Times New Roman" w:cs="Times New Roman"/>
      <w:color w:val="333333"/>
      <w:sz w:val="24"/>
      <w:szCs w:val="24"/>
      <w:lang w:eastAsia="en-GB"/>
    </w:rPr>
  </w:style>
  <w:style w:type="paragraph" w:customStyle="1" w:styleId="TableParagraph">
    <w:name w:val="Table Paragraph"/>
    <w:basedOn w:val="Normal"/>
    <w:uiPriority w:val="1"/>
    <w:qFormat/>
    <w:rsid w:val="009C757A"/>
    <w:pPr>
      <w:widowControl w:val="0"/>
      <w:autoSpaceDE w:val="0"/>
      <w:autoSpaceDN w:val="0"/>
      <w:adjustRightInd w:val="0"/>
      <w:spacing w:before="58" w:after="0" w:line="240" w:lineRule="auto"/>
      <w:ind w:left="120"/>
    </w:pPr>
    <w:rPr>
      <w:rFonts w:ascii="Open Sans" w:eastAsiaTheme="minorEastAsia" w:hAnsi="Open Sans" w:cs="Open Sans"/>
      <w:sz w:val="24"/>
      <w:szCs w:val="24"/>
      <w:lang w:eastAsia="en-GB"/>
    </w:rPr>
  </w:style>
  <w:style w:type="paragraph" w:styleId="Bibliography">
    <w:name w:val="Bibliography"/>
    <w:basedOn w:val="Normal"/>
    <w:next w:val="Normal"/>
    <w:uiPriority w:val="37"/>
    <w:semiHidden/>
    <w:unhideWhenUsed/>
    <w:rsid w:val="00923D5C"/>
  </w:style>
  <w:style w:type="paragraph" w:customStyle="1" w:styleId="Default">
    <w:name w:val="Default"/>
    <w:rsid w:val="00C76B9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14E5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4E55"/>
    <w:rPr>
      <w:rFonts w:ascii="Arial" w:eastAsia="Arial" w:hAnsi="Arial" w:cs="Times New Roman"/>
      <w:b/>
      <w:bCs/>
      <w:sz w:val="20"/>
      <w:szCs w:val="20"/>
    </w:rPr>
  </w:style>
  <w:style w:type="character" w:customStyle="1" w:styleId="normaltextrun">
    <w:name w:val="normaltextrun"/>
    <w:basedOn w:val="DefaultParagraphFont"/>
    <w:rsid w:val="00FE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6336">
      <w:bodyDiv w:val="1"/>
      <w:marLeft w:val="0"/>
      <w:marRight w:val="0"/>
      <w:marTop w:val="0"/>
      <w:marBottom w:val="0"/>
      <w:divBdr>
        <w:top w:val="none" w:sz="0" w:space="0" w:color="auto"/>
        <w:left w:val="none" w:sz="0" w:space="0" w:color="auto"/>
        <w:bottom w:val="none" w:sz="0" w:space="0" w:color="auto"/>
        <w:right w:val="none" w:sz="0" w:space="0" w:color="auto"/>
      </w:divBdr>
      <w:divsChild>
        <w:div w:id="1119687239">
          <w:marLeft w:val="0"/>
          <w:marRight w:val="0"/>
          <w:marTop w:val="100"/>
          <w:marBottom w:val="100"/>
          <w:divBdr>
            <w:top w:val="none" w:sz="0" w:space="0" w:color="auto"/>
            <w:left w:val="none" w:sz="0" w:space="0" w:color="auto"/>
            <w:bottom w:val="none" w:sz="0" w:space="0" w:color="auto"/>
            <w:right w:val="none" w:sz="0" w:space="0" w:color="auto"/>
          </w:divBdr>
          <w:divsChild>
            <w:div w:id="1706321759">
              <w:marLeft w:val="0"/>
              <w:marRight w:val="0"/>
              <w:marTop w:val="0"/>
              <w:marBottom w:val="0"/>
              <w:divBdr>
                <w:top w:val="none" w:sz="0" w:space="0" w:color="auto"/>
                <w:left w:val="none" w:sz="0" w:space="0" w:color="auto"/>
                <w:bottom w:val="none" w:sz="0" w:space="0" w:color="auto"/>
                <w:right w:val="none" w:sz="0" w:space="0" w:color="auto"/>
              </w:divBdr>
              <w:divsChild>
                <w:div w:id="1565605628">
                  <w:marLeft w:val="105"/>
                  <w:marRight w:val="105"/>
                  <w:marTop w:val="105"/>
                  <w:marBottom w:val="105"/>
                  <w:divBdr>
                    <w:top w:val="none" w:sz="0" w:space="0" w:color="auto"/>
                    <w:left w:val="none" w:sz="0" w:space="0" w:color="auto"/>
                    <w:bottom w:val="none" w:sz="0" w:space="0" w:color="auto"/>
                    <w:right w:val="none" w:sz="0" w:space="0" w:color="auto"/>
                  </w:divBdr>
                  <w:divsChild>
                    <w:div w:id="2023817655">
                      <w:marLeft w:val="0"/>
                      <w:marRight w:val="0"/>
                      <w:marTop w:val="0"/>
                      <w:marBottom w:val="0"/>
                      <w:divBdr>
                        <w:top w:val="none" w:sz="0" w:space="0" w:color="auto"/>
                        <w:left w:val="none" w:sz="0" w:space="0" w:color="auto"/>
                        <w:bottom w:val="none" w:sz="0" w:space="0" w:color="auto"/>
                        <w:right w:val="none" w:sz="0" w:space="0" w:color="auto"/>
                      </w:divBdr>
                      <w:divsChild>
                        <w:div w:id="397679334">
                          <w:marLeft w:val="0"/>
                          <w:marRight w:val="0"/>
                          <w:marTop w:val="0"/>
                          <w:marBottom w:val="0"/>
                          <w:divBdr>
                            <w:top w:val="none" w:sz="0" w:space="0" w:color="auto"/>
                            <w:left w:val="none" w:sz="0" w:space="0" w:color="auto"/>
                            <w:bottom w:val="none" w:sz="0" w:space="0" w:color="auto"/>
                            <w:right w:val="none" w:sz="0" w:space="0" w:color="auto"/>
                          </w:divBdr>
                          <w:divsChild>
                            <w:div w:id="413743012">
                              <w:marLeft w:val="105"/>
                              <w:marRight w:val="105"/>
                              <w:marTop w:val="105"/>
                              <w:marBottom w:val="105"/>
                              <w:divBdr>
                                <w:top w:val="none" w:sz="0" w:space="0" w:color="auto"/>
                                <w:left w:val="none" w:sz="0" w:space="0" w:color="auto"/>
                                <w:bottom w:val="none" w:sz="0" w:space="0" w:color="auto"/>
                                <w:right w:val="none" w:sz="0" w:space="0" w:color="auto"/>
                              </w:divBdr>
                              <w:divsChild>
                                <w:div w:id="1495531794">
                                  <w:marLeft w:val="0"/>
                                  <w:marRight w:val="0"/>
                                  <w:marTop w:val="0"/>
                                  <w:marBottom w:val="0"/>
                                  <w:divBdr>
                                    <w:top w:val="none" w:sz="0" w:space="0" w:color="auto"/>
                                    <w:left w:val="none" w:sz="0" w:space="0" w:color="auto"/>
                                    <w:bottom w:val="none" w:sz="0" w:space="0" w:color="auto"/>
                                    <w:right w:val="none" w:sz="0" w:space="0" w:color="auto"/>
                                  </w:divBdr>
                                  <w:divsChild>
                                    <w:div w:id="693070738">
                                      <w:marLeft w:val="0"/>
                                      <w:marRight w:val="0"/>
                                      <w:marTop w:val="0"/>
                                      <w:marBottom w:val="0"/>
                                      <w:divBdr>
                                        <w:top w:val="none" w:sz="0" w:space="0" w:color="auto"/>
                                        <w:left w:val="none" w:sz="0" w:space="0" w:color="auto"/>
                                        <w:bottom w:val="none" w:sz="0" w:space="0" w:color="auto"/>
                                        <w:right w:val="none" w:sz="0" w:space="0" w:color="auto"/>
                                      </w:divBdr>
                                      <w:divsChild>
                                        <w:div w:id="1497265034">
                                          <w:marLeft w:val="0"/>
                                          <w:marRight w:val="0"/>
                                          <w:marTop w:val="0"/>
                                          <w:marBottom w:val="0"/>
                                          <w:divBdr>
                                            <w:top w:val="none" w:sz="0" w:space="0" w:color="auto"/>
                                            <w:left w:val="none" w:sz="0" w:space="0" w:color="auto"/>
                                            <w:bottom w:val="none" w:sz="0" w:space="0" w:color="auto"/>
                                            <w:right w:val="none" w:sz="0" w:space="0" w:color="auto"/>
                                          </w:divBdr>
                                          <w:divsChild>
                                            <w:div w:id="280649453">
                                              <w:marLeft w:val="0"/>
                                              <w:marRight w:val="0"/>
                                              <w:marTop w:val="0"/>
                                              <w:marBottom w:val="0"/>
                                              <w:divBdr>
                                                <w:top w:val="none" w:sz="0" w:space="0" w:color="auto"/>
                                                <w:left w:val="none" w:sz="0" w:space="0" w:color="auto"/>
                                                <w:bottom w:val="none" w:sz="0" w:space="0" w:color="auto"/>
                                                <w:right w:val="none" w:sz="0" w:space="0" w:color="auto"/>
                                              </w:divBdr>
                                              <w:divsChild>
                                                <w:div w:id="1711760004">
                                                  <w:marLeft w:val="105"/>
                                                  <w:marRight w:val="105"/>
                                                  <w:marTop w:val="105"/>
                                                  <w:marBottom w:val="105"/>
                                                  <w:divBdr>
                                                    <w:top w:val="none" w:sz="0" w:space="0" w:color="auto"/>
                                                    <w:left w:val="none" w:sz="0" w:space="0" w:color="auto"/>
                                                    <w:bottom w:val="none" w:sz="0" w:space="0" w:color="auto"/>
                                                    <w:right w:val="none" w:sz="0" w:space="0" w:color="auto"/>
                                                  </w:divBdr>
                                                  <w:divsChild>
                                                    <w:div w:id="215357077">
                                                      <w:marLeft w:val="0"/>
                                                      <w:marRight w:val="0"/>
                                                      <w:marTop w:val="0"/>
                                                      <w:marBottom w:val="0"/>
                                                      <w:divBdr>
                                                        <w:top w:val="none" w:sz="0" w:space="0" w:color="auto"/>
                                                        <w:left w:val="none" w:sz="0" w:space="0" w:color="auto"/>
                                                        <w:bottom w:val="none" w:sz="0" w:space="0" w:color="auto"/>
                                                        <w:right w:val="none" w:sz="0" w:space="0" w:color="auto"/>
                                                      </w:divBdr>
                                                      <w:divsChild>
                                                        <w:div w:id="1727486943">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sChild>
                                                                <w:div w:id="629357008">
                                                                  <w:marLeft w:val="105"/>
                                                                  <w:marRight w:val="105"/>
                                                                  <w:marTop w:val="105"/>
                                                                  <w:marBottom w:val="105"/>
                                                                  <w:divBdr>
                                                                    <w:top w:val="none" w:sz="0" w:space="0" w:color="auto"/>
                                                                    <w:left w:val="none" w:sz="0" w:space="0" w:color="auto"/>
                                                                    <w:bottom w:val="none" w:sz="0" w:space="0" w:color="auto"/>
                                                                    <w:right w:val="none" w:sz="0" w:space="0" w:color="auto"/>
                                                                  </w:divBdr>
                                                                  <w:divsChild>
                                                                    <w:div w:id="1262228586">
                                                                      <w:marLeft w:val="105"/>
                                                                      <w:marRight w:val="105"/>
                                                                      <w:marTop w:val="105"/>
                                                                      <w:marBottom w:val="105"/>
                                                                      <w:divBdr>
                                                                        <w:top w:val="none" w:sz="0" w:space="0" w:color="auto"/>
                                                                        <w:left w:val="none" w:sz="0" w:space="0" w:color="auto"/>
                                                                        <w:bottom w:val="none" w:sz="0" w:space="0" w:color="auto"/>
                                                                        <w:right w:val="none" w:sz="0" w:space="0" w:color="auto"/>
                                                                      </w:divBdr>
                                                                      <w:divsChild>
                                                                        <w:div w:id="79445292">
                                                                          <w:marLeft w:val="0"/>
                                                                          <w:marRight w:val="0"/>
                                                                          <w:marTop w:val="0"/>
                                                                          <w:marBottom w:val="0"/>
                                                                          <w:divBdr>
                                                                            <w:top w:val="none" w:sz="0" w:space="0" w:color="auto"/>
                                                                            <w:left w:val="none" w:sz="0" w:space="0" w:color="auto"/>
                                                                            <w:bottom w:val="none" w:sz="0" w:space="0" w:color="auto"/>
                                                                            <w:right w:val="none" w:sz="0" w:space="0" w:color="auto"/>
                                                                          </w:divBdr>
                                                                          <w:divsChild>
                                                                            <w:div w:id="697119324">
                                                                              <w:marLeft w:val="0"/>
                                                                              <w:marRight w:val="0"/>
                                                                              <w:marTop w:val="0"/>
                                                                              <w:marBottom w:val="0"/>
                                                                              <w:divBdr>
                                                                                <w:top w:val="none" w:sz="0" w:space="0" w:color="auto"/>
                                                                                <w:left w:val="none" w:sz="0" w:space="0" w:color="auto"/>
                                                                                <w:bottom w:val="none" w:sz="0" w:space="0" w:color="auto"/>
                                                                                <w:right w:val="none" w:sz="0" w:space="0" w:color="auto"/>
                                                                              </w:divBdr>
                                                                              <w:divsChild>
                                                                                <w:div w:id="242496937">
                                                                                  <w:marLeft w:val="0"/>
                                                                                  <w:marRight w:val="0"/>
                                                                                  <w:marTop w:val="0"/>
                                                                                  <w:marBottom w:val="0"/>
                                                                                  <w:divBdr>
                                                                                    <w:top w:val="none" w:sz="0" w:space="0" w:color="auto"/>
                                                                                    <w:left w:val="none" w:sz="0" w:space="0" w:color="auto"/>
                                                                                    <w:bottom w:val="none" w:sz="0" w:space="0" w:color="auto"/>
                                                                                    <w:right w:val="none" w:sz="0" w:space="0" w:color="auto"/>
                                                                                  </w:divBdr>
                                                                                  <w:divsChild>
                                                                                    <w:div w:id="683438729">
                                                                                      <w:marLeft w:val="0"/>
                                                                                      <w:marRight w:val="0"/>
                                                                                      <w:marTop w:val="0"/>
                                                                                      <w:marBottom w:val="0"/>
                                                                                      <w:divBdr>
                                                                                        <w:top w:val="none" w:sz="0" w:space="0" w:color="auto"/>
                                                                                        <w:left w:val="none" w:sz="0" w:space="0" w:color="auto"/>
                                                                                        <w:bottom w:val="none" w:sz="0" w:space="0" w:color="auto"/>
                                                                                        <w:right w:val="none" w:sz="0" w:space="0" w:color="auto"/>
                                                                                      </w:divBdr>
                                                                                      <w:divsChild>
                                                                                        <w:div w:id="1062873999">
                                                                                          <w:marLeft w:val="0"/>
                                                                                          <w:marRight w:val="0"/>
                                                                                          <w:marTop w:val="0"/>
                                                                                          <w:marBottom w:val="0"/>
                                                                                          <w:divBdr>
                                                                                            <w:top w:val="none" w:sz="0" w:space="0" w:color="auto"/>
                                                                                            <w:left w:val="none" w:sz="0" w:space="0" w:color="auto"/>
                                                                                            <w:bottom w:val="none" w:sz="0" w:space="0" w:color="auto"/>
                                                                                            <w:right w:val="none" w:sz="0" w:space="0" w:color="auto"/>
                                                                                          </w:divBdr>
                                                                                          <w:divsChild>
                                                                                            <w:div w:id="2067144067">
                                                                                              <w:marLeft w:val="0"/>
                                                                                              <w:marRight w:val="0"/>
                                                                                              <w:marTop w:val="0"/>
                                                                                              <w:marBottom w:val="0"/>
                                                                                              <w:divBdr>
                                                                                                <w:top w:val="none" w:sz="0" w:space="0" w:color="auto"/>
                                                                                                <w:left w:val="none" w:sz="0" w:space="0" w:color="auto"/>
                                                                                                <w:bottom w:val="none" w:sz="0" w:space="0" w:color="auto"/>
                                                                                                <w:right w:val="none" w:sz="0" w:space="0" w:color="auto"/>
                                                                                              </w:divBdr>
                                                                                              <w:divsChild>
                                                                                                <w:div w:id="21052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541019">
      <w:bodyDiv w:val="1"/>
      <w:marLeft w:val="0"/>
      <w:marRight w:val="0"/>
      <w:marTop w:val="0"/>
      <w:marBottom w:val="0"/>
      <w:divBdr>
        <w:top w:val="none" w:sz="0" w:space="0" w:color="auto"/>
        <w:left w:val="none" w:sz="0" w:space="0" w:color="auto"/>
        <w:bottom w:val="none" w:sz="0" w:space="0" w:color="auto"/>
        <w:right w:val="none" w:sz="0" w:space="0" w:color="auto"/>
      </w:divBdr>
      <w:divsChild>
        <w:div w:id="1995529861">
          <w:marLeft w:val="0"/>
          <w:marRight w:val="0"/>
          <w:marTop w:val="100"/>
          <w:marBottom w:val="100"/>
          <w:divBdr>
            <w:top w:val="none" w:sz="0" w:space="0" w:color="auto"/>
            <w:left w:val="none" w:sz="0" w:space="0" w:color="auto"/>
            <w:bottom w:val="none" w:sz="0" w:space="0" w:color="auto"/>
            <w:right w:val="none" w:sz="0" w:space="0" w:color="auto"/>
          </w:divBdr>
          <w:divsChild>
            <w:div w:id="1796606983">
              <w:marLeft w:val="0"/>
              <w:marRight w:val="0"/>
              <w:marTop w:val="0"/>
              <w:marBottom w:val="0"/>
              <w:divBdr>
                <w:top w:val="none" w:sz="0" w:space="0" w:color="auto"/>
                <w:left w:val="none" w:sz="0" w:space="0" w:color="auto"/>
                <w:bottom w:val="none" w:sz="0" w:space="0" w:color="auto"/>
                <w:right w:val="none" w:sz="0" w:space="0" w:color="auto"/>
              </w:divBdr>
              <w:divsChild>
                <w:div w:id="990135050">
                  <w:marLeft w:val="105"/>
                  <w:marRight w:val="105"/>
                  <w:marTop w:val="105"/>
                  <w:marBottom w:val="105"/>
                  <w:divBdr>
                    <w:top w:val="none" w:sz="0" w:space="0" w:color="auto"/>
                    <w:left w:val="none" w:sz="0" w:space="0" w:color="auto"/>
                    <w:bottom w:val="none" w:sz="0" w:space="0" w:color="auto"/>
                    <w:right w:val="none" w:sz="0" w:space="0" w:color="auto"/>
                  </w:divBdr>
                  <w:divsChild>
                    <w:div w:id="1907184047">
                      <w:marLeft w:val="0"/>
                      <w:marRight w:val="0"/>
                      <w:marTop w:val="0"/>
                      <w:marBottom w:val="0"/>
                      <w:divBdr>
                        <w:top w:val="none" w:sz="0" w:space="0" w:color="auto"/>
                        <w:left w:val="none" w:sz="0" w:space="0" w:color="auto"/>
                        <w:bottom w:val="none" w:sz="0" w:space="0" w:color="auto"/>
                        <w:right w:val="none" w:sz="0" w:space="0" w:color="auto"/>
                      </w:divBdr>
                      <w:divsChild>
                        <w:div w:id="241574954">
                          <w:marLeft w:val="0"/>
                          <w:marRight w:val="0"/>
                          <w:marTop w:val="0"/>
                          <w:marBottom w:val="0"/>
                          <w:divBdr>
                            <w:top w:val="none" w:sz="0" w:space="0" w:color="auto"/>
                            <w:left w:val="none" w:sz="0" w:space="0" w:color="auto"/>
                            <w:bottom w:val="none" w:sz="0" w:space="0" w:color="auto"/>
                            <w:right w:val="none" w:sz="0" w:space="0" w:color="auto"/>
                          </w:divBdr>
                          <w:divsChild>
                            <w:div w:id="1677532849">
                              <w:marLeft w:val="105"/>
                              <w:marRight w:val="105"/>
                              <w:marTop w:val="105"/>
                              <w:marBottom w:val="105"/>
                              <w:divBdr>
                                <w:top w:val="none" w:sz="0" w:space="0" w:color="auto"/>
                                <w:left w:val="none" w:sz="0" w:space="0" w:color="auto"/>
                                <w:bottom w:val="none" w:sz="0" w:space="0" w:color="auto"/>
                                <w:right w:val="none" w:sz="0" w:space="0" w:color="auto"/>
                              </w:divBdr>
                              <w:divsChild>
                                <w:div w:id="1791239670">
                                  <w:marLeft w:val="0"/>
                                  <w:marRight w:val="0"/>
                                  <w:marTop w:val="0"/>
                                  <w:marBottom w:val="0"/>
                                  <w:divBdr>
                                    <w:top w:val="none" w:sz="0" w:space="0" w:color="auto"/>
                                    <w:left w:val="none" w:sz="0" w:space="0" w:color="auto"/>
                                    <w:bottom w:val="none" w:sz="0" w:space="0" w:color="auto"/>
                                    <w:right w:val="none" w:sz="0" w:space="0" w:color="auto"/>
                                  </w:divBdr>
                                  <w:divsChild>
                                    <w:div w:id="835802317">
                                      <w:marLeft w:val="0"/>
                                      <w:marRight w:val="0"/>
                                      <w:marTop w:val="0"/>
                                      <w:marBottom w:val="0"/>
                                      <w:divBdr>
                                        <w:top w:val="none" w:sz="0" w:space="0" w:color="auto"/>
                                        <w:left w:val="none" w:sz="0" w:space="0" w:color="auto"/>
                                        <w:bottom w:val="none" w:sz="0" w:space="0" w:color="auto"/>
                                        <w:right w:val="none" w:sz="0" w:space="0" w:color="auto"/>
                                      </w:divBdr>
                                      <w:divsChild>
                                        <w:div w:id="1235316151">
                                          <w:marLeft w:val="0"/>
                                          <w:marRight w:val="0"/>
                                          <w:marTop w:val="0"/>
                                          <w:marBottom w:val="0"/>
                                          <w:divBdr>
                                            <w:top w:val="none" w:sz="0" w:space="0" w:color="auto"/>
                                            <w:left w:val="none" w:sz="0" w:space="0" w:color="auto"/>
                                            <w:bottom w:val="none" w:sz="0" w:space="0" w:color="auto"/>
                                            <w:right w:val="none" w:sz="0" w:space="0" w:color="auto"/>
                                          </w:divBdr>
                                          <w:divsChild>
                                            <w:div w:id="766970162">
                                              <w:marLeft w:val="0"/>
                                              <w:marRight w:val="0"/>
                                              <w:marTop w:val="0"/>
                                              <w:marBottom w:val="0"/>
                                              <w:divBdr>
                                                <w:top w:val="none" w:sz="0" w:space="0" w:color="auto"/>
                                                <w:left w:val="none" w:sz="0" w:space="0" w:color="auto"/>
                                                <w:bottom w:val="none" w:sz="0" w:space="0" w:color="auto"/>
                                                <w:right w:val="none" w:sz="0" w:space="0" w:color="auto"/>
                                              </w:divBdr>
                                              <w:divsChild>
                                                <w:div w:id="1130510808">
                                                  <w:marLeft w:val="105"/>
                                                  <w:marRight w:val="105"/>
                                                  <w:marTop w:val="105"/>
                                                  <w:marBottom w:val="105"/>
                                                  <w:divBdr>
                                                    <w:top w:val="none" w:sz="0" w:space="0" w:color="auto"/>
                                                    <w:left w:val="none" w:sz="0" w:space="0" w:color="auto"/>
                                                    <w:bottom w:val="none" w:sz="0" w:space="0" w:color="auto"/>
                                                    <w:right w:val="none" w:sz="0" w:space="0" w:color="auto"/>
                                                  </w:divBdr>
                                                  <w:divsChild>
                                                    <w:div w:id="783160353">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sChild>
                                                            <w:div w:id="1748502176">
                                                              <w:marLeft w:val="0"/>
                                                              <w:marRight w:val="0"/>
                                                              <w:marTop w:val="0"/>
                                                              <w:marBottom w:val="0"/>
                                                              <w:divBdr>
                                                                <w:top w:val="none" w:sz="0" w:space="0" w:color="auto"/>
                                                                <w:left w:val="none" w:sz="0" w:space="0" w:color="auto"/>
                                                                <w:bottom w:val="none" w:sz="0" w:space="0" w:color="auto"/>
                                                                <w:right w:val="none" w:sz="0" w:space="0" w:color="auto"/>
                                                              </w:divBdr>
                                                              <w:divsChild>
                                                                <w:div w:id="2081367305">
                                                                  <w:marLeft w:val="105"/>
                                                                  <w:marRight w:val="105"/>
                                                                  <w:marTop w:val="105"/>
                                                                  <w:marBottom w:val="105"/>
                                                                  <w:divBdr>
                                                                    <w:top w:val="none" w:sz="0" w:space="0" w:color="auto"/>
                                                                    <w:left w:val="none" w:sz="0" w:space="0" w:color="auto"/>
                                                                    <w:bottom w:val="none" w:sz="0" w:space="0" w:color="auto"/>
                                                                    <w:right w:val="none" w:sz="0" w:space="0" w:color="auto"/>
                                                                  </w:divBdr>
                                                                  <w:divsChild>
                                                                    <w:div w:id="1443912950">
                                                                      <w:marLeft w:val="105"/>
                                                                      <w:marRight w:val="105"/>
                                                                      <w:marTop w:val="105"/>
                                                                      <w:marBottom w:val="105"/>
                                                                      <w:divBdr>
                                                                        <w:top w:val="none" w:sz="0" w:space="0" w:color="auto"/>
                                                                        <w:left w:val="none" w:sz="0" w:space="0" w:color="auto"/>
                                                                        <w:bottom w:val="none" w:sz="0" w:space="0" w:color="auto"/>
                                                                        <w:right w:val="none" w:sz="0" w:space="0" w:color="auto"/>
                                                                      </w:divBdr>
                                                                      <w:divsChild>
                                                                        <w:div w:id="917445930">
                                                                          <w:marLeft w:val="0"/>
                                                                          <w:marRight w:val="0"/>
                                                                          <w:marTop w:val="0"/>
                                                                          <w:marBottom w:val="0"/>
                                                                          <w:divBdr>
                                                                            <w:top w:val="none" w:sz="0" w:space="0" w:color="auto"/>
                                                                            <w:left w:val="none" w:sz="0" w:space="0" w:color="auto"/>
                                                                            <w:bottom w:val="none" w:sz="0" w:space="0" w:color="auto"/>
                                                                            <w:right w:val="none" w:sz="0" w:space="0" w:color="auto"/>
                                                                          </w:divBdr>
                                                                          <w:divsChild>
                                                                            <w:div w:id="1233538668">
                                                                              <w:marLeft w:val="0"/>
                                                                              <w:marRight w:val="0"/>
                                                                              <w:marTop w:val="0"/>
                                                                              <w:marBottom w:val="0"/>
                                                                              <w:divBdr>
                                                                                <w:top w:val="none" w:sz="0" w:space="0" w:color="auto"/>
                                                                                <w:left w:val="none" w:sz="0" w:space="0" w:color="auto"/>
                                                                                <w:bottom w:val="none" w:sz="0" w:space="0" w:color="auto"/>
                                                                                <w:right w:val="none" w:sz="0" w:space="0" w:color="auto"/>
                                                                              </w:divBdr>
                                                                              <w:divsChild>
                                                                                <w:div w:id="912590423">
                                                                                  <w:marLeft w:val="0"/>
                                                                                  <w:marRight w:val="0"/>
                                                                                  <w:marTop w:val="0"/>
                                                                                  <w:marBottom w:val="0"/>
                                                                                  <w:divBdr>
                                                                                    <w:top w:val="none" w:sz="0" w:space="0" w:color="auto"/>
                                                                                    <w:left w:val="none" w:sz="0" w:space="0" w:color="auto"/>
                                                                                    <w:bottom w:val="none" w:sz="0" w:space="0" w:color="auto"/>
                                                                                    <w:right w:val="none" w:sz="0" w:space="0" w:color="auto"/>
                                                                                  </w:divBdr>
                                                                                  <w:divsChild>
                                                                                    <w:div w:id="371736822">
                                                                                      <w:marLeft w:val="0"/>
                                                                                      <w:marRight w:val="0"/>
                                                                                      <w:marTop w:val="0"/>
                                                                                      <w:marBottom w:val="0"/>
                                                                                      <w:divBdr>
                                                                                        <w:top w:val="none" w:sz="0" w:space="0" w:color="auto"/>
                                                                                        <w:left w:val="none" w:sz="0" w:space="0" w:color="auto"/>
                                                                                        <w:bottom w:val="none" w:sz="0" w:space="0" w:color="auto"/>
                                                                                        <w:right w:val="none" w:sz="0" w:space="0" w:color="auto"/>
                                                                                      </w:divBdr>
                                                                                      <w:divsChild>
                                                                                        <w:div w:id="2035035436">
                                                                                          <w:marLeft w:val="0"/>
                                                                                          <w:marRight w:val="0"/>
                                                                                          <w:marTop w:val="0"/>
                                                                                          <w:marBottom w:val="0"/>
                                                                                          <w:divBdr>
                                                                                            <w:top w:val="none" w:sz="0" w:space="0" w:color="auto"/>
                                                                                            <w:left w:val="none" w:sz="0" w:space="0" w:color="auto"/>
                                                                                            <w:bottom w:val="none" w:sz="0" w:space="0" w:color="auto"/>
                                                                                            <w:right w:val="none" w:sz="0" w:space="0" w:color="auto"/>
                                                                                          </w:divBdr>
                                                                                          <w:divsChild>
                                                                                            <w:div w:id="1361320067">
                                                                                              <w:marLeft w:val="0"/>
                                                                                              <w:marRight w:val="0"/>
                                                                                              <w:marTop w:val="0"/>
                                                                                              <w:marBottom w:val="0"/>
                                                                                              <w:divBdr>
                                                                                                <w:top w:val="none" w:sz="0" w:space="0" w:color="auto"/>
                                                                                                <w:left w:val="none" w:sz="0" w:space="0" w:color="auto"/>
                                                                                                <w:bottom w:val="none" w:sz="0" w:space="0" w:color="auto"/>
                                                                                                <w:right w:val="none" w:sz="0" w:space="0" w:color="auto"/>
                                                                                              </w:divBdr>
                                                                                              <w:divsChild>
                                                                                                <w:div w:id="15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8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18" Type="http://schemas.openxmlformats.org/officeDocument/2006/relationships/hyperlink" Target="http://ukcensusdata.com/a-k04000001/b-ks101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Watson@rcot.co.uk" TargetMode="External"/><Relationship Id="rId12" Type="http://schemas.microsoft.com/office/2007/relationships/diagramDrawing" Target="diagrams/drawing1.xml"/><Relationship Id="rId17" Type="http://schemas.openxmlformats.org/officeDocument/2006/relationships/hyperlink" Target="https://doi.org/10.1186/s12874-019-0889-3" TargetMode="External"/><Relationship Id="rId2" Type="http://schemas.openxmlformats.org/officeDocument/2006/relationships/styles" Target="styles.xml"/><Relationship Id="rId16" Type="http://schemas.openxmlformats.org/officeDocument/2006/relationships/hyperlink" Target="https://www.ons.gov.uk/peoplepopulationandcommunity/healthandsocialcare/disability/articles/disabilityinenglandandwales/2013-01-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jla.nihr.ac.uk/"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hcpc-uk.org/about-us/insights-and-data/reports/a-year-in-highlights-2019-20/"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9722F-C658-4CF2-8331-7BEE122EDBF8}" type="doc">
      <dgm:prSet loTypeId="urn:microsoft.com/office/officeart/2005/8/layout/vProcess5" loCatId="process" qsTypeId="urn:microsoft.com/office/officeart/2005/8/quickstyle/simple1" qsCatId="simple" csTypeId="urn:microsoft.com/office/officeart/2005/8/colors/colorful2" csCatId="colorful" phldr="1"/>
      <dgm:spPr/>
      <dgm:t>
        <a:bodyPr/>
        <a:lstStyle/>
        <a:p>
          <a:endParaRPr lang="en-GB"/>
        </a:p>
      </dgm:t>
    </dgm:pt>
    <dgm:pt modelId="{23B824AB-6990-4BE8-A9EB-69571EF1457E}">
      <dgm:prSet phldrT="[Text]" custT="1"/>
      <dgm:spPr/>
      <dgm:t>
        <a:bodyPr/>
        <a:lstStyle/>
        <a:p>
          <a:pPr algn="l"/>
          <a:r>
            <a:rPr lang="en-GB" sz="1400"/>
            <a:t>Opening consultation survey: gathering evidence uncertainties</a:t>
          </a:r>
          <a:br>
            <a:rPr lang="en-GB" sz="1400"/>
          </a:br>
          <a:r>
            <a:rPr lang="en-GB" sz="1100"/>
            <a:t>(</a:t>
          </a:r>
          <a:r>
            <a:rPr lang="en-GB" sz="1100" dirty="0"/>
            <a:t>August 5</a:t>
          </a:r>
          <a:r>
            <a:rPr lang="en-GB" sz="1100" baseline="30000" dirty="0"/>
            <a:t>th</a:t>
          </a:r>
          <a:r>
            <a:rPr lang="en-GB" sz="1100" dirty="0"/>
            <a:t> – November 5</a:t>
          </a:r>
          <a:r>
            <a:rPr lang="en-GB" sz="1100" baseline="30000" dirty="0"/>
            <a:t>th</a:t>
          </a:r>
          <a:r>
            <a:rPr lang="en-GB" sz="1100" dirty="0"/>
            <a:t> 2019</a:t>
          </a:r>
          <a:r>
            <a:rPr lang="en-GB" sz="1100"/>
            <a:t>)</a:t>
          </a:r>
        </a:p>
      </dgm:t>
    </dgm:pt>
    <dgm:pt modelId="{777940E3-2642-47C4-B13E-3C65B2FE2666}" type="parTrans" cxnId="{5BDA53B7-1C2F-44F8-817B-5B143D34748E}">
      <dgm:prSet/>
      <dgm:spPr/>
      <dgm:t>
        <a:bodyPr/>
        <a:lstStyle/>
        <a:p>
          <a:pPr algn="l"/>
          <a:endParaRPr lang="en-GB"/>
        </a:p>
      </dgm:t>
    </dgm:pt>
    <dgm:pt modelId="{52797489-54B3-42FB-85A4-45B73522A1EF}" type="sibTrans" cxnId="{5BDA53B7-1C2F-44F8-817B-5B143D34748E}">
      <dgm:prSet/>
      <dgm:spPr/>
      <dgm:t>
        <a:bodyPr/>
        <a:lstStyle/>
        <a:p>
          <a:pPr algn="l"/>
          <a:endParaRPr lang="en-GB"/>
        </a:p>
      </dgm:t>
    </dgm:pt>
    <dgm:pt modelId="{94D531C2-B003-4E0F-84A3-1FB2CC3B1C20}">
      <dgm:prSet phldrT="[Text]" custT="1"/>
      <dgm:spPr/>
      <dgm:t>
        <a:bodyPr/>
        <a:lstStyle/>
        <a:p>
          <a:pPr algn="l"/>
          <a:r>
            <a:rPr lang="en-GB" sz="1400"/>
            <a:t>Analysis of responses and evidence checking</a:t>
          </a:r>
          <a:br>
            <a:rPr lang="en-GB" sz="1400"/>
          </a:br>
          <a:r>
            <a:rPr lang="en-GB" sz="1400"/>
            <a:t> </a:t>
          </a:r>
          <a:r>
            <a:rPr lang="en-GB" sz="1100"/>
            <a:t>(August 2019 - January 2020)</a:t>
          </a:r>
          <a:endParaRPr lang="en-GB" sz="1400"/>
        </a:p>
      </dgm:t>
    </dgm:pt>
    <dgm:pt modelId="{1C4DC10E-B624-4E10-AAED-0D30A92B4FF3}" type="parTrans" cxnId="{15A543C9-01B6-4D76-8CF6-527CDE4EF785}">
      <dgm:prSet/>
      <dgm:spPr/>
      <dgm:t>
        <a:bodyPr/>
        <a:lstStyle/>
        <a:p>
          <a:pPr algn="l"/>
          <a:endParaRPr lang="en-GB"/>
        </a:p>
      </dgm:t>
    </dgm:pt>
    <dgm:pt modelId="{19296FD2-8C03-49F0-86A0-E71917520F0F}" type="sibTrans" cxnId="{15A543C9-01B6-4D76-8CF6-527CDE4EF785}">
      <dgm:prSet/>
      <dgm:spPr/>
      <dgm:t>
        <a:bodyPr/>
        <a:lstStyle/>
        <a:p>
          <a:pPr algn="l"/>
          <a:endParaRPr lang="en-GB"/>
        </a:p>
      </dgm:t>
    </dgm:pt>
    <dgm:pt modelId="{76DBFEC5-5AD9-4C5F-8946-B884DCA06408}">
      <dgm:prSet phldrT="[Text]" custT="1"/>
      <dgm:spPr/>
      <dgm:t>
        <a:bodyPr/>
        <a:lstStyle/>
        <a:p>
          <a:pPr algn="l"/>
          <a:r>
            <a:rPr lang="en-GB" sz="1400"/>
            <a:t>Initial prioritisation survey</a:t>
          </a:r>
          <a:br>
            <a:rPr lang="en-GB" sz="1400"/>
          </a:br>
          <a:r>
            <a:rPr lang="en-GB" sz="1100"/>
            <a:t>(</a:t>
          </a:r>
          <a:r>
            <a:rPr lang="en-GB" sz="1100" dirty="0"/>
            <a:t>February 26</a:t>
          </a:r>
          <a:r>
            <a:rPr lang="en-GB" sz="1100" baseline="30000" dirty="0"/>
            <a:t>th</a:t>
          </a:r>
          <a:r>
            <a:rPr lang="en-GB" sz="1100" dirty="0"/>
            <a:t> – May 20</a:t>
          </a:r>
          <a:r>
            <a:rPr lang="en-GB" sz="1100" baseline="30000" dirty="0"/>
            <a:t>th</a:t>
          </a:r>
          <a:r>
            <a:rPr lang="en-GB" sz="1100" dirty="0"/>
            <a:t> 2020</a:t>
          </a:r>
          <a:r>
            <a:rPr lang="en-GB" sz="1100"/>
            <a:t>)</a:t>
          </a:r>
        </a:p>
      </dgm:t>
    </dgm:pt>
    <dgm:pt modelId="{E6447FE3-E3A0-46D5-8A55-B640679B9859}" type="parTrans" cxnId="{65DA3B84-65C5-4A3A-898D-BAF8004C0049}">
      <dgm:prSet/>
      <dgm:spPr/>
      <dgm:t>
        <a:bodyPr/>
        <a:lstStyle/>
        <a:p>
          <a:pPr algn="l"/>
          <a:endParaRPr lang="en-GB"/>
        </a:p>
      </dgm:t>
    </dgm:pt>
    <dgm:pt modelId="{117C2DBD-D929-4276-B231-764807138B8B}" type="sibTrans" cxnId="{65DA3B84-65C5-4A3A-898D-BAF8004C0049}">
      <dgm:prSet/>
      <dgm:spPr/>
      <dgm:t>
        <a:bodyPr/>
        <a:lstStyle/>
        <a:p>
          <a:pPr algn="l"/>
          <a:endParaRPr lang="en-GB"/>
        </a:p>
      </dgm:t>
    </dgm:pt>
    <dgm:pt modelId="{0C72497D-8114-4D1F-A9BE-EDAB501A5D2C}">
      <dgm:prSet phldrT="[Text]" custT="1"/>
      <dgm:spPr/>
      <dgm:t>
        <a:bodyPr/>
        <a:lstStyle/>
        <a:p>
          <a:pPr algn="l"/>
          <a:r>
            <a:rPr lang="en-GB" sz="1400"/>
            <a:t>Final priority setting workshop</a:t>
          </a:r>
          <a:br>
            <a:rPr lang="en-GB" sz="1400"/>
          </a:br>
          <a:r>
            <a:rPr lang="en-GB" sz="1100"/>
            <a:t>(27</a:t>
          </a:r>
          <a:r>
            <a:rPr lang="en-GB" sz="1100" baseline="30000"/>
            <a:t>th</a:t>
          </a:r>
          <a:r>
            <a:rPr lang="en-GB" sz="1100"/>
            <a:t> July 2020)</a:t>
          </a:r>
          <a:endParaRPr lang="en-GB" sz="1400"/>
        </a:p>
      </dgm:t>
    </dgm:pt>
    <dgm:pt modelId="{7EE4A195-E8C3-4B71-9B5A-20E397B2E2AA}" type="parTrans" cxnId="{A0C79092-473A-4112-8C3C-0D59BD647246}">
      <dgm:prSet/>
      <dgm:spPr/>
      <dgm:t>
        <a:bodyPr/>
        <a:lstStyle/>
        <a:p>
          <a:pPr algn="l"/>
          <a:endParaRPr lang="en-GB"/>
        </a:p>
      </dgm:t>
    </dgm:pt>
    <dgm:pt modelId="{79472862-84B6-40B5-8102-1688086D7688}" type="sibTrans" cxnId="{A0C79092-473A-4112-8C3C-0D59BD647246}">
      <dgm:prSet/>
      <dgm:spPr/>
      <dgm:t>
        <a:bodyPr/>
        <a:lstStyle/>
        <a:p>
          <a:pPr algn="l"/>
          <a:endParaRPr lang="en-GB"/>
        </a:p>
      </dgm:t>
    </dgm:pt>
    <dgm:pt modelId="{C6F108E6-19A9-4E2B-81BC-67638466D950}" type="pres">
      <dgm:prSet presAssocID="{2839722F-C658-4CF2-8331-7BEE122EDBF8}" presName="outerComposite" presStyleCnt="0">
        <dgm:presLayoutVars>
          <dgm:chMax val="5"/>
          <dgm:dir/>
          <dgm:resizeHandles val="exact"/>
        </dgm:presLayoutVars>
      </dgm:prSet>
      <dgm:spPr/>
    </dgm:pt>
    <dgm:pt modelId="{8293A1D4-A17E-451C-AE8F-70C40FA73B97}" type="pres">
      <dgm:prSet presAssocID="{2839722F-C658-4CF2-8331-7BEE122EDBF8}" presName="dummyMaxCanvas" presStyleCnt="0">
        <dgm:presLayoutVars/>
      </dgm:prSet>
      <dgm:spPr/>
    </dgm:pt>
    <dgm:pt modelId="{E0B09B3D-9DAE-41FF-86B7-A45150E32B54}" type="pres">
      <dgm:prSet presAssocID="{2839722F-C658-4CF2-8331-7BEE122EDBF8}" presName="FourNodes_1" presStyleLbl="node1" presStyleIdx="0" presStyleCnt="4" custScaleX="103074" custScaleY="120566">
        <dgm:presLayoutVars>
          <dgm:bulletEnabled val="1"/>
        </dgm:presLayoutVars>
      </dgm:prSet>
      <dgm:spPr/>
    </dgm:pt>
    <dgm:pt modelId="{76A3E6EA-4ED5-4A06-B039-DA0CFCCABEA7}" type="pres">
      <dgm:prSet presAssocID="{2839722F-C658-4CF2-8331-7BEE122EDBF8}" presName="FourNodes_2" presStyleLbl="node1" presStyleIdx="1" presStyleCnt="4">
        <dgm:presLayoutVars>
          <dgm:bulletEnabled val="1"/>
        </dgm:presLayoutVars>
      </dgm:prSet>
      <dgm:spPr/>
    </dgm:pt>
    <dgm:pt modelId="{DC6B6A83-973A-47FD-A1E7-378D7A00497D}" type="pres">
      <dgm:prSet presAssocID="{2839722F-C658-4CF2-8331-7BEE122EDBF8}" presName="FourNodes_3" presStyleLbl="node1" presStyleIdx="2" presStyleCnt="4">
        <dgm:presLayoutVars>
          <dgm:bulletEnabled val="1"/>
        </dgm:presLayoutVars>
      </dgm:prSet>
      <dgm:spPr/>
    </dgm:pt>
    <dgm:pt modelId="{822AD2EA-8729-4714-BD50-8B7A816DA347}" type="pres">
      <dgm:prSet presAssocID="{2839722F-C658-4CF2-8331-7BEE122EDBF8}" presName="FourNodes_4" presStyleLbl="node1" presStyleIdx="3" presStyleCnt="4" custLinFactNeighborY="0">
        <dgm:presLayoutVars>
          <dgm:bulletEnabled val="1"/>
        </dgm:presLayoutVars>
      </dgm:prSet>
      <dgm:spPr/>
    </dgm:pt>
    <dgm:pt modelId="{198C20A7-EA7F-4811-9AD0-341182A95249}" type="pres">
      <dgm:prSet presAssocID="{2839722F-C658-4CF2-8331-7BEE122EDBF8}" presName="FourConn_1-2" presStyleLbl="fgAccFollowNode1" presStyleIdx="0" presStyleCnt="3">
        <dgm:presLayoutVars>
          <dgm:bulletEnabled val="1"/>
        </dgm:presLayoutVars>
      </dgm:prSet>
      <dgm:spPr/>
    </dgm:pt>
    <dgm:pt modelId="{426C3CDE-8BA2-481E-99F5-083A14DA24CF}" type="pres">
      <dgm:prSet presAssocID="{2839722F-C658-4CF2-8331-7BEE122EDBF8}" presName="FourConn_2-3" presStyleLbl="fgAccFollowNode1" presStyleIdx="1" presStyleCnt="3">
        <dgm:presLayoutVars>
          <dgm:bulletEnabled val="1"/>
        </dgm:presLayoutVars>
      </dgm:prSet>
      <dgm:spPr/>
    </dgm:pt>
    <dgm:pt modelId="{82653C25-7916-4153-87D2-DE4A4D00C3EC}" type="pres">
      <dgm:prSet presAssocID="{2839722F-C658-4CF2-8331-7BEE122EDBF8}" presName="FourConn_3-4" presStyleLbl="fgAccFollowNode1" presStyleIdx="2" presStyleCnt="3">
        <dgm:presLayoutVars>
          <dgm:bulletEnabled val="1"/>
        </dgm:presLayoutVars>
      </dgm:prSet>
      <dgm:spPr/>
    </dgm:pt>
    <dgm:pt modelId="{32064FEC-2BE6-401B-BDA4-89D8700A6A9D}" type="pres">
      <dgm:prSet presAssocID="{2839722F-C658-4CF2-8331-7BEE122EDBF8}" presName="FourNodes_1_text" presStyleLbl="node1" presStyleIdx="3" presStyleCnt="4">
        <dgm:presLayoutVars>
          <dgm:bulletEnabled val="1"/>
        </dgm:presLayoutVars>
      </dgm:prSet>
      <dgm:spPr/>
    </dgm:pt>
    <dgm:pt modelId="{F002176E-E92E-4F0C-8C71-88ECF3EB0368}" type="pres">
      <dgm:prSet presAssocID="{2839722F-C658-4CF2-8331-7BEE122EDBF8}" presName="FourNodes_2_text" presStyleLbl="node1" presStyleIdx="3" presStyleCnt="4">
        <dgm:presLayoutVars>
          <dgm:bulletEnabled val="1"/>
        </dgm:presLayoutVars>
      </dgm:prSet>
      <dgm:spPr/>
    </dgm:pt>
    <dgm:pt modelId="{69634086-6D50-46A6-A6F2-D5BFC9A5A141}" type="pres">
      <dgm:prSet presAssocID="{2839722F-C658-4CF2-8331-7BEE122EDBF8}" presName="FourNodes_3_text" presStyleLbl="node1" presStyleIdx="3" presStyleCnt="4">
        <dgm:presLayoutVars>
          <dgm:bulletEnabled val="1"/>
        </dgm:presLayoutVars>
      </dgm:prSet>
      <dgm:spPr/>
    </dgm:pt>
    <dgm:pt modelId="{D521589D-5134-4323-94C7-0D2A04328142}" type="pres">
      <dgm:prSet presAssocID="{2839722F-C658-4CF2-8331-7BEE122EDBF8}" presName="FourNodes_4_text" presStyleLbl="node1" presStyleIdx="3" presStyleCnt="4">
        <dgm:presLayoutVars>
          <dgm:bulletEnabled val="1"/>
        </dgm:presLayoutVars>
      </dgm:prSet>
      <dgm:spPr/>
    </dgm:pt>
  </dgm:ptLst>
  <dgm:cxnLst>
    <dgm:cxn modelId="{FE4DD000-20CD-4C8A-95AC-0558A2760066}" type="presOf" srcId="{23B824AB-6990-4BE8-A9EB-69571EF1457E}" destId="{32064FEC-2BE6-401B-BDA4-89D8700A6A9D}" srcOrd="1" destOrd="0" presId="urn:microsoft.com/office/officeart/2005/8/layout/vProcess5"/>
    <dgm:cxn modelId="{F5BB4368-28A4-48E8-A6DA-386FDE66C7BF}" type="presOf" srcId="{19296FD2-8C03-49F0-86A0-E71917520F0F}" destId="{426C3CDE-8BA2-481E-99F5-083A14DA24CF}" srcOrd="0" destOrd="0" presId="urn:microsoft.com/office/officeart/2005/8/layout/vProcess5"/>
    <dgm:cxn modelId="{A5B98A72-FBD7-4F70-99AA-1F8DF81564A8}" type="presOf" srcId="{52797489-54B3-42FB-85A4-45B73522A1EF}" destId="{198C20A7-EA7F-4811-9AD0-341182A95249}" srcOrd="0" destOrd="0" presId="urn:microsoft.com/office/officeart/2005/8/layout/vProcess5"/>
    <dgm:cxn modelId="{EA055275-B4FC-4043-9E88-C5D937ACE10C}" type="presOf" srcId="{76DBFEC5-5AD9-4C5F-8946-B884DCA06408}" destId="{69634086-6D50-46A6-A6F2-D5BFC9A5A141}" srcOrd="1" destOrd="0" presId="urn:microsoft.com/office/officeart/2005/8/layout/vProcess5"/>
    <dgm:cxn modelId="{22DD2256-763A-40FC-B53D-F35551F319F0}" type="presOf" srcId="{117C2DBD-D929-4276-B231-764807138B8B}" destId="{82653C25-7916-4153-87D2-DE4A4D00C3EC}" srcOrd="0" destOrd="0" presId="urn:microsoft.com/office/officeart/2005/8/layout/vProcess5"/>
    <dgm:cxn modelId="{E581A776-176A-4FDE-AAEA-E1D21C1AB962}" type="presOf" srcId="{2839722F-C658-4CF2-8331-7BEE122EDBF8}" destId="{C6F108E6-19A9-4E2B-81BC-67638466D950}" srcOrd="0" destOrd="0" presId="urn:microsoft.com/office/officeart/2005/8/layout/vProcess5"/>
    <dgm:cxn modelId="{65DA3B84-65C5-4A3A-898D-BAF8004C0049}" srcId="{2839722F-C658-4CF2-8331-7BEE122EDBF8}" destId="{76DBFEC5-5AD9-4C5F-8946-B884DCA06408}" srcOrd="2" destOrd="0" parTransId="{E6447FE3-E3A0-46D5-8A55-B640679B9859}" sibTransId="{117C2DBD-D929-4276-B231-764807138B8B}"/>
    <dgm:cxn modelId="{AD6DDE84-ECF6-459D-B9FD-2871A28E025A}" type="presOf" srcId="{0C72497D-8114-4D1F-A9BE-EDAB501A5D2C}" destId="{D521589D-5134-4323-94C7-0D2A04328142}" srcOrd="1" destOrd="0" presId="urn:microsoft.com/office/officeart/2005/8/layout/vProcess5"/>
    <dgm:cxn modelId="{3968EE8C-11EB-4F80-BC16-23B08A4141D5}" type="presOf" srcId="{94D531C2-B003-4E0F-84A3-1FB2CC3B1C20}" destId="{76A3E6EA-4ED5-4A06-B039-DA0CFCCABEA7}" srcOrd="0" destOrd="0" presId="urn:microsoft.com/office/officeart/2005/8/layout/vProcess5"/>
    <dgm:cxn modelId="{A0C79092-473A-4112-8C3C-0D59BD647246}" srcId="{2839722F-C658-4CF2-8331-7BEE122EDBF8}" destId="{0C72497D-8114-4D1F-A9BE-EDAB501A5D2C}" srcOrd="3" destOrd="0" parTransId="{7EE4A195-E8C3-4B71-9B5A-20E397B2E2AA}" sibTransId="{79472862-84B6-40B5-8102-1688086D7688}"/>
    <dgm:cxn modelId="{0FD107AE-5127-48FF-A347-8688CBF94794}" type="presOf" srcId="{23B824AB-6990-4BE8-A9EB-69571EF1457E}" destId="{E0B09B3D-9DAE-41FF-86B7-A45150E32B54}" srcOrd="0" destOrd="0" presId="urn:microsoft.com/office/officeart/2005/8/layout/vProcess5"/>
    <dgm:cxn modelId="{5BDA53B7-1C2F-44F8-817B-5B143D34748E}" srcId="{2839722F-C658-4CF2-8331-7BEE122EDBF8}" destId="{23B824AB-6990-4BE8-A9EB-69571EF1457E}" srcOrd="0" destOrd="0" parTransId="{777940E3-2642-47C4-B13E-3C65B2FE2666}" sibTransId="{52797489-54B3-42FB-85A4-45B73522A1EF}"/>
    <dgm:cxn modelId="{1DF98DC6-3161-4374-BD74-60A618E8F564}" type="presOf" srcId="{94D531C2-B003-4E0F-84A3-1FB2CC3B1C20}" destId="{F002176E-E92E-4F0C-8C71-88ECF3EB0368}" srcOrd="1" destOrd="0" presId="urn:microsoft.com/office/officeart/2005/8/layout/vProcess5"/>
    <dgm:cxn modelId="{15A543C9-01B6-4D76-8CF6-527CDE4EF785}" srcId="{2839722F-C658-4CF2-8331-7BEE122EDBF8}" destId="{94D531C2-B003-4E0F-84A3-1FB2CC3B1C20}" srcOrd="1" destOrd="0" parTransId="{1C4DC10E-B624-4E10-AAED-0D30A92B4FF3}" sibTransId="{19296FD2-8C03-49F0-86A0-E71917520F0F}"/>
    <dgm:cxn modelId="{34DD5ECD-9632-442B-AC09-99C24D4AAAFC}" type="presOf" srcId="{0C72497D-8114-4D1F-A9BE-EDAB501A5D2C}" destId="{822AD2EA-8729-4714-BD50-8B7A816DA347}" srcOrd="0" destOrd="0" presId="urn:microsoft.com/office/officeart/2005/8/layout/vProcess5"/>
    <dgm:cxn modelId="{92D8F3EF-E78B-45D8-9469-5C527A6BF6B1}" type="presOf" srcId="{76DBFEC5-5AD9-4C5F-8946-B884DCA06408}" destId="{DC6B6A83-973A-47FD-A1E7-378D7A00497D}" srcOrd="0" destOrd="0" presId="urn:microsoft.com/office/officeart/2005/8/layout/vProcess5"/>
    <dgm:cxn modelId="{CAFA16AF-01FB-4B15-8B5B-FF5672CD37E8}" type="presParOf" srcId="{C6F108E6-19A9-4E2B-81BC-67638466D950}" destId="{8293A1D4-A17E-451C-AE8F-70C40FA73B97}" srcOrd="0" destOrd="0" presId="urn:microsoft.com/office/officeart/2005/8/layout/vProcess5"/>
    <dgm:cxn modelId="{A5DB8F21-FE2D-45DB-A7A8-983E1B611CF2}" type="presParOf" srcId="{C6F108E6-19A9-4E2B-81BC-67638466D950}" destId="{E0B09B3D-9DAE-41FF-86B7-A45150E32B54}" srcOrd="1" destOrd="0" presId="urn:microsoft.com/office/officeart/2005/8/layout/vProcess5"/>
    <dgm:cxn modelId="{F7E825E4-ED34-4002-A460-3EFF8F687E87}" type="presParOf" srcId="{C6F108E6-19A9-4E2B-81BC-67638466D950}" destId="{76A3E6EA-4ED5-4A06-B039-DA0CFCCABEA7}" srcOrd="2" destOrd="0" presId="urn:microsoft.com/office/officeart/2005/8/layout/vProcess5"/>
    <dgm:cxn modelId="{6555CE2C-2BBF-4E16-8899-CC5E6FA0D590}" type="presParOf" srcId="{C6F108E6-19A9-4E2B-81BC-67638466D950}" destId="{DC6B6A83-973A-47FD-A1E7-378D7A00497D}" srcOrd="3" destOrd="0" presId="urn:microsoft.com/office/officeart/2005/8/layout/vProcess5"/>
    <dgm:cxn modelId="{EC63E201-4B09-4D89-B043-2B4C0A796522}" type="presParOf" srcId="{C6F108E6-19A9-4E2B-81BC-67638466D950}" destId="{822AD2EA-8729-4714-BD50-8B7A816DA347}" srcOrd="4" destOrd="0" presId="urn:microsoft.com/office/officeart/2005/8/layout/vProcess5"/>
    <dgm:cxn modelId="{9C6ABA3D-3063-4BF2-B062-FE85F41C0D57}" type="presParOf" srcId="{C6F108E6-19A9-4E2B-81BC-67638466D950}" destId="{198C20A7-EA7F-4811-9AD0-341182A95249}" srcOrd="5" destOrd="0" presId="urn:microsoft.com/office/officeart/2005/8/layout/vProcess5"/>
    <dgm:cxn modelId="{148E15BE-789E-43B1-AFAA-28050CF36219}" type="presParOf" srcId="{C6F108E6-19A9-4E2B-81BC-67638466D950}" destId="{426C3CDE-8BA2-481E-99F5-083A14DA24CF}" srcOrd="6" destOrd="0" presId="urn:microsoft.com/office/officeart/2005/8/layout/vProcess5"/>
    <dgm:cxn modelId="{0450B5B3-0E89-45A0-8104-1FEB85CEA868}" type="presParOf" srcId="{C6F108E6-19A9-4E2B-81BC-67638466D950}" destId="{82653C25-7916-4153-87D2-DE4A4D00C3EC}" srcOrd="7" destOrd="0" presId="urn:microsoft.com/office/officeart/2005/8/layout/vProcess5"/>
    <dgm:cxn modelId="{750CA948-20D5-4730-838A-C53E3CEB7C0E}" type="presParOf" srcId="{C6F108E6-19A9-4E2B-81BC-67638466D950}" destId="{32064FEC-2BE6-401B-BDA4-89D8700A6A9D}" srcOrd="8" destOrd="0" presId="urn:microsoft.com/office/officeart/2005/8/layout/vProcess5"/>
    <dgm:cxn modelId="{64083AA0-58EF-499D-9BE1-A065489F9C6B}" type="presParOf" srcId="{C6F108E6-19A9-4E2B-81BC-67638466D950}" destId="{F002176E-E92E-4F0C-8C71-88ECF3EB0368}" srcOrd="9" destOrd="0" presId="urn:microsoft.com/office/officeart/2005/8/layout/vProcess5"/>
    <dgm:cxn modelId="{36EE41AC-84B1-499D-9960-8D8A59F45CA3}" type="presParOf" srcId="{C6F108E6-19A9-4E2B-81BC-67638466D950}" destId="{69634086-6D50-46A6-A6F2-D5BFC9A5A141}" srcOrd="10" destOrd="0" presId="urn:microsoft.com/office/officeart/2005/8/layout/vProcess5"/>
    <dgm:cxn modelId="{0B35DF0D-9AC0-4E69-A54C-66402B2D764D}" type="presParOf" srcId="{C6F108E6-19A9-4E2B-81BC-67638466D950}" destId="{D521589D-5134-4323-94C7-0D2A04328142}" srcOrd="11"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B09B3D-9DAE-41FF-86B7-A45150E32B54}">
      <dsp:nvSpPr>
        <dsp:cNvPr id="0" name=""/>
        <dsp:cNvSpPr/>
      </dsp:nvSpPr>
      <dsp:spPr>
        <a:xfrm>
          <a:off x="-35116" y="-24780"/>
          <a:ext cx="4709925" cy="58108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Opening consultation survey: gathering evidence uncertainties</a:t>
          </a:r>
          <a:br>
            <a:rPr lang="en-GB" sz="1400" kern="1200"/>
          </a:br>
          <a:r>
            <a:rPr lang="en-GB" sz="1100" kern="1200"/>
            <a:t>(</a:t>
          </a:r>
          <a:r>
            <a:rPr lang="en-GB" sz="1100" kern="1200" dirty="0"/>
            <a:t>August 5</a:t>
          </a:r>
          <a:r>
            <a:rPr lang="en-GB" sz="1100" kern="1200" baseline="30000" dirty="0"/>
            <a:t>th</a:t>
          </a:r>
          <a:r>
            <a:rPr lang="en-GB" sz="1100" kern="1200" dirty="0"/>
            <a:t> – November 5</a:t>
          </a:r>
          <a:r>
            <a:rPr lang="en-GB" sz="1100" kern="1200" baseline="30000" dirty="0"/>
            <a:t>th</a:t>
          </a:r>
          <a:r>
            <a:rPr lang="en-GB" sz="1100" kern="1200" dirty="0"/>
            <a:t> 2019</a:t>
          </a:r>
          <a:r>
            <a:rPr lang="en-GB" sz="1100" kern="1200"/>
            <a:t>)</a:t>
          </a:r>
        </a:p>
      </dsp:txBody>
      <dsp:txXfrm>
        <a:off x="-18097" y="-7761"/>
        <a:ext cx="4126944" cy="547047"/>
      </dsp:txXfrm>
    </dsp:sp>
    <dsp:sp modelId="{76A3E6EA-4ED5-4A06-B039-DA0CFCCABEA7}">
      <dsp:nvSpPr>
        <dsp:cNvPr id="0" name=""/>
        <dsp:cNvSpPr/>
      </dsp:nvSpPr>
      <dsp:spPr>
        <a:xfrm>
          <a:off x="417808" y="594375"/>
          <a:ext cx="4569460" cy="481965"/>
        </a:xfrm>
        <a:prstGeom prst="roundRect">
          <a:avLst>
            <a:gd name="adj" fmla="val 10000"/>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Analysis of responses and evidence checking</a:t>
          </a:r>
          <a:br>
            <a:rPr lang="en-GB" sz="1400" kern="1200"/>
          </a:br>
          <a:r>
            <a:rPr lang="en-GB" sz="1400" kern="1200"/>
            <a:t> </a:t>
          </a:r>
          <a:r>
            <a:rPr lang="en-GB" sz="1100" kern="1200"/>
            <a:t>(August 2019 - January 2020)</a:t>
          </a:r>
          <a:endParaRPr lang="en-GB" sz="1400" kern="1200"/>
        </a:p>
      </dsp:txBody>
      <dsp:txXfrm>
        <a:off x="431924" y="608491"/>
        <a:ext cx="3845258" cy="453733"/>
      </dsp:txXfrm>
    </dsp:sp>
    <dsp:sp modelId="{DC6B6A83-973A-47FD-A1E7-378D7A00497D}">
      <dsp:nvSpPr>
        <dsp:cNvPr id="0" name=""/>
        <dsp:cNvSpPr/>
      </dsp:nvSpPr>
      <dsp:spPr>
        <a:xfrm>
          <a:off x="794789" y="1163970"/>
          <a:ext cx="4569460" cy="481965"/>
        </a:xfrm>
        <a:prstGeom prst="roundRect">
          <a:avLst>
            <a:gd name="adj" fmla="val 10000"/>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Initial prioritisation survey</a:t>
          </a:r>
          <a:br>
            <a:rPr lang="en-GB" sz="1400" kern="1200"/>
          </a:br>
          <a:r>
            <a:rPr lang="en-GB" sz="1100" kern="1200"/>
            <a:t>(</a:t>
          </a:r>
          <a:r>
            <a:rPr lang="en-GB" sz="1100" kern="1200" dirty="0"/>
            <a:t>February 26</a:t>
          </a:r>
          <a:r>
            <a:rPr lang="en-GB" sz="1100" kern="1200" baseline="30000" dirty="0"/>
            <a:t>th</a:t>
          </a:r>
          <a:r>
            <a:rPr lang="en-GB" sz="1100" kern="1200" dirty="0"/>
            <a:t> – May 20</a:t>
          </a:r>
          <a:r>
            <a:rPr lang="en-GB" sz="1100" kern="1200" baseline="30000" dirty="0"/>
            <a:t>th</a:t>
          </a:r>
          <a:r>
            <a:rPr lang="en-GB" sz="1100" kern="1200" dirty="0"/>
            <a:t> 2020</a:t>
          </a:r>
          <a:r>
            <a:rPr lang="en-GB" sz="1100" kern="1200"/>
            <a:t>)</a:t>
          </a:r>
        </a:p>
      </dsp:txBody>
      <dsp:txXfrm>
        <a:off x="808905" y="1178086"/>
        <a:ext cx="3850970" cy="453733"/>
      </dsp:txXfrm>
    </dsp:sp>
    <dsp:sp modelId="{822AD2EA-8729-4714-BD50-8B7A816DA347}">
      <dsp:nvSpPr>
        <dsp:cNvPr id="0" name=""/>
        <dsp:cNvSpPr/>
      </dsp:nvSpPr>
      <dsp:spPr>
        <a:xfrm>
          <a:off x="1177481" y="1733565"/>
          <a:ext cx="4569460" cy="481965"/>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Final priority setting workshop</a:t>
          </a:r>
          <a:br>
            <a:rPr lang="en-GB" sz="1400" kern="1200"/>
          </a:br>
          <a:r>
            <a:rPr lang="en-GB" sz="1100" kern="1200"/>
            <a:t>(27</a:t>
          </a:r>
          <a:r>
            <a:rPr lang="en-GB" sz="1100" kern="1200" baseline="30000"/>
            <a:t>th</a:t>
          </a:r>
          <a:r>
            <a:rPr lang="en-GB" sz="1100" kern="1200"/>
            <a:t> July 2020)</a:t>
          </a:r>
          <a:endParaRPr lang="en-GB" sz="1400" kern="1200"/>
        </a:p>
      </dsp:txBody>
      <dsp:txXfrm>
        <a:off x="1191597" y="1747681"/>
        <a:ext cx="3845258" cy="453733"/>
      </dsp:txXfrm>
    </dsp:sp>
    <dsp:sp modelId="{198C20A7-EA7F-4811-9AD0-341182A95249}">
      <dsp:nvSpPr>
        <dsp:cNvPr id="0" name=""/>
        <dsp:cNvSpPr/>
      </dsp:nvSpPr>
      <dsp:spPr>
        <a:xfrm>
          <a:off x="4291299" y="393921"/>
          <a:ext cx="313277" cy="313277"/>
        </a:xfrm>
        <a:prstGeom prst="downArrow">
          <a:avLst>
            <a:gd name="adj1" fmla="val 55000"/>
            <a:gd name="adj2" fmla="val 45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l" defTabSz="622300">
            <a:lnSpc>
              <a:spcPct val="90000"/>
            </a:lnSpc>
            <a:spcBef>
              <a:spcPct val="0"/>
            </a:spcBef>
            <a:spcAft>
              <a:spcPct val="35000"/>
            </a:spcAft>
            <a:buNone/>
          </a:pPr>
          <a:endParaRPr lang="en-GB" sz="1400" kern="1200"/>
        </a:p>
      </dsp:txBody>
      <dsp:txXfrm>
        <a:off x="4361786" y="393921"/>
        <a:ext cx="172303" cy="235741"/>
      </dsp:txXfrm>
    </dsp:sp>
    <dsp:sp modelId="{426C3CDE-8BA2-481E-99F5-083A14DA24CF}">
      <dsp:nvSpPr>
        <dsp:cNvPr id="0" name=""/>
        <dsp:cNvSpPr/>
      </dsp:nvSpPr>
      <dsp:spPr>
        <a:xfrm>
          <a:off x="4673991" y="963516"/>
          <a:ext cx="313277" cy="313277"/>
        </a:xfrm>
        <a:prstGeom prst="downArrow">
          <a:avLst>
            <a:gd name="adj1" fmla="val 55000"/>
            <a:gd name="adj2" fmla="val 45000"/>
          </a:avLst>
        </a:prstGeom>
        <a:solidFill>
          <a:schemeClr val="accent2">
            <a:tint val="40000"/>
            <a:alpha val="90000"/>
            <a:hueOff val="2512910"/>
            <a:satOff val="-2189"/>
            <a:lumOff val="-3"/>
            <a:alphaOff val="0"/>
          </a:schemeClr>
        </a:solidFill>
        <a:ln w="25400" cap="flat" cmpd="sng" algn="ctr">
          <a:solidFill>
            <a:schemeClr val="accent2">
              <a:tint val="40000"/>
              <a:alpha val="90000"/>
              <a:hueOff val="2512910"/>
              <a:satOff val="-2189"/>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l" defTabSz="622300">
            <a:lnSpc>
              <a:spcPct val="90000"/>
            </a:lnSpc>
            <a:spcBef>
              <a:spcPct val="0"/>
            </a:spcBef>
            <a:spcAft>
              <a:spcPct val="35000"/>
            </a:spcAft>
            <a:buNone/>
          </a:pPr>
          <a:endParaRPr lang="en-GB" sz="1400" kern="1200"/>
        </a:p>
      </dsp:txBody>
      <dsp:txXfrm>
        <a:off x="4744478" y="963516"/>
        <a:ext cx="172303" cy="235741"/>
      </dsp:txXfrm>
    </dsp:sp>
    <dsp:sp modelId="{82653C25-7916-4153-87D2-DE4A4D00C3EC}">
      <dsp:nvSpPr>
        <dsp:cNvPr id="0" name=""/>
        <dsp:cNvSpPr/>
      </dsp:nvSpPr>
      <dsp:spPr>
        <a:xfrm>
          <a:off x="5050971" y="1533111"/>
          <a:ext cx="313277" cy="313277"/>
        </a:xfrm>
        <a:prstGeom prst="downArrow">
          <a:avLst>
            <a:gd name="adj1" fmla="val 55000"/>
            <a:gd name="adj2" fmla="val 45000"/>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l" defTabSz="622300">
            <a:lnSpc>
              <a:spcPct val="90000"/>
            </a:lnSpc>
            <a:spcBef>
              <a:spcPct val="0"/>
            </a:spcBef>
            <a:spcAft>
              <a:spcPct val="35000"/>
            </a:spcAft>
            <a:buNone/>
          </a:pPr>
          <a:endParaRPr lang="en-GB" sz="1400" kern="1200"/>
        </a:p>
      </dsp:txBody>
      <dsp:txXfrm>
        <a:off x="5121458" y="1533111"/>
        <a:ext cx="172303" cy="23574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7427</Words>
  <Characters>42337</Characters>
  <Application>Microsoft Office Word</Application>
  <DocSecurity>0</DocSecurity>
  <Lines>352</Lines>
  <Paragraphs>99</Paragraphs>
  <ScaleCrop>false</ScaleCrop>
  <Company/>
  <LinksUpToDate>false</LinksUpToDate>
  <CharactersWithSpaces>49665</CharactersWithSpaces>
  <SharedDoc>false</SharedDoc>
  <HLinks>
    <vt:vector size="36" baseType="variant">
      <vt:variant>
        <vt:i4>5308431</vt:i4>
      </vt:variant>
      <vt:variant>
        <vt:i4>15</vt:i4>
      </vt:variant>
      <vt:variant>
        <vt:i4>0</vt:i4>
      </vt:variant>
      <vt:variant>
        <vt:i4>5</vt:i4>
      </vt:variant>
      <vt:variant>
        <vt:lpwstr>http://ukcensusdata.com/a-k04000001/b-ks101ew</vt:lpwstr>
      </vt:variant>
      <vt:variant>
        <vt:lpwstr/>
      </vt:variant>
      <vt:variant>
        <vt:i4>655387</vt:i4>
      </vt:variant>
      <vt:variant>
        <vt:i4>12</vt:i4>
      </vt:variant>
      <vt:variant>
        <vt:i4>0</vt:i4>
      </vt:variant>
      <vt:variant>
        <vt:i4>5</vt:i4>
      </vt:variant>
      <vt:variant>
        <vt:lpwstr>https://doi.org/10.1186/s12874-019-0889-3</vt:lpwstr>
      </vt:variant>
      <vt:variant>
        <vt:lpwstr/>
      </vt:variant>
      <vt:variant>
        <vt:i4>6946919</vt:i4>
      </vt:variant>
      <vt:variant>
        <vt:i4>9</vt:i4>
      </vt:variant>
      <vt:variant>
        <vt:i4>0</vt:i4>
      </vt:variant>
      <vt:variant>
        <vt:i4>5</vt:i4>
      </vt:variant>
      <vt:variant>
        <vt:lpwstr>https://www.ons.gov.uk/peoplepopulationandcommunity/healthandsocialcare/disability/articles/disabilityinenglandandwales/2013-01-30</vt:lpwstr>
      </vt:variant>
      <vt:variant>
        <vt:lpwstr/>
      </vt:variant>
      <vt:variant>
        <vt:i4>3473525</vt:i4>
      </vt:variant>
      <vt:variant>
        <vt:i4>6</vt:i4>
      </vt:variant>
      <vt:variant>
        <vt:i4>0</vt:i4>
      </vt:variant>
      <vt:variant>
        <vt:i4>5</vt:i4>
      </vt:variant>
      <vt:variant>
        <vt:lpwstr>https://www.jla.nihr.ac.uk/</vt:lpwstr>
      </vt:variant>
      <vt:variant>
        <vt:lpwstr/>
      </vt:variant>
      <vt:variant>
        <vt:i4>1048658</vt:i4>
      </vt:variant>
      <vt:variant>
        <vt:i4>3</vt:i4>
      </vt:variant>
      <vt:variant>
        <vt:i4>0</vt:i4>
      </vt:variant>
      <vt:variant>
        <vt:i4>5</vt:i4>
      </vt:variant>
      <vt:variant>
        <vt:lpwstr>https://www.hcpc-uk.org/about-us/insights-and-data/reports/a-year-in-highlights-2019-20/</vt:lpwstr>
      </vt:variant>
      <vt:variant>
        <vt:lpwstr/>
      </vt:variant>
      <vt:variant>
        <vt:i4>7536723</vt:i4>
      </vt:variant>
      <vt:variant>
        <vt:i4>0</vt:i4>
      </vt:variant>
      <vt:variant>
        <vt:i4>0</vt:i4>
      </vt:variant>
      <vt:variant>
        <vt:i4>5</vt:i4>
      </vt:variant>
      <vt:variant>
        <vt:lpwstr>mailto:Jo.Watson@rcot.co.uk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Watson</dc:creator>
  <cp:keywords/>
  <cp:lastModifiedBy>Jo Watson</cp:lastModifiedBy>
  <cp:revision>3</cp:revision>
  <dcterms:created xsi:type="dcterms:W3CDTF">2021-07-02T13:51:00Z</dcterms:created>
  <dcterms:modified xsi:type="dcterms:W3CDTF">2021-08-06T13:37:00Z</dcterms:modified>
</cp:coreProperties>
</file>