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364FA" w14:textId="77777777" w:rsidR="00E50CA4" w:rsidRDefault="000A5398" w:rsidP="00E87E3C">
      <w:pPr>
        <w:spacing w:line="360" w:lineRule="auto"/>
        <w:jc w:val="center"/>
        <w:rPr>
          <w:b/>
          <w:sz w:val="32"/>
          <w:szCs w:val="32"/>
        </w:rPr>
      </w:pPr>
      <w:bookmarkStart w:id="0" w:name="_GoBack"/>
      <w:r>
        <w:rPr>
          <w:b/>
          <w:sz w:val="32"/>
          <w:szCs w:val="32"/>
        </w:rPr>
        <w:t xml:space="preserve">Do </w:t>
      </w:r>
      <w:r w:rsidR="00C3190E" w:rsidRPr="008777F2">
        <w:rPr>
          <w:b/>
          <w:sz w:val="32"/>
          <w:szCs w:val="32"/>
        </w:rPr>
        <w:t xml:space="preserve">Gold </w:t>
      </w:r>
      <w:r w:rsidR="00C66DF8" w:rsidRPr="008777F2">
        <w:rPr>
          <w:b/>
          <w:sz w:val="32"/>
          <w:szCs w:val="32"/>
        </w:rPr>
        <w:t>P</w:t>
      </w:r>
      <w:r w:rsidR="00C3190E" w:rsidRPr="008777F2">
        <w:rPr>
          <w:b/>
          <w:sz w:val="32"/>
          <w:szCs w:val="32"/>
        </w:rPr>
        <w:t xml:space="preserve">rices </w:t>
      </w:r>
      <w:r>
        <w:rPr>
          <w:b/>
          <w:sz w:val="32"/>
          <w:szCs w:val="32"/>
        </w:rPr>
        <w:t>Cause</w:t>
      </w:r>
      <w:r w:rsidR="00C3190E" w:rsidRPr="008777F2">
        <w:rPr>
          <w:b/>
          <w:sz w:val="32"/>
          <w:szCs w:val="32"/>
        </w:rPr>
        <w:t xml:space="preserve"> </w:t>
      </w:r>
      <w:r w:rsidR="00DE455B">
        <w:rPr>
          <w:b/>
          <w:sz w:val="32"/>
          <w:szCs w:val="32"/>
        </w:rPr>
        <w:t>Production</w:t>
      </w:r>
      <w:r w:rsidR="00C3190E" w:rsidRPr="008777F2">
        <w:rPr>
          <w:b/>
          <w:sz w:val="32"/>
          <w:szCs w:val="32"/>
        </w:rPr>
        <w:t xml:space="preserve"> C</w:t>
      </w:r>
      <w:r w:rsidR="00B029CB" w:rsidRPr="008777F2">
        <w:rPr>
          <w:b/>
          <w:sz w:val="32"/>
          <w:szCs w:val="32"/>
        </w:rPr>
        <w:t>osts</w:t>
      </w:r>
      <w:r>
        <w:rPr>
          <w:b/>
          <w:sz w:val="32"/>
          <w:szCs w:val="32"/>
        </w:rPr>
        <w:t>?</w:t>
      </w:r>
      <w:r w:rsidR="00E50CA4">
        <w:rPr>
          <w:b/>
          <w:sz w:val="32"/>
          <w:szCs w:val="32"/>
        </w:rPr>
        <w:t xml:space="preserve"> </w:t>
      </w:r>
    </w:p>
    <w:p w14:paraId="164E1904" w14:textId="34FE47C4" w:rsidR="00B029CB" w:rsidRPr="008777F2" w:rsidRDefault="00405C6C" w:rsidP="00E87E3C">
      <w:pPr>
        <w:spacing w:line="360" w:lineRule="auto"/>
        <w:jc w:val="center"/>
        <w:rPr>
          <w:b/>
          <w:sz w:val="32"/>
          <w:szCs w:val="32"/>
        </w:rPr>
      </w:pPr>
      <w:r>
        <w:rPr>
          <w:b/>
          <w:sz w:val="32"/>
          <w:szCs w:val="32"/>
        </w:rPr>
        <w:t xml:space="preserve">International </w:t>
      </w:r>
      <w:r w:rsidR="00835946">
        <w:rPr>
          <w:b/>
          <w:sz w:val="32"/>
          <w:szCs w:val="32"/>
        </w:rPr>
        <w:t>E</w:t>
      </w:r>
      <w:r w:rsidR="000A5398">
        <w:rPr>
          <w:b/>
          <w:sz w:val="32"/>
          <w:szCs w:val="32"/>
        </w:rPr>
        <w:t xml:space="preserve">vidence from </w:t>
      </w:r>
      <w:r w:rsidR="00E87E3C" w:rsidRPr="008777F2">
        <w:rPr>
          <w:b/>
          <w:sz w:val="32"/>
          <w:szCs w:val="32"/>
        </w:rPr>
        <w:t xml:space="preserve">Country and </w:t>
      </w:r>
      <w:r w:rsidR="00C3190E" w:rsidRPr="008777F2">
        <w:rPr>
          <w:b/>
          <w:sz w:val="32"/>
          <w:szCs w:val="32"/>
        </w:rPr>
        <w:t xml:space="preserve">Company </w:t>
      </w:r>
      <w:r w:rsidR="00E87E3C" w:rsidRPr="008777F2">
        <w:rPr>
          <w:b/>
          <w:sz w:val="32"/>
          <w:szCs w:val="32"/>
        </w:rPr>
        <w:t>Data</w:t>
      </w:r>
    </w:p>
    <w:bookmarkEnd w:id="0"/>
    <w:p w14:paraId="0761A061" w14:textId="77777777" w:rsidR="00E87E3C" w:rsidRPr="00A5227B" w:rsidRDefault="00E87E3C" w:rsidP="00E87E3C">
      <w:pPr>
        <w:spacing w:line="360" w:lineRule="auto"/>
        <w:jc w:val="center"/>
        <w:rPr>
          <w:sz w:val="20"/>
          <w:szCs w:val="22"/>
        </w:rPr>
      </w:pPr>
    </w:p>
    <w:p w14:paraId="06ABD8FA" w14:textId="77777777" w:rsidR="00657F67" w:rsidRDefault="00657F67" w:rsidP="00E87E3C">
      <w:pPr>
        <w:spacing w:line="360" w:lineRule="auto"/>
        <w:jc w:val="center"/>
        <w:rPr>
          <w:sz w:val="22"/>
          <w:szCs w:val="22"/>
        </w:rPr>
      </w:pPr>
    </w:p>
    <w:p w14:paraId="47525FC9" w14:textId="77777777" w:rsidR="00E87E3C" w:rsidRPr="009A28F5" w:rsidRDefault="00E87E3C" w:rsidP="00E87E3C">
      <w:pPr>
        <w:spacing w:line="360" w:lineRule="auto"/>
        <w:jc w:val="center"/>
        <w:rPr>
          <w:b/>
          <w:sz w:val="22"/>
          <w:szCs w:val="22"/>
        </w:rPr>
      </w:pPr>
      <w:r w:rsidRPr="009A28F5">
        <w:rPr>
          <w:b/>
          <w:sz w:val="22"/>
          <w:szCs w:val="22"/>
        </w:rPr>
        <w:t>Abstract</w:t>
      </w:r>
    </w:p>
    <w:p w14:paraId="1945DB7E" w14:textId="25BFC20C" w:rsidR="0092122F" w:rsidRPr="009A28F5" w:rsidRDefault="007E2FA5" w:rsidP="00E369E9">
      <w:pPr>
        <w:spacing w:line="360" w:lineRule="auto"/>
        <w:ind w:left="360" w:right="386"/>
        <w:jc w:val="both"/>
        <w:rPr>
          <w:sz w:val="22"/>
          <w:szCs w:val="22"/>
        </w:rPr>
      </w:pPr>
      <w:r w:rsidRPr="009A28F5">
        <w:rPr>
          <w:sz w:val="22"/>
          <w:szCs w:val="22"/>
        </w:rPr>
        <w:t xml:space="preserve">This paper analyses the causal relationship between </w:t>
      </w:r>
      <w:r w:rsidR="000A5398" w:rsidRPr="009A28F5">
        <w:rPr>
          <w:sz w:val="22"/>
          <w:szCs w:val="22"/>
        </w:rPr>
        <w:t>gold</w:t>
      </w:r>
      <w:r w:rsidR="005268C4" w:rsidRPr="009A28F5">
        <w:rPr>
          <w:sz w:val="22"/>
          <w:szCs w:val="22"/>
        </w:rPr>
        <w:t xml:space="preserve"> </w:t>
      </w:r>
      <w:r w:rsidR="00DE455B" w:rsidRPr="009A28F5">
        <w:rPr>
          <w:sz w:val="22"/>
          <w:szCs w:val="22"/>
        </w:rPr>
        <w:t>production</w:t>
      </w:r>
      <w:r w:rsidR="005268C4" w:rsidRPr="009A28F5">
        <w:rPr>
          <w:sz w:val="22"/>
          <w:szCs w:val="22"/>
        </w:rPr>
        <w:t xml:space="preserve"> costs and </w:t>
      </w:r>
      <w:r w:rsidR="000A5398" w:rsidRPr="009A28F5">
        <w:rPr>
          <w:sz w:val="22"/>
          <w:szCs w:val="22"/>
        </w:rPr>
        <w:t xml:space="preserve">gold </w:t>
      </w:r>
      <w:r w:rsidRPr="009A28F5">
        <w:rPr>
          <w:sz w:val="22"/>
          <w:szCs w:val="22"/>
        </w:rPr>
        <w:t>prices</w:t>
      </w:r>
      <w:r w:rsidR="009D4E0B" w:rsidRPr="009A28F5">
        <w:rPr>
          <w:sz w:val="22"/>
          <w:szCs w:val="22"/>
        </w:rPr>
        <w:t xml:space="preserve"> u</w:t>
      </w:r>
      <w:r w:rsidR="00CB09DD" w:rsidRPr="009A28F5">
        <w:rPr>
          <w:sz w:val="22"/>
          <w:szCs w:val="22"/>
        </w:rPr>
        <w:t>sin</w:t>
      </w:r>
      <w:r w:rsidR="00F54C90" w:rsidRPr="009A28F5">
        <w:rPr>
          <w:sz w:val="22"/>
          <w:szCs w:val="22"/>
        </w:rPr>
        <w:t xml:space="preserve">g </w:t>
      </w:r>
      <w:r w:rsidR="003775C7" w:rsidRPr="009A28F5">
        <w:rPr>
          <w:sz w:val="22"/>
          <w:szCs w:val="22"/>
        </w:rPr>
        <w:t xml:space="preserve">a </w:t>
      </w:r>
      <w:r w:rsidR="0025636E" w:rsidRPr="009A28F5">
        <w:rPr>
          <w:sz w:val="22"/>
          <w:szCs w:val="22"/>
        </w:rPr>
        <w:t xml:space="preserve">set of </w:t>
      </w:r>
      <w:r w:rsidRPr="009A28F5">
        <w:rPr>
          <w:sz w:val="22"/>
          <w:szCs w:val="22"/>
        </w:rPr>
        <w:t xml:space="preserve">country and </w:t>
      </w:r>
      <w:r w:rsidR="00CB09DD" w:rsidRPr="009A28F5">
        <w:rPr>
          <w:sz w:val="22"/>
          <w:szCs w:val="22"/>
        </w:rPr>
        <w:t>c</w:t>
      </w:r>
      <w:r w:rsidRPr="009A28F5">
        <w:rPr>
          <w:sz w:val="22"/>
          <w:szCs w:val="22"/>
        </w:rPr>
        <w:t xml:space="preserve">ompany </w:t>
      </w:r>
      <w:r w:rsidR="00CB09DD" w:rsidRPr="009A28F5">
        <w:rPr>
          <w:sz w:val="22"/>
          <w:szCs w:val="22"/>
        </w:rPr>
        <w:t>data</w:t>
      </w:r>
      <w:r w:rsidR="00405C6C">
        <w:rPr>
          <w:sz w:val="22"/>
          <w:szCs w:val="22"/>
        </w:rPr>
        <w:t xml:space="preserve"> collected at the individual mine’s level</w:t>
      </w:r>
      <w:r w:rsidRPr="009A28F5">
        <w:rPr>
          <w:sz w:val="22"/>
          <w:szCs w:val="22"/>
        </w:rPr>
        <w:t xml:space="preserve">. We </w:t>
      </w:r>
      <w:r w:rsidR="009D4E0B" w:rsidRPr="009A28F5">
        <w:rPr>
          <w:sz w:val="22"/>
          <w:szCs w:val="22"/>
        </w:rPr>
        <w:t xml:space="preserve">find strong econometric evidence for </w:t>
      </w:r>
      <w:r w:rsidRPr="009A28F5">
        <w:rPr>
          <w:sz w:val="22"/>
          <w:szCs w:val="22"/>
        </w:rPr>
        <w:t xml:space="preserve">causality </w:t>
      </w:r>
      <w:r w:rsidR="00A23E89" w:rsidRPr="009A28F5">
        <w:rPr>
          <w:sz w:val="22"/>
          <w:szCs w:val="22"/>
        </w:rPr>
        <w:t xml:space="preserve">running </w:t>
      </w:r>
      <w:r w:rsidR="009D4E0B" w:rsidRPr="009A28F5">
        <w:rPr>
          <w:sz w:val="22"/>
          <w:szCs w:val="22"/>
        </w:rPr>
        <w:t>f</w:t>
      </w:r>
      <w:r w:rsidRPr="009A28F5">
        <w:rPr>
          <w:sz w:val="22"/>
          <w:szCs w:val="22"/>
        </w:rPr>
        <w:t xml:space="preserve">rom gold prices to gold </w:t>
      </w:r>
      <w:r w:rsidR="00DE455B" w:rsidRPr="009A28F5">
        <w:rPr>
          <w:sz w:val="22"/>
          <w:szCs w:val="22"/>
        </w:rPr>
        <w:t>production</w:t>
      </w:r>
      <w:r w:rsidRPr="009A28F5">
        <w:rPr>
          <w:sz w:val="22"/>
          <w:szCs w:val="22"/>
        </w:rPr>
        <w:t xml:space="preserve"> costs</w:t>
      </w:r>
      <w:r w:rsidR="009D4E0B" w:rsidRPr="009A28F5">
        <w:rPr>
          <w:sz w:val="22"/>
          <w:szCs w:val="22"/>
        </w:rPr>
        <w:t>.</w:t>
      </w:r>
      <w:r w:rsidRPr="009A28F5">
        <w:rPr>
          <w:sz w:val="22"/>
          <w:szCs w:val="22"/>
        </w:rPr>
        <w:t xml:space="preserve"> </w:t>
      </w:r>
      <w:r w:rsidR="009D4E0B" w:rsidRPr="009A28F5">
        <w:rPr>
          <w:sz w:val="22"/>
          <w:szCs w:val="22"/>
        </w:rPr>
        <w:t xml:space="preserve">The results are supported </w:t>
      </w:r>
      <w:r w:rsidR="0021236B" w:rsidRPr="009A28F5">
        <w:rPr>
          <w:sz w:val="22"/>
          <w:szCs w:val="22"/>
        </w:rPr>
        <w:t xml:space="preserve">theoretically </w:t>
      </w:r>
      <w:r w:rsidR="009D4E0B" w:rsidRPr="009A28F5">
        <w:rPr>
          <w:sz w:val="22"/>
          <w:szCs w:val="22"/>
        </w:rPr>
        <w:t xml:space="preserve">by the </w:t>
      </w:r>
      <w:r w:rsidRPr="009A28F5">
        <w:rPr>
          <w:sz w:val="22"/>
          <w:szCs w:val="22"/>
        </w:rPr>
        <w:t xml:space="preserve">small amount of annual gold </w:t>
      </w:r>
      <w:r w:rsidR="00DE455B" w:rsidRPr="009A28F5">
        <w:rPr>
          <w:sz w:val="22"/>
          <w:szCs w:val="22"/>
        </w:rPr>
        <w:t>production</w:t>
      </w:r>
      <w:r w:rsidRPr="009A28F5">
        <w:rPr>
          <w:sz w:val="22"/>
          <w:szCs w:val="22"/>
        </w:rPr>
        <w:t xml:space="preserve"> relative to the total stock </w:t>
      </w:r>
      <w:r w:rsidR="0021236B" w:rsidRPr="009A28F5">
        <w:rPr>
          <w:sz w:val="22"/>
          <w:szCs w:val="22"/>
        </w:rPr>
        <w:t>and the real options embed</w:t>
      </w:r>
      <w:r w:rsidR="009A28F5">
        <w:rPr>
          <w:sz w:val="22"/>
          <w:szCs w:val="22"/>
        </w:rPr>
        <w:t xml:space="preserve">ded in gold mines. The low flow to </w:t>
      </w:r>
      <w:r w:rsidR="0021236B" w:rsidRPr="009A28F5">
        <w:rPr>
          <w:sz w:val="22"/>
          <w:szCs w:val="22"/>
        </w:rPr>
        <w:t xml:space="preserve">stock ratio of gold </w:t>
      </w:r>
      <w:r w:rsidR="00FD401A" w:rsidRPr="009A28F5">
        <w:rPr>
          <w:sz w:val="22"/>
          <w:szCs w:val="22"/>
        </w:rPr>
        <w:t xml:space="preserve">implies </w:t>
      </w:r>
      <w:r w:rsidRPr="009A28F5">
        <w:rPr>
          <w:sz w:val="22"/>
          <w:szCs w:val="22"/>
        </w:rPr>
        <w:t xml:space="preserve">low market power of </w:t>
      </w:r>
      <w:r w:rsidR="00353A09" w:rsidRPr="009A28F5">
        <w:rPr>
          <w:sz w:val="22"/>
          <w:szCs w:val="22"/>
        </w:rPr>
        <w:t>gold mining firms</w:t>
      </w:r>
      <w:r w:rsidRPr="009A28F5">
        <w:rPr>
          <w:sz w:val="22"/>
          <w:szCs w:val="22"/>
        </w:rPr>
        <w:t xml:space="preserve"> </w:t>
      </w:r>
      <w:r w:rsidR="00FD401A" w:rsidRPr="009A28F5">
        <w:rPr>
          <w:sz w:val="22"/>
          <w:szCs w:val="22"/>
        </w:rPr>
        <w:t xml:space="preserve">and </w:t>
      </w:r>
      <w:r w:rsidR="0021236B" w:rsidRPr="009A28F5">
        <w:rPr>
          <w:sz w:val="22"/>
          <w:szCs w:val="22"/>
        </w:rPr>
        <w:t xml:space="preserve">thus </w:t>
      </w:r>
      <w:r w:rsidR="00FD401A" w:rsidRPr="009A28F5">
        <w:rPr>
          <w:sz w:val="22"/>
          <w:szCs w:val="22"/>
        </w:rPr>
        <w:t xml:space="preserve">an inability to </w:t>
      </w:r>
      <w:r w:rsidRPr="009A28F5">
        <w:rPr>
          <w:sz w:val="22"/>
          <w:szCs w:val="22"/>
        </w:rPr>
        <w:t>significantly influence gold prices</w:t>
      </w:r>
      <w:r w:rsidR="0021236B" w:rsidRPr="009A28F5">
        <w:rPr>
          <w:sz w:val="22"/>
          <w:szCs w:val="22"/>
        </w:rPr>
        <w:t xml:space="preserve">. </w:t>
      </w:r>
      <w:r w:rsidR="003775C7" w:rsidRPr="009A28F5">
        <w:rPr>
          <w:sz w:val="22"/>
          <w:szCs w:val="22"/>
        </w:rPr>
        <w:t>T</w:t>
      </w:r>
      <w:r w:rsidR="0021236B" w:rsidRPr="009A28F5">
        <w:rPr>
          <w:sz w:val="22"/>
          <w:szCs w:val="22"/>
        </w:rPr>
        <w:t xml:space="preserve">he </w:t>
      </w:r>
      <w:r w:rsidR="00E369E9" w:rsidRPr="009A28F5">
        <w:rPr>
          <w:sz w:val="22"/>
          <w:szCs w:val="22"/>
        </w:rPr>
        <w:t xml:space="preserve">real options </w:t>
      </w:r>
      <w:r w:rsidR="00A23E89" w:rsidRPr="009A28F5">
        <w:rPr>
          <w:sz w:val="22"/>
          <w:szCs w:val="22"/>
        </w:rPr>
        <w:t xml:space="preserve">enable </w:t>
      </w:r>
      <w:r w:rsidR="00E369E9" w:rsidRPr="009A28F5">
        <w:rPr>
          <w:sz w:val="22"/>
          <w:szCs w:val="22"/>
        </w:rPr>
        <w:t>gold mining firms t</w:t>
      </w:r>
      <w:r w:rsidR="00A23E89" w:rsidRPr="009A28F5">
        <w:rPr>
          <w:sz w:val="22"/>
          <w:szCs w:val="22"/>
        </w:rPr>
        <w:t>o</w:t>
      </w:r>
      <w:r w:rsidRPr="009A28F5">
        <w:rPr>
          <w:sz w:val="22"/>
          <w:szCs w:val="22"/>
        </w:rPr>
        <w:t xml:space="preserve"> adjust production </w:t>
      </w:r>
      <w:r w:rsidR="00813C0D">
        <w:rPr>
          <w:sz w:val="22"/>
          <w:szCs w:val="22"/>
        </w:rPr>
        <w:t xml:space="preserve">costs </w:t>
      </w:r>
      <w:r w:rsidRPr="009A28F5">
        <w:rPr>
          <w:sz w:val="22"/>
          <w:szCs w:val="22"/>
        </w:rPr>
        <w:t>conditional on the gold price</w:t>
      </w:r>
      <w:r w:rsidR="009978A4">
        <w:rPr>
          <w:sz w:val="22"/>
          <w:szCs w:val="22"/>
        </w:rPr>
        <w:t>; p</w:t>
      </w:r>
      <w:r w:rsidR="003775C7" w:rsidRPr="009A28F5">
        <w:rPr>
          <w:sz w:val="22"/>
          <w:szCs w:val="22"/>
        </w:rPr>
        <w:t>roduction</w:t>
      </w:r>
      <w:r w:rsidR="00813C0D">
        <w:rPr>
          <w:sz w:val="22"/>
          <w:szCs w:val="22"/>
        </w:rPr>
        <w:t xml:space="preserve"> costs </w:t>
      </w:r>
      <w:r w:rsidR="003775C7" w:rsidRPr="009A28F5">
        <w:rPr>
          <w:sz w:val="22"/>
          <w:szCs w:val="22"/>
        </w:rPr>
        <w:t>thus follow gold prices</w:t>
      </w:r>
      <w:r w:rsidR="009036E7">
        <w:rPr>
          <w:rStyle w:val="FootnoteReference"/>
          <w:sz w:val="22"/>
          <w:szCs w:val="22"/>
        </w:rPr>
        <w:footnoteReference w:id="1"/>
      </w:r>
      <w:r w:rsidR="003775C7" w:rsidRPr="009A28F5">
        <w:rPr>
          <w:sz w:val="22"/>
          <w:szCs w:val="22"/>
        </w:rPr>
        <w:t xml:space="preserve">. </w:t>
      </w:r>
    </w:p>
    <w:p w14:paraId="28021F3B" w14:textId="4014D5EB" w:rsidR="00E87E3C" w:rsidRPr="009A28F5" w:rsidRDefault="00E87E3C" w:rsidP="00CB09DD">
      <w:pPr>
        <w:spacing w:line="360" w:lineRule="auto"/>
        <w:ind w:left="360" w:right="386"/>
        <w:jc w:val="both"/>
        <w:rPr>
          <w:i/>
          <w:sz w:val="22"/>
          <w:szCs w:val="22"/>
        </w:rPr>
      </w:pPr>
      <w:r w:rsidRPr="009A28F5">
        <w:rPr>
          <w:b/>
          <w:i/>
          <w:sz w:val="22"/>
          <w:szCs w:val="22"/>
        </w:rPr>
        <w:t>Keywords</w:t>
      </w:r>
      <w:r w:rsidRPr="009A28F5">
        <w:rPr>
          <w:i/>
          <w:sz w:val="22"/>
          <w:szCs w:val="22"/>
        </w:rPr>
        <w:t xml:space="preserve">: gold price, gold </w:t>
      </w:r>
      <w:r w:rsidR="00DE455B" w:rsidRPr="009A28F5">
        <w:rPr>
          <w:i/>
          <w:sz w:val="22"/>
          <w:szCs w:val="22"/>
        </w:rPr>
        <w:t>production</w:t>
      </w:r>
      <w:r w:rsidRPr="009A28F5">
        <w:rPr>
          <w:i/>
          <w:sz w:val="22"/>
          <w:szCs w:val="22"/>
        </w:rPr>
        <w:t xml:space="preserve"> costs, mining, causality, real optionality, Ricardo</w:t>
      </w:r>
      <w:r w:rsidR="005F374C">
        <w:rPr>
          <w:i/>
          <w:sz w:val="22"/>
          <w:szCs w:val="22"/>
        </w:rPr>
        <w:t>,</w:t>
      </w:r>
      <w:r w:rsidR="005F374C" w:rsidRPr="005F374C">
        <w:t xml:space="preserve"> </w:t>
      </w:r>
      <w:r w:rsidR="005F374C" w:rsidRPr="005F374C">
        <w:rPr>
          <w:i/>
          <w:sz w:val="22"/>
          <w:szCs w:val="22"/>
        </w:rPr>
        <w:t>inflation channel</w:t>
      </w:r>
    </w:p>
    <w:p w14:paraId="7474E595" w14:textId="77777777" w:rsidR="003E42E4" w:rsidRPr="009A28F5" w:rsidRDefault="00E87E3C" w:rsidP="005268C4">
      <w:pPr>
        <w:pStyle w:val="ListParagraph"/>
        <w:numPr>
          <w:ilvl w:val="0"/>
          <w:numId w:val="12"/>
        </w:numPr>
        <w:spacing w:line="360" w:lineRule="auto"/>
        <w:rPr>
          <w:rFonts w:ascii="Times New Roman" w:hAnsi="Times New Roman" w:cs="Times New Roman"/>
          <w:b/>
        </w:rPr>
      </w:pPr>
      <w:r w:rsidRPr="009A28F5">
        <w:br w:type="page"/>
      </w:r>
      <w:r w:rsidR="003E42E4" w:rsidRPr="009A28F5">
        <w:rPr>
          <w:rFonts w:ascii="Times New Roman" w:hAnsi="Times New Roman" w:cs="Times New Roman"/>
          <w:b/>
        </w:rPr>
        <w:lastRenderedPageBreak/>
        <w:t>Introduction</w:t>
      </w:r>
    </w:p>
    <w:p w14:paraId="4294CA33" w14:textId="2492A497" w:rsidR="00813C0D" w:rsidRDefault="00576E14" w:rsidP="002155E5">
      <w:pPr>
        <w:spacing w:line="360" w:lineRule="auto"/>
        <w:jc w:val="both"/>
        <w:rPr>
          <w:sz w:val="22"/>
          <w:szCs w:val="22"/>
        </w:rPr>
      </w:pPr>
      <w:r w:rsidRPr="009A28F5">
        <w:rPr>
          <w:sz w:val="22"/>
          <w:szCs w:val="22"/>
        </w:rPr>
        <w:t xml:space="preserve">This paper provides the first </w:t>
      </w:r>
      <w:r w:rsidR="00305107" w:rsidRPr="009A28F5">
        <w:rPr>
          <w:sz w:val="22"/>
          <w:szCs w:val="22"/>
        </w:rPr>
        <w:t xml:space="preserve">empirical </w:t>
      </w:r>
      <w:r w:rsidRPr="009A28F5">
        <w:rPr>
          <w:sz w:val="22"/>
          <w:szCs w:val="22"/>
        </w:rPr>
        <w:t>evidence on the causal relationship</w:t>
      </w:r>
      <w:r w:rsidR="00D36618">
        <w:rPr>
          <w:sz w:val="22"/>
          <w:szCs w:val="22"/>
        </w:rPr>
        <w:t>s that exist</w:t>
      </w:r>
      <w:r w:rsidRPr="009A28F5">
        <w:rPr>
          <w:sz w:val="22"/>
          <w:szCs w:val="22"/>
        </w:rPr>
        <w:t xml:space="preserve"> between </w:t>
      </w:r>
      <w:r w:rsidR="003B1B75">
        <w:rPr>
          <w:sz w:val="22"/>
          <w:szCs w:val="22"/>
        </w:rPr>
        <w:t xml:space="preserve">any </w:t>
      </w:r>
      <w:r w:rsidRPr="009A28F5">
        <w:rPr>
          <w:sz w:val="22"/>
          <w:szCs w:val="22"/>
        </w:rPr>
        <w:t>commodity</w:t>
      </w:r>
      <w:r w:rsidR="003B1B75">
        <w:rPr>
          <w:sz w:val="22"/>
          <w:szCs w:val="22"/>
        </w:rPr>
        <w:t>’s</w:t>
      </w:r>
      <w:r w:rsidRPr="009A28F5">
        <w:rPr>
          <w:sz w:val="22"/>
          <w:szCs w:val="22"/>
        </w:rPr>
        <w:t xml:space="preserve"> price and </w:t>
      </w:r>
      <w:r w:rsidR="003B1B75">
        <w:rPr>
          <w:sz w:val="22"/>
          <w:szCs w:val="22"/>
        </w:rPr>
        <w:t>its</w:t>
      </w:r>
      <w:r w:rsidR="003B1B75" w:rsidRPr="009A28F5">
        <w:rPr>
          <w:sz w:val="22"/>
          <w:szCs w:val="22"/>
        </w:rPr>
        <w:t xml:space="preserve"> </w:t>
      </w:r>
      <w:r w:rsidRPr="009A28F5">
        <w:rPr>
          <w:sz w:val="22"/>
          <w:szCs w:val="22"/>
        </w:rPr>
        <w:t xml:space="preserve">cost of </w:t>
      </w:r>
      <w:r w:rsidR="00DE455B" w:rsidRPr="009A28F5">
        <w:rPr>
          <w:sz w:val="22"/>
          <w:szCs w:val="22"/>
        </w:rPr>
        <w:t>production</w:t>
      </w:r>
      <w:r w:rsidR="002155E5" w:rsidRPr="009A28F5">
        <w:rPr>
          <w:sz w:val="22"/>
          <w:szCs w:val="22"/>
        </w:rPr>
        <w:t xml:space="preserve"> u</w:t>
      </w:r>
      <w:r w:rsidRPr="009A28F5">
        <w:rPr>
          <w:sz w:val="22"/>
          <w:szCs w:val="22"/>
        </w:rPr>
        <w:t xml:space="preserve">sing </w:t>
      </w:r>
      <w:r w:rsidR="000A5398" w:rsidRPr="009A28F5">
        <w:rPr>
          <w:sz w:val="22"/>
          <w:szCs w:val="22"/>
        </w:rPr>
        <w:t xml:space="preserve">global </w:t>
      </w:r>
      <w:r w:rsidRPr="009A28F5">
        <w:rPr>
          <w:sz w:val="22"/>
          <w:szCs w:val="22"/>
        </w:rPr>
        <w:t xml:space="preserve">data from gold miners </w:t>
      </w:r>
      <w:r w:rsidR="00CB609F" w:rsidRPr="009A28F5">
        <w:rPr>
          <w:sz w:val="22"/>
          <w:szCs w:val="22"/>
        </w:rPr>
        <w:t>at</w:t>
      </w:r>
      <w:r w:rsidRPr="009A28F5">
        <w:rPr>
          <w:sz w:val="22"/>
          <w:szCs w:val="22"/>
        </w:rPr>
        <w:t xml:space="preserve"> a country and company level with </w:t>
      </w:r>
      <w:r w:rsidR="003B1B75">
        <w:rPr>
          <w:sz w:val="22"/>
          <w:szCs w:val="22"/>
        </w:rPr>
        <w:t xml:space="preserve">annual </w:t>
      </w:r>
      <w:r w:rsidRPr="009A28F5">
        <w:rPr>
          <w:sz w:val="22"/>
          <w:szCs w:val="22"/>
        </w:rPr>
        <w:t>data ranging from 1981 to 2013.</w:t>
      </w:r>
      <w:r w:rsidR="00BF0F48" w:rsidRPr="009A28F5">
        <w:rPr>
          <w:sz w:val="22"/>
          <w:szCs w:val="22"/>
        </w:rPr>
        <w:t xml:space="preserve"> </w:t>
      </w:r>
      <w:r w:rsidRPr="009A28F5">
        <w:rPr>
          <w:sz w:val="22"/>
          <w:szCs w:val="22"/>
        </w:rPr>
        <w:t xml:space="preserve">This is possible as the gold mining industry </w:t>
      </w:r>
      <w:r w:rsidR="00813C0D">
        <w:rPr>
          <w:sz w:val="22"/>
          <w:szCs w:val="22"/>
        </w:rPr>
        <w:t>provides</w:t>
      </w:r>
      <w:r w:rsidRPr="009A28F5">
        <w:rPr>
          <w:sz w:val="22"/>
          <w:szCs w:val="22"/>
        </w:rPr>
        <w:t xml:space="preserve"> very detailed</w:t>
      </w:r>
      <w:r w:rsidR="00D36618">
        <w:rPr>
          <w:sz w:val="22"/>
          <w:szCs w:val="22"/>
        </w:rPr>
        <w:t xml:space="preserve"> </w:t>
      </w:r>
      <w:r w:rsidR="002155E5" w:rsidRPr="009A28F5">
        <w:rPr>
          <w:sz w:val="22"/>
          <w:szCs w:val="22"/>
        </w:rPr>
        <w:t xml:space="preserve">information </w:t>
      </w:r>
      <w:r w:rsidR="00813C0D">
        <w:rPr>
          <w:sz w:val="22"/>
          <w:szCs w:val="22"/>
        </w:rPr>
        <w:t>on a variety of variables</w:t>
      </w:r>
      <w:r w:rsidR="00405C6C">
        <w:rPr>
          <w:sz w:val="22"/>
          <w:szCs w:val="22"/>
        </w:rPr>
        <w:t xml:space="preserve"> that are not commonly made publicly available,</w:t>
      </w:r>
      <w:r w:rsidR="00813C0D">
        <w:rPr>
          <w:sz w:val="22"/>
          <w:szCs w:val="22"/>
        </w:rPr>
        <w:t xml:space="preserve"> </w:t>
      </w:r>
      <w:r w:rsidRPr="009A28F5">
        <w:rPr>
          <w:sz w:val="22"/>
          <w:szCs w:val="22"/>
        </w:rPr>
        <w:t>such as</w:t>
      </w:r>
      <w:r w:rsidR="00405C6C">
        <w:rPr>
          <w:sz w:val="22"/>
          <w:szCs w:val="22"/>
        </w:rPr>
        <w:t xml:space="preserve"> the</w:t>
      </w:r>
      <w:r w:rsidRPr="009A28F5">
        <w:rPr>
          <w:sz w:val="22"/>
          <w:szCs w:val="22"/>
        </w:rPr>
        <w:t xml:space="preserve"> </w:t>
      </w:r>
      <w:r w:rsidR="00DE455B" w:rsidRPr="009A28F5">
        <w:rPr>
          <w:sz w:val="22"/>
          <w:szCs w:val="22"/>
        </w:rPr>
        <w:t>production</w:t>
      </w:r>
      <w:r w:rsidRPr="009A28F5">
        <w:rPr>
          <w:sz w:val="22"/>
          <w:szCs w:val="22"/>
        </w:rPr>
        <w:t xml:space="preserve"> costs and production </w:t>
      </w:r>
      <w:r w:rsidR="002155E5" w:rsidRPr="009A28F5">
        <w:rPr>
          <w:sz w:val="22"/>
          <w:szCs w:val="22"/>
        </w:rPr>
        <w:t>volume</w:t>
      </w:r>
      <w:r w:rsidR="00405C6C">
        <w:rPr>
          <w:sz w:val="22"/>
          <w:szCs w:val="22"/>
        </w:rPr>
        <w:t xml:space="preserve"> data used here</w:t>
      </w:r>
      <w:r w:rsidRPr="009A28F5">
        <w:rPr>
          <w:sz w:val="22"/>
          <w:szCs w:val="22"/>
        </w:rPr>
        <w:t xml:space="preserve">. </w:t>
      </w:r>
      <w:r w:rsidR="00AE52B5" w:rsidRPr="009A28F5">
        <w:rPr>
          <w:sz w:val="22"/>
          <w:szCs w:val="22"/>
        </w:rPr>
        <w:t>The existing literature</w:t>
      </w:r>
      <w:r w:rsidR="00D36618">
        <w:rPr>
          <w:sz w:val="22"/>
          <w:szCs w:val="22"/>
        </w:rPr>
        <w:t xml:space="preserve"> has made </w:t>
      </w:r>
      <w:r w:rsidR="003B1B75">
        <w:rPr>
          <w:sz w:val="22"/>
          <w:szCs w:val="22"/>
        </w:rPr>
        <w:t>use of th</w:t>
      </w:r>
      <w:r w:rsidR="00405C6C">
        <w:rPr>
          <w:sz w:val="22"/>
          <w:szCs w:val="22"/>
        </w:rPr>
        <w:t>is</w:t>
      </w:r>
      <w:r w:rsidR="003B1B75">
        <w:rPr>
          <w:sz w:val="22"/>
          <w:szCs w:val="22"/>
        </w:rPr>
        <w:t xml:space="preserve"> </w:t>
      </w:r>
      <w:r w:rsidR="00C95C00">
        <w:rPr>
          <w:sz w:val="22"/>
          <w:szCs w:val="22"/>
        </w:rPr>
        <w:t xml:space="preserve">available </w:t>
      </w:r>
      <w:r w:rsidR="003B1B75">
        <w:rPr>
          <w:sz w:val="22"/>
          <w:szCs w:val="22"/>
        </w:rPr>
        <w:t xml:space="preserve">data </w:t>
      </w:r>
      <w:r w:rsidR="00D36618">
        <w:rPr>
          <w:sz w:val="22"/>
          <w:szCs w:val="22"/>
        </w:rPr>
        <w:t>by</w:t>
      </w:r>
      <w:r w:rsidR="003B1B75">
        <w:rPr>
          <w:sz w:val="22"/>
          <w:szCs w:val="22"/>
        </w:rPr>
        <w:t xml:space="preserve"> </w:t>
      </w:r>
      <w:r w:rsidR="00D36618" w:rsidRPr="009A28F5">
        <w:rPr>
          <w:sz w:val="22"/>
          <w:szCs w:val="22"/>
        </w:rPr>
        <w:t>focuss</w:t>
      </w:r>
      <w:r w:rsidR="00D36618">
        <w:rPr>
          <w:sz w:val="22"/>
          <w:szCs w:val="22"/>
        </w:rPr>
        <w:t>ing on</w:t>
      </w:r>
      <w:r w:rsidR="00D36618" w:rsidRPr="009A28F5">
        <w:rPr>
          <w:sz w:val="22"/>
          <w:szCs w:val="22"/>
        </w:rPr>
        <w:t xml:space="preserve"> </w:t>
      </w:r>
      <w:r w:rsidR="003B1B75">
        <w:rPr>
          <w:sz w:val="22"/>
          <w:szCs w:val="22"/>
        </w:rPr>
        <w:t>issue</w:t>
      </w:r>
      <w:r w:rsidR="00D36618">
        <w:rPr>
          <w:sz w:val="22"/>
          <w:szCs w:val="22"/>
        </w:rPr>
        <w:t>s</w:t>
      </w:r>
      <w:r w:rsidR="003B1B75">
        <w:rPr>
          <w:sz w:val="22"/>
          <w:szCs w:val="22"/>
        </w:rPr>
        <w:t xml:space="preserve"> such as </w:t>
      </w:r>
      <w:r w:rsidR="00AE52B5" w:rsidRPr="009A28F5">
        <w:rPr>
          <w:sz w:val="22"/>
          <w:szCs w:val="22"/>
        </w:rPr>
        <w:t xml:space="preserve">the price exposure of gold mining firms and their hedging strategies </w:t>
      </w:r>
      <w:r w:rsidR="00D36618">
        <w:rPr>
          <w:sz w:val="22"/>
          <w:szCs w:val="22"/>
        </w:rPr>
        <w:t xml:space="preserve">to cope with this </w:t>
      </w:r>
      <w:r w:rsidR="00AE52B5" w:rsidRPr="009A28F5">
        <w:rPr>
          <w:sz w:val="22"/>
          <w:szCs w:val="22"/>
        </w:rPr>
        <w:t xml:space="preserve">(e.g. see </w:t>
      </w:r>
      <w:r w:rsidRPr="009A28F5">
        <w:rPr>
          <w:sz w:val="22"/>
          <w:szCs w:val="22"/>
        </w:rPr>
        <w:t xml:space="preserve">Brown, </w:t>
      </w:r>
      <w:proofErr w:type="spellStart"/>
      <w:r w:rsidRPr="009A28F5">
        <w:rPr>
          <w:sz w:val="22"/>
          <w:szCs w:val="22"/>
        </w:rPr>
        <w:t>Crabb</w:t>
      </w:r>
      <w:proofErr w:type="spellEnd"/>
      <w:r w:rsidRPr="009A28F5">
        <w:rPr>
          <w:sz w:val="22"/>
          <w:szCs w:val="22"/>
        </w:rPr>
        <w:t xml:space="preserve"> and </w:t>
      </w:r>
      <w:proofErr w:type="spellStart"/>
      <w:r w:rsidRPr="009A28F5">
        <w:rPr>
          <w:sz w:val="22"/>
          <w:szCs w:val="22"/>
        </w:rPr>
        <w:t>Haushalter</w:t>
      </w:r>
      <w:proofErr w:type="spellEnd"/>
      <w:r w:rsidRPr="009A28F5">
        <w:rPr>
          <w:sz w:val="22"/>
          <w:szCs w:val="22"/>
        </w:rPr>
        <w:t xml:space="preserve"> (2006)</w:t>
      </w:r>
      <w:r w:rsidR="00AE52B5" w:rsidRPr="009A28F5">
        <w:rPr>
          <w:sz w:val="22"/>
          <w:szCs w:val="22"/>
        </w:rPr>
        <w:t xml:space="preserve">, </w:t>
      </w:r>
      <w:proofErr w:type="spellStart"/>
      <w:r w:rsidR="00AE52B5" w:rsidRPr="009A28F5">
        <w:rPr>
          <w:sz w:val="22"/>
          <w:szCs w:val="22"/>
        </w:rPr>
        <w:t>T</w:t>
      </w:r>
      <w:r w:rsidRPr="009A28F5">
        <w:rPr>
          <w:sz w:val="22"/>
          <w:szCs w:val="22"/>
        </w:rPr>
        <w:t>ufano</w:t>
      </w:r>
      <w:proofErr w:type="spellEnd"/>
      <w:r w:rsidRPr="009A28F5">
        <w:rPr>
          <w:sz w:val="22"/>
          <w:szCs w:val="22"/>
        </w:rPr>
        <w:t xml:space="preserve"> (1996)</w:t>
      </w:r>
      <w:r w:rsidR="00AE52B5" w:rsidRPr="009A28F5">
        <w:rPr>
          <w:sz w:val="22"/>
          <w:szCs w:val="22"/>
        </w:rPr>
        <w:t xml:space="preserve"> and </w:t>
      </w:r>
      <w:proofErr w:type="spellStart"/>
      <w:r w:rsidR="00AE52B5" w:rsidRPr="009A28F5">
        <w:rPr>
          <w:sz w:val="22"/>
          <w:szCs w:val="22"/>
        </w:rPr>
        <w:t>Tufano</w:t>
      </w:r>
      <w:proofErr w:type="spellEnd"/>
      <w:r w:rsidR="00AE52B5" w:rsidRPr="009A28F5">
        <w:rPr>
          <w:sz w:val="22"/>
          <w:szCs w:val="22"/>
        </w:rPr>
        <w:t xml:space="preserve"> (1998)). </w:t>
      </w:r>
      <w:proofErr w:type="spellStart"/>
      <w:r w:rsidR="00AE52B5" w:rsidRPr="009A28F5">
        <w:rPr>
          <w:sz w:val="22"/>
          <w:szCs w:val="22"/>
        </w:rPr>
        <w:t>P</w:t>
      </w:r>
      <w:r w:rsidR="002155E5" w:rsidRPr="009A28F5">
        <w:rPr>
          <w:sz w:val="22"/>
          <w:szCs w:val="22"/>
        </w:rPr>
        <w:t>aish</w:t>
      </w:r>
      <w:proofErr w:type="spellEnd"/>
      <w:r w:rsidR="002155E5" w:rsidRPr="009A28F5">
        <w:rPr>
          <w:sz w:val="22"/>
          <w:szCs w:val="22"/>
        </w:rPr>
        <w:t xml:space="preserve"> (1938) provides a detailed discussion of the reasons for changes in the costs of </w:t>
      </w:r>
      <w:r w:rsidR="00DE455B" w:rsidRPr="009A28F5">
        <w:rPr>
          <w:sz w:val="22"/>
          <w:szCs w:val="22"/>
        </w:rPr>
        <w:t>production</w:t>
      </w:r>
      <w:r w:rsidR="002155E5" w:rsidRPr="009A28F5">
        <w:rPr>
          <w:sz w:val="22"/>
          <w:szCs w:val="22"/>
        </w:rPr>
        <w:t xml:space="preserve"> over </w:t>
      </w:r>
      <w:r w:rsidR="00D36618">
        <w:rPr>
          <w:sz w:val="22"/>
          <w:szCs w:val="22"/>
        </w:rPr>
        <w:t>the 19</w:t>
      </w:r>
      <w:r w:rsidR="00D36618" w:rsidRPr="005627E6">
        <w:rPr>
          <w:sz w:val="22"/>
          <w:szCs w:val="22"/>
          <w:vertAlign w:val="superscript"/>
        </w:rPr>
        <w:t>th</w:t>
      </w:r>
      <w:r w:rsidR="00D36618">
        <w:rPr>
          <w:sz w:val="22"/>
          <w:szCs w:val="22"/>
        </w:rPr>
        <w:t xml:space="preserve"> and early 20th</w:t>
      </w:r>
      <w:r w:rsidR="002155E5" w:rsidRPr="009A28F5">
        <w:rPr>
          <w:sz w:val="22"/>
          <w:szCs w:val="22"/>
        </w:rPr>
        <w:t xml:space="preserve"> centuries and their effect on the volume of production, but </w:t>
      </w:r>
      <w:r w:rsidR="00AE52B5" w:rsidRPr="009A28F5">
        <w:rPr>
          <w:sz w:val="22"/>
          <w:szCs w:val="22"/>
        </w:rPr>
        <w:t xml:space="preserve">does not analyse </w:t>
      </w:r>
      <w:r w:rsidR="002155E5" w:rsidRPr="009A28F5">
        <w:rPr>
          <w:sz w:val="22"/>
          <w:szCs w:val="22"/>
        </w:rPr>
        <w:t>t</w:t>
      </w:r>
      <w:r w:rsidR="00AE52B5" w:rsidRPr="009A28F5">
        <w:rPr>
          <w:sz w:val="22"/>
          <w:szCs w:val="22"/>
        </w:rPr>
        <w:t xml:space="preserve">he relationship between the </w:t>
      </w:r>
      <w:r w:rsidR="00D36618">
        <w:rPr>
          <w:sz w:val="22"/>
          <w:szCs w:val="22"/>
        </w:rPr>
        <w:t>prices and production costs</w:t>
      </w:r>
      <w:r w:rsidR="00AE52B5" w:rsidRPr="009A28F5">
        <w:rPr>
          <w:sz w:val="22"/>
          <w:szCs w:val="22"/>
        </w:rPr>
        <w:t>.</w:t>
      </w:r>
      <w:r w:rsidR="00D36618">
        <w:rPr>
          <w:sz w:val="22"/>
          <w:szCs w:val="22"/>
        </w:rPr>
        <w:t xml:space="preserve"> </w:t>
      </w:r>
    </w:p>
    <w:p w14:paraId="611DD234" w14:textId="77777777" w:rsidR="00813C0D" w:rsidRPr="009A28F5" w:rsidRDefault="00813C0D" w:rsidP="002155E5">
      <w:pPr>
        <w:spacing w:line="360" w:lineRule="auto"/>
        <w:jc w:val="both"/>
        <w:rPr>
          <w:sz w:val="22"/>
          <w:szCs w:val="22"/>
        </w:rPr>
      </w:pPr>
    </w:p>
    <w:p w14:paraId="129708F8" w14:textId="13AE2E2A" w:rsidR="00576E14" w:rsidRPr="009A28F5" w:rsidRDefault="00576E14" w:rsidP="00576E14">
      <w:pPr>
        <w:spacing w:line="360" w:lineRule="auto"/>
        <w:jc w:val="both"/>
        <w:rPr>
          <w:sz w:val="22"/>
          <w:szCs w:val="22"/>
        </w:rPr>
      </w:pPr>
      <w:r w:rsidRPr="009A28F5">
        <w:rPr>
          <w:sz w:val="22"/>
          <w:szCs w:val="22"/>
        </w:rPr>
        <w:t>There are two competing theories</w:t>
      </w:r>
      <w:r w:rsidR="00D36618">
        <w:rPr>
          <w:sz w:val="22"/>
          <w:szCs w:val="22"/>
        </w:rPr>
        <w:t xml:space="preserve"> </w:t>
      </w:r>
      <w:r w:rsidRPr="009A28F5">
        <w:rPr>
          <w:sz w:val="22"/>
          <w:szCs w:val="22"/>
        </w:rPr>
        <w:t>regarding the causality between</w:t>
      </w:r>
      <w:r w:rsidR="00D36618">
        <w:rPr>
          <w:sz w:val="22"/>
          <w:szCs w:val="22"/>
        </w:rPr>
        <w:t xml:space="preserve"> commodity</w:t>
      </w:r>
      <w:r w:rsidRPr="009A28F5">
        <w:rPr>
          <w:sz w:val="22"/>
          <w:szCs w:val="22"/>
        </w:rPr>
        <w:t xml:space="preserve"> prices and </w:t>
      </w:r>
      <w:r w:rsidR="00DE455B" w:rsidRPr="009A28F5">
        <w:rPr>
          <w:sz w:val="22"/>
          <w:szCs w:val="22"/>
        </w:rPr>
        <w:t>production</w:t>
      </w:r>
      <w:r w:rsidRPr="009A28F5">
        <w:rPr>
          <w:sz w:val="22"/>
          <w:szCs w:val="22"/>
        </w:rPr>
        <w:t xml:space="preserve"> costs. One theory assumes that </w:t>
      </w:r>
      <w:r w:rsidR="00DE455B" w:rsidRPr="009A28F5">
        <w:rPr>
          <w:sz w:val="22"/>
          <w:szCs w:val="22"/>
        </w:rPr>
        <w:t>production</w:t>
      </w:r>
      <w:r w:rsidRPr="009A28F5">
        <w:rPr>
          <w:sz w:val="22"/>
          <w:szCs w:val="22"/>
        </w:rPr>
        <w:t xml:space="preserve"> costs lead and determine commodity prices</w:t>
      </w:r>
      <w:r w:rsidR="002155E5" w:rsidRPr="009A28F5">
        <w:rPr>
          <w:sz w:val="22"/>
          <w:szCs w:val="22"/>
        </w:rPr>
        <w:t xml:space="preserve"> based on the idea that inflation increases </w:t>
      </w:r>
      <w:r w:rsidR="00DE455B" w:rsidRPr="009A28F5">
        <w:rPr>
          <w:sz w:val="22"/>
          <w:szCs w:val="22"/>
        </w:rPr>
        <w:t>production</w:t>
      </w:r>
      <w:r w:rsidR="002155E5" w:rsidRPr="009A28F5">
        <w:rPr>
          <w:sz w:val="22"/>
          <w:szCs w:val="22"/>
        </w:rPr>
        <w:t xml:space="preserve"> costs and thus the price of gold</w:t>
      </w:r>
      <w:r w:rsidR="005268C4" w:rsidRPr="009A28F5">
        <w:rPr>
          <w:sz w:val="22"/>
          <w:szCs w:val="22"/>
        </w:rPr>
        <w:t xml:space="preserve">. </w:t>
      </w:r>
      <w:r w:rsidR="00813C0D">
        <w:rPr>
          <w:sz w:val="22"/>
          <w:szCs w:val="22"/>
        </w:rPr>
        <w:t xml:space="preserve">The other theory </w:t>
      </w:r>
      <w:r w:rsidR="00375151">
        <w:rPr>
          <w:sz w:val="22"/>
          <w:szCs w:val="22"/>
        </w:rPr>
        <w:t xml:space="preserve">proposes that </w:t>
      </w:r>
      <w:r w:rsidR="00813C0D">
        <w:rPr>
          <w:sz w:val="22"/>
          <w:szCs w:val="22"/>
        </w:rPr>
        <w:t xml:space="preserve">the causality runs the other way and </w:t>
      </w:r>
      <w:r w:rsidR="00AE52B5" w:rsidRPr="009A28F5">
        <w:rPr>
          <w:sz w:val="22"/>
          <w:szCs w:val="22"/>
        </w:rPr>
        <w:t xml:space="preserve">that gold </w:t>
      </w:r>
      <w:r w:rsidR="005268C4" w:rsidRPr="009A28F5">
        <w:rPr>
          <w:sz w:val="22"/>
          <w:szCs w:val="22"/>
        </w:rPr>
        <w:t xml:space="preserve">prices lead and determine </w:t>
      </w:r>
      <w:r w:rsidR="00DE455B" w:rsidRPr="009A28F5">
        <w:rPr>
          <w:sz w:val="22"/>
          <w:szCs w:val="22"/>
        </w:rPr>
        <w:t>production</w:t>
      </w:r>
      <w:r w:rsidR="005268C4" w:rsidRPr="009A28F5">
        <w:rPr>
          <w:sz w:val="22"/>
          <w:szCs w:val="22"/>
        </w:rPr>
        <w:t xml:space="preserve"> costs</w:t>
      </w:r>
      <w:r w:rsidR="002155E5" w:rsidRPr="009A28F5">
        <w:rPr>
          <w:sz w:val="22"/>
          <w:szCs w:val="22"/>
        </w:rPr>
        <w:t xml:space="preserve">. </w:t>
      </w:r>
      <w:r w:rsidR="00390920" w:rsidRPr="009A28F5">
        <w:rPr>
          <w:sz w:val="22"/>
          <w:szCs w:val="22"/>
        </w:rPr>
        <w:t>It is based on th</w:t>
      </w:r>
      <w:r w:rsidRPr="009A28F5">
        <w:rPr>
          <w:sz w:val="22"/>
          <w:szCs w:val="22"/>
        </w:rPr>
        <w:t xml:space="preserve">e classical law of rent </w:t>
      </w:r>
      <w:r w:rsidR="00AE52B5" w:rsidRPr="009A28F5">
        <w:rPr>
          <w:sz w:val="22"/>
          <w:szCs w:val="22"/>
        </w:rPr>
        <w:t xml:space="preserve">described by </w:t>
      </w:r>
      <w:r w:rsidRPr="009A28F5">
        <w:rPr>
          <w:sz w:val="22"/>
          <w:szCs w:val="22"/>
        </w:rPr>
        <w:t>David Ricardo in 1817 and the “real option” characteristic of min</w:t>
      </w:r>
      <w:r w:rsidR="00C95C00">
        <w:rPr>
          <w:sz w:val="22"/>
          <w:szCs w:val="22"/>
        </w:rPr>
        <w:t>ing companies</w:t>
      </w:r>
      <w:r w:rsidRPr="009A28F5">
        <w:rPr>
          <w:sz w:val="22"/>
          <w:szCs w:val="22"/>
        </w:rPr>
        <w:t xml:space="preserve"> as modelled</w:t>
      </w:r>
      <w:r w:rsidR="00DE455B" w:rsidRPr="009A28F5">
        <w:rPr>
          <w:sz w:val="22"/>
          <w:szCs w:val="22"/>
        </w:rPr>
        <w:t xml:space="preserve"> by Brennan and Schwartz (1985).</w:t>
      </w:r>
    </w:p>
    <w:p w14:paraId="473FD54E" w14:textId="77777777" w:rsidR="00576E14" w:rsidRPr="009A28F5" w:rsidRDefault="00576E14" w:rsidP="00576E14">
      <w:pPr>
        <w:spacing w:line="360" w:lineRule="auto"/>
        <w:jc w:val="both"/>
        <w:rPr>
          <w:sz w:val="22"/>
          <w:szCs w:val="22"/>
        </w:rPr>
      </w:pPr>
    </w:p>
    <w:p w14:paraId="55E26190" w14:textId="10831E2B" w:rsidR="00B029CB" w:rsidRDefault="0058782D" w:rsidP="00E87E3C">
      <w:pPr>
        <w:spacing w:line="360" w:lineRule="auto"/>
        <w:jc w:val="both"/>
        <w:rPr>
          <w:sz w:val="22"/>
          <w:szCs w:val="22"/>
        </w:rPr>
      </w:pPr>
      <w:r w:rsidRPr="00375151">
        <w:rPr>
          <w:sz w:val="22"/>
          <w:szCs w:val="22"/>
        </w:rPr>
        <w:t xml:space="preserve">This issue is also linked to a </w:t>
      </w:r>
      <w:r w:rsidR="00623471" w:rsidRPr="00375151">
        <w:rPr>
          <w:sz w:val="22"/>
          <w:szCs w:val="22"/>
        </w:rPr>
        <w:t xml:space="preserve">popular </w:t>
      </w:r>
      <w:r w:rsidR="0021236B" w:rsidRPr="00375151">
        <w:rPr>
          <w:sz w:val="22"/>
          <w:szCs w:val="22"/>
        </w:rPr>
        <w:t xml:space="preserve">research </w:t>
      </w:r>
      <w:r w:rsidR="00623471" w:rsidRPr="00375151">
        <w:rPr>
          <w:sz w:val="22"/>
          <w:szCs w:val="22"/>
        </w:rPr>
        <w:t xml:space="preserve">question in the literature on the financial economics of </w:t>
      </w:r>
      <w:r w:rsidR="00623471" w:rsidRPr="000E7DBC">
        <w:rPr>
          <w:sz w:val="22"/>
          <w:szCs w:val="22"/>
        </w:rPr>
        <w:t>gold</w:t>
      </w:r>
      <w:r w:rsidR="005268C4" w:rsidRPr="000E7DBC">
        <w:rPr>
          <w:sz w:val="22"/>
          <w:szCs w:val="22"/>
        </w:rPr>
        <w:t xml:space="preserve"> prices</w:t>
      </w:r>
      <w:r w:rsidR="00623471" w:rsidRPr="000E7DBC">
        <w:rPr>
          <w:sz w:val="22"/>
          <w:szCs w:val="22"/>
        </w:rPr>
        <w:t xml:space="preserve">. </w:t>
      </w:r>
      <w:r w:rsidRPr="009E0710">
        <w:rPr>
          <w:sz w:val="22"/>
          <w:szCs w:val="22"/>
        </w:rPr>
        <w:t xml:space="preserve">Many studies find that there is a long-run relationship between the price of gold and general inflation (e.g. </w:t>
      </w:r>
      <w:r w:rsidRPr="00DE2237">
        <w:rPr>
          <w:sz w:val="22"/>
          <w:szCs w:val="22"/>
        </w:rPr>
        <w:fldChar w:fldCharType="begin" w:fldLock="1"/>
      </w:r>
      <w:r w:rsidRPr="00DE2237">
        <w:rPr>
          <w:sz w:val="22"/>
          <w:szCs w:val="22"/>
        </w:rPr>
        <w:instrText>ADDIN CSL_CITATION { "citationItems" : [ { "id" : "ITEM-1", "itemData" : { "DOI" : "10.1080/096031098333186", "ISSN" : "0960-3107", "author" : [ { "dropping-particle" : "", "family" : "Taylor", "given" : "Nicholas J.", "non-dropping-particle" : "", "parse-names" : false, "suffix" : "" } ], "container-title" : "Applied Financial Economics", "id" : "ITEM-1", "issue" : "2", "issued" : { "date-parts" : [ [ "1998", "4" ] ] }, "page" : "201-210", "title" : "Precious metals and inflation", "type" : "article-journal", "volume" : "8" }, "uris" : [ "http://www.mendeley.com/documents/?uuid=0ac85474-3767-4e8e-952d-3615783db1aa" ] } ], "mendeley" : { "formattedCitation" : "Taylor (1998)", "plainTextFormattedCitation" : "Taylor (1998)", "previouslyFormattedCitation" : "Taylor (1998)" }, "properties" : { "noteIndex" : 0 }, "schema" : "https://github.com/citation-style-language/schema/raw/master/csl-citation.json" }</w:instrText>
      </w:r>
      <w:r w:rsidRPr="00DE2237">
        <w:rPr>
          <w:sz w:val="22"/>
          <w:szCs w:val="22"/>
        </w:rPr>
        <w:fldChar w:fldCharType="separate"/>
      </w:r>
      <w:r w:rsidRPr="00DE2237">
        <w:rPr>
          <w:noProof/>
          <w:sz w:val="22"/>
          <w:szCs w:val="22"/>
        </w:rPr>
        <w:t>Taylor (1998)</w:t>
      </w:r>
      <w:r w:rsidRPr="00DE2237">
        <w:rPr>
          <w:sz w:val="22"/>
          <w:szCs w:val="22"/>
        </w:rPr>
        <w:fldChar w:fldCharType="end"/>
      </w:r>
      <w:r w:rsidR="00C95C00" w:rsidRPr="000E7DBC">
        <w:rPr>
          <w:sz w:val="22"/>
          <w:szCs w:val="22"/>
        </w:rPr>
        <w:t xml:space="preserve">, </w:t>
      </w:r>
      <w:r w:rsidR="000F712D" w:rsidRPr="00DE2237">
        <w:rPr>
          <w:sz w:val="22"/>
          <w:szCs w:val="22"/>
        </w:rPr>
        <w:t xml:space="preserve">Worthington and Pahlavani (2007) </w:t>
      </w:r>
      <w:r w:rsidRPr="000E7DBC">
        <w:rPr>
          <w:rFonts w:eastAsiaTheme="minorHAnsi"/>
          <w:sz w:val="22"/>
          <w:szCs w:val="22"/>
          <w:lang w:eastAsia="en-US"/>
        </w:rPr>
        <w:t xml:space="preserve">and Beckmann and </w:t>
      </w:r>
      <w:proofErr w:type="spellStart"/>
      <w:r w:rsidRPr="000E7DBC">
        <w:rPr>
          <w:rFonts w:eastAsiaTheme="minorHAnsi"/>
          <w:sz w:val="22"/>
          <w:szCs w:val="22"/>
          <w:lang w:eastAsia="en-US"/>
        </w:rPr>
        <w:t>Czudaj</w:t>
      </w:r>
      <w:proofErr w:type="spellEnd"/>
      <w:r w:rsidR="00C95C00" w:rsidRPr="000E7DBC">
        <w:rPr>
          <w:rFonts w:eastAsiaTheme="minorHAnsi"/>
          <w:sz w:val="22"/>
          <w:szCs w:val="22"/>
          <w:lang w:eastAsia="en-US"/>
        </w:rPr>
        <w:t xml:space="preserve"> (</w:t>
      </w:r>
      <w:r w:rsidRPr="000E7DBC">
        <w:rPr>
          <w:rFonts w:eastAsiaTheme="minorHAnsi"/>
          <w:sz w:val="22"/>
          <w:szCs w:val="22"/>
          <w:lang w:eastAsia="en-US"/>
        </w:rPr>
        <w:t>2013</w:t>
      </w:r>
      <w:r w:rsidR="00C95C00" w:rsidRPr="009E0710">
        <w:rPr>
          <w:rFonts w:eastAsiaTheme="minorHAnsi"/>
          <w:sz w:val="22"/>
          <w:szCs w:val="22"/>
          <w:lang w:eastAsia="en-US"/>
        </w:rPr>
        <w:t>)</w:t>
      </w:r>
      <w:r w:rsidRPr="009E0710">
        <w:rPr>
          <w:rFonts w:eastAsiaTheme="minorHAnsi"/>
          <w:sz w:val="22"/>
          <w:szCs w:val="22"/>
          <w:lang w:eastAsia="en-US"/>
        </w:rPr>
        <w:t xml:space="preserve">), and </w:t>
      </w:r>
      <w:r w:rsidR="00C95C00" w:rsidRPr="000E7DBC">
        <w:rPr>
          <w:rFonts w:eastAsiaTheme="minorHAnsi"/>
          <w:sz w:val="22"/>
          <w:szCs w:val="22"/>
          <w:lang w:eastAsia="en-US"/>
        </w:rPr>
        <w:t xml:space="preserve">inflation </w:t>
      </w:r>
      <w:r w:rsidRPr="000E7DBC">
        <w:rPr>
          <w:rFonts w:eastAsiaTheme="minorHAnsi"/>
          <w:sz w:val="22"/>
          <w:szCs w:val="22"/>
          <w:lang w:eastAsia="en-US"/>
        </w:rPr>
        <w:t xml:space="preserve">is the most common factor used to explain long-run gold prices (Levin and Wright, 2006). </w:t>
      </w:r>
      <w:r w:rsidR="003B48D0" w:rsidRPr="000E7DBC">
        <w:rPr>
          <w:sz w:val="22"/>
          <w:szCs w:val="22"/>
        </w:rPr>
        <w:t xml:space="preserve">Levin, </w:t>
      </w:r>
      <w:r w:rsidR="005D5A93" w:rsidRPr="000E7DBC">
        <w:rPr>
          <w:sz w:val="22"/>
          <w:szCs w:val="22"/>
          <w:lang w:val="en"/>
        </w:rPr>
        <w:t xml:space="preserve">Abhyankar and Gosh (1994) </w:t>
      </w:r>
      <w:r w:rsidR="005D5A93" w:rsidRPr="000E7DBC">
        <w:rPr>
          <w:sz w:val="22"/>
          <w:szCs w:val="22"/>
        </w:rPr>
        <w:t xml:space="preserve">assume that </w:t>
      </w:r>
      <w:r w:rsidR="00305107" w:rsidRPr="000E7DBC">
        <w:rPr>
          <w:sz w:val="22"/>
          <w:szCs w:val="22"/>
        </w:rPr>
        <w:t>changes in</w:t>
      </w:r>
      <w:r w:rsidR="005D5A93" w:rsidRPr="000E7DBC">
        <w:rPr>
          <w:sz w:val="22"/>
          <w:szCs w:val="22"/>
        </w:rPr>
        <w:t xml:space="preserve"> gold </w:t>
      </w:r>
      <w:r w:rsidR="00DE455B" w:rsidRPr="000E7DBC">
        <w:rPr>
          <w:sz w:val="22"/>
          <w:szCs w:val="22"/>
        </w:rPr>
        <w:t>production</w:t>
      </w:r>
      <w:r w:rsidR="005D5A93" w:rsidRPr="000E7DBC">
        <w:rPr>
          <w:sz w:val="22"/>
          <w:szCs w:val="22"/>
        </w:rPr>
        <w:t xml:space="preserve"> costs are </w:t>
      </w:r>
      <w:r w:rsidR="005D5A93" w:rsidRPr="009A28F5">
        <w:rPr>
          <w:sz w:val="22"/>
          <w:szCs w:val="22"/>
        </w:rPr>
        <w:t>equal to general inflation</w:t>
      </w:r>
      <w:r w:rsidR="00305107" w:rsidRPr="009A28F5">
        <w:rPr>
          <w:sz w:val="22"/>
          <w:szCs w:val="22"/>
        </w:rPr>
        <w:t xml:space="preserve"> over the long</w:t>
      </w:r>
      <w:r w:rsidR="009830FF" w:rsidRPr="009A28F5">
        <w:rPr>
          <w:sz w:val="22"/>
          <w:szCs w:val="22"/>
        </w:rPr>
        <w:t>-</w:t>
      </w:r>
      <w:r w:rsidR="00305107" w:rsidRPr="009A28F5">
        <w:rPr>
          <w:sz w:val="22"/>
          <w:szCs w:val="22"/>
        </w:rPr>
        <w:t>run, and that</w:t>
      </w:r>
      <w:r w:rsidR="005D5A93" w:rsidRPr="009A28F5">
        <w:rPr>
          <w:sz w:val="22"/>
          <w:szCs w:val="22"/>
        </w:rPr>
        <w:t xml:space="preserve"> the long</w:t>
      </w:r>
      <w:r w:rsidR="00C95C00">
        <w:rPr>
          <w:sz w:val="22"/>
          <w:szCs w:val="22"/>
        </w:rPr>
        <w:t>-</w:t>
      </w:r>
      <w:r w:rsidR="005D5A93" w:rsidRPr="009A28F5">
        <w:rPr>
          <w:sz w:val="22"/>
          <w:szCs w:val="22"/>
        </w:rPr>
        <w:t xml:space="preserve">term gold price will rise in order to compensate miners for the increasing costs. This implies a causal relationship running from inflation to the cost of </w:t>
      </w:r>
      <w:r w:rsidR="00DE455B" w:rsidRPr="009A28F5">
        <w:rPr>
          <w:sz w:val="22"/>
          <w:szCs w:val="22"/>
        </w:rPr>
        <w:t>production</w:t>
      </w:r>
      <w:r w:rsidR="005D5A93" w:rsidRPr="009A28F5">
        <w:rPr>
          <w:sz w:val="22"/>
          <w:szCs w:val="22"/>
        </w:rPr>
        <w:t xml:space="preserve"> to gold prices.</w:t>
      </w:r>
      <w:r w:rsidR="007B6A72" w:rsidRPr="009A28F5">
        <w:rPr>
          <w:sz w:val="22"/>
          <w:szCs w:val="22"/>
        </w:rPr>
        <w:t xml:space="preserve"> </w:t>
      </w:r>
      <w:proofErr w:type="spellStart"/>
      <w:r w:rsidR="007B6A72" w:rsidRPr="009A28F5">
        <w:rPr>
          <w:sz w:val="22"/>
          <w:szCs w:val="22"/>
        </w:rPr>
        <w:t>Rockoff</w:t>
      </w:r>
      <w:proofErr w:type="spellEnd"/>
      <w:r w:rsidR="007B6A72" w:rsidRPr="009A28F5">
        <w:rPr>
          <w:sz w:val="22"/>
          <w:szCs w:val="22"/>
        </w:rPr>
        <w:t xml:space="preserve"> (1984) </w:t>
      </w:r>
      <w:r w:rsidR="00390920" w:rsidRPr="009A28F5">
        <w:rPr>
          <w:sz w:val="22"/>
          <w:szCs w:val="22"/>
        </w:rPr>
        <w:t xml:space="preserve">and </w:t>
      </w:r>
      <w:proofErr w:type="spellStart"/>
      <w:r w:rsidR="00390920" w:rsidRPr="009A28F5">
        <w:rPr>
          <w:sz w:val="22"/>
          <w:szCs w:val="22"/>
        </w:rPr>
        <w:t>R</w:t>
      </w:r>
      <w:r w:rsidR="001678B7" w:rsidRPr="009A28F5">
        <w:rPr>
          <w:sz w:val="22"/>
          <w:szCs w:val="22"/>
        </w:rPr>
        <w:t>ockerbie</w:t>
      </w:r>
      <w:proofErr w:type="spellEnd"/>
      <w:r w:rsidR="001678B7" w:rsidRPr="009A28F5">
        <w:rPr>
          <w:sz w:val="22"/>
          <w:szCs w:val="22"/>
        </w:rPr>
        <w:t xml:space="preserve"> (1999) </w:t>
      </w:r>
      <w:r w:rsidR="00390920" w:rsidRPr="009A28F5">
        <w:rPr>
          <w:sz w:val="22"/>
          <w:szCs w:val="22"/>
        </w:rPr>
        <w:t xml:space="preserve">also argue that the causality runs from </w:t>
      </w:r>
      <w:r w:rsidR="00DE455B" w:rsidRPr="009A28F5">
        <w:rPr>
          <w:sz w:val="22"/>
          <w:szCs w:val="22"/>
        </w:rPr>
        <w:t>production</w:t>
      </w:r>
      <w:r w:rsidR="00390920" w:rsidRPr="009A28F5">
        <w:rPr>
          <w:sz w:val="22"/>
          <w:szCs w:val="22"/>
        </w:rPr>
        <w:t xml:space="preserve"> costs to prices.</w:t>
      </w:r>
      <w:r w:rsidR="00324DF4">
        <w:rPr>
          <w:sz w:val="22"/>
          <w:szCs w:val="22"/>
        </w:rPr>
        <w:t xml:space="preserve"> </w:t>
      </w:r>
    </w:p>
    <w:p w14:paraId="374EF50D" w14:textId="77777777" w:rsidR="000F712D" w:rsidRPr="009A28F5" w:rsidRDefault="000F712D" w:rsidP="00E87E3C">
      <w:pPr>
        <w:spacing w:line="360" w:lineRule="auto"/>
        <w:jc w:val="both"/>
        <w:rPr>
          <w:sz w:val="22"/>
          <w:szCs w:val="22"/>
        </w:rPr>
      </w:pPr>
    </w:p>
    <w:p w14:paraId="68C5A3E2" w14:textId="7CC61F51" w:rsidR="0092122F" w:rsidRDefault="00870E84" w:rsidP="0092122F">
      <w:pPr>
        <w:spacing w:line="360" w:lineRule="auto"/>
        <w:jc w:val="both"/>
        <w:rPr>
          <w:sz w:val="22"/>
          <w:szCs w:val="22"/>
        </w:rPr>
      </w:pPr>
      <w:r w:rsidRPr="009A28F5">
        <w:rPr>
          <w:sz w:val="22"/>
          <w:szCs w:val="22"/>
        </w:rPr>
        <w:t xml:space="preserve">The </w:t>
      </w:r>
      <w:r w:rsidR="00FE4207" w:rsidRPr="009A28F5">
        <w:rPr>
          <w:sz w:val="22"/>
          <w:szCs w:val="22"/>
        </w:rPr>
        <w:t>other possibility is t</w:t>
      </w:r>
      <w:r w:rsidR="00305107" w:rsidRPr="009A28F5">
        <w:rPr>
          <w:sz w:val="22"/>
          <w:szCs w:val="22"/>
        </w:rPr>
        <w:t>hat the causality runs from</w:t>
      </w:r>
      <w:r w:rsidR="00FE4207" w:rsidRPr="009A28F5">
        <w:rPr>
          <w:sz w:val="22"/>
          <w:szCs w:val="22"/>
        </w:rPr>
        <w:t xml:space="preserve"> prices to </w:t>
      </w:r>
      <w:r w:rsidR="00DE455B" w:rsidRPr="009A28F5">
        <w:rPr>
          <w:sz w:val="22"/>
          <w:szCs w:val="22"/>
        </w:rPr>
        <w:t>production</w:t>
      </w:r>
      <w:r w:rsidR="00FE4207" w:rsidRPr="009A28F5">
        <w:rPr>
          <w:sz w:val="22"/>
          <w:szCs w:val="22"/>
        </w:rPr>
        <w:t xml:space="preserve"> costs</w:t>
      </w:r>
      <w:r w:rsidR="000F712D">
        <w:rPr>
          <w:sz w:val="22"/>
          <w:szCs w:val="22"/>
        </w:rPr>
        <w:t>,</w:t>
      </w:r>
      <w:r w:rsidRPr="009A28F5">
        <w:rPr>
          <w:sz w:val="22"/>
          <w:szCs w:val="22"/>
        </w:rPr>
        <w:t xml:space="preserve"> as explained </w:t>
      </w:r>
      <w:r w:rsidR="000F712D">
        <w:rPr>
          <w:sz w:val="22"/>
          <w:szCs w:val="22"/>
        </w:rPr>
        <w:t>by</w:t>
      </w:r>
      <w:r w:rsidR="00FE4207" w:rsidRPr="009A28F5">
        <w:rPr>
          <w:sz w:val="22"/>
          <w:szCs w:val="22"/>
        </w:rPr>
        <w:t xml:space="preserve"> Ricardo </w:t>
      </w:r>
      <w:r w:rsidR="000F712D">
        <w:rPr>
          <w:sz w:val="22"/>
          <w:szCs w:val="22"/>
        </w:rPr>
        <w:t>(</w:t>
      </w:r>
      <w:r w:rsidR="00FE4207" w:rsidRPr="009A28F5">
        <w:rPr>
          <w:sz w:val="22"/>
          <w:szCs w:val="22"/>
        </w:rPr>
        <w:t>1817)</w:t>
      </w:r>
      <w:r w:rsidR="000F712D">
        <w:rPr>
          <w:sz w:val="22"/>
          <w:szCs w:val="22"/>
        </w:rPr>
        <w:t xml:space="preserve"> as part of his discussion on the Law of Rent</w:t>
      </w:r>
      <w:r w:rsidR="00FE4207" w:rsidRPr="009A28F5">
        <w:rPr>
          <w:sz w:val="22"/>
          <w:szCs w:val="22"/>
        </w:rPr>
        <w:t>.</w:t>
      </w:r>
      <w:r w:rsidR="005D5A93" w:rsidRPr="009A28F5">
        <w:rPr>
          <w:sz w:val="22"/>
          <w:szCs w:val="22"/>
        </w:rPr>
        <w:t xml:space="preserve"> At any given price it can be expected that mines will supply the market up to the point where marginal cost</w:t>
      </w:r>
      <w:r w:rsidR="00CC7FE9" w:rsidRPr="009A28F5">
        <w:rPr>
          <w:sz w:val="22"/>
          <w:szCs w:val="22"/>
        </w:rPr>
        <w:t>s</w:t>
      </w:r>
      <w:r w:rsidR="005D5A93" w:rsidRPr="009A28F5">
        <w:rPr>
          <w:sz w:val="22"/>
          <w:szCs w:val="22"/>
        </w:rPr>
        <w:t xml:space="preserve"> equal marginal benefit</w:t>
      </w:r>
      <w:r w:rsidR="00CC7FE9" w:rsidRPr="009A28F5">
        <w:rPr>
          <w:sz w:val="22"/>
          <w:szCs w:val="22"/>
        </w:rPr>
        <w:t>s</w:t>
      </w:r>
      <w:r w:rsidR="005D5A93" w:rsidRPr="009A28F5">
        <w:rPr>
          <w:sz w:val="22"/>
          <w:szCs w:val="22"/>
        </w:rPr>
        <w:t xml:space="preserve"> and the industry as a whole maximises its economic profit. Ricardo notes at t</w:t>
      </w:r>
      <w:r w:rsidR="00004309" w:rsidRPr="009A28F5">
        <w:rPr>
          <w:sz w:val="22"/>
          <w:szCs w:val="22"/>
        </w:rPr>
        <w:t xml:space="preserve">he beginning of </w:t>
      </w:r>
      <w:r w:rsidR="00375151">
        <w:rPr>
          <w:sz w:val="22"/>
          <w:szCs w:val="22"/>
        </w:rPr>
        <w:t>C</w:t>
      </w:r>
      <w:r w:rsidR="00004309" w:rsidRPr="009A28F5">
        <w:rPr>
          <w:sz w:val="22"/>
          <w:szCs w:val="22"/>
        </w:rPr>
        <w:t>hapter 3 that mines are of various qualities</w:t>
      </w:r>
      <w:r w:rsidR="00390920" w:rsidRPr="009A28F5">
        <w:rPr>
          <w:sz w:val="22"/>
          <w:szCs w:val="22"/>
        </w:rPr>
        <w:t>. As gold prices rise</w:t>
      </w:r>
      <w:r w:rsidR="00375151">
        <w:rPr>
          <w:sz w:val="22"/>
          <w:szCs w:val="22"/>
        </w:rPr>
        <w:t xml:space="preserve"> </w:t>
      </w:r>
      <w:r w:rsidR="005D5A93" w:rsidRPr="009A28F5">
        <w:rPr>
          <w:sz w:val="22"/>
          <w:szCs w:val="22"/>
        </w:rPr>
        <w:t>marginal mines</w:t>
      </w:r>
      <w:r w:rsidR="00004309" w:rsidRPr="009A28F5">
        <w:rPr>
          <w:sz w:val="22"/>
          <w:szCs w:val="22"/>
        </w:rPr>
        <w:t xml:space="preserve"> </w:t>
      </w:r>
      <w:r w:rsidR="00463876" w:rsidRPr="009A28F5">
        <w:rPr>
          <w:sz w:val="22"/>
          <w:szCs w:val="22"/>
        </w:rPr>
        <w:t xml:space="preserve">which were </w:t>
      </w:r>
      <w:r w:rsidR="00004309" w:rsidRPr="009A28F5">
        <w:rPr>
          <w:sz w:val="22"/>
          <w:szCs w:val="22"/>
        </w:rPr>
        <w:t xml:space="preserve">previously </w:t>
      </w:r>
      <w:r w:rsidR="00390920" w:rsidRPr="009A28F5">
        <w:rPr>
          <w:sz w:val="22"/>
          <w:szCs w:val="22"/>
        </w:rPr>
        <w:t>un</w:t>
      </w:r>
      <w:r w:rsidR="00004309" w:rsidRPr="009A28F5">
        <w:rPr>
          <w:sz w:val="22"/>
          <w:szCs w:val="22"/>
        </w:rPr>
        <w:t>profitable</w:t>
      </w:r>
      <w:r w:rsidR="005D5A93" w:rsidRPr="009A28F5">
        <w:rPr>
          <w:sz w:val="22"/>
          <w:szCs w:val="22"/>
        </w:rPr>
        <w:t xml:space="preserve"> will be brought into production. These would be deeper mines or mines yielding a lower quality of ore. </w:t>
      </w:r>
      <w:r w:rsidR="00683225" w:rsidRPr="009A28F5">
        <w:rPr>
          <w:sz w:val="22"/>
          <w:szCs w:val="22"/>
        </w:rPr>
        <w:t xml:space="preserve">This means that the average cost of </w:t>
      </w:r>
      <w:r w:rsidR="00DE455B" w:rsidRPr="009A28F5">
        <w:rPr>
          <w:sz w:val="22"/>
          <w:szCs w:val="22"/>
        </w:rPr>
        <w:t>production</w:t>
      </w:r>
      <w:r w:rsidR="00683225" w:rsidRPr="009A28F5">
        <w:rPr>
          <w:sz w:val="22"/>
          <w:szCs w:val="22"/>
        </w:rPr>
        <w:t xml:space="preserve"> for the industry as a whole </w:t>
      </w:r>
      <w:r w:rsidR="00463876" w:rsidRPr="009A28F5">
        <w:rPr>
          <w:sz w:val="22"/>
          <w:szCs w:val="22"/>
        </w:rPr>
        <w:t>w</w:t>
      </w:r>
      <w:r w:rsidR="00683225" w:rsidRPr="009A28F5">
        <w:rPr>
          <w:sz w:val="22"/>
          <w:szCs w:val="22"/>
        </w:rPr>
        <w:t xml:space="preserve">ould rise after prices do and </w:t>
      </w:r>
      <w:r w:rsidR="00C95C00">
        <w:rPr>
          <w:sz w:val="22"/>
          <w:szCs w:val="22"/>
        </w:rPr>
        <w:lastRenderedPageBreak/>
        <w:t>b</w:t>
      </w:r>
      <w:r w:rsidR="00683225" w:rsidRPr="009A28F5">
        <w:rPr>
          <w:sz w:val="22"/>
          <w:szCs w:val="22"/>
        </w:rPr>
        <w:t>ecause of the rise. This would make low cost mines even more profitable and allow overall production to expand to meet demand. Similarly, if gold prices fall it would force high-cost mines to shut down</w:t>
      </w:r>
      <w:r w:rsidR="00CC7FE9" w:rsidRPr="009A28F5">
        <w:rPr>
          <w:sz w:val="22"/>
          <w:szCs w:val="22"/>
        </w:rPr>
        <w:t xml:space="preserve"> and decrease supply. </w:t>
      </w:r>
      <w:r w:rsidRPr="009A28F5">
        <w:rPr>
          <w:sz w:val="22"/>
          <w:szCs w:val="22"/>
        </w:rPr>
        <w:t>The opening and closure of mines conditional on the gold price is</w:t>
      </w:r>
      <w:r w:rsidR="000F712D">
        <w:rPr>
          <w:sz w:val="22"/>
          <w:szCs w:val="22"/>
        </w:rPr>
        <w:t xml:space="preserve"> also</w:t>
      </w:r>
      <w:r w:rsidRPr="009A28F5">
        <w:rPr>
          <w:sz w:val="22"/>
          <w:szCs w:val="22"/>
        </w:rPr>
        <w:t xml:space="preserve"> consistent with the “real option” characteristic </w:t>
      </w:r>
      <w:r w:rsidR="008715B3" w:rsidRPr="009A28F5">
        <w:rPr>
          <w:sz w:val="22"/>
          <w:szCs w:val="22"/>
        </w:rPr>
        <w:t xml:space="preserve">embedded in </w:t>
      </w:r>
      <w:r w:rsidRPr="009A28F5">
        <w:rPr>
          <w:sz w:val="22"/>
          <w:szCs w:val="22"/>
        </w:rPr>
        <w:t xml:space="preserve">gold mines as </w:t>
      </w:r>
      <w:r w:rsidR="00DE455B" w:rsidRPr="009A28F5">
        <w:rPr>
          <w:sz w:val="22"/>
          <w:szCs w:val="22"/>
        </w:rPr>
        <w:t xml:space="preserve">analysed theoretically in </w:t>
      </w:r>
      <w:r w:rsidRPr="009A28F5">
        <w:rPr>
          <w:sz w:val="22"/>
          <w:szCs w:val="22"/>
        </w:rPr>
        <w:t>Brennan and Schwartz (1985)</w:t>
      </w:r>
      <w:r w:rsidR="00DE455B" w:rsidRPr="009A28F5">
        <w:rPr>
          <w:sz w:val="22"/>
          <w:szCs w:val="22"/>
        </w:rPr>
        <w:t xml:space="preserve"> and empirically in </w:t>
      </w:r>
      <w:proofErr w:type="spellStart"/>
      <w:r w:rsidR="00DE455B" w:rsidRPr="009A28F5">
        <w:rPr>
          <w:sz w:val="22"/>
          <w:szCs w:val="22"/>
        </w:rPr>
        <w:t>Krautkraemer</w:t>
      </w:r>
      <w:proofErr w:type="spellEnd"/>
      <w:r w:rsidR="00DE455B" w:rsidRPr="009A28F5">
        <w:rPr>
          <w:sz w:val="22"/>
          <w:szCs w:val="22"/>
        </w:rPr>
        <w:t xml:space="preserve"> (1989) and </w:t>
      </w:r>
      <w:proofErr w:type="spellStart"/>
      <w:r w:rsidR="00DE455B" w:rsidRPr="009A28F5">
        <w:rPr>
          <w:sz w:val="22"/>
          <w:szCs w:val="22"/>
        </w:rPr>
        <w:t>Moel</w:t>
      </w:r>
      <w:proofErr w:type="spellEnd"/>
      <w:r w:rsidR="00DE455B" w:rsidRPr="009A28F5">
        <w:rPr>
          <w:sz w:val="22"/>
          <w:szCs w:val="22"/>
        </w:rPr>
        <w:t xml:space="preserve"> and </w:t>
      </w:r>
      <w:proofErr w:type="spellStart"/>
      <w:r w:rsidR="00DE455B" w:rsidRPr="009A28F5">
        <w:rPr>
          <w:sz w:val="22"/>
          <w:szCs w:val="22"/>
        </w:rPr>
        <w:t>Tufano</w:t>
      </w:r>
      <w:proofErr w:type="spellEnd"/>
      <w:r w:rsidR="00DE455B" w:rsidRPr="009A28F5">
        <w:rPr>
          <w:sz w:val="22"/>
          <w:szCs w:val="22"/>
        </w:rPr>
        <w:t xml:space="preserve"> (2002).</w:t>
      </w:r>
      <w:r w:rsidR="00DE455B" w:rsidRPr="009A28F5">
        <w:rPr>
          <w:rStyle w:val="FootnoteReference"/>
          <w:sz w:val="22"/>
          <w:szCs w:val="22"/>
        </w:rPr>
        <w:footnoteReference w:id="2"/>
      </w:r>
    </w:p>
    <w:p w14:paraId="18B66277" w14:textId="77777777" w:rsidR="000F712D" w:rsidRPr="009A28F5" w:rsidRDefault="000F712D" w:rsidP="0092122F">
      <w:pPr>
        <w:spacing w:line="360" w:lineRule="auto"/>
        <w:jc w:val="both"/>
        <w:rPr>
          <w:sz w:val="22"/>
          <w:szCs w:val="22"/>
        </w:rPr>
      </w:pPr>
    </w:p>
    <w:p w14:paraId="012CF563" w14:textId="0F816AFB" w:rsidR="0092122F" w:rsidRPr="009A28F5" w:rsidRDefault="0092122F" w:rsidP="0092122F">
      <w:pPr>
        <w:spacing w:line="360" w:lineRule="auto"/>
        <w:jc w:val="both"/>
        <w:rPr>
          <w:sz w:val="22"/>
          <w:szCs w:val="22"/>
        </w:rPr>
      </w:pPr>
      <w:r w:rsidRPr="009A28F5">
        <w:rPr>
          <w:sz w:val="22"/>
          <w:szCs w:val="22"/>
        </w:rPr>
        <w:t>There is also some industry</w:t>
      </w:r>
      <w:r w:rsidR="00375151">
        <w:rPr>
          <w:sz w:val="22"/>
          <w:szCs w:val="22"/>
        </w:rPr>
        <w:t>-</w:t>
      </w:r>
      <w:r w:rsidRPr="009A28F5">
        <w:rPr>
          <w:sz w:val="22"/>
          <w:szCs w:val="22"/>
        </w:rPr>
        <w:t xml:space="preserve">based discussion that </w:t>
      </w:r>
      <w:r w:rsidR="000F712D">
        <w:rPr>
          <w:sz w:val="22"/>
          <w:szCs w:val="22"/>
        </w:rPr>
        <w:t xml:space="preserve">points to </w:t>
      </w:r>
      <w:r w:rsidRPr="009A28F5">
        <w:rPr>
          <w:sz w:val="22"/>
          <w:szCs w:val="22"/>
        </w:rPr>
        <w:t>gold prices driv</w:t>
      </w:r>
      <w:r w:rsidR="000F712D">
        <w:rPr>
          <w:sz w:val="22"/>
          <w:szCs w:val="22"/>
        </w:rPr>
        <w:t>ing</w:t>
      </w:r>
      <w:r w:rsidRPr="009A28F5">
        <w:rPr>
          <w:sz w:val="22"/>
          <w:szCs w:val="22"/>
        </w:rPr>
        <w:t xml:space="preserve"> </w:t>
      </w:r>
      <w:r w:rsidR="00DE455B" w:rsidRPr="009A28F5">
        <w:rPr>
          <w:sz w:val="22"/>
          <w:szCs w:val="22"/>
        </w:rPr>
        <w:t>production</w:t>
      </w:r>
      <w:r w:rsidRPr="009A28F5">
        <w:rPr>
          <w:sz w:val="22"/>
          <w:szCs w:val="22"/>
        </w:rPr>
        <w:t xml:space="preserve"> costs and not the other way around. The GFMS Gold Survey </w:t>
      </w:r>
      <w:r w:rsidR="000F712D">
        <w:rPr>
          <w:sz w:val="22"/>
          <w:szCs w:val="22"/>
        </w:rPr>
        <w:t>(</w:t>
      </w:r>
      <w:r w:rsidRPr="009A28F5">
        <w:rPr>
          <w:sz w:val="22"/>
          <w:szCs w:val="22"/>
        </w:rPr>
        <w:t>2013 Update 1</w:t>
      </w:r>
      <w:r w:rsidR="000F712D">
        <w:rPr>
          <w:sz w:val="22"/>
          <w:szCs w:val="22"/>
        </w:rPr>
        <w:t>)</w:t>
      </w:r>
      <w:r w:rsidRPr="009A28F5">
        <w:rPr>
          <w:sz w:val="22"/>
          <w:szCs w:val="22"/>
        </w:rPr>
        <w:t xml:space="preserve"> states on page 22 that “Over the last decade rising gold prices enabled producers to adjust mine plans to incorporate lower grade material, thereby optimising assets’ lives, but this practice also served to push costs higher when expressed on a unit </w:t>
      </w:r>
      <w:r w:rsidR="00E01DD8" w:rsidRPr="009A28F5">
        <w:rPr>
          <w:sz w:val="22"/>
          <w:szCs w:val="22"/>
        </w:rPr>
        <w:t>dollar per ounce basis.”</w:t>
      </w:r>
      <w:r w:rsidR="00375151">
        <w:rPr>
          <w:sz w:val="22"/>
          <w:szCs w:val="22"/>
        </w:rPr>
        <w:t xml:space="preserve">. </w:t>
      </w:r>
      <w:r w:rsidR="00E01DD8" w:rsidRPr="009A28F5">
        <w:rPr>
          <w:sz w:val="22"/>
          <w:szCs w:val="22"/>
        </w:rPr>
        <w:t xml:space="preserve"> </w:t>
      </w:r>
      <w:r w:rsidR="00375151">
        <w:rPr>
          <w:sz w:val="22"/>
          <w:szCs w:val="22"/>
        </w:rPr>
        <w:t>Barron’s (2014) also argue</w:t>
      </w:r>
      <w:r w:rsidRPr="009A28F5">
        <w:rPr>
          <w:sz w:val="22"/>
          <w:szCs w:val="22"/>
        </w:rPr>
        <w:t xml:space="preserve"> that </w:t>
      </w:r>
      <w:r w:rsidR="00DE455B" w:rsidRPr="009A28F5">
        <w:rPr>
          <w:sz w:val="22"/>
          <w:szCs w:val="22"/>
        </w:rPr>
        <w:t>production</w:t>
      </w:r>
      <w:r w:rsidRPr="009A28F5">
        <w:rPr>
          <w:sz w:val="22"/>
          <w:szCs w:val="22"/>
        </w:rPr>
        <w:t xml:space="preserve"> costs provide a floor below which gold prices cannot fall</w:t>
      </w:r>
      <w:r w:rsidR="00375151">
        <w:rPr>
          <w:sz w:val="22"/>
          <w:szCs w:val="22"/>
        </w:rPr>
        <w:t>. Theoretically, the reaction of gold miners to gold price changes stabilizes the price of gold by increasing the supply in rising gold price regimes</w:t>
      </w:r>
      <w:r w:rsidR="009C1556">
        <w:rPr>
          <w:rStyle w:val="FootnoteReference"/>
          <w:sz w:val="22"/>
          <w:szCs w:val="22"/>
        </w:rPr>
        <w:footnoteReference w:id="3"/>
      </w:r>
      <w:r w:rsidR="00375151">
        <w:rPr>
          <w:sz w:val="22"/>
          <w:szCs w:val="22"/>
        </w:rPr>
        <w:t xml:space="preserve"> and decreasing the supply in decreasing gold price regimes.</w:t>
      </w:r>
      <w:r w:rsidR="009C1556">
        <w:rPr>
          <w:sz w:val="22"/>
          <w:szCs w:val="22"/>
        </w:rPr>
        <w:t xml:space="preserve"> This seems inconsistent with the strong bull market in gold between 2004 and 2011. However, if the price rises to</w:t>
      </w:r>
      <w:r w:rsidR="009B6870">
        <w:rPr>
          <w:sz w:val="22"/>
          <w:szCs w:val="22"/>
        </w:rPr>
        <w:t>o</w:t>
      </w:r>
      <w:r w:rsidR="009C1556">
        <w:rPr>
          <w:sz w:val="22"/>
          <w:szCs w:val="22"/>
        </w:rPr>
        <w:t xml:space="preserve"> fast due to other influences, the stabilizing effect can be weakened temporarily.</w:t>
      </w:r>
    </w:p>
    <w:p w14:paraId="34CE9A1A" w14:textId="77777777" w:rsidR="00F54C90" w:rsidRPr="009A28F5" w:rsidRDefault="00F54C90" w:rsidP="00CC7FE9">
      <w:pPr>
        <w:spacing w:line="360" w:lineRule="auto"/>
        <w:jc w:val="both"/>
        <w:rPr>
          <w:sz w:val="22"/>
          <w:szCs w:val="22"/>
        </w:rPr>
      </w:pPr>
    </w:p>
    <w:p w14:paraId="74FAA7B1" w14:textId="2DF03CCD" w:rsidR="005D5A93" w:rsidRPr="009A28F5" w:rsidRDefault="00E920FF" w:rsidP="00E87E3C">
      <w:pPr>
        <w:spacing w:line="360" w:lineRule="auto"/>
        <w:jc w:val="both"/>
        <w:rPr>
          <w:sz w:val="22"/>
          <w:szCs w:val="22"/>
        </w:rPr>
      </w:pPr>
      <w:r w:rsidRPr="009A28F5">
        <w:rPr>
          <w:sz w:val="22"/>
          <w:szCs w:val="22"/>
        </w:rPr>
        <w:t xml:space="preserve">Another argument that gold prices lead </w:t>
      </w:r>
      <w:r w:rsidR="00DE455B" w:rsidRPr="009A28F5">
        <w:rPr>
          <w:sz w:val="22"/>
          <w:szCs w:val="22"/>
        </w:rPr>
        <w:t>production</w:t>
      </w:r>
      <w:r w:rsidRPr="009A28F5">
        <w:rPr>
          <w:sz w:val="22"/>
          <w:szCs w:val="22"/>
        </w:rPr>
        <w:t xml:space="preserve"> costs is based on the special flow </w:t>
      </w:r>
      <w:r w:rsidR="00EB518C">
        <w:rPr>
          <w:sz w:val="22"/>
          <w:szCs w:val="22"/>
        </w:rPr>
        <w:t xml:space="preserve">to stock </w:t>
      </w:r>
      <w:r w:rsidRPr="009A28F5">
        <w:rPr>
          <w:sz w:val="22"/>
          <w:szCs w:val="22"/>
        </w:rPr>
        <w:t xml:space="preserve">ratio of gold in comparison with other commodities and the implied low market power of gold mining firms. </w:t>
      </w:r>
      <w:r w:rsidR="00463876" w:rsidRPr="009A28F5">
        <w:rPr>
          <w:sz w:val="22"/>
          <w:szCs w:val="22"/>
        </w:rPr>
        <w:t xml:space="preserve"> </w:t>
      </w:r>
      <w:r w:rsidR="00683225" w:rsidRPr="009A28F5">
        <w:rPr>
          <w:sz w:val="22"/>
          <w:szCs w:val="22"/>
        </w:rPr>
        <w:t xml:space="preserve">Gold is unusual among commodities in having a vastly larger accumulated stock than its annual flow from mines. This is in contrast to other perishable commodities where the annual supply from production is roughly equal to the total supply available that year. It follows that </w:t>
      </w:r>
      <w:r w:rsidR="005D5A93" w:rsidRPr="009A28F5">
        <w:rPr>
          <w:sz w:val="22"/>
          <w:szCs w:val="22"/>
        </w:rPr>
        <w:t>gold miners have low market power and are likely to be price takers rather than price setters</w:t>
      </w:r>
      <w:r w:rsidR="00E01DD8" w:rsidRPr="009A28F5">
        <w:rPr>
          <w:sz w:val="22"/>
          <w:szCs w:val="22"/>
        </w:rPr>
        <w:t xml:space="preserve"> (</w:t>
      </w:r>
      <w:proofErr w:type="spellStart"/>
      <w:r w:rsidR="00E01DD8" w:rsidRPr="009A28F5">
        <w:rPr>
          <w:sz w:val="22"/>
          <w:szCs w:val="22"/>
        </w:rPr>
        <w:t>Borenstein</w:t>
      </w:r>
      <w:proofErr w:type="spellEnd"/>
      <w:r w:rsidR="00E01DD8" w:rsidRPr="009A28F5">
        <w:rPr>
          <w:sz w:val="22"/>
          <w:szCs w:val="22"/>
        </w:rPr>
        <w:t xml:space="preserve"> and Farrell, 2007 and </w:t>
      </w:r>
      <w:proofErr w:type="spellStart"/>
      <w:r w:rsidR="00E01DD8" w:rsidRPr="009A28F5">
        <w:rPr>
          <w:sz w:val="22"/>
          <w:szCs w:val="22"/>
        </w:rPr>
        <w:t>Blose</w:t>
      </w:r>
      <w:proofErr w:type="spellEnd"/>
      <w:r w:rsidR="00E01DD8" w:rsidRPr="009A28F5">
        <w:rPr>
          <w:sz w:val="22"/>
          <w:szCs w:val="22"/>
        </w:rPr>
        <w:t xml:space="preserve"> and Shieh, 1995).</w:t>
      </w:r>
      <w:r w:rsidR="005D5A93" w:rsidRPr="009A28F5">
        <w:rPr>
          <w:sz w:val="22"/>
          <w:szCs w:val="22"/>
        </w:rPr>
        <w:t xml:space="preserve"> Any attempt to run an OPEC</w:t>
      </w:r>
      <w:r w:rsidR="00683225" w:rsidRPr="009A28F5">
        <w:rPr>
          <w:sz w:val="22"/>
          <w:szCs w:val="22"/>
        </w:rPr>
        <w:t>-</w:t>
      </w:r>
      <w:r w:rsidR="005D5A93" w:rsidRPr="009A28F5">
        <w:rPr>
          <w:sz w:val="22"/>
          <w:szCs w:val="22"/>
        </w:rPr>
        <w:t xml:space="preserve">style </w:t>
      </w:r>
      <w:r w:rsidR="00683225" w:rsidRPr="009A28F5">
        <w:rPr>
          <w:sz w:val="22"/>
          <w:szCs w:val="22"/>
        </w:rPr>
        <w:t>c</w:t>
      </w:r>
      <w:r w:rsidR="005D5A93" w:rsidRPr="009A28F5">
        <w:rPr>
          <w:sz w:val="22"/>
          <w:szCs w:val="22"/>
        </w:rPr>
        <w:t>artel to try and set prices would be swallowed up by both large historical stocks and market flows coming into the market as prices rose. From the perspective of historical gold stock level</w:t>
      </w:r>
      <w:r w:rsidR="00683225" w:rsidRPr="009A28F5">
        <w:rPr>
          <w:sz w:val="22"/>
          <w:szCs w:val="22"/>
        </w:rPr>
        <w:t>s</w:t>
      </w:r>
      <w:r w:rsidR="005D5A93" w:rsidRPr="009A28F5">
        <w:rPr>
          <w:sz w:val="22"/>
          <w:szCs w:val="22"/>
        </w:rPr>
        <w:t xml:space="preserve"> gold miners’ supply accounts for about 1.6% of the total estimated stock of gold available as at 2010 (World Gold Council, 2010; GFMS, 2013). </w:t>
      </w:r>
      <w:r w:rsidR="00703F27" w:rsidRPr="009A28F5">
        <w:rPr>
          <w:sz w:val="22"/>
          <w:szCs w:val="22"/>
        </w:rPr>
        <w:t>Recycled gold allows illiquid jewellery back into circulation to meet increased demand. Indeed as gold prices increased dramatically between 2003 and 201</w:t>
      </w:r>
      <w:r w:rsidR="00C95C00">
        <w:rPr>
          <w:sz w:val="22"/>
          <w:szCs w:val="22"/>
        </w:rPr>
        <w:t>1</w:t>
      </w:r>
      <w:r w:rsidR="00703F27" w:rsidRPr="009A28F5">
        <w:rPr>
          <w:sz w:val="22"/>
          <w:szCs w:val="22"/>
        </w:rPr>
        <w:t xml:space="preserve"> the supply of gold from this channel doubled. The total supply from miners in 2014 was 3,022 tonnes while an average day of trading on the London Market is 680 tonnes, not enough to supply that market for one week (GFMS, 2014).</w:t>
      </w:r>
    </w:p>
    <w:p w14:paraId="4F002B3F" w14:textId="77777777" w:rsidR="0092122F" w:rsidRPr="009A28F5" w:rsidRDefault="0092122F" w:rsidP="00E87E3C">
      <w:pPr>
        <w:spacing w:line="360" w:lineRule="auto"/>
        <w:jc w:val="both"/>
        <w:rPr>
          <w:sz w:val="22"/>
          <w:szCs w:val="22"/>
        </w:rPr>
      </w:pPr>
    </w:p>
    <w:p w14:paraId="5487EE5F" w14:textId="5BCD0B3A" w:rsidR="003171F1" w:rsidRPr="009A28F5" w:rsidRDefault="001D232B" w:rsidP="00582C89">
      <w:pPr>
        <w:spacing w:line="360" w:lineRule="auto"/>
        <w:jc w:val="both"/>
        <w:rPr>
          <w:sz w:val="22"/>
          <w:szCs w:val="22"/>
        </w:rPr>
      </w:pPr>
      <w:r w:rsidRPr="009A28F5">
        <w:rPr>
          <w:sz w:val="22"/>
          <w:szCs w:val="22"/>
        </w:rPr>
        <w:lastRenderedPageBreak/>
        <w:t xml:space="preserve">Based on the above </w:t>
      </w:r>
      <w:r w:rsidR="001B4C68" w:rsidRPr="009A28F5">
        <w:rPr>
          <w:sz w:val="22"/>
          <w:szCs w:val="22"/>
        </w:rPr>
        <w:t xml:space="preserve">theoretical discussion we </w:t>
      </w:r>
      <w:r w:rsidR="00582C89" w:rsidRPr="009A28F5">
        <w:rPr>
          <w:sz w:val="22"/>
          <w:szCs w:val="22"/>
        </w:rPr>
        <w:t>test th</w:t>
      </w:r>
      <w:r w:rsidR="00CC7FE9" w:rsidRPr="009A28F5">
        <w:rPr>
          <w:sz w:val="22"/>
          <w:szCs w:val="22"/>
        </w:rPr>
        <w:t>e re</w:t>
      </w:r>
      <w:r w:rsidR="00582C89" w:rsidRPr="009A28F5">
        <w:rPr>
          <w:sz w:val="22"/>
          <w:szCs w:val="22"/>
        </w:rPr>
        <w:t xml:space="preserve">lationship empirically </w:t>
      </w:r>
      <w:r w:rsidR="00CC7FE9" w:rsidRPr="009A28F5">
        <w:rPr>
          <w:sz w:val="22"/>
          <w:szCs w:val="22"/>
        </w:rPr>
        <w:t xml:space="preserve">and </w:t>
      </w:r>
      <w:r w:rsidR="003171F1" w:rsidRPr="009A28F5">
        <w:rPr>
          <w:sz w:val="22"/>
          <w:szCs w:val="22"/>
        </w:rPr>
        <w:t xml:space="preserve">find strong support </w:t>
      </w:r>
      <w:r w:rsidR="00870E84" w:rsidRPr="009A28F5">
        <w:rPr>
          <w:sz w:val="22"/>
          <w:szCs w:val="22"/>
        </w:rPr>
        <w:t>for the causality</w:t>
      </w:r>
      <w:r w:rsidR="000F712D">
        <w:rPr>
          <w:sz w:val="22"/>
          <w:szCs w:val="22"/>
        </w:rPr>
        <w:t xml:space="preserve"> running</w:t>
      </w:r>
      <w:r w:rsidR="00870E84" w:rsidRPr="009A28F5">
        <w:rPr>
          <w:sz w:val="22"/>
          <w:szCs w:val="22"/>
        </w:rPr>
        <w:t xml:space="preserve"> from gold prices to </w:t>
      </w:r>
      <w:r w:rsidR="00DE455B" w:rsidRPr="009A28F5">
        <w:rPr>
          <w:sz w:val="22"/>
          <w:szCs w:val="22"/>
        </w:rPr>
        <w:t>production</w:t>
      </w:r>
      <w:r w:rsidR="00870E84" w:rsidRPr="009A28F5">
        <w:rPr>
          <w:sz w:val="22"/>
          <w:szCs w:val="22"/>
        </w:rPr>
        <w:t xml:space="preserve"> costs </w:t>
      </w:r>
      <w:r w:rsidR="003171F1" w:rsidRPr="009A28F5">
        <w:rPr>
          <w:sz w:val="22"/>
          <w:szCs w:val="22"/>
        </w:rPr>
        <w:t>both on the country and firm level</w:t>
      </w:r>
      <w:r w:rsidR="00CC7FE9" w:rsidRPr="009A28F5">
        <w:rPr>
          <w:sz w:val="22"/>
          <w:szCs w:val="22"/>
        </w:rPr>
        <w:t xml:space="preserve">. </w:t>
      </w:r>
      <w:r w:rsidR="003171F1" w:rsidRPr="009A28F5">
        <w:rPr>
          <w:sz w:val="22"/>
          <w:szCs w:val="22"/>
        </w:rPr>
        <w:t>The findings also contribute to the literature on the real option characteristics of mines. The identified direction of causality provides new evidence that real o</w:t>
      </w:r>
      <w:r w:rsidR="00B87F7B" w:rsidRPr="009A28F5">
        <w:rPr>
          <w:sz w:val="22"/>
          <w:szCs w:val="22"/>
        </w:rPr>
        <w:t xml:space="preserve">ptions are regularly exercised, i.e. rising gold prices lead to the opening of new mines and falling prices lead to the closure of existing mines. </w:t>
      </w:r>
      <w:r w:rsidR="001B4C68" w:rsidRPr="009A28F5">
        <w:rPr>
          <w:sz w:val="22"/>
          <w:szCs w:val="22"/>
        </w:rPr>
        <w:t xml:space="preserve">We also find that in some cases </w:t>
      </w:r>
      <w:r w:rsidR="00DE455B" w:rsidRPr="009A28F5">
        <w:rPr>
          <w:sz w:val="22"/>
          <w:szCs w:val="22"/>
        </w:rPr>
        <w:t>production</w:t>
      </w:r>
      <w:r w:rsidR="001B4C68" w:rsidRPr="009A28F5">
        <w:rPr>
          <w:sz w:val="22"/>
          <w:szCs w:val="22"/>
        </w:rPr>
        <w:t xml:space="preserve"> costs lead gold prices but not in the direction predicted by Levin, </w:t>
      </w:r>
      <w:r w:rsidR="001B4C68" w:rsidRPr="009A28F5">
        <w:rPr>
          <w:sz w:val="22"/>
          <w:szCs w:val="22"/>
          <w:lang w:val="en"/>
        </w:rPr>
        <w:t>Abhyankar and Gosh (1994)</w:t>
      </w:r>
      <w:r w:rsidR="00EB518C">
        <w:rPr>
          <w:sz w:val="22"/>
          <w:szCs w:val="22"/>
          <w:lang w:val="en"/>
        </w:rPr>
        <w:t>, i.e. with a negative sign</w:t>
      </w:r>
      <w:r w:rsidR="001B4C68" w:rsidRPr="009A28F5">
        <w:rPr>
          <w:sz w:val="22"/>
          <w:szCs w:val="22"/>
          <w:lang w:val="en"/>
        </w:rPr>
        <w:t>.</w:t>
      </w:r>
      <w:r w:rsidR="00343F11" w:rsidRPr="009A28F5">
        <w:rPr>
          <w:sz w:val="22"/>
          <w:szCs w:val="22"/>
          <w:lang w:val="en"/>
        </w:rPr>
        <w:t xml:space="preserve"> </w:t>
      </w:r>
      <w:r w:rsidR="00AA6B9C" w:rsidRPr="009A28F5">
        <w:rPr>
          <w:sz w:val="22"/>
          <w:szCs w:val="22"/>
          <w:lang w:val="en"/>
        </w:rPr>
        <w:t xml:space="preserve">We explain this finding with mining companies </w:t>
      </w:r>
      <w:r w:rsidR="009978A4">
        <w:rPr>
          <w:sz w:val="22"/>
          <w:szCs w:val="22"/>
          <w:lang w:val="en"/>
        </w:rPr>
        <w:t xml:space="preserve">responding slowly to price changes or </w:t>
      </w:r>
      <w:r w:rsidR="000F712D">
        <w:rPr>
          <w:sz w:val="22"/>
          <w:szCs w:val="22"/>
          <w:lang w:val="en"/>
        </w:rPr>
        <w:t>failing to</w:t>
      </w:r>
      <w:r w:rsidR="000F712D" w:rsidRPr="009A28F5">
        <w:rPr>
          <w:sz w:val="22"/>
          <w:szCs w:val="22"/>
          <w:lang w:val="en"/>
        </w:rPr>
        <w:t xml:space="preserve"> </w:t>
      </w:r>
      <w:r w:rsidR="00AA6B9C" w:rsidRPr="009A28F5">
        <w:rPr>
          <w:sz w:val="22"/>
          <w:szCs w:val="22"/>
          <w:lang w:val="en"/>
        </w:rPr>
        <w:t xml:space="preserve">predict future gold </w:t>
      </w:r>
      <w:r w:rsidR="009978A4">
        <w:rPr>
          <w:sz w:val="22"/>
          <w:szCs w:val="22"/>
          <w:lang w:val="en"/>
        </w:rPr>
        <w:t xml:space="preserve">price changes. </w:t>
      </w:r>
    </w:p>
    <w:p w14:paraId="7DD08E38" w14:textId="77777777" w:rsidR="003171F1" w:rsidRPr="009A28F5" w:rsidRDefault="003171F1" w:rsidP="00582C89">
      <w:pPr>
        <w:spacing w:line="360" w:lineRule="auto"/>
        <w:jc w:val="both"/>
        <w:rPr>
          <w:sz w:val="22"/>
          <w:szCs w:val="22"/>
        </w:rPr>
      </w:pPr>
    </w:p>
    <w:p w14:paraId="44ED0722" w14:textId="701F7162" w:rsidR="00582C89" w:rsidRPr="009A28F5" w:rsidRDefault="003171F1" w:rsidP="008715B3">
      <w:pPr>
        <w:spacing w:line="360" w:lineRule="auto"/>
        <w:jc w:val="both"/>
        <w:rPr>
          <w:sz w:val="22"/>
          <w:szCs w:val="22"/>
        </w:rPr>
      </w:pPr>
      <w:r w:rsidRPr="009A28F5">
        <w:rPr>
          <w:sz w:val="22"/>
          <w:szCs w:val="22"/>
        </w:rPr>
        <w:t xml:space="preserve">The paper is structured as follows. </w:t>
      </w:r>
      <w:r w:rsidR="00582C89" w:rsidRPr="009A28F5">
        <w:rPr>
          <w:sz w:val="22"/>
          <w:szCs w:val="22"/>
        </w:rPr>
        <w:t xml:space="preserve">Section </w:t>
      </w:r>
      <w:r w:rsidR="003B7EAB" w:rsidRPr="009A28F5">
        <w:rPr>
          <w:sz w:val="22"/>
          <w:szCs w:val="22"/>
        </w:rPr>
        <w:t>2</w:t>
      </w:r>
      <w:r w:rsidR="00582C89" w:rsidRPr="009A28F5">
        <w:rPr>
          <w:sz w:val="22"/>
          <w:szCs w:val="22"/>
        </w:rPr>
        <w:t xml:space="preserve"> outlines the econometric methodology to analyse the causal relationships between gold prices and </w:t>
      </w:r>
      <w:r w:rsidR="00DE455B" w:rsidRPr="009A28F5">
        <w:rPr>
          <w:sz w:val="22"/>
          <w:szCs w:val="22"/>
        </w:rPr>
        <w:t>production</w:t>
      </w:r>
      <w:r w:rsidR="00582C89" w:rsidRPr="009A28F5">
        <w:rPr>
          <w:sz w:val="22"/>
          <w:szCs w:val="22"/>
        </w:rPr>
        <w:t xml:space="preserve"> costs. Section </w:t>
      </w:r>
      <w:r w:rsidR="003B7EAB" w:rsidRPr="009A28F5">
        <w:rPr>
          <w:sz w:val="22"/>
          <w:szCs w:val="22"/>
        </w:rPr>
        <w:t>3</w:t>
      </w:r>
      <w:r w:rsidR="00582C89" w:rsidRPr="009A28F5">
        <w:rPr>
          <w:sz w:val="22"/>
          <w:szCs w:val="22"/>
        </w:rPr>
        <w:t xml:space="preserve"> </w:t>
      </w:r>
      <w:r w:rsidR="008715B3" w:rsidRPr="009A28F5">
        <w:rPr>
          <w:sz w:val="22"/>
          <w:szCs w:val="22"/>
        </w:rPr>
        <w:t>i</w:t>
      </w:r>
      <w:r w:rsidR="00E04FC8">
        <w:rPr>
          <w:sz w:val="22"/>
          <w:szCs w:val="22"/>
        </w:rPr>
        <w:t xml:space="preserve">ntroduces the data and </w:t>
      </w:r>
      <w:r w:rsidR="00582C89" w:rsidRPr="009A28F5">
        <w:rPr>
          <w:sz w:val="22"/>
          <w:szCs w:val="22"/>
        </w:rPr>
        <w:t xml:space="preserve">annual country and firm-level data. </w:t>
      </w:r>
      <w:r w:rsidRPr="009A28F5">
        <w:rPr>
          <w:sz w:val="22"/>
          <w:szCs w:val="22"/>
        </w:rPr>
        <w:t xml:space="preserve">Section </w:t>
      </w:r>
      <w:r w:rsidR="003B7EAB" w:rsidRPr="009A28F5">
        <w:rPr>
          <w:sz w:val="22"/>
          <w:szCs w:val="22"/>
        </w:rPr>
        <w:t xml:space="preserve">4 </w:t>
      </w:r>
      <w:r w:rsidRPr="009A28F5">
        <w:rPr>
          <w:sz w:val="22"/>
          <w:szCs w:val="22"/>
        </w:rPr>
        <w:t xml:space="preserve">presents the estimation results and discusses the main findings. </w:t>
      </w:r>
      <w:r w:rsidR="00582C89" w:rsidRPr="009A28F5">
        <w:rPr>
          <w:sz w:val="22"/>
          <w:szCs w:val="22"/>
        </w:rPr>
        <w:t xml:space="preserve">Finally, section </w:t>
      </w:r>
      <w:r w:rsidR="003B7EAB" w:rsidRPr="009A28F5">
        <w:rPr>
          <w:sz w:val="22"/>
          <w:szCs w:val="22"/>
        </w:rPr>
        <w:t>5</w:t>
      </w:r>
      <w:r w:rsidR="00582C89" w:rsidRPr="009A28F5">
        <w:rPr>
          <w:sz w:val="22"/>
          <w:szCs w:val="22"/>
        </w:rPr>
        <w:t xml:space="preserve"> summarizes the results and provides concluding remarks.</w:t>
      </w:r>
    </w:p>
    <w:p w14:paraId="718AFE4C" w14:textId="77777777" w:rsidR="00413664" w:rsidRPr="009A28F5" w:rsidRDefault="00413664" w:rsidP="00E87E3C">
      <w:pPr>
        <w:spacing w:line="360" w:lineRule="auto"/>
        <w:rPr>
          <w:b/>
          <w:sz w:val="22"/>
          <w:szCs w:val="22"/>
        </w:rPr>
      </w:pPr>
    </w:p>
    <w:p w14:paraId="7C4A8C49" w14:textId="77777777" w:rsidR="001D232B" w:rsidRPr="009A28F5" w:rsidRDefault="001D232B" w:rsidP="003B7EAB">
      <w:pPr>
        <w:pStyle w:val="ListParagraph"/>
        <w:numPr>
          <w:ilvl w:val="0"/>
          <w:numId w:val="12"/>
        </w:numPr>
        <w:spacing w:line="360" w:lineRule="auto"/>
        <w:rPr>
          <w:rFonts w:ascii="Times New Roman" w:hAnsi="Times New Roman" w:cs="Times New Roman"/>
          <w:b/>
        </w:rPr>
      </w:pPr>
      <w:r w:rsidRPr="009A28F5">
        <w:rPr>
          <w:rFonts w:ascii="Times New Roman" w:hAnsi="Times New Roman" w:cs="Times New Roman"/>
          <w:b/>
        </w:rPr>
        <w:t xml:space="preserve">Methodology </w:t>
      </w:r>
    </w:p>
    <w:p w14:paraId="52F4D543" w14:textId="63E05D6D" w:rsidR="001D232B" w:rsidRPr="009A28F5" w:rsidRDefault="001D232B" w:rsidP="00E87E3C">
      <w:pPr>
        <w:spacing w:line="360" w:lineRule="auto"/>
        <w:jc w:val="both"/>
        <w:rPr>
          <w:bCs/>
          <w:sz w:val="22"/>
          <w:szCs w:val="22"/>
        </w:rPr>
      </w:pPr>
      <w:r w:rsidRPr="009A28F5">
        <w:rPr>
          <w:color w:val="222222"/>
          <w:sz w:val="22"/>
          <w:szCs w:val="22"/>
        </w:rPr>
        <w:t>Firstly</w:t>
      </w:r>
      <w:r w:rsidR="00E04FC8">
        <w:rPr>
          <w:color w:val="222222"/>
          <w:sz w:val="22"/>
          <w:szCs w:val="22"/>
        </w:rPr>
        <w:t>,</w:t>
      </w:r>
      <w:r w:rsidRPr="009A28F5">
        <w:rPr>
          <w:color w:val="222222"/>
          <w:sz w:val="22"/>
          <w:szCs w:val="22"/>
        </w:rPr>
        <w:t xml:space="preserve"> all data is tested for the presence of a unit root using the traditional Augmented Dickey Fuller (ADF) test.</w:t>
      </w:r>
      <w:r w:rsidRPr="009A28F5">
        <w:rPr>
          <w:bCs/>
          <w:sz w:val="22"/>
          <w:szCs w:val="22"/>
        </w:rPr>
        <w:t xml:space="preserve"> The appropriate number of lags </w:t>
      </w:r>
      <w:r w:rsidR="00C006AC" w:rsidRPr="009A28F5">
        <w:rPr>
          <w:bCs/>
          <w:sz w:val="22"/>
          <w:szCs w:val="22"/>
        </w:rPr>
        <w:t>i</w:t>
      </w:r>
      <w:r w:rsidRPr="009A28F5">
        <w:rPr>
          <w:bCs/>
          <w:sz w:val="22"/>
          <w:szCs w:val="22"/>
        </w:rPr>
        <w:t xml:space="preserve">s </w:t>
      </w:r>
      <w:r w:rsidR="00C006AC" w:rsidRPr="009A28F5">
        <w:rPr>
          <w:bCs/>
          <w:sz w:val="22"/>
          <w:szCs w:val="22"/>
        </w:rPr>
        <w:t xml:space="preserve">determined with the </w:t>
      </w:r>
      <w:proofErr w:type="spellStart"/>
      <w:r w:rsidRPr="009A28F5">
        <w:rPr>
          <w:bCs/>
          <w:sz w:val="22"/>
          <w:szCs w:val="22"/>
        </w:rPr>
        <w:t>Akaike</w:t>
      </w:r>
      <w:proofErr w:type="spellEnd"/>
      <w:r w:rsidRPr="009A28F5">
        <w:rPr>
          <w:bCs/>
          <w:sz w:val="22"/>
          <w:szCs w:val="22"/>
        </w:rPr>
        <w:t xml:space="preserve"> </w:t>
      </w:r>
      <w:r w:rsidR="00C006AC" w:rsidRPr="009A28F5">
        <w:rPr>
          <w:bCs/>
          <w:sz w:val="22"/>
          <w:szCs w:val="22"/>
        </w:rPr>
        <w:t xml:space="preserve">and Schwarz </w:t>
      </w:r>
      <w:r w:rsidRPr="009A28F5">
        <w:rPr>
          <w:bCs/>
          <w:sz w:val="22"/>
          <w:szCs w:val="22"/>
        </w:rPr>
        <w:t>Information Criteria</w:t>
      </w:r>
      <w:r w:rsidR="00C006AC" w:rsidRPr="009A28F5">
        <w:rPr>
          <w:bCs/>
          <w:sz w:val="22"/>
          <w:szCs w:val="22"/>
        </w:rPr>
        <w:t xml:space="preserve">, </w:t>
      </w:r>
      <w:r w:rsidRPr="009A28F5">
        <w:rPr>
          <w:bCs/>
          <w:sz w:val="22"/>
          <w:szCs w:val="22"/>
        </w:rPr>
        <w:t>AIC</w:t>
      </w:r>
      <w:r w:rsidR="00C006AC" w:rsidRPr="009A28F5">
        <w:rPr>
          <w:bCs/>
          <w:sz w:val="22"/>
          <w:szCs w:val="22"/>
        </w:rPr>
        <w:t xml:space="preserve"> and SBC, respectively.</w:t>
      </w:r>
    </w:p>
    <w:p w14:paraId="15A65837" w14:textId="77777777" w:rsidR="006263CC" w:rsidRPr="009A28F5" w:rsidRDefault="006263CC" w:rsidP="00E87E3C">
      <w:pPr>
        <w:spacing w:line="360" w:lineRule="auto"/>
        <w:jc w:val="both"/>
        <w:rPr>
          <w:bCs/>
          <w:sz w:val="22"/>
          <w:szCs w:val="22"/>
        </w:rPr>
      </w:pPr>
    </w:p>
    <w:p w14:paraId="2992E689" w14:textId="77777777" w:rsidR="001D232B" w:rsidRPr="009A28F5" w:rsidRDefault="001D232B" w:rsidP="001A49B1">
      <w:pPr>
        <w:pStyle w:val="ListParagraph"/>
        <w:spacing w:line="360" w:lineRule="auto"/>
        <w:ind w:left="0"/>
        <w:jc w:val="center"/>
        <w:rPr>
          <w:rFonts w:ascii="Times New Roman" w:hAnsi="Times New Roman" w:cs="Times New Roman"/>
          <w:bCs/>
        </w:rPr>
      </w:pPr>
      <m:oMathPara>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 δ+βt+π</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t-1</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p</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e>
          </m:nary>
          <m:r>
            <m:rPr>
              <m:sty m:val="p"/>
            </m:rPr>
            <w:rPr>
              <w:rFonts w:ascii="Times New Roman" w:eastAsiaTheme="minorEastAsia" w:hAnsi="Times New Roman" w:cs="Times New Roman"/>
            </w:rPr>
            <w:br/>
          </m:r>
        </m:oMath>
      </m:oMathPara>
      <w:r w:rsidR="001A49B1" w:rsidRPr="009A28F5">
        <w:rPr>
          <w:rFonts w:ascii="Times New Roman" w:eastAsiaTheme="minorEastAsia" w:hAnsi="Times New Roman" w:cs="Times New Roman"/>
        </w:rPr>
        <w:tab/>
      </w:r>
      <w:r w:rsidR="001A49B1" w:rsidRPr="009A28F5">
        <w:rPr>
          <w:rFonts w:ascii="Times New Roman" w:eastAsiaTheme="minorEastAsia" w:hAnsi="Times New Roman" w:cs="Times New Roman"/>
        </w:rPr>
        <w:tab/>
      </w:r>
      <w:r w:rsidR="001A49B1" w:rsidRPr="009A28F5">
        <w:rPr>
          <w:rFonts w:ascii="Times New Roman" w:eastAsiaTheme="minorEastAsia" w:hAnsi="Times New Roman" w:cs="Times New Roman"/>
        </w:rPr>
        <w:tab/>
      </w:r>
      <w:r w:rsidR="001A49B1" w:rsidRPr="009A28F5">
        <w:rPr>
          <w:rFonts w:ascii="Times New Roman" w:eastAsiaTheme="minorEastAsia" w:hAnsi="Times New Roman" w:cs="Times New Roman"/>
        </w:rPr>
        <w:tab/>
      </w:r>
      <w:r w:rsidR="001A49B1" w:rsidRPr="009A28F5">
        <w:rPr>
          <w:rFonts w:ascii="Times New Roman" w:eastAsiaTheme="minorEastAsia" w:hAnsi="Times New Roman" w:cs="Times New Roman"/>
        </w:rPr>
        <w:tab/>
      </w:r>
      <w:r w:rsidRPr="009A28F5">
        <w:rPr>
          <w:rFonts w:ascii="Times New Roman" w:eastAsiaTheme="minorEastAsia" w:hAnsi="Times New Roman" w:cs="Times New Roman"/>
        </w:rPr>
        <w:t xml:space="preserve">  </w:t>
      </w:r>
      <w:r w:rsidR="001A49B1" w:rsidRPr="009A28F5">
        <w:rPr>
          <w:rFonts w:ascii="Times New Roman" w:eastAsiaTheme="minorEastAsia" w:hAnsi="Times New Roman" w:cs="Times New Roman"/>
        </w:rPr>
        <w:t xml:space="preserve">                               </w:t>
      </w:r>
    </w:p>
    <w:p w14:paraId="03A2E439" w14:textId="51F50667" w:rsidR="00C006AC" w:rsidRPr="009A28F5" w:rsidRDefault="008715B3" w:rsidP="00E87E3C">
      <w:pPr>
        <w:pStyle w:val="ListParagraph"/>
        <w:spacing w:line="360" w:lineRule="auto"/>
        <w:ind w:left="0"/>
        <w:jc w:val="both"/>
        <w:rPr>
          <w:rFonts w:ascii="Times New Roman" w:eastAsiaTheme="minorEastAsia" w:hAnsi="Times New Roman" w:cs="Times New Roman"/>
        </w:rPr>
      </w:pPr>
      <w:proofErr w:type="gramStart"/>
      <w:r w:rsidRPr="009A28F5">
        <w:rPr>
          <w:rFonts w:ascii="Times New Roman" w:eastAsia="Times New Roman" w:hAnsi="Times New Roman" w:cs="Times New Roman"/>
          <w:color w:val="222222"/>
          <w:lang w:eastAsia="en-GB"/>
        </w:rPr>
        <w:t>w</w:t>
      </w:r>
      <w:r w:rsidR="001D232B" w:rsidRPr="009A28F5">
        <w:rPr>
          <w:rFonts w:ascii="Times New Roman" w:eastAsia="Times New Roman" w:hAnsi="Times New Roman" w:cs="Times New Roman"/>
          <w:color w:val="222222"/>
          <w:lang w:eastAsia="en-GB"/>
        </w:rPr>
        <w:t>here</w:t>
      </w:r>
      <w:proofErr w:type="gramEnd"/>
      <w:r w:rsidR="001D232B" w:rsidRPr="009A28F5">
        <w:rPr>
          <w:rFonts w:ascii="Times New Roman" w:eastAsia="Times New Roman" w:hAnsi="Times New Roman" w:cs="Times New Roman"/>
          <w:color w:val="222222"/>
          <w:lang w:eastAsia="en-GB"/>
        </w:rPr>
        <w:t xml:space="preserve"> </w:t>
      </w:r>
      <m:oMath>
        <m:r>
          <w:rPr>
            <w:rFonts w:ascii="Cambria Math" w:hAnsi="Cambria Math" w:cs="Times New Roman"/>
          </w:rPr>
          <m:t>δ</m:t>
        </m:r>
      </m:oMath>
      <w:r w:rsidR="00C006AC" w:rsidRPr="009A28F5">
        <w:rPr>
          <w:rFonts w:ascii="Times New Roman" w:eastAsia="Times New Roman" w:hAnsi="Times New Roman" w:cs="Times New Roman"/>
          <w:color w:val="222222"/>
          <w:lang w:eastAsia="en-GB"/>
        </w:rPr>
        <w:t xml:space="preserve"> is a constant, t is a trend</w:t>
      </w:r>
      <w:r w:rsidR="001D232B" w:rsidRPr="009A28F5">
        <w:rPr>
          <w:rFonts w:ascii="Times New Roman" w:eastAsia="Times New Roman" w:hAnsi="Times New Roman" w:cs="Times New Roman"/>
          <w:color w:val="222222"/>
          <w:lang w:eastAsia="en-GB"/>
        </w:rPr>
        <w:t xml:space="preserve">, </w:t>
      </w:r>
      <w:proofErr w:type="spellStart"/>
      <w:r w:rsidR="001D232B" w:rsidRPr="009A28F5">
        <w:rPr>
          <w:rFonts w:ascii="Times New Roman" w:eastAsia="Times New Roman" w:hAnsi="Times New Roman" w:cs="Times New Roman"/>
          <w:color w:val="222222"/>
          <w:lang w:eastAsia="en-GB"/>
        </w:rPr>
        <w:t>y</w:t>
      </w:r>
      <w:r w:rsidR="001D232B" w:rsidRPr="009A28F5">
        <w:rPr>
          <w:rFonts w:ascii="Times New Roman" w:eastAsia="Times New Roman" w:hAnsi="Times New Roman" w:cs="Times New Roman"/>
          <w:color w:val="222222"/>
          <w:vertAlign w:val="subscript"/>
          <w:lang w:eastAsia="en-GB"/>
        </w:rPr>
        <w:t>t</w:t>
      </w:r>
      <w:proofErr w:type="spellEnd"/>
      <w:r w:rsidR="001D232B" w:rsidRPr="009A28F5">
        <w:rPr>
          <w:rFonts w:ascii="Times New Roman" w:eastAsia="Times New Roman" w:hAnsi="Times New Roman" w:cs="Times New Roman"/>
          <w:color w:val="222222"/>
          <w:lang w:eastAsia="en-GB"/>
        </w:rPr>
        <w:t xml:space="preserve"> is the time</w:t>
      </w:r>
      <w:r w:rsidR="00C006AC" w:rsidRPr="009A28F5">
        <w:rPr>
          <w:rFonts w:ascii="Times New Roman" w:eastAsia="Times New Roman" w:hAnsi="Times New Roman" w:cs="Times New Roman"/>
          <w:color w:val="222222"/>
          <w:lang w:eastAsia="en-GB"/>
        </w:rPr>
        <w:t>-</w:t>
      </w:r>
      <w:r w:rsidR="001D232B" w:rsidRPr="009A28F5">
        <w:rPr>
          <w:rFonts w:ascii="Times New Roman" w:eastAsia="Times New Roman" w:hAnsi="Times New Roman" w:cs="Times New Roman"/>
          <w:color w:val="222222"/>
          <w:lang w:eastAsia="en-GB"/>
        </w:rPr>
        <w:t>series variable being examined,</w:t>
      </w:r>
      <w:r w:rsidR="00C006AC" w:rsidRPr="009A28F5">
        <w:rPr>
          <w:rFonts w:ascii="Times New Roman" w:eastAsia="Times New Roman" w:hAnsi="Times New Roman" w:cs="Times New Roman"/>
          <w:color w:val="222222"/>
          <w:lang w:eastAsia="en-GB"/>
        </w:rPr>
        <w:t xml:space="preserve"> i.e. gold prices </w:t>
      </w:r>
      <w:r w:rsidR="00E60E85" w:rsidRPr="009A28F5">
        <w:rPr>
          <w:rFonts w:ascii="Times New Roman" w:eastAsia="Times New Roman" w:hAnsi="Times New Roman" w:cs="Times New Roman"/>
          <w:color w:val="222222"/>
          <w:lang w:eastAsia="en-GB"/>
        </w:rPr>
        <w:t>or</w:t>
      </w:r>
      <w:r w:rsidR="00C006AC" w:rsidRPr="009A28F5">
        <w:rPr>
          <w:rFonts w:ascii="Times New Roman" w:eastAsia="Times New Roman" w:hAnsi="Times New Roman" w:cs="Times New Roman"/>
          <w:color w:val="222222"/>
          <w:lang w:eastAsia="en-GB"/>
        </w:rPr>
        <w:t xml:space="preserve"> </w:t>
      </w:r>
      <w:r w:rsidR="00DE455B" w:rsidRPr="009A28F5">
        <w:rPr>
          <w:rFonts w:ascii="Times New Roman" w:eastAsia="Times New Roman" w:hAnsi="Times New Roman" w:cs="Times New Roman"/>
          <w:color w:val="222222"/>
          <w:lang w:eastAsia="en-GB"/>
        </w:rPr>
        <w:t>production</w:t>
      </w:r>
      <w:r w:rsidR="00C006AC" w:rsidRPr="009A28F5">
        <w:rPr>
          <w:rFonts w:ascii="Times New Roman" w:eastAsia="Times New Roman" w:hAnsi="Times New Roman" w:cs="Times New Roman"/>
          <w:color w:val="222222"/>
          <w:lang w:eastAsia="en-GB"/>
        </w:rPr>
        <w:t xml:space="preserve"> costs, </w:t>
      </w:r>
      <m:oMath>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oMath>
      <w:r w:rsidR="001D232B" w:rsidRPr="009A28F5">
        <w:rPr>
          <w:rFonts w:ascii="Times New Roman" w:eastAsia="Times New Roman" w:hAnsi="Times New Roman" w:cs="Times New Roman"/>
        </w:rPr>
        <w:t xml:space="preserve"> is a white noise term </w:t>
      </w:r>
      <w:r w:rsidR="001D232B" w:rsidRPr="009A28F5">
        <w:rPr>
          <w:rFonts w:ascii="Times New Roman" w:eastAsia="Times New Roman" w:hAnsi="Times New Roman" w:cs="Times New Roman"/>
          <w:color w:val="222222"/>
          <w:lang w:eastAsia="en-GB"/>
        </w:rPr>
        <w:t xml:space="preserve">and the null hypothesis is </w:t>
      </w:r>
      <m:oMath>
        <m:r>
          <w:rPr>
            <w:rFonts w:ascii="Cambria Math" w:hAnsi="Cambria Math" w:cs="Times New Roman"/>
          </w:rPr>
          <m:t xml:space="preserve">π </m:t>
        </m:r>
      </m:oMath>
      <w:r w:rsidR="001D232B" w:rsidRPr="009A28F5">
        <w:rPr>
          <w:rFonts w:ascii="Times New Roman" w:hAnsi="Times New Roman" w:cs="Times New Roman"/>
        </w:rPr>
        <w:t>= 0</w:t>
      </w:r>
      <w:r w:rsidR="00C006AC" w:rsidRPr="009A28F5">
        <w:rPr>
          <w:rFonts w:ascii="Times New Roman" w:hAnsi="Times New Roman" w:cs="Times New Roman"/>
        </w:rPr>
        <w:t xml:space="preserve"> </w:t>
      </w:r>
      <w:r w:rsidR="00D4450F" w:rsidRPr="009A28F5">
        <w:rPr>
          <w:rFonts w:ascii="Times New Roman" w:hAnsi="Times New Roman" w:cs="Times New Roman"/>
        </w:rPr>
        <w:t xml:space="preserve">(unit-root) </w:t>
      </w:r>
      <w:r w:rsidR="00C006AC" w:rsidRPr="009A28F5">
        <w:rPr>
          <w:rFonts w:ascii="Times New Roman" w:hAnsi="Times New Roman" w:cs="Times New Roman"/>
        </w:rPr>
        <w:t xml:space="preserve">against the alternative </w:t>
      </w:r>
      <m:oMath>
        <m:r>
          <w:rPr>
            <w:rFonts w:ascii="Cambria Math" w:hAnsi="Cambria Math" w:cs="Times New Roman"/>
          </w:rPr>
          <m:t>π&lt;0</m:t>
        </m:r>
      </m:oMath>
      <w:r w:rsidR="00D4450F" w:rsidRPr="009A28F5">
        <w:rPr>
          <w:rFonts w:ascii="Times New Roman" w:eastAsiaTheme="minorEastAsia" w:hAnsi="Times New Roman" w:cs="Times New Roman"/>
        </w:rPr>
        <w:t xml:space="preserve"> (stationarity).</w:t>
      </w:r>
    </w:p>
    <w:p w14:paraId="1B1A1901" w14:textId="0179C521" w:rsidR="001D232B" w:rsidRPr="009A28F5" w:rsidRDefault="00C006AC" w:rsidP="00E87E3C">
      <w:pPr>
        <w:pStyle w:val="ListParagraph"/>
        <w:spacing w:line="360" w:lineRule="auto"/>
        <w:ind w:left="0"/>
        <w:jc w:val="both"/>
        <w:rPr>
          <w:rFonts w:ascii="Times New Roman" w:hAnsi="Times New Roman" w:cs="Times New Roman"/>
        </w:rPr>
      </w:pPr>
      <w:r w:rsidRPr="009A28F5">
        <w:rPr>
          <w:rFonts w:ascii="Times New Roman" w:hAnsi="Times New Roman" w:cs="Times New Roman"/>
        </w:rPr>
        <w:t xml:space="preserve">In a second step, </w:t>
      </w:r>
      <w:r w:rsidR="001D232B" w:rsidRPr="009A28F5">
        <w:rPr>
          <w:rFonts w:ascii="Times New Roman" w:hAnsi="Times New Roman" w:cs="Times New Roman"/>
        </w:rPr>
        <w:t xml:space="preserve">we assess whether any </w:t>
      </w:r>
      <w:proofErr w:type="gramStart"/>
      <w:r w:rsidR="001D232B" w:rsidRPr="009A28F5">
        <w:rPr>
          <w:rFonts w:ascii="Times New Roman" w:hAnsi="Times New Roman" w:cs="Times New Roman"/>
        </w:rPr>
        <w:t>I(</w:t>
      </w:r>
      <w:proofErr w:type="gramEnd"/>
      <w:r w:rsidR="001D232B" w:rsidRPr="009A28F5">
        <w:rPr>
          <w:rFonts w:ascii="Times New Roman" w:hAnsi="Times New Roman" w:cs="Times New Roman"/>
        </w:rPr>
        <w:t xml:space="preserve">1) pairs of </w:t>
      </w:r>
      <w:r w:rsidRPr="009A28F5">
        <w:rPr>
          <w:rFonts w:ascii="Times New Roman" w:hAnsi="Times New Roman" w:cs="Times New Roman"/>
        </w:rPr>
        <w:t xml:space="preserve">time-series </w:t>
      </w:r>
      <w:r w:rsidR="001D232B" w:rsidRPr="009A28F5">
        <w:rPr>
          <w:rFonts w:ascii="Times New Roman" w:hAnsi="Times New Roman" w:cs="Times New Roman"/>
        </w:rPr>
        <w:t>variables are co</w:t>
      </w:r>
      <w:r w:rsidR="00AA6B9C" w:rsidRPr="009A28F5">
        <w:rPr>
          <w:rFonts w:ascii="Times New Roman" w:hAnsi="Times New Roman" w:cs="Times New Roman"/>
        </w:rPr>
        <w:t>-</w:t>
      </w:r>
      <w:r w:rsidR="001D232B" w:rsidRPr="009A28F5">
        <w:rPr>
          <w:rFonts w:ascii="Times New Roman" w:hAnsi="Times New Roman" w:cs="Times New Roman"/>
        </w:rPr>
        <w:t xml:space="preserve">integrated using </w:t>
      </w:r>
      <w:r w:rsidRPr="009A28F5">
        <w:rPr>
          <w:rFonts w:ascii="Times New Roman" w:hAnsi="Times New Roman" w:cs="Times New Roman"/>
        </w:rPr>
        <w:t xml:space="preserve">the methodology suggested by </w:t>
      </w:r>
      <w:r w:rsidR="001D232B" w:rsidRPr="009A28F5">
        <w:rPr>
          <w:rFonts w:ascii="Times New Roman" w:hAnsi="Times New Roman" w:cs="Times New Roman"/>
        </w:rPr>
        <w:t xml:space="preserve">Johansen (1991). </w:t>
      </w:r>
      <w:r w:rsidR="008715B3" w:rsidRPr="009A28F5">
        <w:rPr>
          <w:rFonts w:ascii="Times New Roman" w:hAnsi="Times New Roman" w:cs="Times New Roman"/>
        </w:rPr>
        <w:t xml:space="preserve">The </w:t>
      </w:r>
      <w:r w:rsidR="00456271" w:rsidRPr="009A28F5">
        <w:rPr>
          <w:rFonts w:ascii="Times New Roman" w:hAnsi="Times New Roman" w:cs="Times New Roman"/>
        </w:rPr>
        <w:t>f</w:t>
      </w:r>
      <w:r w:rsidR="008715B3" w:rsidRPr="009A28F5">
        <w:rPr>
          <w:rFonts w:ascii="Times New Roman" w:hAnsi="Times New Roman" w:cs="Times New Roman"/>
        </w:rPr>
        <w:t xml:space="preserve">ramework tests for a long-run </w:t>
      </w:r>
      <w:r w:rsidR="001D232B" w:rsidRPr="009A28F5">
        <w:rPr>
          <w:rFonts w:ascii="Times New Roman" w:hAnsi="Times New Roman" w:cs="Times New Roman"/>
        </w:rPr>
        <w:t xml:space="preserve">relationship </w:t>
      </w:r>
      <w:r w:rsidR="008715B3" w:rsidRPr="009A28F5">
        <w:rPr>
          <w:rFonts w:ascii="Times New Roman" w:hAnsi="Times New Roman" w:cs="Times New Roman"/>
        </w:rPr>
        <w:t>between the variables</w:t>
      </w:r>
      <w:r w:rsidR="00E60E85" w:rsidRPr="009A28F5">
        <w:rPr>
          <w:rFonts w:ascii="Times New Roman" w:hAnsi="Times New Roman" w:cs="Times New Roman"/>
        </w:rPr>
        <w:t xml:space="preserve"> which is</w:t>
      </w:r>
      <w:r w:rsidR="001D232B" w:rsidRPr="009A28F5">
        <w:rPr>
          <w:rFonts w:ascii="Times New Roman" w:hAnsi="Times New Roman" w:cs="Times New Roman"/>
        </w:rPr>
        <w:t xml:space="preserve"> characterised by the </w:t>
      </w:r>
      <w:r w:rsidR="009445F9" w:rsidRPr="009A28F5">
        <w:rPr>
          <w:rFonts w:ascii="Times New Roman" w:hAnsi="Times New Roman" w:cs="Times New Roman"/>
        </w:rPr>
        <w:t>equation</w:t>
      </w:r>
    </w:p>
    <w:p w14:paraId="533DFAFA" w14:textId="5369C9F7" w:rsidR="00D557F7" w:rsidRPr="009A28F5" w:rsidRDefault="009C7F02" w:rsidP="00E26EC3">
      <w:pPr>
        <w:spacing w:line="360" w:lineRule="auto"/>
        <w:jc w:val="center"/>
        <w:rPr>
          <w:rFonts w:eastAsiaTheme="minorEastAsia"/>
          <w:sz w:val="22"/>
          <w:szCs w:val="22"/>
        </w:rPr>
      </w:pPr>
      <m:oMathPara>
        <m:oMath>
          <m:sSub>
            <m:sSubPr>
              <m:ctrlPr>
                <w:rPr>
                  <w:rFonts w:ascii="Cambria Math" w:hAnsi="Cambria Math"/>
                  <w:i/>
                  <w:sz w:val="22"/>
                  <w:szCs w:val="22"/>
                </w:rPr>
              </m:ctrlPr>
            </m:sSubPr>
            <m:e>
              <m:r>
                <w:rPr>
                  <w:rFonts w:ascii="Cambria Math" w:hAnsi="Cambria Math"/>
                  <w:sz w:val="22"/>
                  <w:szCs w:val="22"/>
                </w:rPr>
                <m:t>Price of Gold</m:t>
              </m:r>
            </m:e>
            <m:sub>
              <m:r>
                <w:rPr>
                  <w:rFonts w:ascii="Cambria Math" w:hAnsi="Cambria Math"/>
                  <w:sz w:val="22"/>
                  <w:szCs w:val="22"/>
                </w:rPr>
                <m:t>t</m:t>
              </m:r>
            </m:sub>
          </m:sSub>
          <m:r>
            <w:rPr>
              <w:rFonts w:ascii="Cambria Math" w:hAnsi="Cambria Math"/>
              <w:sz w:val="22"/>
              <w:szCs w:val="22"/>
            </w:rPr>
            <m:t>=β</m:t>
          </m:r>
          <m:sSub>
            <m:sSubPr>
              <m:ctrlPr>
                <w:rPr>
                  <w:rFonts w:ascii="Cambria Math" w:hAnsi="Cambria Math"/>
                  <w:i/>
                  <w:sz w:val="22"/>
                  <w:szCs w:val="22"/>
                </w:rPr>
              </m:ctrlPr>
            </m:sSubPr>
            <m:e>
              <m:r>
                <w:rPr>
                  <w:rFonts w:ascii="Cambria Math" w:hAnsi="Cambria Math"/>
                  <w:sz w:val="22"/>
                  <w:szCs w:val="22"/>
                </w:rPr>
                <m:t>Cost of Production</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t</m:t>
              </m:r>
            </m:sub>
          </m:sSub>
        </m:oMath>
      </m:oMathPara>
    </w:p>
    <w:p w14:paraId="0BD22AD4" w14:textId="77777777" w:rsidR="00E26EC3" w:rsidRPr="009A28F5" w:rsidRDefault="00E26EC3" w:rsidP="001A49B1">
      <w:pPr>
        <w:spacing w:line="360" w:lineRule="auto"/>
        <w:jc w:val="both"/>
        <w:rPr>
          <w:sz w:val="22"/>
          <w:szCs w:val="22"/>
        </w:rPr>
      </w:pPr>
    </w:p>
    <w:p w14:paraId="21251701" w14:textId="4185B8AE" w:rsidR="001D232B" w:rsidRPr="009A28F5" w:rsidRDefault="001A49B1" w:rsidP="001A49B1">
      <w:pPr>
        <w:spacing w:line="360" w:lineRule="auto"/>
        <w:jc w:val="both"/>
        <w:rPr>
          <w:color w:val="222222"/>
          <w:sz w:val="22"/>
          <w:szCs w:val="22"/>
        </w:rPr>
      </w:pPr>
      <w:proofErr w:type="gramStart"/>
      <w:r w:rsidRPr="009A28F5">
        <w:rPr>
          <w:sz w:val="22"/>
          <w:szCs w:val="22"/>
        </w:rPr>
        <w:t>w</w:t>
      </w:r>
      <w:r w:rsidR="001D232B" w:rsidRPr="009A28F5">
        <w:rPr>
          <w:sz w:val="22"/>
          <w:szCs w:val="22"/>
        </w:rPr>
        <w:t>here</w:t>
      </w:r>
      <w:proofErr w:type="gramEnd"/>
      <w:r w:rsidR="001D232B" w:rsidRPr="009A28F5">
        <w:rPr>
          <w:sz w:val="22"/>
          <w:szCs w:val="22"/>
        </w:rPr>
        <w:t xml:space="preserve"> </w:t>
      </w:r>
      <w:r w:rsidRPr="009A28F5">
        <w:rPr>
          <w:sz w:val="22"/>
          <w:szCs w:val="22"/>
        </w:rPr>
        <w:t>the</w:t>
      </w:r>
      <w:r w:rsidR="001D232B" w:rsidRPr="009A28F5">
        <w:rPr>
          <w:sz w:val="22"/>
          <w:szCs w:val="22"/>
        </w:rPr>
        <w:t xml:space="preserve"> Cost of Production is either cash costs or total production costs</w:t>
      </w:r>
      <w:r w:rsidR="00D557F7" w:rsidRPr="009A28F5">
        <w:rPr>
          <w:sz w:val="22"/>
          <w:szCs w:val="22"/>
        </w:rPr>
        <w:t xml:space="preserve"> </w:t>
      </w:r>
      <w:r w:rsidR="001D232B" w:rsidRPr="009A28F5">
        <w:rPr>
          <w:sz w:val="22"/>
          <w:szCs w:val="22"/>
        </w:rPr>
        <w:t>at t</w:t>
      </w:r>
      <w:r w:rsidR="00DE455B" w:rsidRPr="009A28F5">
        <w:rPr>
          <w:sz w:val="22"/>
          <w:szCs w:val="22"/>
        </w:rPr>
        <w:t>.</w:t>
      </w:r>
      <w:r w:rsidR="00E04FC8">
        <w:rPr>
          <w:sz w:val="22"/>
          <w:szCs w:val="22"/>
        </w:rPr>
        <w:t xml:space="preserve"> </w:t>
      </w:r>
      <w:r w:rsidR="001D232B" w:rsidRPr="009A28F5">
        <w:rPr>
          <w:rFonts w:eastAsiaTheme="minorEastAsia"/>
          <w:sz w:val="22"/>
          <w:szCs w:val="22"/>
        </w:rPr>
        <w:t>If co</w:t>
      </w:r>
      <w:r w:rsidR="00071433" w:rsidRPr="009A28F5">
        <w:rPr>
          <w:rFonts w:eastAsiaTheme="minorEastAsia"/>
          <w:sz w:val="22"/>
          <w:szCs w:val="22"/>
        </w:rPr>
        <w:t>-</w:t>
      </w:r>
      <w:r w:rsidR="001D232B" w:rsidRPr="009A28F5">
        <w:rPr>
          <w:rFonts w:eastAsiaTheme="minorEastAsia"/>
          <w:sz w:val="22"/>
          <w:szCs w:val="22"/>
        </w:rPr>
        <w:t xml:space="preserve">integration does not exist between the two variables being tested </w:t>
      </w:r>
      <w:r w:rsidR="000D3EC5" w:rsidRPr="009A28F5">
        <w:rPr>
          <w:color w:val="222222"/>
          <w:sz w:val="22"/>
          <w:szCs w:val="22"/>
        </w:rPr>
        <w:t>the following VAR is appropriate (Granger et al, 1988).</w:t>
      </w:r>
    </w:p>
    <w:p w14:paraId="26F04CE5" w14:textId="77777777" w:rsidR="001D232B" w:rsidRPr="009A28F5" w:rsidRDefault="001D232B" w:rsidP="00E87E3C">
      <w:pPr>
        <w:spacing w:line="360" w:lineRule="auto"/>
        <w:rPr>
          <w:color w:val="222222"/>
          <w:sz w:val="22"/>
          <w:szCs w:val="22"/>
        </w:rPr>
      </w:pPr>
    </w:p>
    <w:p w14:paraId="6BC2A443" w14:textId="41AC647B" w:rsidR="001D232B" w:rsidRPr="009A28F5" w:rsidRDefault="001D232B" w:rsidP="00E26EC3">
      <w:pPr>
        <w:spacing w:line="360" w:lineRule="auto"/>
        <w:jc w:val="center"/>
        <w:rPr>
          <w:b/>
          <w:sz w:val="22"/>
          <w:szCs w:val="22"/>
        </w:rPr>
      </w:pPr>
      <m:oMathPara>
        <m:oMath>
          <m:r>
            <w:rPr>
              <w:rFonts w:ascii="Cambria Math" w:hAnsi="Cambria Math"/>
              <w:sz w:val="22"/>
              <w:szCs w:val="22"/>
            </w:rPr>
            <w:lastRenderedPageBreak/>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1t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0</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k</m:t>
              </m:r>
            </m:sup>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1i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1t-i</m:t>
                  </m:r>
                </m:sub>
              </m:sSub>
              <m:r>
                <w:rPr>
                  <w:rFonts w:ascii="Cambria Math" w:hAnsi="Cambria Math"/>
                  <w:sz w:val="22"/>
                  <w:szCs w:val="22"/>
                </w:rPr>
                <m:t>+</m:t>
              </m:r>
            </m:e>
          </m:nary>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k</m:t>
              </m:r>
            </m:sup>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2i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2t-i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1t</m:t>
                  </m:r>
                </m:sub>
              </m:sSub>
            </m:e>
          </m:nary>
          <m:r>
            <m:rPr>
              <m:sty m:val="p"/>
            </m:rPr>
            <w:rPr>
              <w:rFonts w:eastAsiaTheme="minorEastAsia"/>
              <w:sz w:val="22"/>
              <w:szCs w:val="22"/>
            </w:rPr>
            <w:br/>
          </m:r>
        </m:oMath>
      </m:oMathPara>
      <w:r w:rsidRPr="009A28F5">
        <w:rPr>
          <w:rFonts w:eastAsiaTheme="minorEastAsia"/>
          <w:sz w:val="22"/>
          <w:szCs w:val="22"/>
        </w:rPr>
        <w:t xml:space="preserve">                      </w:t>
      </w:r>
      <w:r w:rsidR="00E26EC3" w:rsidRPr="009A28F5">
        <w:rPr>
          <w:rFonts w:eastAsiaTheme="minorEastAsia"/>
          <w:sz w:val="22"/>
          <w:szCs w:val="22"/>
        </w:rPr>
        <w:br/>
      </w:r>
      <m:oMathPara>
        <m:oMath>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2t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k</m:t>
              </m:r>
            </m:sup>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1t-i</m:t>
                  </m:r>
                </m:sub>
              </m:sSub>
              <m:r>
                <w:rPr>
                  <w:rFonts w:ascii="Cambria Math" w:hAnsi="Cambria Math"/>
                  <w:sz w:val="22"/>
                  <w:szCs w:val="22"/>
                </w:rPr>
                <m:t>+</m:t>
              </m:r>
            </m:e>
          </m:nary>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k</m:t>
              </m:r>
            </m:sup>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2t-i</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2t</m:t>
                  </m:r>
                </m:sub>
              </m:sSub>
            </m:e>
          </m:nary>
        </m:oMath>
      </m:oMathPara>
    </w:p>
    <w:p w14:paraId="25248B96" w14:textId="77777777" w:rsidR="001D232B" w:rsidRPr="009A28F5" w:rsidRDefault="001D232B" w:rsidP="00E87E3C">
      <w:pPr>
        <w:spacing w:line="360" w:lineRule="auto"/>
        <w:jc w:val="right"/>
        <w:rPr>
          <w:b/>
          <w:sz w:val="22"/>
          <w:szCs w:val="22"/>
        </w:rPr>
      </w:pPr>
    </w:p>
    <w:p w14:paraId="0DC5C06B" w14:textId="6F053757" w:rsidR="001D232B" w:rsidRPr="009A28F5" w:rsidRDefault="001A49B1" w:rsidP="00E87E3C">
      <w:pPr>
        <w:spacing w:line="360" w:lineRule="auto"/>
        <w:jc w:val="both"/>
        <w:rPr>
          <w:rFonts w:eastAsiaTheme="minorEastAsia"/>
          <w:sz w:val="22"/>
          <w:szCs w:val="22"/>
        </w:rPr>
      </w:pPr>
      <w:proofErr w:type="gramStart"/>
      <w:r w:rsidRPr="009A28F5">
        <w:rPr>
          <w:sz w:val="22"/>
          <w:szCs w:val="22"/>
        </w:rPr>
        <w:t>w</w:t>
      </w:r>
      <w:r w:rsidR="001D232B" w:rsidRPr="009A28F5">
        <w:rPr>
          <w:sz w:val="22"/>
          <w:szCs w:val="22"/>
        </w:rPr>
        <w:t>here</w:t>
      </w:r>
      <w:proofErr w:type="gramEnd"/>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1</m:t>
            </m:r>
          </m:sub>
        </m:sSub>
      </m:oMath>
      <w:r w:rsidRPr="009A28F5">
        <w:rPr>
          <w:sz w:val="22"/>
          <w:szCs w:val="22"/>
        </w:rPr>
        <w:t xml:space="preserve"> </w:t>
      </w:r>
      <w:r w:rsidR="001D232B" w:rsidRPr="009A28F5">
        <w:rPr>
          <w:rFonts w:eastAsiaTheme="minorEastAsia"/>
          <w:sz w:val="22"/>
          <w:szCs w:val="22"/>
        </w:rPr>
        <w:t xml:space="preserve">represents </w:t>
      </w:r>
      <w:r w:rsidR="00D6403C" w:rsidRPr="009A28F5">
        <w:rPr>
          <w:rFonts w:eastAsiaTheme="minorEastAsia"/>
          <w:sz w:val="22"/>
          <w:szCs w:val="22"/>
        </w:rPr>
        <w:t xml:space="preserve">the price of </w:t>
      </w:r>
      <w:r w:rsidR="001D232B" w:rsidRPr="009A28F5">
        <w:rPr>
          <w:rFonts w:eastAsiaTheme="minorEastAsia"/>
          <w:sz w:val="22"/>
          <w:szCs w:val="22"/>
        </w:rPr>
        <w:t xml:space="preserve">gold and </w:t>
      </w:r>
      <m:oMath>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2</m:t>
            </m:r>
          </m:sub>
        </m:sSub>
      </m:oMath>
      <w:r w:rsidRPr="009A28F5">
        <w:rPr>
          <w:rFonts w:eastAsiaTheme="minorEastAsia"/>
          <w:sz w:val="22"/>
          <w:szCs w:val="22"/>
        </w:rPr>
        <w:t xml:space="preserve"> </w:t>
      </w:r>
      <w:r w:rsidR="001D232B" w:rsidRPr="009A28F5">
        <w:rPr>
          <w:rFonts w:eastAsiaTheme="minorEastAsia"/>
          <w:sz w:val="22"/>
          <w:szCs w:val="22"/>
        </w:rPr>
        <w:t xml:space="preserve">represents </w:t>
      </w:r>
      <w:r w:rsidR="00D6403C" w:rsidRPr="009A28F5">
        <w:rPr>
          <w:rFonts w:eastAsiaTheme="minorEastAsia"/>
          <w:sz w:val="22"/>
          <w:szCs w:val="22"/>
        </w:rPr>
        <w:t xml:space="preserve">the </w:t>
      </w:r>
      <w:r w:rsidR="00DE455B" w:rsidRPr="009A28F5">
        <w:rPr>
          <w:rFonts w:eastAsiaTheme="minorEastAsia"/>
          <w:sz w:val="22"/>
          <w:szCs w:val="22"/>
        </w:rPr>
        <w:t>production</w:t>
      </w:r>
      <w:r w:rsidR="000D3EC5" w:rsidRPr="009A28F5">
        <w:rPr>
          <w:rFonts w:eastAsiaTheme="minorEastAsia"/>
          <w:sz w:val="22"/>
          <w:szCs w:val="22"/>
        </w:rPr>
        <w:t xml:space="preserve"> </w:t>
      </w:r>
      <w:r w:rsidR="00D6403C" w:rsidRPr="009A28F5">
        <w:rPr>
          <w:rFonts w:eastAsiaTheme="minorEastAsia"/>
          <w:sz w:val="22"/>
          <w:szCs w:val="22"/>
        </w:rPr>
        <w:t>cost</w:t>
      </w:r>
      <w:r w:rsidR="000D3EC5" w:rsidRPr="009A28F5">
        <w:rPr>
          <w:rFonts w:eastAsiaTheme="minorEastAsia"/>
          <w:sz w:val="22"/>
          <w:szCs w:val="22"/>
        </w:rPr>
        <w:t>s</w:t>
      </w:r>
      <w:r w:rsidR="001D232B" w:rsidRPr="009A28F5">
        <w:rPr>
          <w:rFonts w:eastAsiaTheme="minorEastAsia"/>
          <w:sz w:val="22"/>
          <w:szCs w:val="22"/>
        </w:rPr>
        <w:t xml:space="preserve">. Engle and Granger (1987) show that rejecting </w:t>
      </w:r>
      <m:oMath>
        <m:sSub>
          <m:sSubPr>
            <m:ctrlPr>
              <w:rPr>
                <w:rFonts w:ascii="Cambria Math" w:eastAsiaTheme="minorEastAsia" w:hAnsi="Cambria Math"/>
                <w:i/>
                <w:sz w:val="22"/>
                <w:szCs w:val="22"/>
              </w:rPr>
            </m:ctrlPr>
          </m:sSubPr>
          <m:e>
            <m:r>
              <w:rPr>
                <w:rFonts w:ascii="Cambria Math" w:eastAsiaTheme="minorEastAsia" w:hAnsi="Cambria Math"/>
                <w:sz w:val="22"/>
                <w:szCs w:val="22"/>
              </w:rPr>
              <m:t>H</m:t>
            </m:r>
          </m:e>
          <m:sub>
            <m:r>
              <w:rPr>
                <w:rFonts w:ascii="Cambria Math" w:eastAsiaTheme="minorEastAsia" w:hAnsi="Cambria Math"/>
                <w:sz w:val="22"/>
                <w:szCs w:val="22"/>
              </w:rPr>
              <m:t>0</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α</m:t>
            </m:r>
          </m:e>
          <m:sub>
            <m:r>
              <w:rPr>
                <w:rFonts w:ascii="Cambria Math" w:eastAsiaTheme="minorEastAsia" w:hAnsi="Cambria Math"/>
                <w:sz w:val="22"/>
                <w:szCs w:val="22"/>
              </w:rPr>
              <m:t>21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α</m:t>
            </m:r>
          </m:e>
          <m:sub>
            <m:r>
              <w:rPr>
                <w:rFonts w:ascii="Cambria Math" w:eastAsiaTheme="minorEastAsia" w:hAnsi="Cambria Math"/>
                <w:sz w:val="22"/>
                <w:szCs w:val="22"/>
              </w:rPr>
              <m:t>22</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α</m:t>
            </m:r>
          </m:e>
          <m:sub>
            <m:r>
              <w:rPr>
                <w:rFonts w:ascii="Cambria Math" w:eastAsiaTheme="minorEastAsia" w:hAnsi="Cambria Math"/>
                <w:sz w:val="22"/>
                <w:szCs w:val="22"/>
              </w:rPr>
              <m:t>2k</m:t>
            </m:r>
          </m:sub>
        </m:sSub>
        <m:r>
          <w:rPr>
            <w:rFonts w:ascii="Cambria Math" w:eastAsiaTheme="minorEastAsia" w:hAnsi="Cambria Math"/>
            <w:sz w:val="22"/>
            <w:szCs w:val="22"/>
          </w:rPr>
          <m:t>=0</m:t>
        </m:r>
      </m:oMath>
      <w:r w:rsidR="001D232B" w:rsidRPr="009A28F5">
        <w:rPr>
          <w:rFonts w:eastAsiaTheme="minorEastAsia"/>
          <w:sz w:val="22"/>
          <w:szCs w:val="22"/>
        </w:rPr>
        <w:t xml:space="preserve"> implies that the </w:t>
      </w:r>
      <w:r w:rsidR="00DE455B" w:rsidRPr="009A28F5">
        <w:rPr>
          <w:rFonts w:eastAsiaTheme="minorEastAsia"/>
          <w:sz w:val="22"/>
          <w:szCs w:val="22"/>
        </w:rPr>
        <w:t>production</w:t>
      </w:r>
      <w:r w:rsidR="001D232B" w:rsidRPr="009A28F5">
        <w:rPr>
          <w:rFonts w:eastAsiaTheme="minorEastAsia"/>
          <w:sz w:val="22"/>
          <w:szCs w:val="22"/>
        </w:rPr>
        <w:t xml:space="preserve"> costs do Granger</w:t>
      </w:r>
      <w:r w:rsidR="00FD401A" w:rsidRPr="009A28F5">
        <w:rPr>
          <w:rFonts w:eastAsiaTheme="minorEastAsia"/>
          <w:sz w:val="22"/>
          <w:szCs w:val="22"/>
        </w:rPr>
        <w:t>-</w:t>
      </w:r>
      <w:r w:rsidR="001D232B" w:rsidRPr="009A28F5">
        <w:rPr>
          <w:rFonts w:eastAsiaTheme="minorEastAsia"/>
          <w:sz w:val="22"/>
          <w:szCs w:val="22"/>
        </w:rPr>
        <w:t xml:space="preserve">cause gold prices. </w:t>
      </w:r>
      <w:r w:rsidRPr="009A28F5">
        <w:rPr>
          <w:rFonts w:eastAsiaTheme="minorEastAsia"/>
          <w:sz w:val="22"/>
          <w:szCs w:val="22"/>
        </w:rPr>
        <w:t>R</w:t>
      </w:r>
      <w:r w:rsidR="001D232B" w:rsidRPr="009A28F5">
        <w:rPr>
          <w:rFonts w:eastAsiaTheme="minorEastAsia"/>
          <w:sz w:val="22"/>
          <w:szCs w:val="22"/>
        </w:rPr>
        <w:t xml:space="preserve">ejecting  </w:t>
      </w:r>
      <m:oMath>
        <m:sSub>
          <m:sSubPr>
            <m:ctrlPr>
              <w:rPr>
                <w:rFonts w:ascii="Cambria Math" w:eastAsiaTheme="minorEastAsia" w:hAnsi="Cambria Math"/>
                <w:i/>
                <w:sz w:val="22"/>
                <w:szCs w:val="22"/>
              </w:rPr>
            </m:ctrlPr>
          </m:sSubPr>
          <m:e>
            <m:r>
              <w:rPr>
                <w:rFonts w:ascii="Cambria Math" w:eastAsiaTheme="minorEastAsia" w:hAnsi="Cambria Math"/>
                <w:sz w:val="22"/>
                <w:szCs w:val="22"/>
              </w:rPr>
              <m:t>H</m:t>
            </m:r>
          </m:e>
          <m:sub>
            <m:r>
              <w:rPr>
                <w:rFonts w:ascii="Cambria Math" w:eastAsiaTheme="minorEastAsia" w:hAnsi="Cambria Math"/>
                <w:sz w:val="22"/>
                <w:szCs w:val="22"/>
              </w:rPr>
              <m:t>0</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β</m:t>
            </m:r>
          </m:e>
          <m:sub>
            <m:r>
              <w:rPr>
                <w:rFonts w:ascii="Cambria Math" w:eastAsiaTheme="minorEastAsia" w:hAnsi="Cambria Math"/>
                <w:sz w:val="22"/>
                <w:szCs w:val="22"/>
              </w:rPr>
              <m:t>11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β</m:t>
            </m:r>
          </m:e>
          <m:sub>
            <m:r>
              <w:rPr>
                <w:rFonts w:ascii="Cambria Math" w:eastAsiaTheme="minorEastAsia" w:hAnsi="Cambria Math"/>
                <w:sz w:val="22"/>
                <w:szCs w:val="22"/>
              </w:rPr>
              <m:t>12</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β</m:t>
            </m:r>
          </m:e>
          <m:sub>
            <m:r>
              <w:rPr>
                <w:rFonts w:ascii="Cambria Math" w:eastAsiaTheme="minorEastAsia" w:hAnsi="Cambria Math"/>
                <w:sz w:val="22"/>
                <w:szCs w:val="22"/>
              </w:rPr>
              <m:t>1k</m:t>
            </m:r>
          </m:sub>
        </m:sSub>
        <m:r>
          <w:rPr>
            <w:rFonts w:ascii="Cambria Math" w:eastAsiaTheme="minorEastAsia" w:hAnsi="Cambria Math"/>
            <w:sz w:val="22"/>
            <w:szCs w:val="22"/>
          </w:rPr>
          <m:t>=0</m:t>
        </m:r>
      </m:oMath>
      <w:r w:rsidR="001D232B" w:rsidRPr="009A28F5">
        <w:rPr>
          <w:rFonts w:eastAsiaTheme="minorEastAsia"/>
          <w:sz w:val="22"/>
          <w:szCs w:val="22"/>
        </w:rPr>
        <w:t xml:space="preserve"> implies that gold prices do Granger</w:t>
      </w:r>
      <w:r w:rsidR="00FD401A" w:rsidRPr="009A28F5">
        <w:rPr>
          <w:rFonts w:eastAsiaTheme="minorEastAsia"/>
          <w:sz w:val="22"/>
          <w:szCs w:val="22"/>
        </w:rPr>
        <w:t>-</w:t>
      </w:r>
      <w:r w:rsidR="001D232B" w:rsidRPr="009A28F5">
        <w:rPr>
          <w:rFonts w:eastAsiaTheme="minorEastAsia"/>
          <w:sz w:val="22"/>
          <w:szCs w:val="22"/>
        </w:rPr>
        <w:t xml:space="preserve">cause </w:t>
      </w:r>
      <w:r w:rsidR="00DE455B" w:rsidRPr="009A28F5">
        <w:rPr>
          <w:rFonts w:eastAsiaTheme="minorEastAsia"/>
          <w:sz w:val="22"/>
          <w:szCs w:val="22"/>
        </w:rPr>
        <w:t>production</w:t>
      </w:r>
      <w:r w:rsidR="001D232B" w:rsidRPr="009A28F5">
        <w:rPr>
          <w:rFonts w:eastAsiaTheme="minorEastAsia"/>
          <w:sz w:val="22"/>
          <w:szCs w:val="22"/>
        </w:rPr>
        <w:t xml:space="preserve"> costs</w:t>
      </w:r>
      <w:r w:rsidR="00D819C2" w:rsidRPr="009A28F5">
        <w:rPr>
          <w:rFonts w:eastAsiaTheme="minorEastAsia"/>
          <w:sz w:val="22"/>
          <w:szCs w:val="22"/>
        </w:rPr>
        <w:t>.</w:t>
      </w:r>
    </w:p>
    <w:p w14:paraId="76737CCB" w14:textId="2F0F99A2" w:rsidR="001D232B" w:rsidRPr="009A28F5" w:rsidRDefault="001D232B" w:rsidP="00E87E3C">
      <w:pPr>
        <w:pStyle w:val="ListParagraph"/>
        <w:spacing w:line="360" w:lineRule="auto"/>
        <w:ind w:left="0"/>
        <w:jc w:val="both"/>
        <w:rPr>
          <w:rFonts w:ascii="Times New Roman" w:hAnsi="Times New Roman" w:cs="Times New Roman"/>
        </w:rPr>
      </w:pPr>
      <w:r w:rsidRPr="009A28F5">
        <w:rPr>
          <w:rFonts w:ascii="Times New Roman" w:eastAsiaTheme="minorEastAsia" w:hAnsi="Times New Roman" w:cs="Times New Roman"/>
        </w:rPr>
        <w:t xml:space="preserve">Granger (1988) </w:t>
      </w:r>
      <w:r w:rsidR="008715B3" w:rsidRPr="009A28F5">
        <w:rPr>
          <w:rFonts w:ascii="Times New Roman" w:eastAsiaTheme="minorEastAsia" w:hAnsi="Times New Roman" w:cs="Times New Roman"/>
        </w:rPr>
        <w:t>also shows</w:t>
      </w:r>
      <w:r w:rsidRPr="009A28F5">
        <w:rPr>
          <w:rFonts w:ascii="Times New Roman" w:eastAsiaTheme="minorEastAsia" w:hAnsi="Times New Roman" w:cs="Times New Roman"/>
        </w:rPr>
        <w:t xml:space="preserve"> </w:t>
      </w:r>
      <w:r w:rsidR="00ED2A98">
        <w:rPr>
          <w:rFonts w:ascii="Times New Roman" w:eastAsiaTheme="minorEastAsia" w:hAnsi="Times New Roman" w:cs="Times New Roman"/>
        </w:rPr>
        <w:t xml:space="preserve">that </w:t>
      </w:r>
      <w:r w:rsidRPr="009A28F5">
        <w:rPr>
          <w:rFonts w:ascii="Times New Roman" w:eastAsiaTheme="minorEastAsia" w:hAnsi="Times New Roman" w:cs="Times New Roman"/>
        </w:rPr>
        <w:t>the presence of co</w:t>
      </w:r>
      <w:r w:rsidR="00DE455B" w:rsidRPr="009A28F5">
        <w:rPr>
          <w:rFonts w:ascii="Times New Roman" w:eastAsiaTheme="minorEastAsia" w:hAnsi="Times New Roman" w:cs="Times New Roman"/>
        </w:rPr>
        <w:t>-</w:t>
      </w:r>
      <w:r w:rsidRPr="009A28F5">
        <w:rPr>
          <w:rFonts w:ascii="Times New Roman" w:eastAsiaTheme="minorEastAsia" w:hAnsi="Times New Roman" w:cs="Times New Roman"/>
        </w:rPr>
        <w:t>integration</w:t>
      </w:r>
      <w:r w:rsidR="00ED2A98">
        <w:rPr>
          <w:rFonts w:ascii="Times New Roman" w:eastAsiaTheme="minorEastAsia" w:hAnsi="Times New Roman" w:cs="Times New Roman"/>
        </w:rPr>
        <w:t xml:space="preserve"> implies Granger causality. Hence</w:t>
      </w:r>
      <w:r w:rsidR="00DE455B" w:rsidRPr="009A28F5">
        <w:rPr>
          <w:rFonts w:ascii="Times New Roman" w:eastAsiaTheme="minorEastAsia" w:hAnsi="Times New Roman" w:cs="Times New Roman"/>
        </w:rPr>
        <w:t>,</w:t>
      </w:r>
      <w:r w:rsidRPr="009A28F5">
        <w:rPr>
          <w:rFonts w:ascii="Times New Roman" w:eastAsiaTheme="minorEastAsia" w:hAnsi="Times New Roman" w:cs="Times New Roman"/>
        </w:rPr>
        <w:t xml:space="preserve"> causality tests </w:t>
      </w:r>
      <w:r w:rsidR="00ED2A98">
        <w:rPr>
          <w:rFonts w:ascii="Times New Roman" w:eastAsiaTheme="minorEastAsia" w:hAnsi="Times New Roman" w:cs="Times New Roman"/>
        </w:rPr>
        <w:t xml:space="preserve">of co-integrated variables </w:t>
      </w:r>
      <w:r w:rsidRPr="009A28F5">
        <w:rPr>
          <w:rFonts w:ascii="Times New Roman" w:eastAsiaTheme="minorEastAsia" w:hAnsi="Times New Roman" w:cs="Times New Roman"/>
        </w:rPr>
        <w:t xml:space="preserve">require an error correction term </w:t>
      </w:r>
      <w:r w:rsidR="009D34B2" w:rsidRPr="009A28F5">
        <w:rPr>
          <w:rFonts w:ascii="Times New Roman" w:eastAsiaTheme="minorEastAsia" w:hAnsi="Times New Roman" w:cs="Times New Roman"/>
        </w:rPr>
        <w:t>(</w:t>
      </w:r>
      <m:oMath>
        <m:sSub>
          <m:sSubPr>
            <m:ctrlPr>
              <w:rPr>
                <w:rFonts w:ascii="Cambria Math" w:hAnsi="Cambria Math"/>
                <w:i/>
              </w:rPr>
            </m:ctrlPr>
          </m:sSubPr>
          <m:e>
            <m:r>
              <w:rPr>
                <w:rFonts w:ascii="Cambria Math" w:hAnsi="Cambria Math"/>
              </w:rPr>
              <m:t>δ</m:t>
            </m:r>
          </m:e>
          <m:sub>
            <m:r>
              <w:rPr>
                <w:rFonts w:ascii="Cambria Math" w:hAnsi="Cambria Math"/>
              </w:rPr>
              <m:t>i</m:t>
            </m:r>
          </m:sub>
        </m:sSub>
        <m:sSub>
          <m:sSubPr>
            <m:ctrlPr>
              <w:rPr>
                <w:rFonts w:ascii="Cambria Math" w:hAnsi="Cambria Math"/>
                <w:i/>
              </w:rPr>
            </m:ctrlPr>
          </m:sSubPr>
          <m:e>
            <m:r>
              <w:rPr>
                <w:rFonts w:ascii="Cambria Math" w:hAnsi="Cambria Math"/>
              </w:rPr>
              <m:t>z</m:t>
            </m:r>
          </m:e>
          <m:sub>
            <m:r>
              <w:rPr>
                <w:rFonts w:ascii="Cambria Math" w:hAnsi="Cambria Math"/>
              </w:rPr>
              <m:t>t-1</m:t>
            </m:r>
          </m:sub>
        </m:sSub>
      </m:oMath>
      <w:r w:rsidR="009D34B2" w:rsidRPr="009A28F5">
        <w:rPr>
          <w:rFonts w:ascii="Times New Roman" w:eastAsiaTheme="minorEastAsia" w:hAnsi="Times New Roman" w:cs="Times New Roman"/>
        </w:rPr>
        <w:t xml:space="preserve">) </w:t>
      </w:r>
      <w:r w:rsidRPr="009A28F5">
        <w:rPr>
          <w:rFonts w:ascii="Times New Roman" w:eastAsiaTheme="minorEastAsia" w:hAnsi="Times New Roman" w:cs="Times New Roman"/>
        </w:rPr>
        <w:t>derived from the</w:t>
      </w:r>
      <w:r w:rsidR="00E26EC3" w:rsidRPr="009A28F5">
        <w:rPr>
          <w:rFonts w:ascii="Times New Roman" w:eastAsiaTheme="minorEastAsia" w:hAnsi="Times New Roman" w:cs="Times New Roman"/>
        </w:rPr>
        <w:t xml:space="preserve"> co</w:t>
      </w:r>
      <w:r w:rsidR="00E60E85" w:rsidRPr="009A28F5">
        <w:rPr>
          <w:rFonts w:ascii="Times New Roman" w:eastAsiaTheme="minorEastAsia" w:hAnsi="Times New Roman" w:cs="Times New Roman"/>
        </w:rPr>
        <w:t>-</w:t>
      </w:r>
      <w:r w:rsidR="009D34B2" w:rsidRPr="009A28F5">
        <w:rPr>
          <w:rFonts w:ascii="Times New Roman" w:eastAsiaTheme="minorEastAsia" w:hAnsi="Times New Roman" w:cs="Times New Roman"/>
        </w:rPr>
        <w:t>integrating relationship</w:t>
      </w:r>
      <w:r w:rsidR="00ED2A98">
        <w:rPr>
          <w:rFonts w:ascii="Times New Roman" w:eastAsiaTheme="minorEastAsia" w:hAnsi="Times New Roman" w:cs="Times New Roman"/>
        </w:rPr>
        <w:t>:</w:t>
      </w:r>
    </w:p>
    <w:p w14:paraId="4787733A" w14:textId="0485B64B" w:rsidR="001D232B" w:rsidRPr="009A28F5" w:rsidRDefault="001D232B" w:rsidP="00E26EC3">
      <w:pPr>
        <w:spacing w:line="360" w:lineRule="auto"/>
        <w:jc w:val="center"/>
        <w:rPr>
          <w:b/>
          <w:sz w:val="22"/>
          <w:szCs w:val="22"/>
        </w:rPr>
      </w:pPr>
      <m:oMathPara>
        <m:oMath>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1t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δ</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t-1</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k</m:t>
              </m:r>
            </m:sup>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1i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1t-i</m:t>
                  </m:r>
                </m:sub>
              </m:sSub>
              <m:r>
                <w:rPr>
                  <w:rFonts w:ascii="Cambria Math" w:hAnsi="Cambria Math"/>
                  <w:sz w:val="22"/>
                  <w:szCs w:val="22"/>
                </w:rPr>
                <m:t>+</m:t>
              </m:r>
            </m:e>
          </m:nary>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k</m:t>
              </m:r>
            </m:sup>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2i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2t-i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1t</m:t>
                  </m:r>
                </m:sub>
              </m:sSub>
            </m:e>
          </m:nary>
        </m:oMath>
      </m:oMathPara>
    </w:p>
    <w:p w14:paraId="325C5F19" w14:textId="18AF17F1" w:rsidR="001D232B" w:rsidRPr="009A28F5" w:rsidRDefault="001D232B" w:rsidP="00E26EC3">
      <w:pPr>
        <w:spacing w:line="360" w:lineRule="auto"/>
        <w:jc w:val="center"/>
        <w:rPr>
          <w:b/>
          <w:sz w:val="22"/>
          <w:szCs w:val="22"/>
        </w:rPr>
      </w:pPr>
      <m:oMathPara>
        <m:oMath>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2t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δ</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t-1</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k</m:t>
              </m:r>
            </m:sup>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1t-i</m:t>
                  </m:r>
                </m:sub>
              </m:sSub>
              <m:r>
                <w:rPr>
                  <w:rFonts w:ascii="Cambria Math" w:hAnsi="Cambria Math"/>
                  <w:sz w:val="22"/>
                  <w:szCs w:val="22"/>
                </w:rPr>
                <m:t>+</m:t>
              </m:r>
            </m:e>
          </m:nary>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k</m:t>
              </m:r>
            </m:sup>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2t-i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2t</m:t>
                  </m:r>
                </m:sub>
              </m:sSub>
            </m:e>
          </m:nary>
        </m:oMath>
      </m:oMathPara>
    </w:p>
    <w:p w14:paraId="1CB9128F" w14:textId="77777777" w:rsidR="001D232B" w:rsidRPr="009A28F5" w:rsidRDefault="001D232B" w:rsidP="00E26EC3">
      <w:pPr>
        <w:spacing w:line="360" w:lineRule="auto"/>
        <w:jc w:val="center"/>
        <w:rPr>
          <w:sz w:val="22"/>
          <w:szCs w:val="22"/>
        </w:rPr>
      </w:pPr>
    </w:p>
    <w:p w14:paraId="0309AE93" w14:textId="103630FA" w:rsidR="001D232B" w:rsidRPr="009A28F5" w:rsidRDefault="009D34B2" w:rsidP="00E87E3C">
      <w:pPr>
        <w:spacing w:line="360" w:lineRule="auto"/>
        <w:jc w:val="both"/>
        <w:rPr>
          <w:rFonts w:eastAsiaTheme="minorEastAsia"/>
          <w:sz w:val="22"/>
          <w:szCs w:val="22"/>
        </w:rPr>
      </w:pPr>
      <w:r w:rsidRPr="009A28F5">
        <w:rPr>
          <w:sz w:val="22"/>
          <w:szCs w:val="22"/>
        </w:rPr>
        <w:t>R</w:t>
      </w:r>
      <w:r w:rsidR="001D232B" w:rsidRPr="009A28F5">
        <w:rPr>
          <w:rFonts w:eastAsiaTheme="minorEastAsia"/>
          <w:sz w:val="22"/>
          <w:szCs w:val="22"/>
        </w:rPr>
        <w:t xml:space="preserve">ejecting </w:t>
      </w:r>
      <m:oMath>
        <m:sSub>
          <m:sSubPr>
            <m:ctrlPr>
              <w:rPr>
                <w:rFonts w:ascii="Cambria Math" w:eastAsiaTheme="minorEastAsia" w:hAnsi="Cambria Math"/>
                <w:i/>
                <w:sz w:val="22"/>
                <w:szCs w:val="22"/>
              </w:rPr>
            </m:ctrlPr>
          </m:sSubPr>
          <m:e>
            <m:r>
              <w:rPr>
                <w:rFonts w:ascii="Cambria Math" w:eastAsiaTheme="minorEastAsia" w:hAnsi="Cambria Math"/>
                <w:sz w:val="22"/>
                <w:szCs w:val="22"/>
              </w:rPr>
              <m:t>H</m:t>
            </m:r>
          </m:e>
          <m:sub>
            <m:r>
              <w:rPr>
                <w:rFonts w:ascii="Cambria Math" w:eastAsiaTheme="minorEastAsia" w:hAnsi="Cambria Math"/>
                <w:sz w:val="22"/>
                <w:szCs w:val="22"/>
              </w:rPr>
              <m:t>0</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α</m:t>
            </m:r>
          </m:e>
          <m:sub>
            <m:r>
              <w:rPr>
                <w:rFonts w:ascii="Cambria Math" w:eastAsiaTheme="minorEastAsia" w:hAnsi="Cambria Math"/>
                <w:sz w:val="22"/>
                <w:szCs w:val="22"/>
              </w:rPr>
              <m:t>21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α</m:t>
            </m:r>
          </m:e>
          <m:sub>
            <m:r>
              <w:rPr>
                <w:rFonts w:ascii="Cambria Math" w:eastAsiaTheme="minorEastAsia" w:hAnsi="Cambria Math"/>
                <w:sz w:val="22"/>
                <w:szCs w:val="22"/>
              </w:rPr>
              <m:t>22</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α</m:t>
            </m:r>
          </m:e>
          <m:sub>
            <m:r>
              <w:rPr>
                <w:rFonts w:ascii="Cambria Math" w:eastAsiaTheme="minorEastAsia" w:hAnsi="Cambria Math"/>
                <w:sz w:val="22"/>
                <w:szCs w:val="22"/>
              </w:rPr>
              <m:t>2k</m:t>
            </m:r>
          </m:sub>
        </m:sSub>
      </m:oMath>
      <w:r w:rsidR="001D232B" w:rsidRPr="009A28F5">
        <w:rPr>
          <w:rFonts w:eastAsiaTheme="minorEastAsia"/>
          <w:sz w:val="22"/>
          <w:szCs w:val="22"/>
        </w:rPr>
        <w:t xml:space="preserve"> </w:t>
      </w:r>
      <w:r w:rsidR="001D232B" w:rsidRPr="009A28F5">
        <w:rPr>
          <w:rFonts w:eastAsiaTheme="minorEastAsia"/>
          <w:i/>
          <w:sz w:val="22"/>
          <w:szCs w:val="22"/>
        </w:rPr>
        <w:t>and</w:t>
      </w:r>
      <w:r w:rsidRPr="009A28F5">
        <w:rPr>
          <w:rFonts w:eastAsiaTheme="minorEastAsia"/>
          <w:i/>
          <w:sz w:val="22"/>
          <w:szCs w:val="22"/>
        </w:rPr>
        <w:t xml:space="preserve"> </w:t>
      </w:r>
      <m:oMath>
        <m:sSub>
          <m:sSubPr>
            <m:ctrlPr>
              <w:rPr>
                <w:rFonts w:ascii="Cambria Math" w:hAnsi="Cambria Math"/>
                <w:i/>
                <w:sz w:val="22"/>
                <w:szCs w:val="22"/>
              </w:rPr>
            </m:ctrlPr>
          </m:sSubPr>
          <m:e>
            <m:r>
              <w:rPr>
                <w:rFonts w:ascii="Cambria Math" w:hAnsi="Cambria Math"/>
                <w:sz w:val="22"/>
                <w:szCs w:val="22"/>
              </w:rPr>
              <m:t>δ</m:t>
            </m:r>
          </m:e>
          <m:sub>
            <m:r>
              <w:rPr>
                <w:rFonts w:ascii="Cambria Math" w:hAnsi="Cambria Math"/>
                <w:sz w:val="22"/>
                <w:szCs w:val="22"/>
              </w:rPr>
              <m:t>1</m:t>
            </m:r>
          </m:sub>
        </m:sSub>
      </m:oMath>
      <w:r w:rsidR="00E26EC3" w:rsidRPr="009A28F5">
        <w:rPr>
          <w:rFonts w:eastAsiaTheme="minorEastAsia"/>
          <w:sz w:val="22"/>
          <w:szCs w:val="22"/>
        </w:rPr>
        <w:t xml:space="preserve">= 0 implies that </w:t>
      </w:r>
      <w:r w:rsidR="00DE455B" w:rsidRPr="009A28F5">
        <w:rPr>
          <w:rFonts w:eastAsiaTheme="minorEastAsia"/>
          <w:sz w:val="22"/>
          <w:szCs w:val="22"/>
        </w:rPr>
        <w:t>production</w:t>
      </w:r>
      <w:r w:rsidR="00E26EC3" w:rsidRPr="009A28F5">
        <w:rPr>
          <w:rFonts w:eastAsiaTheme="minorEastAsia"/>
          <w:sz w:val="22"/>
          <w:szCs w:val="22"/>
        </w:rPr>
        <w:t xml:space="preserve"> costs </w:t>
      </w:r>
      <w:r w:rsidR="001D232B" w:rsidRPr="009A28F5">
        <w:rPr>
          <w:rFonts w:eastAsiaTheme="minorEastAsia"/>
          <w:sz w:val="22"/>
          <w:szCs w:val="22"/>
        </w:rPr>
        <w:t xml:space="preserve">do Granger cause gold prices. </w:t>
      </w:r>
      <w:r w:rsidR="00E26EC3" w:rsidRPr="009A28F5">
        <w:rPr>
          <w:rFonts w:eastAsiaTheme="minorEastAsia"/>
          <w:sz w:val="22"/>
          <w:szCs w:val="22"/>
        </w:rPr>
        <w:t>R</w:t>
      </w:r>
      <w:r w:rsidR="001D232B" w:rsidRPr="009A28F5">
        <w:rPr>
          <w:rFonts w:eastAsiaTheme="minorEastAsia"/>
          <w:sz w:val="22"/>
          <w:szCs w:val="22"/>
        </w:rPr>
        <w:t xml:space="preserve">ejecting  </w:t>
      </w:r>
      <m:oMath>
        <m:sSub>
          <m:sSubPr>
            <m:ctrlPr>
              <w:rPr>
                <w:rFonts w:ascii="Cambria Math" w:eastAsiaTheme="minorEastAsia" w:hAnsi="Cambria Math"/>
                <w:i/>
                <w:sz w:val="22"/>
                <w:szCs w:val="22"/>
              </w:rPr>
            </m:ctrlPr>
          </m:sSubPr>
          <m:e>
            <m:r>
              <w:rPr>
                <w:rFonts w:ascii="Cambria Math" w:eastAsiaTheme="minorEastAsia" w:hAnsi="Cambria Math"/>
                <w:sz w:val="22"/>
                <w:szCs w:val="22"/>
              </w:rPr>
              <m:t>H</m:t>
            </m:r>
          </m:e>
          <m:sub>
            <m:r>
              <w:rPr>
                <w:rFonts w:ascii="Cambria Math" w:eastAsiaTheme="minorEastAsia" w:hAnsi="Cambria Math"/>
                <w:sz w:val="22"/>
                <w:szCs w:val="22"/>
              </w:rPr>
              <m:t>0</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β</m:t>
            </m:r>
          </m:e>
          <m:sub>
            <m:r>
              <w:rPr>
                <w:rFonts w:ascii="Cambria Math" w:eastAsiaTheme="minorEastAsia" w:hAnsi="Cambria Math"/>
                <w:sz w:val="22"/>
                <w:szCs w:val="22"/>
              </w:rPr>
              <m:t>11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β</m:t>
            </m:r>
          </m:e>
          <m:sub>
            <m:r>
              <w:rPr>
                <w:rFonts w:ascii="Cambria Math" w:eastAsiaTheme="minorEastAsia" w:hAnsi="Cambria Math"/>
                <w:sz w:val="22"/>
                <w:szCs w:val="22"/>
              </w:rPr>
              <m:t>12</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β</m:t>
            </m:r>
          </m:e>
          <m:sub>
            <m:r>
              <w:rPr>
                <w:rFonts w:ascii="Cambria Math" w:eastAsiaTheme="minorEastAsia" w:hAnsi="Cambria Math"/>
                <w:sz w:val="22"/>
                <w:szCs w:val="22"/>
              </w:rPr>
              <m:t>1k</m:t>
            </m:r>
          </m:sub>
        </m:sSub>
      </m:oMath>
      <w:r w:rsidR="001D232B" w:rsidRPr="009A28F5">
        <w:rPr>
          <w:rFonts w:eastAsiaTheme="minorEastAsia"/>
          <w:sz w:val="22"/>
          <w:szCs w:val="22"/>
        </w:rPr>
        <w:t xml:space="preserve"> </w:t>
      </w:r>
      <w:r w:rsidR="001D232B" w:rsidRPr="009A28F5">
        <w:rPr>
          <w:rFonts w:eastAsiaTheme="minorEastAsia"/>
          <w:i/>
          <w:sz w:val="22"/>
          <w:szCs w:val="22"/>
        </w:rPr>
        <w:t>and</w:t>
      </w:r>
      <w:r w:rsidR="001D232B" w:rsidRPr="009A28F5">
        <w:rPr>
          <w:rFonts w:eastAsiaTheme="minorEastAsia"/>
          <w:sz w:val="22"/>
          <w:szCs w:val="22"/>
        </w:rPr>
        <w:t xml:space="preserve"> </w:t>
      </w:r>
      <m:oMath>
        <m:sSub>
          <m:sSubPr>
            <m:ctrlPr>
              <w:rPr>
                <w:rFonts w:ascii="Cambria Math" w:hAnsi="Cambria Math"/>
                <w:i/>
                <w:sz w:val="22"/>
                <w:szCs w:val="22"/>
              </w:rPr>
            </m:ctrlPr>
          </m:sSubPr>
          <m:e>
            <m:r>
              <w:rPr>
                <w:rFonts w:ascii="Cambria Math" w:hAnsi="Cambria Math"/>
                <w:sz w:val="22"/>
                <w:szCs w:val="22"/>
              </w:rPr>
              <m:t>δ</m:t>
            </m:r>
          </m:e>
          <m:sub>
            <m:r>
              <w:rPr>
                <w:rFonts w:ascii="Cambria Math" w:hAnsi="Cambria Math"/>
                <w:sz w:val="22"/>
                <w:szCs w:val="22"/>
              </w:rPr>
              <m:t>2</m:t>
            </m:r>
          </m:sub>
        </m:sSub>
      </m:oMath>
      <w:r w:rsidR="001D232B" w:rsidRPr="009A28F5">
        <w:rPr>
          <w:rFonts w:eastAsiaTheme="minorEastAsia"/>
          <w:sz w:val="22"/>
          <w:szCs w:val="22"/>
        </w:rPr>
        <w:t xml:space="preserve">= 0 implies that gold prices do Granger cause </w:t>
      </w:r>
      <w:r w:rsidR="00DE455B" w:rsidRPr="009A28F5">
        <w:rPr>
          <w:rFonts w:eastAsiaTheme="minorEastAsia"/>
          <w:sz w:val="22"/>
          <w:szCs w:val="22"/>
        </w:rPr>
        <w:t>production</w:t>
      </w:r>
      <w:r w:rsidR="00E26EC3" w:rsidRPr="009A28F5">
        <w:rPr>
          <w:rFonts w:eastAsiaTheme="minorEastAsia"/>
          <w:sz w:val="22"/>
          <w:szCs w:val="22"/>
        </w:rPr>
        <w:t xml:space="preserve"> costs.</w:t>
      </w:r>
      <w:r w:rsidR="00E04FC8">
        <w:rPr>
          <w:rFonts w:eastAsiaTheme="minorEastAsia"/>
          <w:sz w:val="22"/>
          <w:szCs w:val="22"/>
        </w:rPr>
        <w:t xml:space="preserve"> </w:t>
      </w:r>
    </w:p>
    <w:p w14:paraId="64A6FC3F" w14:textId="77777777" w:rsidR="009445F9" w:rsidRPr="009A28F5" w:rsidRDefault="009445F9" w:rsidP="00CD3CF6">
      <w:pPr>
        <w:pStyle w:val="ListParagraph"/>
        <w:spacing w:line="360" w:lineRule="auto"/>
        <w:ind w:left="0"/>
        <w:jc w:val="both"/>
        <w:rPr>
          <w:rFonts w:ascii="Times New Roman" w:eastAsiaTheme="minorEastAsia" w:hAnsi="Times New Roman" w:cs="Times New Roman"/>
          <w:lang w:eastAsia="en-GB"/>
        </w:rPr>
      </w:pPr>
    </w:p>
    <w:p w14:paraId="7527EB8E" w14:textId="77777777" w:rsidR="007139AA" w:rsidRPr="009A28F5" w:rsidRDefault="007139AA" w:rsidP="003B7EAB">
      <w:pPr>
        <w:pStyle w:val="ListParagraph"/>
        <w:numPr>
          <w:ilvl w:val="0"/>
          <w:numId w:val="12"/>
        </w:numPr>
        <w:spacing w:line="360" w:lineRule="auto"/>
        <w:jc w:val="both"/>
        <w:rPr>
          <w:rFonts w:ascii="Times New Roman" w:hAnsi="Times New Roman" w:cs="Times New Roman"/>
          <w:b/>
        </w:rPr>
      </w:pPr>
      <w:r w:rsidRPr="009A28F5">
        <w:rPr>
          <w:rFonts w:ascii="Times New Roman" w:hAnsi="Times New Roman" w:cs="Times New Roman"/>
          <w:b/>
        </w:rPr>
        <w:t>Data</w:t>
      </w:r>
    </w:p>
    <w:p w14:paraId="5E99E364" w14:textId="72F1EBD5" w:rsidR="00154B8B" w:rsidRPr="00662CF3" w:rsidRDefault="00154B8B" w:rsidP="00DE2237">
      <w:pPr>
        <w:spacing w:line="360" w:lineRule="auto"/>
        <w:jc w:val="both"/>
      </w:pPr>
      <w:r w:rsidRPr="00DE2237">
        <w:rPr>
          <w:sz w:val="22"/>
        </w:rPr>
        <w:t>This section describes the gold mine production costs data sets and presents some preliminary descriptive evidence. Mining Costs are collected from two related sources and are provided in nominal US dollars. Longer term data is available for some larger gold producing countries in the annual GFMS Gold Surveys (1989 – 2014), with world average costs available from 1981 – 2013 and the longest country data available (for South Africa) between 1983 and 2013. Data is also available for a wider selection of countries not covered in the GFMS Gold Surveys from the Thomson Reuters GFMS Mine Economics Database over a period covering 2000-2013 at an annual level. Firm-level data is also obtained from the Thomson Reuters database between 2000 and 2013.</w:t>
      </w:r>
    </w:p>
    <w:p w14:paraId="07E2D59B" w14:textId="79723C0C" w:rsidR="00773888" w:rsidRPr="009A28F5" w:rsidRDefault="00773888" w:rsidP="00773888">
      <w:pPr>
        <w:spacing w:line="360" w:lineRule="auto"/>
        <w:jc w:val="both"/>
        <w:rPr>
          <w:sz w:val="22"/>
          <w:szCs w:val="22"/>
        </w:rPr>
      </w:pPr>
      <w:r w:rsidRPr="009A28F5">
        <w:rPr>
          <w:sz w:val="22"/>
          <w:szCs w:val="22"/>
        </w:rPr>
        <w:t>We use two measures of mining costs</w:t>
      </w:r>
      <w:r w:rsidR="006D6B94" w:rsidRPr="009A28F5">
        <w:rPr>
          <w:sz w:val="22"/>
          <w:szCs w:val="22"/>
        </w:rPr>
        <w:t xml:space="preserve"> gathered by GFMS</w:t>
      </w:r>
      <w:r w:rsidRPr="009A28F5">
        <w:rPr>
          <w:sz w:val="22"/>
          <w:szCs w:val="22"/>
        </w:rPr>
        <w:t xml:space="preserve">: Cash Costs and Total Production Costs. Cash Costs are defined as “Mine cash expenses (mining, ore, processing, on site general administrative costs), refining, charges, royalties and production taxes, net of by-product credits” </w:t>
      </w:r>
      <w:r w:rsidRPr="009A28F5">
        <w:rPr>
          <w:sz w:val="22"/>
          <w:szCs w:val="22"/>
        </w:rPr>
        <w:lastRenderedPageBreak/>
        <w:t xml:space="preserve">(GFMS, 2013:52). Total Production Cost is </w:t>
      </w:r>
      <w:r w:rsidR="00154B8B">
        <w:rPr>
          <w:sz w:val="22"/>
          <w:szCs w:val="22"/>
        </w:rPr>
        <w:t>C</w:t>
      </w:r>
      <w:r w:rsidRPr="009A28F5">
        <w:rPr>
          <w:sz w:val="22"/>
          <w:szCs w:val="22"/>
        </w:rPr>
        <w:t xml:space="preserve">ash </w:t>
      </w:r>
      <w:r w:rsidR="00154B8B">
        <w:rPr>
          <w:sz w:val="22"/>
          <w:szCs w:val="22"/>
        </w:rPr>
        <w:t>C</w:t>
      </w:r>
      <w:r w:rsidRPr="009A28F5">
        <w:rPr>
          <w:sz w:val="22"/>
          <w:szCs w:val="22"/>
        </w:rPr>
        <w:t>osts plus depreciation, amortisation and reclamation of cost provisions.</w:t>
      </w:r>
      <w:r w:rsidR="00867B26" w:rsidRPr="009A28F5">
        <w:rPr>
          <w:sz w:val="22"/>
          <w:szCs w:val="22"/>
        </w:rPr>
        <w:t xml:space="preserve"> These are both measured as the US dollar cost of extracting one ounce of gold.</w:t>
      </w:r>
      <w:r w:rsidR="003B7EAB" w:rsidRPr="009A28F5">
        <w:rPr>
          <w:sz w:val="22"/>
          <w:szCs w:val="22"/>
        </w:rPr>
        <w:t xml:space="preserve"> </w:t>
      </w:r>
      <w:r w:rsidR="006D6B94" w:rsidRPr="009A28F5">
        <w:rPr>
          <w:sz w:val="22"/>
          <w:szCs w:val="22"/>
        </w:rPr>
        <w:t>The world average Cash Costs and Total Production Costs are presented in Figure 1 and strongly co-move</w:t>
      </w:r>
      <w:r w:rsidR="009445F9" w:rsidRPr="009A28F5">
        <w:rPr>
          <w:sz w:val="22"/>
          <w:szCs w:val="22"/>
        </w:rPr>
        <w:t>.</w:t>
      </w:r>
    </w:p>
    <w:p w14:paraId="24295322" w14:textId="77777777" w:rsidR="00773888" w:rsidRPr="009A28F5" w:rsidRDefault="00773888" w:rsidP="00773888">
      <w:pPr>
        <w:spacing w:line="360" w:lineRule="auto"/>
        <w:jc w:val="both"/>
        <w:rPr>
          <w:sz w:val="22"/>
          <w:szCs w:val="22"/>
        </w:rPr>
      </w:pPr>
    </w:p>
    <w:p w14:paraId="6066FF30" w14:textId="77777777" w:rsidR="00773888" w:rsidRPr="009A28F5" w:rsidRDefault="00773888" w:rsidP="00773888">
      <w:pPr>
        <w:spacing w:line="360" w:lineRule="auto"/>
        <w:jc w:val="center"/>
        <w:rPr>
          <w:sz w:val="22"/>
          <w:szCs w:val="22"/>
        </w:rPr>
      </w:pPr>
      <w:r w:rsidRPr="009A28F5">
        <w:rPr>
          <w:sz w:val="22"/>
          <w:szCs w:val="22"/>
        </w:rPr>
        <w:t>*** Insert Figure 1 about here ***</w:t>
      </w:r>
    </w:p>
    <w:p w14:paraId="6A58CB59" w14:textId="77777777" w:rsidR="00773888" w:rsidRPr="009A28F5" w:rsidRDefault="00773888" w:rsidP="00773888">
      <w:pPr>
        <w:spacing w:line="360" w:lineRule="auto"/>
        <w:jc w:val="center"/>
        <w:rPr>
          <w:sz w:val="22"/>
          <w:szCs w:val="22"/>
        </w:rPr>
      </w:pPr>
    </w:p>
    <w:p w14:paraId="6B7DF949" w14:textId="74337F1C" w:rsidR="006263CC" w:rsidRPr="009A28F5" w:rsidDel="00154B8B" w:rsidRDefault="006263CC" w:rsidP="00773888">
      <w:pPr>
        <w:spacing w:line="360" w:lineRule="auto"/>
        <w:jc w:val="both"/>
        <w:rPr>
          <w:sz w:val="22"/>
          <w:szCs w:val="22"/>
        </w:rPr>
      </w:pPr>
    </w:p>
    <w:p w14:paraId="5AD14B32" w14:textId="77777777" w:rsidR="00773888" w:rsidRPr="009A28F5" w:rsidRDefault="00773888" w:rsidP="00773888">
      <w:pPr>
        <w:spacing w:line="360" w:lineRule="auto"/>
        <w:jc w:val="both"/>
        <w:rPr>
          <w:sz w:val="22"/>
          <w:szCs w:val="22"/>
        </w:rPr>
      </w:pPr>
    </w:p>
    <w:p w14:paraId="2A3EA9BD" w14:textId="05FF3B8C" w:rsidR="006263CC" w:rsidRPr="009A28F5" w:rsidRDefault="00E7282E" w:rsidP="006263CC">
      <w:pPr>
        <w:spacing w:line="360" w:lineRule="auto"/>
        <w:jc w:val="both"/>
        <w:rPr>
          <w:sz w:val="22"/>
          <w:szCs w:val="22"/>
        </w:rPr>
      </w:pPr>
      <w:r w:rsidRPr="009A28F5">
        <w:rPr>
          <w:sz w:val="22"/>
          <w:szCs w:val="22"/>
        </w:rPr>
        <w:t xml:space="preserve">24 </w:t>
      </w:r>
      <w:r w:rsidR="006263CC" w:rsidRPr="009A28F5">
        <w:rPr>
          <w:sz w:val="22"/>
          <w:szCs w:val="22"/>
        </w:rPr>
        <w:t xml:space="preserve">countries and </w:t>
      </w:r>
      <w:r w:rsidRPr="009A28F5">
        <w:rPr>
          <w:sz w:val="22"/>
          <w:szCs w:val="22"/>
        </w:rPr>
        <w:t xml:space="preserve">32 </w:t>
      </w:r>
      <w:r w:rsidR="006263CC" w:rsidRPr="009A28F5">
        <w:rPr>
          <w:sz w:val="22"/>
          <w:szCs w:val="22"/>
        </w:rPr>
        <w:t xml:space="preserve">companies </w:t>
      </w:r>
      <w:r w:rsidR="003B7EAB" w:rsidRPr="009A28F5">
        <w:rPr>
          <w:sz w:val="22"/>
          <w:szCs w:val="22"/>
        </w:rPr>
        <w:t xml:space="preserve">are </w:t>
      </w:r>
      <w:r w:rsidR="006263CC" w:rsidRPr="009A28F5">
        <w:rPr>
          <w:sz w:val="22"/>
          <w:szCs w:val="22"/>
        </w:rPr>
        <w:t>covered</w:t>
      </w:r>
      <w:r w:rsidR="003B7EAB" w:rsidRPr="009A28F5">
        <w:rPr>
          <w:sz w:val="22"/>
          <w:szCs w:val="22"/>
        </w:rPr>
        <w:t xml:space="preserve"> by this analysis, all countries and companies for which time</w:t>
      </w:r>
      <w:r w:rsidR="00960554" w:rsidRPr="009A28F5">
        <w:rPr>
          <w:sz w:val="22"/>
          <w:szCs w:val="22"/>
        </w:rPr>
        <w:t>-</w:t>
      </w:r>
      <w:r w:rsidR="003B7EAB" w:rsidRPr="009A28F5">
        <w:rPr>
          <w:sz w:val="22"/>
          <w:szCs w:val="22"/>
        </w:rPr>
        <w:t xml:space="preserve">series </w:t>
      </w:r>
      <w:r w:rsidR="00960554" w:rsidRPr="009A28F5">
        <w:rPr>
          <w:sz w:val="22"/>
          <w:szCs w:val="22"/>
        </w:rPr>
        <w:t>data is available</w:t>
      </w:r>
      <w:r w:rsidR="008263E2">
        <w:rPr>
          <w:sz w:val="22"/>
          <w:szCs w:val="22"/>
        </w:rPr>
        <w:t xml:space="preserve"> between at least 2000 and 2013</w:t>
      </w:r>
      <w:r w:rsidR="003B7EAB" w:rsidRPr="009A28F5">
        <w:rPr>
          <w:sz w:val="22"/>
          <w:szCs w:val="22"/>
        </w:rPr>
        <w:t>.</w:t>
      </w:r>
      <w:r w:rsidR="006263CC" w:rsidRPr="009A28F5">
        <w:rPr>
          <w:sz w:val="22"/>
          <w:szCs w:val="22"/>
        </w:rPr>
        <w:t xml:space="preserve"> </w:t>
      </w:r>
      <w:r w:rsidR="003B7EAB" w:rsidRPr="009A28F5">
        <w:rPr>
          <w:sz w:val="22"/>
          <w:szCs w:val="22"/>
        </w:rPr>
        <w:t xml:space="preserve">These </w:t>
      </w:r>
      <w:r w:rsidR="006263CC" w:rsidRPr="009A28F5">
        <w:rPr>
          <w:sz w:val="22"/>
          <w:szCs w:val="22"/>
        </w:rPr>
        <w:t xml:space="preserve">are </w:t>
      </w:r>
      <w:r w:rsidR="00960554" w:rsidRPr="009A28F5">
        <w:rPr>
          <w:sz w:val="22"/>
          <w:szCs w:val="22"/>
        </w:rPr>
        <w:t>presented</w:t>
      </w:r>
      <w:r w:rsidR="006263CC" w:rsidRPr="009A28F5">
        <w:rPr>
          <w:sz w:val="22"/>
          <w:szCs w:val="22"/>
        </w:rPr>
        <w:t xml:space="preserve"> in the Tables in </w:t>
      </w:r>
      <w:r w:rsidR="008777F2" w:rsidRPr="009A28F5">
        <w:rPr>
          <w:sz w:val="22"/>
          <w:szCs w:val="22"/>
        </w:rPr>
        <w:t xml:space="preserve">Section </w:t>
      </w:r>
      <w:r w:rsidR="003B7EAB" w:rsidRPr="009A28F5">
        <w:rPr>
          <w:sz w:val="22"/>
          <w:szCs w:val="22"/>
        </w:rPr>
        <w:t>4</w:t>
      </w:r>
      <w:r w:rsidR="008777F2" w:rsidRPr="009A28F5">
        <w:rPr>
          <w:sz w:val="22"/>
          <w:szCs w:val="22"/>
        </w:rPr>
        <w:t>.</w:t>
      </w:r>
      <w:r w:rsidRPr="009A28F5">
        <w:rPr>
          <w:sz w:val="22"/>
          <w:szCs w:val="22"/>
        </w:rPr>
        <w:t xml:space="preserve"> GFMS gather data at a mine level and aggregate the data based on </w:t>
      </w:r>
      <w:r w:rsidR="003B7EAB" w:rsidRPr="009A28F5">
        <w:rPr>
          <w:sz w:val="22"/>
          <w:szCs w:val="22"/>
        </w:rPr>
        <w:t xml:space="preserve">mine </w:t>
      </w:r>
      <w:r w:rsidRPr="009A28F5">
        <w:rPr>
          <w:sz w:val="22"/>
          <w:szCs w:val="22"/>
        </w:rPr>
        <w:t xml:space="preserve">location for country level statistics and </w:t>
      </w:r>
      <w:r w:rsidR="003B7EAB" w:rsidRPr="009A28F5">
        <w:rPr>
          <w:sz w:val="22"/>
          <w:szCs w:val="22"/>
        </w:rPr>
        <w:t xml:space="preserve">mine </w:t>
      </w:r>
      <w:r w:rsidRPr="009A28F5">
        <w:rPr>
          <w:sz w:val="22"/>
          <w:szCs w:val="22"/>
        </w:rPr>
        <w:t>ownership for companies.</w:t>
      </w:r>
      <w:r w:rsidR="00DE4E99" w:rsidRPr="009A28F5">
        <w:rPr>
          <w:sz w:val="22"/>
          <w:szCs w:val="22"/>
        </w:rPr>
        <w:t xml:space="preserve"> </w:t>
      </w:r>
      <w:r w:rsidR="009445F9" w:rsidRPr="009A28F5">
        <w:rPr>
          <w:sz w:val="22"/>
          <w:szCs w:val="22"/>
        </w:rPr>
        <w:t>T</w:t>
      </w:r>
      <w:r w:rsidR="00DE4E99" w:rsidRPr="009A28F5">
        <w:rPr>
          <w:sz w:val="22"/>
          <w:szCs w:val="22"/>
        </w:rPr>
        <w:t>he annual data is on a calendar and not fiscal year basis.</w:t>
      </w:r>
      <w:r w:rsidRPr="009A28F5">
        <w:rPr>
          <w:sz w:val="22"/>
          <w:szCs w:val="22"/>
        </w:rPr>
        <w:t xml:space="preserve"> The two sets of data</w:t>
      </w:r>
      <w:r w:rsidR="00FB0CBA" w:rsidRPr="009A28F5">
        <w:rPr>
          <w:sz w:val="22"/>
          <w:szCs w:val="22"/>
        </w:rPr>
        <w:t xml:space="preserve"> (country and company)</w:t>
      </w:r>
      <w:r w:rsidRPr="009A28F5">
        <w:rPr>
          <w:sz w:val="22"/>
          <w:szCs w:val="22"/>
        </w:rPr>
        <w:t xml:space="preserve"> are then based on the same underlying dataset</w:t>
      </w:r>
      <w:r w:rsidR="00DE4E99" w:rsidRPr="009A28F5">
        <w:rPr>
          <w:sz w:val="22"/>
          <w:szCs w:val="22"/>
        </w:rPr>
        <w:t xml:space="preserve"> with the country and company data representing a total production of 48 and 32 million troy ounces in 2013</w:t>
      </w:r>
      <w:r w:rsidR="009445F9" w:rsidRPr="009A28F5">
        <w:rPr>
          <w:sz w:val="22"/>
          <w:szCs w:val="22"/>
        </w:rPr>
        <w:t>,</w:t>
      </w:r>
      <w:r w:rsidR="00FB0CBA" w:rsidRPr="009A28F5">
        <w:rPr>
          <w:sz w:val="22"/>
          <w:szCs w:val="22"/>
        </w:rPr>
        <w:t xml:space="preserve"> respectively</w:t>
      </w:r>
      <w:r w:rsidR="00654CF5" w:rsidRPr="009A28F5">
        <w:rPr>
          <w:sz w:val="22"/>
          <w:szCs w:val="22"/>
        </w:rPr>
        <w:t>.</w:t>
      </w:r>
      <w:r w:rsidR="00154B8B">
        <w:rPr>
          <w:sz w:val="22"/>
          <w:szCs w:val="22"/>
        </w:rPr>
        <w:t xml:space="preserve"> </w:t>
      </w:r>
      <w:r w:rsidR="008263E2">
        <w:rPr>
          <w:sz w:val="22"/>
          <w:szCs w:val="22"/>
        </w:rPr>
        <w:t>The analysis that follows will focus more on the country level data as</w:t>
      </w:r>
      <w:r w:rsidR="008263E2" w:rsidRPr="009A28F5">
        <w:rPr>
          <w:sz w:val="22"/>
          <w:szCs w:val="22"/>
        </w:rPr>
        <w:t xml:space="preserve"> </w:t>
      </w:r>
      <w:r w:rsidR="008263E2">
        <w:rPr>
          <w:sz w:val="22"/>
          <w:szCs w:val="22"/>
        </w:rPr>
        <w:t>it is</w:t>
      </w:r>
      <w:r w:rsidR="00154B8B">
        <w:rPr>
          <w:sz w:val="22"/>
          <w:szCs w:val="22"/>
        </w:rPr>
        <w:t xml:space="preserve"> more complete</w:t>
      </w:r>
      <w:r w:rsidR="000E7DBC">
        <w:rPr>
          <w:sz w:val="22"/>
          <w:szCs w:val="22"/>
        </w:rPr>
        <w:t>.</w:t>
      </w:r>
      <w:r w:rsidR="00154B8B">
        <w:rPr>
          <w:sz w:val="22"/>
          <w:szCs w:val="22"/>
        </w:rPr>
        <w:t xml:space="preserve"> </w:t>
      </w:r>
      <w:r w:rsidR="000E7DBC">
        <w:rPr>
          <w:sz w:val="22"/>
          <w:szCs w:val="22"/>
        </w:rPr>
        <w:t xml:space="preserve">The </w:t>
      </w:r>
      <w:r w:rsidR="00654CF5" w:rsidRPr="009A28F5">
        <w:rPr>
          <w:sz w:val="22"/>
          <w:szCs w:val="22"/>
        </w:rPr>
        <w:t xml:space="preserve">2013 </w:t>
      </w:r>
      <w:r w:rsidR="008263E2">
        <w:rPr>
          <w:sz w:val="22"/>
          <w:szCs w:val="22"/>
        </w:rPr>
        <w:t xml:space="preserve">world average </w:t>
      </w:r>
      <w:r w:rsidR="00654CF5" w:rsidRPr="009A28F5">
        <w:rPr>
          <w:sz w:val="22"/>
          <w:szCs w:val="22"/>
        </w:rPr>
        <w:t xml:space="preserve">Cash Costs and Total Production Costs </w:t>
      </w:r>
      <w:r w:rsidR="009445F9" w:rsidRPr="009A28F5">
        <w:rPr>
          <w:sz w:val="22"/>
          <w:szCs w:val="22"/>
        </w:rPr>
        <w:t xml:space="preserve">are presented </w:t>
      </w:r>
      <w:r w:rsidR="00C974A3" w:rsidRPr="009A28F5">
        <w:rPr>
          <w:sz w:val="22"/>
          <w:szCs w:val="22"/>
        </w:rPr>
        <w:t>in Table 1</w:t>
      </w:r>
      <w:r w:rsidR="001D6D4D" w:rsidRPr="009A28F5">
        <w:rPr>
          <w:sz w:val="22"/>
          <w:szCs w:val="22"/>
        </w:rPr>
        <w:t>.</w:t>
      </w:r>
    </w:p>
    <w:p w14:paraId="59524F48" w14:textId="77777777" w:rsidR="00960554" w:rsidRPr="009A28F5" w:rsidRDefault="00960554" w:rsidP="006263CC">
      <w:pPr>
        <w:spacing w:line="360" w:lineRule="auto"/>
        <w:jc w:val="both"/>
        <w:rPr>
          <w:sz w:val="22"/>
          <w:szCs w:val="22"/>
        </w:rPr>
      </w:pPr>
    </w:p>
    <w:p w14:paraId="410272B4" w14:textId="77777777" w:rsidR="00C974A3" w:rsidRPr="009A28F5" w:rsidRDefault="00C974A3" w:rsidP="00C974A3">
      <w:pPr>
        <w:spacing w:line="360" w:lineRule="auto"/>
        <w:jc w:val="center"/>
        <w:rPr>
          <w:sz w:val="22"/>
          <w:szCs w:val="22"/>
        </w:rPr>
      </w:pPr>
      <w:r w:rsidRPr="009A28F5">
        <w:rPr>
          <w:sz w:val="22"/>
          <w:szCs w:val="22"/>
        </w:rPr>
        <w:t xml:space="preserve">*** Insert </w:t>
      </w:r>
      <w:r w:rsidR="00E632AC" w:rsidRPr="009A28F5">
        <w:rPr>
          <w:sz w:val="22"/>
          <w:szCs w:val="22"/>
        </w:rPr>
        <w:t>Table 1</w:t>
      </w:r>
      <w:r w:rsidRPr="009A28F5">
        <w:rPr>
          <w:sz w:val="22"/>
          <w:szCs w:val="22"/>
        </w:rPr>
        <w:t xml:space="preserve"> about here ***</w:t>
      </w:r>
    </w:p>
    <w:p w14:paraId="15F74254" w14:textId="77777777" w:rsidR="00E632AC" w:rsidRDefault="00E632AC" w:rsidP="00C974A3">
      <w:pPr>
        <w:spacing w:line="360" w:lineRule="auto"/>
        <w:jc w:val="center"/>
        <w:rPr>
          <w:sz w:val="22"/>
          <w:szCs w:val="22"/>
        </w:rPr>
      </w:pPr>
    </w:p>
    <w:p w14:paraId="77B98E0A" w14:textId="77777777" w:rsidR="00154B8B" w:rsidRDefault="00154B8B" w:rsidP="00154B8B">
      <w:pPr>
        <w:spacing w:line="360" w:lineRule="auto"/>
        <w:jc w:val="both"/>
        <w:rPr>
          <w:sz w:val="22"/>
          <w:szCs w:val="22"/>
        </w:rPr>
      </w:pPr>
      <w:r w:rsidRPr="009A28F5">
        <w:rPr>
          <w:sz w:val="22"/>
          <w:szCs w:val="22"/>
        </w:rPr>
        <w:t>Annual average gold prices in US dollar are gathered from the Gold Fields Minerals Service (GFMS) Annual Gold Survey’s (1989-2014)</w:t>
      </w:r>
      <w:r>
        <w:rPr>
          <w:b/>
          <w:sz w:val="22"/>
          <w:szCs w:val="22"/>
        </w:rPr>
        <w:t xml:space="preserve">, </w:t>
      </w:r>
      <w:r>
        <w:rPr>
          <w:sz w:val="22"/>
          <w:szCs w:val="22"/>
        </w:rPr>
        <w:t>t</w:t>
      </w:r>
      <w:r w:rsidRPr="00FF5241">
        <w:rPr>
          <w:sz w:val="22"/>
          <w:szCs w:val="22"/>
        </w:rPr>
        <w:t>hese are based on the London PM Fixings gold prices</w:t>
      </w:r>
      <w:r>
        <w:rPr>
          <w:sz w:val="22"/>
          <w:szCs w:val="22"/>
        </w:rPr>
        <w:t>.</w:t>
      </w:r>
      <w:r w:rsidRPr="00FF5241">
        <w:rPr>
          <w:sz w:val="22"/>
          <w:szCs w:val="22"/>
        </w:rPr>
        <w:t xml:space="preserve"> </w:t>
      </w:r>
      <w:r>
        <w:rPr>
          <w:sz w:val="22"/>
          <w:szCs w:val="22"/>
        </w:rPr>
        <w:t>These</w:t>
      </w:r>
      <w:r w:rsidRPr="00FF5241">
        <w:rPr>
          <w:sz w:val="22"/>
          <w:szCs w:val="22"/>
        </w:rPr>
        <w:t xml:space="preserve"> have been shown to be jointly as important as the New York based COMEX gold futures price</w:t>
      </w:r>
      <w:r>
        <w:rPr>
          <w:sz w:val="22"/>
          <w:szCs w:val="22"/>
        </w:rPr>
        <w:t>s</w:t>
      </w:r>
      <w:r w:rsidRPr="00FF5241">
        <w:rPr>
          <w:sz w:val="22"/>
          <w:szCs w:val="22"/>
        </w:rPr>
        <w:t xml:space="preserve"> </w:t>
      </w:r>
      <w:r>
        <w:rPr>
          <w:sz w:val="22"/>
          <w:szCs w:val="22"/>
        </w:rPr>
        <w:t xml:space="preserve">(see </w:t>
      </w:r>
      <w:r w:rsidRPr="00FF5241">
        <w:rPr>
          <w:sz w:val="22"/>
          <w:szCs w:val="22"/>
        </w:rPr>
        <w:t>Lucey, Larkin and O’Connor</w:t>
      </w:r>
      <w:r>
        <w:rPr>
          <w:sz w:val="22"/>
          <w:szCs w:val="22"/>
        </w:rPr>
        <w:t>,</w:t>
      </w:r>
      <w:r w:rsidRPr="00FF5241">
        <w:rPr>
          <w:sz w:val="22"/>
          <w:szCs w:val="22"/>
        </w:rPr>
        <w:t xml:space="preserve"> 2014)</w:t>
      </w:r>
      <w:r>
        <w:rPr>
          <w:sz w:val="22"/>
          <w:szCs w:val="22"/>
        </w:rPr>
        <w:t>.</w:t>
      </w:r>
    </w:p>
    <w:p w14:paraId="7091C79A" w14:textId="77777777" w:rsidR="00ED2A98" w:rsidRPr="009A28F5" w:rsidRDefault="00ED2A98" w:rsidP="00DE2237">
      <w:pPr>
        <w:spacing w:line="360" w:lineRule="auto"/>
        <w:rPr>
          <w:sz w:val="22"/>
          <w:szCs w:val="22"/>
        </w:rPr>
      </w:pPr>
    </w:p>
    <w:p w14:paraId="49B84950" w14:textId="11D8AEA7" w:rsidR="00BE5ECC" w:rsidRPr="009A28F5" w:rsidRDefault="008777F2" w:rsidP="008777F2">
      <w:pPr>
        <w:spacing w:line="360" w:lineRule="auto"/>
        <w:jc w:val="both"/>
        <w:rPr>
          <w:sz w:val="22"/>
          <w:szCs w:val="22"/>
        </w:rPr>
      </w:pPr>
      <w:r w:rsidRPr="009A28F5">
        <w:rPr>
          <w:noProof/>
          <w:sz w:val="22"/>
          <w:szCs w:val="22"/>
        </w:rPr>
        <w:t>Figure</w:t>
      </w:r>
      <w:r w:rsidR="00ED2A98">
        <w:rPr>
          <w:noProof/>
          <w:sz w:val="22"/>
          <w:szCs w:val="22"/>
        </w:rPr>
        <w:t>s</w:t>
      </w:r>
      <w:r w:rsidRPr="009A28F5">
        <w:rPr>
          <w:noProof/>
          <w:sz w:val="22"/>
          <w:szCs w:val="22"/>
        </w:rPr>
        <w:t xml:space="preserve"> </w:t>
      </w:r>
      <w:r w:rsidR="001D6D4D" w:rsidRPr="009A28F5">
        <w:rPr>
          <w:noProof/>
          <w:sz w:val="22"/>
          <w:szCs w:val="22"/>
        </w:rPr>
        <w:t>2</w:t>
      </w:r>
      <w:r w:rsidR="00ED2A98">
        <w:rPr>
          <w:noProof/>
          <w:sz w:val="22"/>
          <w:szCs w:val="22"/>
        </w:rPr>
        <w:t>a and 2b</w:t>
      </w:r>
      <w:r w:rsidRPr="009A28F5">
        <w:rPr>
          <w:noProof/>
          <w:sz w:val="22"/>
          <w:szCs w:val="22"/>
        </w:rPr>
        <w:t xml:space="preserve"> present</w:t>
      </w:r>
      <w:r w:rsidR="00ED2A98">
        <w:rPr>
          <w:noProof/>
          <w:sz w:val="22"/>
          <w:szCs w:val="22"/>
        </w:rPr>
        <w:t xml:space="preserve"> the dynamic relationship of the US dollar gold price and the average world cash costs in levels and in percentage</w:t>
      </w:r>
      <w:r w:rsidRPr="009A28F5">
        <w:rPr>
          <w:noProof/>
          <w:sz w:val="22"/>
          <w:szCs w:val="22"/>
        </w:rPr>
        <w:t xml:space="preserve"> </w:t>
      </w:r>
      <w:r w:rsidR="00BE5ECC" w:rsidRPr="009A28F5">
        <w:rPr>
          <w:sz w:val="22"/>
          <w:szCs w:val="22"/>
        </w:rPr>
        <w:t>changes</w:t>
      </w:r>
      <w:r w:rsidR="00ED2A98">
        <w:rPr>
          <w:sz w:val="22"/>
          <w:szCs w:val="22"/>
        </w:rPr>
        <w:t xml:space="preserve">, respectively. The graphs provide </w:t>
      </w:r>
      <w:r w:rsidR="00724408" w:rsidRPr="009A28F5">
        <w:rPr>
          <w:sz w:val="22"/>
          <w:szCs w:val="22"/>
        </w:rPr>
        <w:t>a preliminary</w:t>
      </w:r>
      <w:r w:rsidR="00043972" w:rsidRPr="009A28F5">
        <w:rPr>
          <w:sz w:val="22"/>
          <w:szCs w:val="22"/>
        </w:rPr>
        <w:t xml:space="preserve"> </w:t>
      </w:r>
      <w:r w:rsidR="00936CEC" w:rsidRPr="009A28F5">
        <w:rPr>
          <w:sz w:val="22"/>
          <w:szCs w:val="22"/>
        </w:rPr>
        <w:t>indication</w:t>
      </w:r>
      <w:r w:rsidR="00043972" w:rsidRPr="009A28F5">
        <w:rPr>
          <w:sz w:val="22"/>
          <w:szCs w:val="22"/>
        </w:rPr>
        <w:t xml:space="preserve"> that</w:t>
      </w:r>
      <w:r w:rsidR="00BE5ECC" w:rsidRPr="009A28F5">
        <w:rPr>
          <w:sz w:val="22"/>
          <w:szCs w:val="22"/>
        </w:rPr>
        <w:t xml:space="preserve"> gold prices </w:t>
      </w:r>
      <w:r w:rsidR="00ED2A98">
        <w:rPr>
          <w:sz w:val="22"/>
          <w:szCs w:val="22"/>
        </w:rPr>
        <w:t xml:space="preserve">and cash costs are not co-integrated (Figure 2a) and that gold prices </w:t>
      </w:r>
      <w:r w:rsidR="00BE5ECC" w:rsidRPr="009A28F5">
        <w:rPr>
          <w:sz w:val="22"/>
          <w:szCs w:val="22"/>
        </w:rPr>
        <w:t>move first</w:t>
      </w:r>
      <w:r w:rsidR="00ED2A98">
        <w:rPr>
          <w:sz w:val="22"/>
          <w:szCs w:val="22"/>
        </w:rPr>
        <w:t xml:space="preserve"> (Figure 2b).</w:t>
      </w:r>
    </w:p>
    <w:p w14:paraId="3DE14FC3" w14:textId="77777777" w:rsidR="00BE5ECC" w:rsidRPr="009A28F5" w:rsidRDefault="00BE5ECC" w:rsidP="00E87E3C">
      <w:pPr>
        <w:spacing w:line="360" w:lineRule="auto"/>
        <w:jc w:val="both"/>
        <w:rPr>
          <w:sz w:val="22"/>
          <w:szCs w:val="22"/>
        </w:rPr>
      </w:pPr>
    </w:p>
    <w:p w14:paraId="07BDD38B" w14:textId="156CEC6D" w:rsidR="001C4CB7" w:rsidRDefault="001C4CB7" w:rsidP="001C4CB7">
      <w:pPr>
        <w:spacing w:line="360" w:lineRule="auto"/>
        <w:jc w:val="center"/>
        <w:rPr>
          <w:sz w:val="22"/>
          <w:szCs w:val="22"/>
        </w:rPr>
      </w:pPr>
      <w:r w:rsidRPr="009A28F5">
        <w:rPr>
          <w:sz w:val="22"/>
          <w:szCs w:val="22"/>
        </w:rPr>
        <w:t xml:space="preserve">*** Insert Figure </w:t>
      </w:r>
      <w:r w:rsidR="001D6D4D" w:rsidRPr="009A28F5">
        <w:rPr>
          <w:sz w:val="22"/>
          <w:szCs w:val="22"/>
        </w:rPr>
        <w:t>2</w:t>
      </w:r>
      <w:r w:rsidR="00ED2A98">
        <w:rPr>
          <w:sz w:val="22"/>
          <w:szCs w:val="22"/>
        </w:rPr>
        <w:t>a</w:t>
      </w:r>
      <w:r w:rsidRPr="009A28F5">
        <w:rPr>
          <w:sz w:val="22"/>
          <w:szCs w:val="22"/>
        </w:rPr>
        <w:t xml:space="preserve"> about here ***</w:t>
      </w:r>
    </w:p>
    <w:p w14:paraId="28950BC2" w14:textId="77777777" w:rsidR="00ED2A98" w:rsidRDefault="00ED2A98" w:rsidP="001C4CB7">
      <w:pPr>
        <w:spacing w:line="360" w:lineRule="auto"/>
        <w:jc w:val="center"/>
        <w:rPr>
          <w:sz w:val="22"/>
          <w:szCs w:val="22"/>
        </w:rPr>
      </w:pPr>
    </w:p>
    <w:p w14:paraId="255AD473" w14:textId="48CECA28" w:rsidR="00ED2A98" w:rsidRDefault="00ED2A98" w:rsidP="00ED2A98">
      <w:pPr>
        <w:spacing w:line="360" w:lineRule="auto"/>
        <w:jc w:val="center"/>
        <w:rPr>
          <w:sz w:val="22"/>
          <w:szCs w:val="22"/>
        </w:rPr>
      </w:pPr>
      <w:r w:rsidRPr="009A28F5">
        <w:rPr>
          <w:sz w:val="22"/>
          <w:szCs w:val="22"/>
        </w:rPr>
        <w:t>*** Insert Figure 2</w:t>
      </w:r>
      <w:r>
        <w:rPr>
          <w:sz w:val="22"/>
          <w:szCs w:val="22"/>
        </w:rPr>
        <w:t>b</w:t>
      </w:r>
      <w:r w:rsidRPr="009A28F5">
        <w:rPr>
          <w:sz w:val="22"/>
          <w:szCs w:val="22"/>
        </w:rPr>
        <w:t xml:space="preserve"> about here ***</w:t>
      </w:r>
    </w:p>
    <w:p w14:paraId="0EB6C4A1" w14:textId="77777777" w:rsidR="00ED2A98" w:rsidRDefault="00ED2A98" w:rsidP="001C4CB7">
      <w:pPr>
        <w:spacing w:line="360" w:lineRule="auto"/>
        <w:jc w:val="center"/>
        <w:rPr>
          <w:sz w:val="22"/>
          <w:szCs w:val="22"/>
        </w:rPr>
      </w:pPr>
    </w:p>
    <w:p w14:paraId="288C6A5B" w14:textId="77777777" w:rsidR="00657F67" w:rsidRDefault="00657F67" w:rsidP="001C4CB7">
      <w:pPr>
        <w:spacing w:line="360" w:lineRule="auto"/>
        <w:jc w:val="center"/>
        <w:rPr>
          <w:sz w:val="22"/>
          <w:szCs w:val="22"/>
        </w:rPr>
      </w:pPr>
    </w:p>
    <w:p w14:paraId="2DD8F130" w14:textId="77777777" w:rsidR="00657F67" w:rsidRPr="009A28F5" w:rsidRDefault="00657F67" w:rsidP="001C4CB7">
      <w:pPr>
        <w:spacing w:line="360" w:lineRule="auto"/>
        <w:jc w:val="center"/>
        <w:rPr>
          <w:sz w:val="22"/>
          <w:szCs w:val="22"/>
        </w:rPr>
      </w:pPr>
    </w:p>
    <w:p w14:paraId="73C75704" w14:textId="77777777" w:rsidR="001D232B" w:rsidRPr="009A28F5" w:rsidRDefault="00CD3CF6" w:rsidP="003B7EAB">
      <w:pPr>
        <w:pStyle w:val="ListParagraph"/>
        <w:numPr>
          <w:ilvl w:val="0"/>
          <w:numId w:val="12"/>
        </w:numPr>
        <w:spacing w:line="360" w:lineRule="auto"/>
        <w:rPr>
          <w:rFonts w:ascii="Times New Roman" w:hAnsi="Times New Roman" w:cs="Times New Roman"/>
          <w:b/>
        </w:rPr>
      </w:pPr>
      <w:r w:rsidRPr="009A28F5">
        <w:rPr>
          <w:rFonts w:ascii="Times New Roman" w:hAnsi="Times New Roman" w:cs="Times New Roman"/>
          <w:b/>
        </w:rPr>
        <w:lastRenderedPageBreak/>
        <w:t xml:space="preserve">Estimation </w:t>
      </w:r>
      <w:r w:rsidR="001D232B" w:rsidRPr="009A28F5">
        <w:rPr>
          <w:rFonts w:ascii="Times New Roman" w:hAnsi="Times New Roman" w:cs="Times New Roman"/>
          <w:b/>
        </w:rPr>
        <w:t>Results</w:t>
      </w:r>
    </w:p>
    <w:p w14:paraId="416218C8" w14:textId="77777777" w:rsidR="00E632AC" w:rsidRPr="009A28F5" w:rsidRDefault="00E632AC" w:rsidP="00CD3CF6">
      <w:pPr>
        <w:spacing w:line="360" w:lineRule="auto"/>
        <w:jc w:val="both"/>
        <w:rPr>
          <w:b/>
          <w:sz w:val="22"/>
          <w:szCs w:val="22"/>
        </w:rPr>
      </w:pPr>
      <w:r w:rsidRPr="009A28F5">
        <w:rPr>
          <w:b/>
          <w:sz w:val="22"/>
          <w:szCs w:val="22"/>
        </w:rPr>
        <w:t>Country</w:t>
      </w:r>
      <w:r w:rsidR="001D6D4D" w:rsidRPr="009A28F5">
        <w:rPr>
          <w:b/>
          <w:sz w:val="22"/>
          <w:szCs w:val="22"/>
        </w:rPr>
        <w:t>-level</w:t>
      </w:r>
      <w:r w:rsidRPr="009A28F5">
        <w:rPr>
          <w:b/>
          <w:sz w:val="22"/>
          <w:szCs w:val="22"/>
        </w:rPr>
        <w:t xml:space="preserve"> data</w:t>
      </w:r>
    </w:p>
    <w:p w14:paraId="7FD8ED52" w14:textId="39F51BD3" w:rsidR="008777F2" w:rsidRPr="009A28F5" w:rsidRDefault="008777F2" w:rsidP="00CD3CF6">
      <w:pPr>
        <w:spacing w:line="360" w:lineRule="auto"/>
        <w:jc w:val="both"/>
        <w:rPr>
          <w:sz w:val="22"/>
          <w:szCs w:val="22"/>
        </w:rPr>
      </w:pPr>
      <w:r w:rsidRPr="009A28F5">
        <w:rPr>
          <w:sz w:val="22"/>
          <w:szCs w:val="22"/>
        </w:rPr>
        <w:t>This section presents the estimation results of the unit-root tests, the co-integration tests and the Granger causality tests</w:t>
      </w:r>
      <w:r w:rsidR="00E632AC" w:rsidRPr="009A28F5">
        <w:rPr>
          <w:sz w:val="22"/>
          <w:szCs w:val="22"/>
        </w:rPr>
        <w:t xml:space="preserve"> for country level data.</w:t>
      </w:r>
      <w:r w:rsidR="00E04FC8">
        <w:rPr>
          <w:sz w:val="22"/>
          <w:szCs w:val="22"/>
        </w:rPr>
        <w:t xml:space="preserve"> </w:t>
      </w:r>
      <w:r w:rsidR="001D232B" w:rsidRPr="009A28F5">
        <w:rPr>
          <w:sz w:val="22"/>
          <w:szCs w:val="22"/>
        </w:rPr>
        <w:t>We begin by testing all variables for a unit root.</w:t>
      </w:r>
      <w:r w:rsidRPr="009A28F5">
        <w:rPr>
          <w:sz w:val="22"/>
          <w:szCs w:val="22"/>
        </w:rPr>
        <w:t xml:space="preserve"> Table </w:t>
      </w:r>
      <w:r w:rsidR="00C974A3" w:rsidRPr="009A28F5">
        <w:rPr>
          <w:sz w:val="22"/>
          <w:szCs w:val="22"/>
        </w:rPr>
        <w:t>2</w:t>
      </w:r>
      <w:r w:rsidRPr="009A28F5">
        <w:rPr>
          <w:sz w:val="22"/>
          <w:szCs w:val="22"/>
        </w:rPr>
        <w:t xml:space="preserve"> </w:t>
      </w:r>
      <w:r w:rsidR="00843397" w:rsidRPr="009A28F5">
        <w:rPr>
          <w:sz w:val="22"/>
          <w:szCs w:val="22"/>
        </w:rPr>
        <w:t>presents the test statistics of the Augmented-Dickey Fuller (ADF) test</w:t>
      </w:r>
      <w:r w:rsidR="005D3CBA" w:rsidRPr="009A28F5">
        <w:rPr>
          <w:sz w:val="22"/>
          <w:szCs w:val="22"/>
        </w:rPr>
        <w:t>s</w:t>
      </w:r>
      <w:r w:rsidR="00843397" w:rsidRPr="009A28F5">
        <w:rPr>
          <w:sz w:val="22"/>
          <w:szCs w:val="22"/>
        </w:rPr>
        <w:t xml:space="preserve"> with the null hypothesis that the time-series is </w:t>
      </w:r>
      <w:r w:rsidR="00E632AC" w:rsidRPr="009A28F5">
        <w:rPr>
          <w:sz w:val="22"/>
          <w:szCs w:val="22"/>
        </w:rPr>
        <w:t>non-</w:t>
      </w:r>
      <w:r w:rsidR="00843397" w:rsidRPr="009A28F5">
        <w:rPr>
          <w:sz w:val="22"/>
          <w:szCs w:val="22"/>
        </w:rPr>
        <w:t xml:space="preserve">stationary. The test statistics </w:t>
      </w:r>
      <w:r w:rsidRPr="009A28F5">
        <w:rPr>
          <w:sz w:val="22"/>
          <w:szCs w:val="22"/>
        </w:rPr>
        <w:t>shows that al</w:t>
      </w:r>
      <w:r w:rsidR="00843397" w:rsidRPr="009A28F5">
        <w:rPr>
          <w:sz w:val="22"/>
          <w:szCs w:val="22"/>
        </w:rPr>
        <w:t xml:space="preserve">l variables </w:t>
      </w:r>
      <w:r w:rsidR="00E632AC" w:rsidRPr="009A28F5">
        <w:rPr>
          <w:sz w:val="22"/>
          <w:szCs w:val="22"/>
        </w:rPr>
        <w:t xml:space="preserve">are non-stationary and </w:t>
      </w:r>
      <w:r w:rsidR="00843397" w:rsidRPr="009A28F5">
        <w:rPr>
          <w:sz w:val="22"/>
          <w:szCs w:val="22"/>
        </w:rPr>
        <w:t xml:space="preserve">exhibit a unit-root in levels </w:t>
      </w:r>
      <w:r w:rsidR="00E632AC" w:rsidRPr="009A28F5">
        <w:rPr>
          <w:sz w:val="22"/>
          <w:szCs w:val="22"/>
        </w:rPr>
        <w:t xml:space="preserve">(the null is not rejected) </w:t>
      </w:r>
      <w:r w:rsidR="000931E7" w:rsidRPr="009A28F5">
        <w:rPr>
          <w:sz w:val="22"/>
          <w:szCs w:val="22"/>
        </w:rPr>
        <w:t>and</w:t>
      </w:r>
      <w:r w:rsidR="00843397" w:rsidRPr="009A28F5">
        <w:rPr>
          <w:sz w:val="22"/>
          <w:szCs w:val="22"/>
        </w:rPr>
        <w:t xml:space="preserve"> are stationary if measured in first differences.</w:t>
      </w:r>
      <w:r w:rsidR="000931E7" w:rsidRPr="009A28F5">
        <w:rPr>
          <w:sz w:val="22"/>
          <w:szCs w:val="22"/>
        </w:rPr>
        <w:t xml:space="preserve"> </w:t>
      </w:r>
    </w:p>
    <w:p w14:paraId="4015617E" w14:textId="77777777" w:rsidR="008777F2" w:rsidRPr="009A28F5" w:rsidRDefault="008777F2" w:rsidP="008777F2">
      <w:pPr>
        <w:spacing w:line="360" w:lineRule="auto"/>
        <w:jc w:val="center"/>
        <w:rPr>
          <w:sz w:val="22"/>
          <w:szCs w:val="22"/>
        </w:rPr>
      </w:pPr>
    </w:p>
    <w:p w14:paraId="0F49FE9C" w14:textId="77777777" w:rsidR="008777F2" w:rsidRPr="009A28F5" w:rsidRDefault="008777F2" w:rsidP="008777F2">
      <w:pPr>
        <w:spacing w:line="360" w:lineRule="auto"/>
        <w:jc w:val="center"/>
        <w:rPr>
          <w:sz w:val="22"/>
          <w:szCs w:val="22"/>
        </w:rPr>
      </w:pPr>
      <w:r w:rsidRPr="009A28F5">
        <w:rPr>
          <w:sz w:val="22"/>
          <w:szCs w:val="22"/>
        </w:rPr>
        <w:t xml:space="preserve">*** Insert Table </w:t>
      </w:r>
      <w:r w:rsidR="00C974A3" w:rsidRPr="009A28F5">
        <w:rPr>
          <w:sz w:val="22"/>
          <w:szCs w:val="22"/>
        </w:rPr>
        <w:t>2</w:t>
      </w:r>
      <w:r w:rsidRPr="009A28F5">
        <w:rPr>
          <w:sz w:val="22"/>
          <w:szCs w:val="22"/>
        </w:rPr>
        <w:t xml:space="preserve"> about here ***</w:t>
      </w:r>
    </w:p>
    <w:p w14:paraId="24B9665D" w14:textId="77777777" w:rsidR="008777F2" w:rsidRPr="009A28F5" w:rsidRDefault="008777F2" w:rsidP="00CD3CF6">
      <w:pPr>
        <w:spacing w:line="360" w:lineRule="auto"/>
        <w:jc w:val="both"/>
        <w:rPr>
          <w:sz w:val="22"/>
          <w:szCs w:val="22"/>
        </w:rPr>
      </w:pPr>
    </w:p>
    <w:p w14:paraId="3A19CEE3" w14:textId="1FD635A4" w:rsidR="00ED368E" w:rsidRPr="009A28F5" w:rsidRDefault="00843397" w:rsidP="00CD3CF6">
      <w:pPr>
        <w:spacing w:line="360" w:lineRule="auto"/>
        <w:jc w:val="both"/>
        <w:rPr>
          <w:sz w:val="22"/>
          <w:szCs w:val="22"/>
        </w:rPr>
      </w:pPr>
      <w:r w:rsidRPr="009A28F5">
        <w:rPr>
          <w:sz w:val="22"/>
          <w:szCs w:val="22"/>
        </w:rPr>
        <w:t xml:space="preserve">Table </w:t>
      </w:r>
      <w:r w:rsidR="00FA283B" w:rsidRPr="009A28F5">
        <w:rPr>
          <w:sz w:val="22"/>
          <w:szCs w:val="22"/>
        </w:rPr>
        <w:t>3</w:t>
      </w:r>
      <w:r w:rsidRPr="009A28F5">
        <w:rPr>
          <w:sz w:val="22"/>
          <w:szCs w:val="22"/>
        </w:rPr>
        <w:t xml:space="preserve"> presents the results of the Johansen co-integration tests and shows that </w:t>
      </w:r>
      <w:r w:rsidR="00BA08C5">
        <w:rPr>
          <w:sz w:val="22"/>
          <w:szCs w:val="22"/>
        </w:rPr>
        <w:t xml:space="preserve">the </w:t>
      </w:r>
      <w:r w:rsidR="00282E5B" w:rsidRPr="009A28F5">
        <w:rPr>
          <w:sz w:val="22"/>
          <w:szCs w:val="22"/>
        </w:rPr>
        <w:t xml:space="preserve">gold </w:t>
      </w:r>
      <w:r w:rsidR="00BA08C5">
        <w:rPr>
          <w:sz w:val="22"/>
          <w:szCs w:val="22"/>
        </w:rPr>
        <w:t xml:space="preserve">price </w:t>
      </w:r>
      <w:r w:rsidR="00282E5B" w:rsidRPr="009A28F5">
        <w:rPr>
          <w:sz w:val="22"/>
          <w:szCs w:val="22"/>
        </w:rPr>
        <w:t>and either cash cost</w:t>
      </w:r>
      <w:r w:rsidR="00BA08C5">
        <w:rPr>
          <w:sz w:val="22"/>
          <w:szCs w:val="22"/>
        </w:rPr>
        <w:t>s</w:t>
      </w:r>
      <w:r w:rsidR="00282E5B" w:rsidRPr="009A28F5">
        <w:rPr>
          <w:sz w:val="22"/>
          <w:szCs w:val="22"/>
        </w:rPr>
        <w:t xml:space="preserve"> or total production costs are rarely co</w:t>
      </w:r>
      <w:r w:rsidR="00E632AC" w:rsidRPr="009A28F5">
        <w:rPr>
          <w:sz w:val="22"/>
          <w:szCs w:val="22"/>
        </w:rPr>
        <w:t>-</w:t>
      </w:r>
      <w:r w:rsidR="00282E5B" w:rsidRPr="009A28F5">
        <w:rPr>
          <w:sz w:val="22"/>
          <w:szCs w:val="22"/>
        </w:rPr>
        <w:t>integrated</w:t>
      </w:r>
      <w:r w:rsidR="00E632AC" w:rsidRPr="009A28F5">
        <w:rPr>
          <w:sz w:val="22"/>
          <w:szCs w:val="22"/>
        </w:rPr>
        <w:t xml:space="preserve">. </w:t>
      </w:r>
      <w:r w:rsidR="001E1CDD">
        <w:rPr>
          <w:sz w:val="22"/>
          <w:szCs w:val="22"/>
        </w:rPr>
        <w:t>This finding is consistent with Figure 2a that illustrates that the gold price and aggregate world production costs are not co-integrated</w:t>
      </w:r>
      <w:r w:rsidR="000E7DBC">
        <w:rPr>
          <w:sz w:val="22"/>
          <w:szCs w:val="22"/>
        </w:rPr>
        <w:t>,</w:t>
      </w:r>
      <w:r w:rsidR="001E1CDD">
        <w:rPr>
          <w:sz w:val="22"/>
          <w:szCs w:val="22"/>
        </w:rPr>
        <w:t xml:space="preserve"> most likely due to the strong price </w:t>
      </w:r>
      <w:r w:rsidR="008263E2">
        <w:rPr>
          <w:sz w:val="22"/>
          <w:szCs w:val="22"/>
        </w:rPr>
        <w:t xml:space="preserve">increase </w:t>
      </w:r>
      <w:r w:rsidR="001E1CDD">
        <w:rPr>
          <w:sz w:val="22"/>
          <w:szCs w:val="22"/>
        </w:rPr>
        <w:t>of gold between 2004 and 2011. Given this relationship it is not surprising that co-</w:t>
      </w:r>
      <w:r w:rsidR="008B0948">
        <w:rPr>
          <w:sz w:val="22"/>
          <w:szCs w:val="22"/>
        </w:rPr>
        <w:t xml:space="preserve">integration is only found for countries </w:t>
      </w:r>
      <w:r w:rsidR="001E1CDD">
        <w:rPr>
          <w:sz w:val="22"/>
          <w:szCs w:val="22"/>
        </w:rPr>
        <w:t xml:space="preserve">with a shorter (later) sample period as this implicitly accounts for a structural break. </w:t>
      </w:r>
    </w:p>
    <w:p w14:paraId="4F1552DE" w14:textId="77777777" w:rsidR="00843397" w:rsidRPr="009A28F5" w:rsidRDefault="00843397" w:rsidP="00FF5069">
      <w:pPr>
        <w:spacing w:line="360" w:lineRule="auto"/>
        <w:rPr>
          <w:sz w:val="22"/>
          <w:szCs w:val="22"/>
        </w:rPr>
      </w:pPr>
    </w:p>
    <w:p w14:paraId="0018EBF0" w14:textId="34816671" w:rsidR="00843397" w:rsidRPr="009A28F5" w:rsidRDefault="00E04FC8" w:rsidP="00843397">
      <w:pPr>
        <w:spacing w:line="360" w:lineRule="auto"/>
        <w:jc w:val="center"/>
        <w:rPr>
          <w:sz w:val="22"/>
          <w:szCs w:val="22"/>
        </w:rPr>
      </w:pPr>
      <w:r>
        <w:rPr>
          <w:sz w:val="22"/>
          <w:szCs w:val="22"/>
        </w:rPr>
        <w:t>**</w:t>
      </w:r>
      <w:r w:rsidR="00843397" w:rsidRPr="009A28F5">
        <w:rPr>
          <w:sz w:val="22"/>
          <w:szCs w:val="22"/>
        </w:rPr>
        <w:t xml:space="preserve">* Insert Table </w:t>
      </w:r>
      <w:r w:rsidR="00C974A3" w:rsidRPr="009A28F5">
        <w:rPr>
          <w:sz w:val="22"/>
          <w:szCs w:val="22"/>
        </w:rPr>
        <w:t xml:space="preserve">3 </w:t>
      </w:r>
      <w:r w:rsidR="00843397" w:rsidRPr="009A28F5">
        <w:rPr>
          <w:sz w:val="22"/>
          <w:szCs w:val="22"/>
        </w:rPr>
        <w:t>about here ***</w:t>
      </w:r>
    </w:p>
    <w:p w14:paraId="57200F22" w14:textId="5E26651E" w:rsidR="00FF5069" w:rsidRDefault="000A456A" w:rsidP="00843397">
      <w:pPr>
        <w:spacing w:line="360" w:lineRule="auto"/>
        <w:jc w:val="center"/>
        <w:rPr>
          <w:sz w:val="22"/>
          <w:szCs w:val="22"/>
        </w:rPr>
      </w:pPr>
      <w:r>
        <w:rPr>
          <w:sz w:val="22"/>
          <w:szCs w:val="22"/>
        </w:rPr>
        <w:t>*** Insert Figure 3 about here ***</w:t>
      </w:r>
    </w:p>
    <w:p w14:paraId="3843B87F" w14:textId="3F2D1F97" w:rsidR="008263E2" w:rsidRPr="009A28F5" w:rsidRDefault="008263E2" w:rsidP="00843397">
      <w:pPr>
        <w:spacing w:line="360" w:lineRule="auto"/>
        <w:jc w:val="center"/>
        <w:rPr>
          <w:sz w:val="22"/>
          <w:szCs w:val="22"/>
        </w:rPr>
      </w:pPr>
    </w:p>
    <w:p w14:paraId="26409D4E" w14:textId="50C5CF87" w:rsidR="00BA08C5" w:rsidRDefault="00843397" w:rsidP="001E1B65">
      <w:pPr>
        <w:spacing w:line="360" w:lineRule="auto"/>
        <w:jc w:val="both"/>
        <w:rPr>
          <w:sz w:val="22"/>
          <w:szCs w:val="22"/>
        </w:rPr>
      </w:pPr>
      <w:r w:rsidRPr="009A28F5">
        <w:rPr>
          <w:sz w:val="22"/>
          <w:szCs w:val="22"/>
        </w:rPr>
        <w:t>The Granger causality test results are presented in Table</w:t>
      </w:r>
      <w:r w:rsidR="00FA283B" w:rsidRPr="009A28F5">
        <w:rPr>
          <w:sz w:val="22"/>
          <w:szCs w:val="22"/>
        </w:rPr>
        <w:t xml:space="preserve"> </w:t>
      </w:r>
      <w:r w:rsidR="00E60E85" w:rsidRPr="009A28F5">
        <w:rPr>
          <w:sz w:val="22"/>
          <w:szCs w:val="22"/>
        </w:rPr>
        <w:t>4</w:t>
      </w:r>
      <w:r w:rsidR="000729AC" w:rsidRPr="009A28F5">
        <w:rPr>
          <w:sz w:val="22"/>
          <w:szCs w:val="22"/>
        </w:rPr>
        <w:t>A for the countries with longer time</w:t>
      </w:r>
      <w:r w:rsidR="001E1B65" w:rsidRPr="009A28F5">
        <w:rPr>
          <w:sz w:val="22"/>
          <w:szCs w:val="22"/>
        </w:rPr>
        <w:t>-</w:t>
      </w:r>
      <w:r w:rsidR="000729AC" w:rsidRPr="009A28F5">
        <w:rPr>
          <w:sz w:val="22"/>
          <w:szCs w:val="22"/>
        </w:rPr>
        <w:t>series available</w:t>
      </w:r>
      <w:r w:rsidR="00DD13E8" w:rsidRPr="009A28F5">
        <w:rPr>
          <w:sz w:val="22"/>
          <w:szCs w:val="22"/>
        </w:rPr>
        <w:t xml:space="preserve"> and</w:t>
      </w:r>
      <w:r w:rsidR="000729AC" w:rsidRPr="009A28F5">
        <w:rPr>
          <w:sz w:val="22"/>
          <w:szCs w:val="22"/>
        </w:rPr>
        <w:t xml:space="preserve"> </w:t>
      </w:r>
      <w:r w:rsidR="008263E2">
        <w:rPr>
          <w:sz w:val="22"/>
          <w:szCs w:val="22"/>
        </w:rPr>
        <w:t>Table 4</w:t>
      </w:r>
      <w:r w:rsidR="000729AC" w:rsidRPr="009A28F5">
        <w:rPr>
          <w:sz w:val="22"/>
          <w:szCs w:val="22"/>
        </w:rPr>
        <w:t>B for the shorter time</w:t>
      </w:r>
      <w:r w:rsidR="001E1B65" w:rsidRPr="009A28F5">
        <w:rPr>
          <w:sz w:val="22"/>
          <w:szCs w:val="22"/>
        </w:rPr>
        <w:t>-</w:t>
      </w:r>
      <w:r w:rsidR="000729AC" w:rsidRPr="009A28F5">
        <w:rPr>
          <w:sz w:val="22"/>
          <w:szCs w:val="22"/>
        </w:rPr>
        <w:t>series results</w:t>
      </w:r>
      <w:r w:rsidR="00DD13E8" w:rsidRPr="009A28F5">
        <w:rPr>
          <w:sz w:val="22"/>
          <w:szCs w:val="22"/>
        </w:rPr>
        <w:t xml:space="preserve">. </w:t>
      </w:r>
    </w:p>
    <w:p w14:paraId="3EA18FBD" w14:textId="77777777" w:rsidR="008263E2" w:rsidRDefault="008263E2" w:rsidP="001E1B65">
      <w:pPr>
        <w:spacing w:line="360" w:lineRule="auto"/>
        <w:jc w:val="both"/>
        <w:rPr>
          <w:sz w:val="22"/>
          <w:szCs w:val="22"/>
        </w:rPr>
      </w:pPr>
    </w:p>
    <w:p w14:paraId="57140BB8" w14:textId="01AA1F35" w:rsidR="008263E2" w:rsidRDefault="008263E2" w:rsidP="00DE2237">
      <w:pPr>
        <w:spacing w:line="360" w:lineRule="auto"/>
        <w:jc w:val="center"/>
        <w:rPr>
          <w:sz w:val="22"/>
          <w:szCs w:val="22"/>
        </w:rPr>
      </w:pPr>
      <w:r>
        <w:rPr>
          <w:sz w:val="22"/>
          <w:szCs w:val="22"/>
        </w:rPr>
        <w:t>**Insert Table 4A about here***</w:t>
      </w:r>
    </w:p>
    <w:p w14:paraId="37126551" w14:textId="77777777" w:rsidR="008263E2" w:rsidRPr="009A28F5" w:rsidRDefault="008263E2" w:rsidP="001E1B65">
      <w:pPr>
        <w:spacing w:line="360" w:lineRule="auto"/>
        <w:jc w:val="both"/>
        <w:rPr>
          <w:sz w:val="22"/>
          <w:szCs w:val="22"/>
        </w:rPr>
      </w:pPr>
    </w:p>
    <w:p w14:paraId="39AE259F" w14:textId="02936717" w:rsidR="001E1CDD" w:rsidRPr="009A28F5" w:rsidRDefault="00DD13E8">
      <w:pPr>
        <w:spacing w:line="360" w:lineRule="auto"/>
        <w:jc w:val="both"/>
        <w:rPr>
          <w:sz w:val="22"/>
          <w:szCs w:val="22"/>
        </w:rPr>
      </w:pPr>
      <w:r w:rsidRPr="009A28F5">
        <w:rPr>
          <w:sz w:val="22"/>
          <w:szCs w:val="22"/>
        </w:rPr>
        <w:t>T</w:t>
      </w:r>
      <w:r w:rsidR="00CD3CF6" w:rsidRPr="009A28F5">
        <w:rPr>
          <w:sz w:val="22"/>
          <w:szCs w:val="22"/>
        </w:rPr>
        <w:t xml:space="preserve">he longest </w:t>
      </w:r>
      <w:r w:rsidRPr="009A28F5">
        <w:rPr>
          <w:sz w:val="22"/>
          <w:szCs w:val="22"/>
        </w:rPr>
        <w:t xml:space="preserve">available </w:t>
      </w:r>
      <w:r w:rsidR="00CD3CF6" w:rsidRPr="009A28F5">
        <w:rPr>
          <w:sz w:val="22"/>
          <w:szCs w:val="22"/>
        </w:rPr>
        <w:t>time</w:t>
      </w:r>
      <w:r w:rsidR="008777F2" w:rsidRPr="009A28F5">
        <w:rPr>
          <w:sz w:val="22"/>
          <w:szCs w:val="22"/>
        </w:rPr>
        <w:t>-</w:t>
      </w:r>
      <w:r w:rsidR="00724408" w:rsidRPr="009A28F5">
        <w:rPr>
          <w:sz w:val="22"/>
          <w:szCs w:val="22"/>
        </w:rPr>
        <w:t>series</w:t>
      </w:r>
      <w:r w:rsidRPr="009A28F5">
        <w:rPr>
          <w:sz w:val="22"/>
          <w:szCs w:val="22"/>
        </w:rPr>
        <w:t xml:space="preserve"> is</w:t>
      </w:r>
      <w:r w:rsidR="00724408" w:rsidRPr="009A28F5">
        <w:rPr>
          <w:sz w:val="22"/>
          <w:szCs w:val="22"/>
        </w:rPr>
        <w:t xml:space="preserve"> </w:t>
      </w:r>
      <w:r w:rsidRPr="009A28F5">
        <w:rPr>
          <w:sz w:val="22"/>
          <w:szCs w:val="22"/>
        </w:rPr>
        <w:t xml:space="preserve">world </w:t>
      </w:r>
      <w:r w:rsidR="00DE455B" w:rsidRPr="009A28F5">
        <w:rPr>
          <w:sz w:val="22"/>
          <w:szCs w:val="22"/>
        </w:rPr>
        <w:t>production</w:t>
      </w:r>
      <w:r w:rsidRPr="009A28F5">
        <w:rPr>
          <w:sz w:val="22"/>
          <w:szCs w:val="22"/>
        </w:rPr>
        <w:t xml:space="preserve"> </w:t>
      </w:r>
      <w:r w:rsidR="000729AC" w:rsidRPr="009A28F5">
        <w:rPr>
          <w:sz w:val="22"/>
          <w:szCs w:val="22"/>
        </w:rPr>
        <w:t>costs</w:t>
      </w:r>
      <w:r w:rsidRPr="009A28F5">
        <w:rPr>
          <w:sz w:val="22"/>
          <w:szCs w:val="22"/>
        </w:rPr>
        <w:t xml:space="preserve">. The </w:t>
      </w:r>
      <w:r w:rsidR="009830FF" w:rsidRPr="009A28F5">
        <w:rPr>
          <w:sz w:val="22"/>
          <w:szCs w:val="22"/>
        </w:rPr>
        <w:t>s</w:t>
      </w:r>
      <w:r w:rsidRPr="009A28F5">
        <w:rPr>
          <w:sz w:val="22"/>
          <w:szCs w:val="22"/>
        </w:rPr>
        <w:t xml:space="preserve">eries starts in 1981 </w:t>
      </w:r>
      <w:r w:rsidR="00724408" w:rsidRPr="009A28F5">
        <w:rPr>
          <w:sz w:val="22"/>
          <w:szCs w:val="22"/>
        </w:rPr>
        <w:t>and cover</w:t>
      </w:r>
      <w:r w:rsidR="001E1B65" w:rsidRPr="009A28F5">
        <w:rPr>
          <w:sz w:val="22"/>
          <w:szCs w:val="22"/>
        </w:rPr>
        <w:t>s</w:t>
      </w:r>
      <w:r w:rsidR="00724408" w:rsidRPr="009A28F5">
        <w:rPr>
          <w:sz w:val="22"/>
          <w:szCs w:val="22"/>
        </w:rPr>
        <w:t xml:space="preserve"> the largest sample of gold production as all mines surveyed are included in this aggregated figure. The world average is weighted on the basis of the level of production. T</w:t>
      </w:r>
      <w:r w:rsidR="00843397" w:rsidRPr="009A28F5">
        <w:rPr>
          <w:sz w:val="22"/>
          <w:szCs w:val="22"/>
        </w:rPr>
        <w:t xml:space="preserve">he results </w:t>
      </w:r>
      <w:r w:rsidR="00CD3CF6" w:rsidRPr="009A28F5">
        <w:rPr>
          <w:sz w:val="22"/>
          <w:szCs w:val="22"/>
        </w:rPr>
        <w:t>show that the price of gold causes the cost of production and not vice versa.  For every $1 increase in the gold price</w:t>
      </w:r>
      <w:r w:rsidRPr="009A28F5">
        <w:rPr>
          <w:sz w:val="22"/>
          <w:szCs w:val="22"/>
        </w:rPr>
        <w:t>,</w:t>
      </w:r>
      <w:r w:rsidR="00CD3CF6" w:rsidRPr="009A28F5">
        <w:rPr>
          <w:sz w:val="22"/>
          <w:szCs w:val="22"/>
        </w:rPr>
        <w:t xml:space="preserve"> average world cash costs are shown to increase by just over $0.</w:t>
      </w:r>
      <w:r w:rsidR="000729AC" w:rsidRPr="009A28F5">
        <w:rPr>
          <w:sz w:val="22"/>
          <w:szCs w:val="22"/>
        </w:rPr>
        <w:t>36</w:t>
      </w:r>
      <w:r w:rsidR="00CD3CF6" w:rsidRPr="009A28F5">
        <w:rPr>
          <w:sz w:val="22"/>
          <w:szCs w:val="22"/>
        </w:rPr>
        <w:t xml:space="preserve"> over the following </w:t>
      </w:r>
      <w:r w:rsidR="00314C7D" w:rsidRPr="009A28F5">
        <w:rPr>
          <w:sz w:val="22"/>
          <w:szCs w:val="22"/>
        </w:rPr>
        <w:t>two</w:t>
      </w:r>
      <w:r w:rsidR="00CD3CF6" w:rsidRPr="009A28F5">
        <w:rPr>
          <w:sz w:val="22"/>
          <w:szCs w:val="22"/>
        </w:rPr>
        <w:t xml:space="preserve"> years. For average world production costs the increase is $0.</w:t>
      </w:r>
      <w:r w:rsidR="000729AC" w:rsidRPr="009A28F5">
        <w:rPr>
          <w:sz w:val="22"/>
          <w:szCs w:val="22"/>
        </w:rPr>
        <w:t>44</w:t>
      </w:r>
      <w:r w:rsidR="00CD3CF6" w:rsidRPr="009A28F5">
        <w:rPr>
          <w:sz w:val="22"/>
          <w:szCs w:val="22"/>
        </w:rPr>
        <w:t xml:space="preserve"> which makes sense as </w:t>
      </w:r>
      <w:r w:rsidR="008263E2">
        <w:rPr>
          <w:sz w:val="22"/>
          <w:szCs w:val="22"/>
        </w:rPr>
        <w:t>T</w:t>
      </w:r>
      <w:r w:rsidR="00CD3CF6" w:rsidRPr="009A28F5">
        <w:rPr>
          <w:sz w:val="22"/>
          <w:szCs w:val="22"/>
        </w:rPr>
        <w:t xml:space="preserve">otal </w:t>
      </w:r>
      <w:r w:rsidR="008263E2">
        <w:rPr>
          <w:sz w:val="22"/>
          <w:szCs w:val="22"/>
        </w:rPr>
        <w:t>P</w:t>
      </w:r>
      <w:r w:rsidR="00CD3CF6" w:rsidRPr="009A28F5">
        <w:rPr>
          <w:sz w:val="22"/>
          <w:szCs w:val="22"/>
        </w:rPr>
        <w:t xml:space="preserve">roduction </w:t>
      </w:r>
      <w:r w:rsidR="008263E2">
        <w:rPr>
          <w:sz w:val="22"/>
          <w:szCs w:val="22"/>
        </w:rPr>
        <w:t>C</w:t>
      </w:r>
      <w:r w:rsidR="00CD3CF6" w:rsidRPr="009A28F5">
        <w:rPr>
          <w:sz w:val="22"/>
          <w:szCs w:val="22"/>
        </w:rPr>
        <w:t xml:space="preserve">osts are always higher than </w:t>
      </w:r>
      <w:r w:rsidR="008263E2">
        <w:rPr>
          <w:sz w:val="22"/>
          <w:szCs w:val="22"/>
        </w:rPr>
        <w:t>C</w:t>
      </w:r>
      <w:r w:rsidR="00CD3CF6" w:rsidRPr="009A28F5">
        <w:rPr>
          <w:sz w:val="22"/>
          <w:szCs w:val="22"/>
        </w:rPr>
        <w:t xml:space="preserve">ash </w:t>
      </w:r>
      <w:r w:rsidR="008263E2">
        <w:rPr>
          <w:sz w:val="22"/>
          <w:szCs w:val="22"/>
        </w:rPr>
        <w:t>C</w:t>
      </w:r>
      <w:r w:rsidR="00CD3CF6" w:rsidRPr="009A28F5">
        <w:rPr>
          <w:sz w:val="22"/>
          <w:szCs w:val="22"/>
        </w:rPr>
        <w:t>osts. In fact when we look at the annual data for the countries with the longer time</w:t>
      </w:r>
      <w:r w:rsidR="008777F2" w:rsidRPr="009A28F5">
        <w:rPr>
          <w:sz w:val="22"/>
          <w:szCs w:val="22"/>
        </w:rPr>
        <w:t>-</w:t>
      </w:r>
      <w:r w:rsidR="00CD3CF6" w:rsidRPr="009A28F5">
        <w:rPr>
          <w:sz w:val="22"/>
          <w:szCs w:val="22"/>
        </w:rPr>
        <w:t xml:space="preserve">series data all have a very similar finding with </w:t>
      </w:r>
      <w:r w:rsidR="008777F2" w:rsidRPr="009A28F5">
        <w:rPr>
          <w:sz w:val="22"/>
          <w:szCs w:val="22"/>
        </w:rPr>
        <w:t xml:space="preserve">significant </w:t>
      </w:r>
      <w:r w:rsidR="00CD3CF6" w:rsidRPr="009A28F5">
        <w:rPr>
          <w:sz w:val="22"/>
          <w:szCs w:val="22"/>
        </w:rPr>
        <w:t>F-stat</w:t>
      </w:r>
      <w:r w:rsidR="008777F2" w:rsidRPr="009A28F5">
        <w:rPr>
          <w:sz w:val="22"/>
          <w:szCs w:val="22"/>
        </w:rPr>
        <w:t>istic</w:t>
      </w:r>
      <w:r w:rsidR="00CD3CF6" w:rsidRPr="009A28F5">
        <w:rPr>
          <w:sz w:val="22"/>
          <w:szCs w:val="22"/>
        </w:rPr>
        <w:t xml:space="preserve">s </w:t>
      </w:r>
      <w:r w:rsidR="008777F2" w:rsidRPr="009A28F5">
        <w:rPr>
          <w:sz w:val="22"/>
          <w:szCs w:val="22"/>
        </w:rPr>
        <w:t xml:space="preserve">and positive coefficients. </w:t>
      </w:r>
      <w:r w:rsidR="009978A4">
        <w:rPr>
          <w:sz w:val="22"/>
          <w:szCs w:val="22"/>
        </w:rPr>
        <w:t xml:space="preserve">The coefficient estimates also support the finding of no long-run relationship between costs and prices as the costs rise or fall significantly less than the price of gold. The decoupling of the costs and the prices in the period between 2004 and 2011 (see Figure 2a) indicates that prices rose much faster than costs. </w:t>
      </w:r>
    </w:p>
    <w:p w14:paraId="0EB11143" w14:textId="77777777" w:rsidR="00E60E85" w:rsidRPr="009A28F5" w:rsidRDefault="00E60E85" w:rsidP="00CD3CF6">
      <w:pPr>
        <w:spacing w:line="360" w:lineRule="auto"/>
        <w:jc w:val="both"/>
        <w:rPr>
          <w:sz w:val="22"/>
          <w:szCs w:val="22"/>
        </w:rPr>
      </w:pPr>
    </w:p>
    <w:p w14:paraId="4613D89C" w14:textId="06B993C8" w:rsidR="000729AC" w:rsidRDefault="000729AC" w:rsidP="00CD3CF6">
      <w:pPr>
        <w:spacing w:line="360" w:lineRule="auto"/>
        <w:jc w:val="both"/>
        <w:rPr>
          <w:sz w:val="22"/>
          <w:szCs w:val="22"/>
        </w:rPr>
      </w:pPr>
      <w:r w:rsidRPr="009A28F5">
        <w:rPr>
          <w:sz w:val="22"/>
          <w:szCs w:val="22"/>
        </w:rPr>
        <w:t xml:space="preserve">For </w:t>
      </w:r>
      <w:r w:rsidR="00B51011">
        <w:rPr>
          <w:sz w:val="22"/>
          <w:szCs w:val="22"/>
        </w:rPr>
        <w:t xml:space="preserve">Australia and </w:t>
      </w:r>
      <w:r w:rsidR="001E1CDD">
        <w:rPr>
          <w:sz w:val="22"/>
          <w:szCs w:val="22"/>
        </w:rPr>
        <w:t>the group of countries labelled “</w:t>
      </w:r>
      <w:r w:rsidRPr="009A28F5">
        <w:rPr>
          <w:sz w:val="22"/>
          <w:szCs w:val="22"/>
        </w:rPr>
        <w:t>Other</w:t>
      </w:r>
      <w:r w:rsidR="001E1CDD">
        <w:rPr>
          <w:sz w:val="22"/>
          <w:szCs w:val="22"/>
        </w:rPr>
        <w:t>”</w:t>
      </w:r>
      <w:r w:rsidR="00667527" w:rsidRPr="009A28F5">
        <w:rPr>
          <w:rStyle w:val="FootnoteReference"/>
          <w:sz w:val="22"/>
          <w:szCs w:val="22"/>
        </w:rPr>
        <w:footnoteReference w:id="4"/>
      </w:r>
      <w:r w:rsidRPr="009A28F5">
        <w:rPr>
          <w:sz w:val="22"/>
          <w:szCs w:val="22"/>
        </w:rPr>
        <w:t xml:space="preserve"> we also see that </w:t>
      </w:r>
      <w:r w:rsidR="00973EEB">
        <w:rPr>
          <w:sz w:val="22"/>
          <w:szCs w:val="22"/>
        </w:rPr>
        <w:t xml:space="preserve">production </w:t>
      </w:r>
      <w:r w:rsidRPr="009A28F5">
        <w:rPr>
          <w:sz w:val="22"/>
          <w:szCs w:val="22"/>
        </w:rPr>
        <w:t>cost</w:t>
      </w:r>
      <w:r w:rsidR="0053096A" w:rsidRPr="009A28F5">
        <w:rPr>
          <w:sz w:val="22"/>
          <w:szCs w:val="22"/>
        </w:rPr>
        <w:t>s are</w:t>
      </w:r>
      <w:r w:rsidRPr="009A28F5">
        <w:rPr>
          <w:sz w:val="22"/>
          <w:szCs w:val="22"/>
        </w:rPr>
        <w:t xml:space="preserve"> driving gold prices, but onl</w:t>
      </w:r>
      <w:r w:rsidR="0053096A" w:rsidRPr="009A28F5">
        <w:rPr>
          <w:sz w:val="22"/>
          <w:szCs w:val="22"/>
        </w:rPr>
        <w:t>y at the 10% level</w:t>
      </w:r>
      <w:r w:rsidR="00B51011">
        <w:rPr>
          <w:sz w:val="22"/>
          <w:szCs w:val="22"/>
        </w:rPr>
        <w:t xml:space="preserve"> of significance</w:t>
      </w:r>
      <w:r w:rsidR="0053096A" w:rsidRPr="009A28F5">
        <w:rPr>
          <w:sz w:val="22"/>
          <w:szCs w:val="22"/>
        </w:rPr>
        <w:t>. In addition, t</w:t>
      </w:r>
      <w:r w:rsidRPr="009A28F5">
        <w:rPr>
          <w:sz w:val="22"/>
          <w:szCs w:val="22"/>
        </w:rPr>
        <w:t xml:space="preserve">he relationship is negative. This implies that </w:t>
      </w:r>
      <w:r w:rsidR="003218E7" w:rsidRPr="009A28F5">
        <w:rPr>
          <w:sz w:val="22"/>
          <w:szCs w:val="22"/>
        </w:rPr>
        <w:t>if cash costs rise in a given year gold prices fall in the following. While this could be interpreted as a causal relationship it seems unlikely that miners would aim to increase their costs before a price fall intentionally. Instead we view this result as indicative of an inability to predict prices</w:t>
      </w:r>
      <w:r w:rsidR="00B51011">
        <w:rPr>
          <w:sz w:val="22"/>
          <w:szCs w:val="22"/>
        </w:rPr>
        <w:t xml:space="preserve"> </w:t>
      </w:r>
      <w:r w:rsidR="003218E7" w:rsidRPr="009A28F5">
        <w:rPr>
          <w:sz w:val="22"/>
          <w:szCs w:val="22"/>
        </w:rPr>
        <w:t>with</w:t>
      </w:r>
      <w:r w:rsidR="003B459C" w:rsidRPr="009A28F5">
        <w:rPr>
          <w:sz w:val="22"/>
          <w:szCs w:val="22"/>
        </w:rPr>
        <w:t xml:space="preserve"> some</w:t>
      </w:r>
      <w:r w:rsidR="003218E7" w:rsidRPr="009A28F5">
        <w:rPr>
          <w:sz w:val="22"/>
          <w:szCs w:val="22"/>
        </w:rPr>
        <w:t xml:space="preserve"> miners opening new expensive mines before subsequent price falls</w:t>
      </w:r>
      <w:r w:rsidR="000E7DBC">
        <w:rPr>
          <w:sz w:val="22"/>
          <w:szCs w:val="22"/>
        </w:rPr>
        <w:t xml:space="preserve"> or closing mines before subsequent price increases</w:t>
      </w:r>
      <w:r w:rsidR="003218E7" w:rsidRPr="009A28F5">
        <w:rPr>
          <w:sz w:val="22"/>
          <w:szCs w:val="22"/>
        </w:rPr>
        <w:t>.</w:t>
      </w:r>
      <w:r w:rsidR="003B459C" w:rsidRPr="009A28F5">
        <w:rPr>
          <w:sz w:val="22"/>
          <w:szCs w:val="22"/>
        </w:rPr>
        <w:t xml:space="preserve"> However this is not </w:t>
      </w:r>
      <w:r w:rsidR="00B51011">
        <w:rPr>
          <w:sz w:val="22"/>
          <w:szCs w:val="22"/>
        </w:rPr>
        <w:t>the</w:t>
      </w:r>
      <w:r w:rsidR="003B459C" w:rsidRPr="009A28F5">
        <w:rPr>
          <w:sz w:val="22"/>
          <w:szCs w:val="22"/>
        </w:rPr>
        <w:t xml:space="preserve"> case in the US, Canada or South Africa, three of the largest gold mining countries</w:t>
      </w:r>
      <w:r w:rsidR="00667527" w:rsidRPr="009A28F5">
        <w:rPr>
          <w:sz w:val="22"/>
          <w:szCs w:val="22"/>
        </w:rPr>
        <w:t xml:space="preserve"> over the period examined</w:t>
      </w:r>
      <w:r w:rsidR="0053096A" w:rsidRPr="009A28F5">
        <w:rPr>
          <w:sz w:val="22"/>
          <w:szCs w:val="22"/>
        </w:rPr>
        <w:t>. As the w</w:t>
      </w:r>
      <w:r w:rsidR="003B459C" w:rsidRPr="009A28F5">
        <w:rPr>
          <w:sz w:val="22"/>
          <w:szCs w:val="22"/>
        </w:rPr>
        <w:t xml:space="preserve">orld figure for each </w:t>
      </w:r>
      <w:r w:rsidR="00DE455B" w:rsidRPr="009A28F5">
        <w:rPr>
          <w:sz w:val="22"/>
          <w:szCs w:val="22"/>
        </w:rPr>
        <w:t>production</w:t>
      </w:r>
      <w:r w:rsidR="003B459C" w:rsidRPr="009A28F5">
        <w:rPr>
          <w:sz w:val="22"/>
          <w:szCs w:val="22"/>
        </w:rPr>
        <w:t xml:space="preserve"> cost is weighted to reflect the size of producti</w:t>
      </w:r>
      <w:r w:rsidR="0053096A" w:rsidRPr="009A28F5">
        <w:rPr>
          <w:sz w:val="22"/>
          <w:szCs w:val="22"/>
        </w:rPr>
        <w:t xml:space="preserve">on within each country it </w:t>
      </w:r>
      <w:r w:rsidR="003B459C" w:rsidRPr="009A28F5">
        <w:rPr>
          <w:sz w:val="22"/>
          <w:szCs w:val="22"/>
        </w:rPr>
        <w:t>seem</w:t>
      </w:r>
      <w:r w:rsidR="0053096A" w:rsidRPr="009A28F5">
        <w:rPr>
          <w:sz w:val="22"/>
          <w:szCs w:val="22"/>
        </w:rPr>
        <w:t>s</w:t>
      </w:r>
      <w:r w:rsidR="003B459C" w:rsidRPr="009A28F5">
        <w:rPr>
          <w:sz w:val="22"/>
          <w:szCs w:val="22"/>
        </w:rPr>
        <w:t xml:space="preserve"> that this statistic is the best reflector of the industry at large.</w:t>
      </w:r>
    </w:p>
    <w:p w14:paraId="6D47ED4F" w14:textId="77777777" w:rsidR="008263E2" w:rsidRPr="009A28F5" w:rsidRDefault="008263E2" w:rsidP="00CD3CF6">
      <w:pPr>
        <w:spacing w:line="360" w:lineRule="auto"/>
        <w:jc w:val="both"/>
        <w:rPr>
          <w:sz w:val="22"/>
          <w:szCs w:val="22"/>
        </w:rPr>
      </w:pPr>
    </w:p>
    <w:p w14:paraId="557464B2" w14:textId="77777777" w:rsidR="008263E2" w:rsidRPr="009A28F5" w:rsidRDefault="008263E2" w:rsidP="008263E2">
      <w:pPr>
        <w:spacing w:line="360" w:lineRule="auto"/>
        <w:jc w:val="center"/>
        <w:rPr>
          <w:sz w:val="22"/>
          <w:szCs w:val="22"/>
        </w:rPr>
      </w:pPr>
      <w:r w:rsidRPr="009A28F5">
        <w:rPr>
          <w:sz w:val="22"/>
          <w:szCs w:val="22"/>
        </w:rPr>
        <w:t>*** Insert Table 4</w:t>
      </w:r>
      <w:r>
        <w:rPr>
          <w:sz w:val="22"/>
          <w:szCs w:val="22"/>
        </w:rPr>
        <w:t>B</w:t>
      </w:r>
      <w:r w:rsidRPr="009A28F5">
        <w:rPr>
          <w:sz w:val="22"/>
          <w:szCs w:val="22"/>
        </w:rPr>
        <w:t xml:space="preserve"> about here ***</w:t>
      </w:r>
    </w:p>
    <w:p w14:paraId="0269C206" w14:textId="77777777" w:rsidR="000729AC" w:rsidRPr="009A28F5" w:rsidRDefault="000729AC" w:rsidP="00CD3CF6">
      <w:pPr>
        <w:spacing w:line="360" w:lineRule="auto"/>
        <w:jc w:val="both"/>
        <w:rPr>
          <w:sz w:val="22"/>
          <w:szCs w:val="22"/>
        </w:rPr>
      </w:pPr>
    </w:p>
    <w:p w14:paraId="2E45227E" w14:textId="186719E1" w:rsidR="00CD3CF6" w:rsidRPr="009A28F5" w:rsidRDefault="00CD3CF6">
      <w:pPr>
        <w:spacing w:line="360" w:lineRule="auto"/>
        <w:jc w:val="both"/>
        <w:rPr>
          <w:sz w:val="22"/>
          <w:szCs w:val="22"/>
        </w:rPr>
      </w:pPr>
      <w:r w:rsidRPr="009A28F5">
        <w:rPr>
          <w:sz w:val="22"/>
          <w:szCs w:val="22"/>
        </w:rPr>
        <w:t>For the shorter time period</w:t>
      </w:r>
      <w:r w:rsidR="003218E7" w:rsidRPr="009A28F5">
        <w:rPr>
          <w:sz w:val="22"/>
          <w:szCs w:val="22"/>
        </w:rPr>
        <w:t xml:space="preserve"> results </w:t>
      </w:r>
      <w:r w:rsidR="00E963E5">
        <w:rPr>
          <w:sz w:val="22"/>
          <w:szCs w:val="22"/>
        </w:rPr>
        <w:t xml:space="preserve">are </w:t>
      </w:r>
      <w:r w:rsidR="0053096A" w:rsidRPr="009A28F5">
        <w:rPr>
          <w:sz w:val="22"/>
          <w:szCs w:val="22"/>
        </w:rPr>
        <w:t xml:space="preserve">presented </w:t>
      </w:r>
      <w:r w:rsidR="003218E7" w:rsidRPr="009A28F5">
        <w:rPr>
          <w:sz w:val="22"/>
          <w:szCs w:val="22"/>
        </w:rPr>
        <w:t xml:space="preserve">in </w:t>
      </w:r>
      <w:r w:rsidR="008263E2">
        <w:rPr>
          <w:sz w:val="22"/>
          <w:szCs w:val="22"/>
        </w:rPr>
        <w:t>Table 4</w:t>
      </w:r>
      <w:r w:rsidR="003218E7" w:rsidRPr="009A28F5">
        <w:rPr>
          <w:sz w:val="22"/>
          <w:szCs w:val="22"/>
        </w:rPr>
        <w:t>B</w:t>
      </w:r>
      <w:r w:rsidR="00E963E5">
        <w:rPr>
          <w:sz w:val="22"/>
          <w:szCs w:val="22"/>
        </w:rPr>
        <w:t>. W</w:t>
      </w:r>
      <w:r w:rsidRPr="009A28F5">
        <w:rPr>
          <w:sz w:val="22"/>
          <w:szCs w:val="22"/>
        </w:rPr>
        <w:t xml:space="preserve">e can see that for </w:t>
      </w:r>
      <w:r w:rsidR="003218E7" w:rsidRPr="009A28F5">
        <w:rPr>
          <w:sz w:val="22"/>
          <w:szCs w:val="22"/>
        </w:rPr>
        <w:t>many</w:t>
      </w:r>
      <w:r w:rsidRPr="009A28F5">
        <w:rPr>
          <w:sz w:val="22"/>
          <w:szCs w:val="22"/>
        </w:rPr>
        <w:t xml:space="preserve"> countries such as Chile, the same pattern holds </w:t>
      </w:r>
      <w:r w:rsidR="00730032" w:rsidRPr="009A28F5">
        <w:rPr>
          <w:sz w:val="22"/>
          <w:szCs w:val="22"/>
        </w:rPr>
        <w:t>with</w:t>
      </w:r>
      <w:r w:rsidRPr="009A28F5">
        <w:rPr>
          <w:sz w:val="22"/>
          <w:szCs w:val="22"/>
        </w:rPr>
        <w:t xml:space="preserve"> cash costs or total production costs significantly caused by gold prices. However</w:t>
      </w:r>
      <w:r w:rsidR="00730032" w:rsidRPr="009A28F5">
        <w:rPr>
          <w:sz w:val="22"/>
          <w:szCs w:val="22"/>
        </w:rPr>
        <w:t>,</w:t>
      </w:r>
      <w:r w:rsidRPr="009A28F5">
        <w:rPr>
          <w:sz w:val="22"/>
          <w:szCs w:val="22"/>
        </w:rPr>
        <w:t xml:space="preserve"> in many cases no causality </w:t>
      </w:r>
      <w:r w:rsidR="00D54D4F" w:rsidRPr="009A28F5">
        <w:rPr>
          <w:sz w:val="22"/>
          <w:szCs w:val="22"/>
        </w:rPr>
        <w:t>is found</w:t>
      </w:r>
      <w:r w:rsidRPr="009A28F5">
        <w:rPr>
          <w:sz w:val="22"/>
          <w:szCs w:val="22"/>
        </w:rPr>
        <w:t>, possibly due to the s</w:t>
      </w:r>
      <w:r w:rsidR="00D54D4F" w:rsidRPr="009A28F5">
        <w:rPr>
          <w:sz w:val="22"/>
          <w:szCs w:val="22"/>
        </w:rPr>
        <w:t>h</w:t>
      </w:r>
      <w:r w:rsidRPr="009A28F5">
        <w:rPr>
          <w:sz w:val="22"/>
          <w:szCs w:val="22"/>
        </w:rPr>
        <w:t xml:space="preserve">orter dataset. On a number of occasions, such as </w:t>
      </w:r>
      <w:r w:rsidR="001E1B65" w:rsidRPr="009A28F5">
        <w:rPr>
          <w:sz w:val="22"/>
          <w:szCs w:val="22"/>
        </w:rPr>
        <w:t xml:space="preserve">for </w:t>
      </w:r>
      <w:r w:rsidRPr="009A28F5">
        <w:rPr>
          <w:sz w:val="22"/>
          <w:szCs w:val="22"/>
        </w:rPr>
        <w:t>Arg</w:t>
      </w:r>
      <w:r w:rsidR="00D54D4F" w:rsidRPr="009A28F5">
        <w:rPr>
          <w:sz w:val="22"/>
          <w:szCs w:val="22"/>
        </w:rPr>
        <w:t>entina</w:t>
      </w:r>
      <w:r w:rsidR="00730032" w:rsidRPr="009A28F5">
        <w:rPr>
          <w:sz w:val="22"/>
          <w:szCs w:val="22"/>
        </w:rPr>
        <w:t xml:space="preserve">, </w:t>
      </w:r>
      <w:r w:rsidRPr="009A28F5">
        <w:rPr>
          <w:sz w:val="22"/>
          <w:szCs w:val="22"/>
        </w:rPr>
        <w:t>total production costs are shown to lead gold prices</w:t>
      </w:r>
      <w:r w:rsidR="00730032" w:rsidRPr="009A28F5">
        <w:rPr>
          <w:sz w:val="22"/>
          <w:szCs w:val="22"/>
        </w:rPr>
        <w:t xml:space="preserve"> but </w:t>
      </w:r>
      <w:r w:rsidR="00973EEB">
        <w:rPr>
          <w:sz w:val="22"/>
          <w:szCs w:val="22"/>
        </w:rPr>
        <w:t xml:space="preserve">as above </w:t>
      </w:r>
      <w:r w:rsidR="00730032" w:rsidRPr="009A28F5">
        <w:rPr>
          <w:sz w:val="22"/>
          <w:szCs w:val="22"/>
        </w:rPr>
        <w:t xml:space="preserve">with a negative sign, i.e. a </w:t>
      </w:r>
      <w:r w:rsidRPr="009A28F5">
        <w:rPr>
          <w:sz w:val="22"/>
          <w:szCs w:val="22"/>
        </w:rPr>
        <w:t xml:space="preserve">$1 increase in Argentina’s total production costs </w:t>
      </w:r>
      <w:r w:rsidR="00730032" w:rsidRPr="009A28F5">
        <w:rPr>
          <w:sz w:val="22"/>
          <w:szCs w:val="22"/>
        </w:rPr>
        <w:t xml:space="preserve">is </w:t>
      </w:r>
      <w:r w:rsidRPr="009A28F5">
        <w:rPr>
          <w:sz w:val="22"/>
          <w:szCs w:val="22"/>
        </w:rPr>
        <w:t>causing or preceding a $0.88 fall in the gold price</w:t>
      </w:r>
      <w:r w:rsidR="003218E7" w:rsidRPr="009A28F5">
        <w:rPr>
          <w:sz w:val="22"/>
          <w:szCs w:val="22"/>
        </w:rPr>
        <w:t>. This again points to a lack of forecasting ability</w:t>
      </w:r>
      <w:r w:rsidRPr="009A28F5">
        <w:rPr>
          <w:sz w:val="22"/>
          <w:szCs w:val="22"/>
        </w:rPr>
        <w:t xml:space="preserve"> on the part of </w:t>
      </w:r>
      <w:r w:rsidR="003B459C" w:rsidRPr="009A28F5">
        <w:rPr>
          <w:sz w:val="22"/>
          <w:szCs w:val="22"/>
        </w:rPr>
        <w:t xml:space="preserve">Argentinian </w:t>
      </w:r>
      <w:r w:rsidRPr="009A28F5">
        <w:rPr>
          <w:sz w:val="22"/>
          <w:szCs w:val="22"/>
        </w:rPr>
        <w:t>miners.</w:t>
      </w:r>
      <w:r w:rsidR="00D54D4F" w:rsidRPr="009A28F5">
        <w:rPr>
          <w:sz w:val="22"/>
          <w:szCs w:val="22"/>
        </w:rPr>
        <w:t xml:space="preserve"> </w:t>
      </w:r>
      <w:r w:rsidR="00482A9F" w:rsidRPr="009A28F5">
        <w:rPr>
          <w:sz w:val="22"/>
          <w:szCs w:val="22"/>
        </w:rPr>
        <w:t>A number of other countries</w:t>
      </w:r>
      <w:r w:rsidR="00B51011">
        <w:rPr>
          <w:sz w:val="22"/>
          <w:szCs w:val="22"/>
        </w:rPr>
        <w:t xml:space="preserve"> (Ghana, Guinea, </w:t>
      </w:r>
      <w:proofErr w:type="gramStart"/>
      <w:r w:rsidR="00B51011">
        <w:rPr>
          <w:sz w:val="22"/>
          <w:szCs w:val="22"/>
        </w:rPr>
        <w:t>Kyrgyzstan</w:t>
      </w:r>
      <w:proofErr w:type="gramEnd"/>
      <w:r w:rsidR="00B51011">
        <w:rPr>
          <w:sz w:val="22"/>
          <w:szCs w:val="22"/>
        </w:rPr>
        <w:t>)</w:t>
      </w:r>
      <w:r w:rsidR="00482A9F" w:rsidRPr="009A28F5">
        <w:rPr>
          <w:sz w:val="22"/>
          <w:szCs w:val="22"/>
        </w:rPr>
        <w:t xml:space="preserve"> also show a negative relationship running from costs to </w:t>
      </w:r>
      <w:r w:rsidR="00B51011">
        <w:rPr>
          <w:sz w:val="22"/>
          <w:szCs w:val="22"/>
        </w:rPr>
        <w:t xml:space="preserve">the </w:t>
      </w:r>
      <w:r w:rsidR="00482A9F" w:rsidRPr="009A28F5">
        <w:rPr>
          <w:sz w:val="22"/>
          <w:szCs w:val="22"/>
        </w:rPr>
        <w:t xml:space="preserve">price </w:t>
      </w:r>
      <w:r w:rsidR="00B51011">
        <w:rPr>
          <w:sz w:val="22"/>
          <w:szCs w:val="22"/>
        </w:rPr>
        <w:t xml:space="preserve">of gold or vice versa for New Zealand. </w:t>
      </w:r>
      <w:r w:rsidR="00D54D4F" w:rsidRPr="009A28F5">
        <w:rPr>
          <w:sz w:val="22"/>
          <w:szCs w:val="22"/>
        </w:rPr>
        <w:t xml:space="preserve">Since all variables are in US dollars exchange rate effects could also </w:t>
      </w:r>
      <w:r w:rsidR="00730032" w:rsidRPr="009A28F5">
        <w:rPr>
          <w:sz w:val="22"/>
          <w:szCs w:val="22"/>
        </w:rPr>
        <w:t xml:space="preserve">affect and </w:t>
      </w:r>
      <w:r w:rsidR="00D54D4F" w:rsidRPr="009A28F5">
        <w:rPr>
          <w:sz w:val="22"/>
          <w:szCs w:val="22"/>
        </w:rPr>
        <w:t>weaken the evidence for causality.</w:t>
      </w:r>
      <w:r w:rsidR="003B459C" w:rsidRPr="009A28F5">
        <w:rPr>
          <w:sz w:val="22"/>
          <w:szCs w:val="22"/>
        </w:rPr>
        <w:t xml:space="preserve"> </w:t>
      </w:r>
      <w:r w:rsidR="00482A9F" w:rsidRPr="009A28F5">
        <w:rPr>
          <w:sz w:val="22"/>
          <w:szCs w:val="22"/>
        </w:rPr>
        <w:t>For example, if the US dollar falls significantly, the price of gold in US dollar increases and the average costs of mining</w:t>
      </w:r>
      <w:r w:rsidR="00B51011">
        <w:rPr>
          <w:sz w:val="22"/>
          <w:szCs w:val="22"/>
        </w:rPr>
        <w:t xml:space="preserve"> tend to fall as </w:t>
      </w:r>
      <w:r w:rsidR="0003205D">
        <w:rPr>
          <w:sz w:val="22"/>
          <w:szCs w:val="22"/>
        </w:rPr>
        <w:t>US dollar denominated cost components decrease in local currency.</w:t>
      </w:r>
      <w:r w:rsidR="00E963E5">
        <w:rPr>
          <w:sz w:val="22"/>
          <w:szCs w:val="22"/>
        </w:rPr>
        <w:t xml:space="preserve"> </w:t>
      </w:r>
    </w:p>
    <w:p w14:paraId="2D490C1A" w14:textId="77777777" w:rsidR="003218E7" w:rsidRPr="009A28F5" w:rsidRDefault="003218E7" w:rsidP="00CD3CF6">
      <w:pPr>
        <w:spacing w:line="360" w:lineRule="auto"/>
        <w:jc w:val="both"/>
        <w:rPr>
          <w:sz w:val="22"/>
          <w:szCs w:val="22"/>
        </w:rPr>
      </w:pPr>
    </w:p>
    <w:p w14:paraId="658A7542" w14:textId="4918E58C" w:rsidR="00CD3CF6" w:rsidRPr="009A28F5" w:rsidRDefault="00D54D4F" w:rsidP="00D54D4F">
      <w:pPr>
        <w:spacing w:line="360" w:lineRule="auto"/>
        <w:jc w:val="both"/>
        <w:rPr>
          <w:rFonts w:eastAsiaTheme="minorEastAsia"/>
          <w:b/>
          <w:sz w:val="22"/>
          <w:szCs w:val="22"/>
        </w:rPr>
      </w:pPr>
      <w:r w:rsidRPr="009A28F5">
        <w:rPr>
          <w:rFonts w:eastAsiaTheme="minorEastAsia"/>
          <w:sz w:val="22"/>
          <w:szCs w:val="22"/>
        </w:rPr>
        <w:t>We have also analysed quarterly data for the period 2005 (Q1) until 2013 (Q4). For some countries the</w:t>
      </w:r>
      <w:r w:rsidR="00CD3CF6" w:rsidRPr="009A28F5">
        <w:rPr>
          <w:rFonts w:eastAsiaTheme="minorEastAsia"/>
          <w:sz w:val="22"/>
          <w:szCs w:val="22"/>
        </w:rPr>
        <w:t xml:space="preserve"> </w:t>
      </w:r>
      <w:r w:rsidRPr="009A28F5">
        <w:rPr>
          <w:rFonts w:eastAsiaTheme="minorEastAsia"/>
          <w:sz w:val="22"/>
          <w:szCs w:val="22"/>
        </w:rPr>
        <w:t>same p</w:t>
      </w:r>
      <w:r w:rsidR="00CD3CF6" w:rsidRPr="009A28F5">
        <w:rPr>
          <w:rFonts w:eastAsiaTheme="minorEastAsia"/>
          <w:sz w:val="22"/>
          <w:szCs w:val="22"/>
        </w:rPr>
        <w:t xml:space="preserve">attern </w:t>
      </w:r>
      <w:r w:rsidRPr="009A28F5">
        <w:rPr>
          <w:rFonts w:eastAsiaTheme="minorEastAsia"/>
          <w:sz w:val="22"/>
          <w:szCs w:val="22"/>
        </w:rPr>
        <w:t xml:space="preserve">of causality </w:t>
      </w:r>
      <w:r w:rsidR="00CD3CF6" w:rsidRPr="009A28F5">
        <w:rPr>
          <w:rFonts w:eastAsiaTheme="minorEastAsia"/>
          <w:sz w:val="22"/>
          <w:szCs w:val="22"/>
        </w:rPr>
        <w:t xml:space="preserve">with gold prices </w:t>
      </w:r>
      <w:r w:rsidRPr="009A28F5">
        <w:rPr>
          <w:rFonts w:eastAsiaTheme="minorEastAsia"/>
          <w:sz w:val="22"/>
          <w:szCs w:val="22"/>
        </w:rPr>
        <w:t xml:space="preserve">causing </w:t>
      </w:r>
      <w:r w:rsidR="00CD3CF6" w:rsidRPr="009A28F5">
        <w:rPr>
          <w:rFonts w:eastAsiaTheme="minorEastAsia"/>
          <w:sz w:val="22"/>
          <w:szCs w:val="22"/>
        </w:rPr>
        <w:t>production costs</w:t>
      </w:r>
      <w:r w:rsidRPr="009A28F5">
        <w:rPr>
          <w:rFonts w:eastAsiaTheme="minorEastAsia"/>
          <w:sz w:val="22"/>
          <w:szCs w:val="22"/>
        </w:rPr>
        <w:t xml:space="preserve"> is found</w:t>
      </w:r>
      <w:r w:rsidR="00CD3CF6" w:rsidRPr="009A28F5">
        <w:rPr>
          <w:rFonts w:eastAsiaTheme="minorEastAsia"/>
          <w:sz w:val="22"/>
          <w:szCs w:val="22"/>
        </w:rPr>
        <w:t>. However</w:t>
      </w:r>
      <w:r w:rsidRPr="009A28F5">
        <w:rPr>
          <w:rFonts w:eastAsiaTheme="minorEastAsia"/>
          <w:sz w:val="22"/>
          <w:szCs w:val="22"/>
        </w:rPr>
        <w:t>,</w:t>
      </w:r>
      <w:r w:rsidR="00CD3CF6" w:rsidRPr="009A28F5">
        <w:rPr>
          <w:rFonts w:eastAsiaTheme="minorEastAsia"/>
          <w:sz w:val="22"/>
          <w:szCs w:val="22"/>
        </w:rPr>
        <w:t xml:space="preserve"> most countries show no relationship. This may be due to the shorter time span under investigation </w:t>
      </w:r>
      <w:r w:rsidR="00C25EF8" w:rsidRPr="009A28F5">
        <w:rPr>
          <w:rFonts w:eastAsiaTheme="minorEastAsia"/>
          <w:sz w:val="22"/>
          <w:szCs w:val="22"/>
        </w:rPr>
        <w:t>or</w:t>
      </w:r>
      <w:r w:rsidR="00CD3CF6" w:rsidRPr="009A28F5">
        <w:rPr>
          <w:rFonts w:eastAsiaTheme="minorEastAsia"/>
          <w:sz w:val="22"/>
          <w:szCs w:val="22"/>
        </w:rPr>
        <w:t xml:space="preserve"> the </w:t>
      </w:r>
      <w:r w:rsidRPr="009A28F5">
        <w:rPr>
          <w:rFonts w:eastAsiaTheme="minorEastAsia"/>
          <w:sz w:val="22"/>
          <w:szCs w:val="22"/>
        </w:rPr>
        <w:t xml:space="preserve">more </w:t>
      </w:r>
      <w:r w:rsidR="00CD3CF6" w:rsidRPr="009A28F5">
        <w:rPr>
          <w:rFonts w:eastAsiaTheme="minorEastAsia"/>
          <w:sz w:val="22"/>
          <w:szCs w:val="22"/>
        </w:rPr>
        <w:t xml:space="preserve">noisy nature of the quarterly data. </w:t>
      </w:r>
      <w:proofErr w:type="spellStart"/>
      <w:r w:rsidR="00DC1DD1" w:rsidRPr="009A28F5">
        <w:rPr>
          <w:sz w:val="22"/>
          <w:szCs w:val="22"/>
        </w:rPr>
        <w:t>Selvanathan</w:t>
      </w:r>
      <w:proofErr w:type="spellEnd"/>
      <w:r w:rsidR="00DC1DD1" w:rsidRPr="009A28F5">
        <w:rPr>
          <w:sz w:val="22"/>
          <w:szCs w:val="22"/>
        </w:rPr>
        <w:t xml:space="preserve"> and </w:t>
      </w:r>
      <w:proofErr w:type="spellStart"/>
      <w:r w:rsidR="00DC1DD1" w:rsidRPr="009A28F5">
        <w:rPr>
          <w:sz w:val="22"/>
          <w:szCs w:val="22"/>
        </w:rPr>
        <w:t>Selvanathan</w:t>
      </w:r>
      <w:proofErr w:type="spellEnd"/>
      <w:r w:rsidR="00DC1DD1" w:rsidRPr="009A28F5">
        <w:rPr>
          <w:sz w:val="22"/>
          <w:szCs w:val="22"/>
        </w:rPr>
        <w:t xml:space="preserve"> (1999) examine the relationship between production volume and prices in Western Australia and show that changes happen over years so that quarterly data may not be appropriate to capture changes in costs. </w:t>
      </w:r>
      <w:r w:rsidR="00CD3CF6" w:rsidRPr="009A28F5">
        <w:rPr>
          <w:rFonts w:eastAsiaTheme="minorEastAsia"/>
          <w:sz w:val="22"/>
          <w:szCs w:val="22"/>
        </w:rPr>
        <w:t>In some instances, such as Niger and Pap</w:t>
      </w:r>
      <w:r w:rsidR="0053096A" w:rsidRPr="009A28F5">
        <w:rPr>
          <w:rFonts w:eastAsiaTheme="minorEastAsia"/>
          <w:sz w:val="22"/>
          <w:szCs w:val="22"/>
        </w:rPr>
        <w:t>u</w:t>
      </w:r>
      <w:r w:rsidR="00CD3CF6" w:rsidRPr="009A28F5">
        <w:rPr>
          <w:rFonts w:eastAsiaTheme="minorEastAsia"/>
          <w:sz w:val="22"/>
          <w:szCs w:val="22"/>
        </w:rPr>
        <w:t xml:space="preserve">a New Guinea, we see causality present from </w:t>
      </w:r>
      <w:r w:rsidR="00973EEB">
        <w:rPr>
          <w:rFonts w:eastAsiaTheme="minorEastAsia"/>
          <w:sz w:val="22"/>
          <w:szCs w:val="22"/>
        </w:rPr>
        <w:t xml:space="preserve">production </w:t>
      </w:r>
      <w:r w:rsidR="00973EEB" w:rsidRPr="009A28F5">
        <w:rPr>
          <w:rFonts w:eastAsiaTheme="minorEastAsia"/>
          <w:sz w:val="22"/>
          <w:szCs w:val="22"/>
        </w:rPr>
        <w:t xml:space="preserve">costs </w:t>
      </w:r>
      <w:r w:rsidR="00CD3CF6" w:rsidRPr="009A28F5">
        <w:rPr>
          <w:rFonts w:eastAsiaTheme="minorEastAsia"/>
          <w:sz w:val="22"/>
          <w:szCs w:val="22"/>
        </w:rPr>
        <w:t xml:space="preserve">to </w:t>
      </w:r>
      <w:r w:rsidR="00973EEB" w:rsidRPr="009A28F5">
        <w:rPr>
          <w:rFonts w:eastAsiaTheme="minorEastAsia"/>
          <w:sz w:val="22"/>
          <w:szCs w:val="22"/>
        </w:rPr>
        <w:t xml:space="preserve">gold prices </w:t>
      </w:r>
      <w:r w:rsidR="00CD3CF6" w:rsidRPr="009A28F5">
        <w:rPr>
          <w:rFonts w:eastAsiaTheme="minorEastAsia"/>
          <w:sz w:val="22"/>
          <w:szCs w:val="22"/>
        </w:rPr>
        <w:t xml:space="preserve">but </w:t>
      </w:r>
      <w:r w:rsidR="00EA7A32" w:rsidRPr="009A28F5">
        <w:rPr>
          <w:rFonts w:eastAsiaTheme="minorEastAsia"/>
          <w:sz w:val="22"/>
          <w:szCs w:val="22"/>
        </w:rPr>
        <w:t xml:space="preserve">with a </w:t>
      </w:r>
      <w:r w:rsidR="00CD3CF6" w:rsidRPr="009A28F5">
        <w:rPr>
          <w:rFonts w:eastAsiaTheme="minorEastAsia"/>
          <w:sz w:val="22"/>
          <w:szCs w:val="22"/>
        </w:rPr>
        <w:t xml:space="preserve">negative </w:t>
      </w:r>
      <w:r w:rsidR="00EA7A32" w:rsidRPr="009A28F5">
        <w:rPr>
          <w:rFonts w:eastAsiaTheme="minorEastAsia"/>
          <w:sz w:val="22"/>
          <w:szCs w:val="22"/>
        </w:rPr>
        <w:t xml:space="preserve">sign </w:t>
      </w:r>
      <w:r w:rsidR="00DC1DD1" w:rsidRPr="009A28F5">
        <w:rPr>
          <w:rFonts w:eastAsiaTheme="minorEastAsia"/>
          <w:sz w:val="22"/>
          <w:szCs w:val="22"/>
        </w:rPr>
        <w:t>as</w:t>
      </w:r>
      <w:r w:rsidR="00EA7A32" w:rsidRPr="009A28F5">
        <w:rPr>
          <w:rFonts w:eastAsiaTheme="minorEastAsia"/>
          <w:sz w:val="22"/>
          <w:szCs w:val="22"/>
        </w:rPr>
        <w:t xml:space="preserve"> in some cases </w:t>
      </w:r>
      <w:r w:rsidR="00DC1DD1" w:rsidRPr="009A28F5">
        <w:rPr>
          <w:rFonts w:eastAsiaTheme="minorEastAsia"/>
          <w:sz w:val="22"/>
          <w:szCs w:val="22"/>
        </w:rPr>
        <w:t>for annual data</w:t>
      </w:r>
      <w:r w:rsidR="00EA7A32" w:rsidRPr="009A28F5">
        <w:rPr>
          <w:rFonts w:eastAsiaTheme="minorEastAsia"/>
          <w:sz w:val="22"/>
          <w:szCs w:val="22"/>
        </w:rPr>
        <w:t>.</w:t>
      </w:r>
    </w:p>
    <w:p w14:paraId="0BC15885" w14:textId="77777777" w:rsidR="00CD3CF6" w:rsidRPr="009A28F5" w:rsidRDefault="00CD3CF6" w:rsidP="00CD3CF6">
      <w:pPr>
        <w:spacing w:line="360" w:lineRule="auto"/>
        <w:jc w:val="both"/>
        <w:rPr>
          <w:rFonts w:eastAsiaTheme="minorEastAsia"/>
          <w:b/>
          <w:sz w:val="22"/>
          <w:szCs w:val="22"/>
        </w:rPr>
      </w:pPr>
    </w:p>
    <w:p w14:paraId="136D9D3E" w14:textId="77777777" w:rsidR="00CD3CF6" w:rsidRPr="009A28F5" w:rsidRDefault="00843397" w:rsidP="00E87E3C">
      <w:pPr>
        <w:spacing w:line="360" w:lineRule="auto"/>
        <w:rPr>
          <w:b/>
          <w:sz w:val="22"/>
          <w:szCs w:val="22"/>
        </w:rPr>
      </w:pPr>
      <w:r w:rsidRPr="009A28F5">
        <w:rPr>
          <w:b/>
          <w:sz w:val="22"/>
          <w:szCs w:val="22"/>
        </w:rPr>
        <w:lastRenderedPageBreak/>
        <w:t>Firm-level data</w:t>
      </w:r>
    </w:p>
    <w:p w14:paraId="6F360C77" w14:textId="46588562" w:rsidR="00D557F7" w:rsidRPr="009A28F5" w:rsidRDefault="00CD3CF6" w:rsidP="00CD3CF6">
      <w:pPr>
        <w:spacing w:line="360" w:lineRule="auto"/>
        <w:jc w:val="both"/>
        <w:rPr>
          <w:sz w:val="22"/>
          <w:szCs w:val="22"/>
        </w:rPr>
      </w:pPr>
      <w:r w:rsidRPr="009A28F5">
        <w:rPr>
          <w:sz w:val="22"/>
          <w:szCs w:val="22"/>
        </w:rPr>
        <w:t xml:space="preserve">For </w:t>
      </w:r>
      <w:r w:rsidR="00FC6287" w:rsidRPr="009A28F5">
        <w:rPr>
          <w:sz w:val="22"/>
          <w:szCs w:val="22"/>
        </w:rPr>
        <w:t>the</w:t>
      </w:r>
      <w:r w:rsidRPr="009A28F5">
        <w:rPr>
          <w:sz w:val="22"/>
          <w:szCs w:val="22"/>
        </w:rPr>
        <w:t xml:space="preserve"> company data we </w:t>
      </w:r>
      <w:r w:rsidR="00482A9F" w:rsidRPr="009A28F5">
        <w:rPr>
          <w:sz w:val="22"/>
          <w:szCs w:val="22"/>
        </w:rPr>
        <w:t xml:space="preserve">present </w:t>
      </w:r>
      <w:r w:rsidRPr="009A28F5">
        <w:rPr>
          <w:sz w:val="22"/>
          <w:szCs w:val="22"/>
        </w:rPr>
        <w:t>time</w:t>
      </w:r>
      <w:r w:rsidR="00482A9F" w:rsidRPr="009A28F5">
        <w:rPr>
          <w:sz w:val="22"/>
          <w:szCs w:val="22"/>
        </w:rPr>
        <w:t>-</w:t>
      </w:r>
      <w:r w:rsidRPr="009A28F5">
        <w:rPr>
          <w:sz w:val="22"/>
          <w:szCs w:val="22"/>
        </w:rPr>
        <w:t xml:space="preserve">series results for the top 10 producers </w:t>
      </w:r>
      <w:r w:rsidR="005357D7" w:rsidRPr="009A28F5">
        <w:rPr>
          <w:sz w:val="22"/>
          <w:szCs w:val="22"/>
        </w:rPr>
        <w:t xml:space="preserve">in our sample </w:t>
      </w:r>
      <w:r w:rsidRPr="009A28F5">
        <w:rPr>
          <w:sz w:val="22"/>
          <w:szCs w:val="22"/>
        </w:rPr>
        <w:t xml:space="preserve">as well as 5 of the smaller producers, with their 2013 production </w:t>
      </w:r>
      <w:r w:rsidR="00730032" w:rsidRPr="009A28F5">
        <w:rPr>
          <w:sz w:val="22"/>
          <w:szCs w:val="22"/>
        </w:rPr>
        <w:t xml:space="preserve">levels </w:t>
      </w:r>
      <w:r w:rsidRPr="009A28F5">
        <w:rPr>
          <w:sz w:val="22"/>
          <w:szCs w:val="22"/>
        </w:rPr>
        <w:t xml:space="preserve">shown in </w:t>
      </w:r>
      <w:r w:rsidR="00D557F7" w:rsidRPr="009A28F5">
        <w:rPr>
          <w:sz w:val="22"/>
          <w:szCs w:val="22"/>
        </w:rPr>
        <w:t xml:space="preserve">Figure </w:t>
      </w:r>
      <w:r w:rsidR="000A456A">
        <w:rPr>
          <w:sz w:val="22"/>
          <w:szCs w:val="22"/>
        </w:rPr>
        <w:t>4</w:t>
      </w:r>
      <w:r w:rsidRPr="009A28F5">
        <w:rPr>
          <w:sz w:val="22"/>
          <w:szCs w:val="22"/>
        </w:rPr>
        <w:t xml:space="preserve">. </w:t>
      </w:r>
    </w:p>
    <w:p w14:paraId="6D791D45" w14:textId="77777777" w:rsidR="005357D7" w:rsidRPr="009A28F5" w:rsidRDefault="005357D7" w:rsidP="00CD3CF6">
      <w:pPr>
        <w:spacing w:line="360" w:lineRule="auto"/>
        <w:jc w:val="both"/>
        <w:rPr>
          <w:sz w:val="22"/>
          <w:szCs w:val="22"/>
        </w:rPr>
      </w:pPr>
    </w:p>
    <w:p w14:paraId="5CEB0447" w14:textId="4D01E6BA" w:rsidR="00482A9F" w:rsidRPr="009A28F5" w:rsidRDefault="00482A9F" w:rsidP="00482A9F">
      <w:pPr>
        <w:spacing w:line="360" w:lineRule="auto"/>
        <w:jc w:val="center"/>
        <w:rPr>
          <w:sz w:val="22"/>
          <w:szCs w:val="22"/>
        </w:rPr>
      </w:pPr>
      <w:r w:rsidRPr="009A28F5">
        <w:rPr>
          <w:sz w:val="22"/>
          <w:szCs w:val="22"/>
        </w:rPr>
        <w:t xml:space="preserve">*** Insert Figure </w:t>
      </w:r>
      <w:r w:rsidR="000A456A">
        <w:rPr>
          <w:sz w:val="22"/>
          <w:szCs w:val="22"/>
        </w:rPr>
        <w:t>4</w:t>
      </w:r>
      <w:r w:rsidR="000A456A" w:rsidRPr="009A28F5">
        <w:rPr>
          <w:sz w:val="22"/>
          <w:szCs w:val="22"/>
        </w:rPr>
        <w:t xml:space="preserve"> </w:t>
      </w:r>
      <w:r w:rsidRPr="009A28F5">
        <w:rPr>
          <w:sz w:val="22"/>
          <w:szCs w:val="22"/>
        </w:rPr>
        <w:t>about here ***</w:t>
      </w:r>
    </w:p>
    <w:p w14:paraId="1EF94C26" w14:textId="77777777" w:rsidR="00482A9F" w:rsidRPr="009A28F5" w:rsidRDefault="00482A9F" w:rsidP="00CD3CF6">
      <w:pPr>
        <w:spacing w:line="360" w:lineRule="auto"/>
        <w:jc w:val="both"/>
        <w:rPr>
          <w:sz w:val="22"/>
          <w:szCs w:val="22"/>
        </w:rPr>
      </w:pPr>
    </w:p>
    <w:p w14:paraId="5A64D986" w14:textId="6C695BD1" w:rsidR="00D557F7" w:rsidRPr="009A28F5" w:rsidRDefault="00482A9F" w:rsidP="00CD3CF6">
      <w:pPr>
        <w:spacing w:line="360" w:lineRule="auto"/>
        <w:jc w:val="both"/>
        <w:rPr>
          <w:sz w:val="22"/>
          <w:szCs w:val="22"/>
        </w:rPr>
      </w:pPr>
      <w:r w:rsidRPr="009A28F5">
        <w:rPr>
          <w:sz w:val="22"/>
          <w:szCs w:val="22"/>
        </w:rPr>
        <w:t>Table 5 presents the ti</w:t>
      </w:r>
      <w:r w:rsidR="003E7BB2" w:rsidRPr="009A28F5">
        <w:rPr>
          <w:sz w:val="22"/>
          <w:szCs w:val="22"/>
        </w:rPr>
        <w:t>me</w:t>
      </w:r>
      <w:r w:rsidR="0053096A" w:rsidRPr="009A28F5">
        <w:rPr>
          <w:sz w:val="22"/>
          <w:szCs w:val="22"/>
        </w:rPr>
        <w:t>-</w:t>
      </w:r>
      <w:r w:rsidR="00CD3CF6" w:rsidRPr="009A28F5">
        <w:rPr>
          <w:sz w:val="22"/>
          <w:szCs w:val="22"/>
        </w:rPr>
        <w:t>series</w:t>
      </w:r>
      <w:r w:rsidR="003E7BB2" w:rsidRPr="009A28F5">
        <w:rPr>
          <w:sz w:val="22"/>
          <w:szCs w:val="22"/>
        </w:rPr>
        <w:t xml:space="preserve"> </w:t>
      </w:r>
      <w:r w:rsidRPr="009A28F5">
        <w:rPr>
          <w:sz w:val="22"/>
          <w:szCs w:val="22"/>
        </w:rPr>
        <w:t xml:space="preserve">results of the </w:t>
      </w:r>
      <w:r w:rsidR="00CD3CF6" w:rsidRPr="009A28F5">
        <w:rPr>
          <w:sz w:val="22"/>
          <w:szCs w:val="22"/>
        </w:rPr>
        <w:t xml:space="preserve">unit root </w:t>
      </w:r>
      <w:r w:rsidRPr="009A28F5">
        <w:rPr>
          <w:sz w:val="22"/>
          <w:szCs w:val="22"/>
        </w:rPr>
        <w:t>tests.</w:t>
      </w:r>
      <w:r w:rsidR="0053096A" w:rsidRPr="009A28F5">
        <w:rPr>
          <w:sz w:val="22"/>
          <w:szCs w:val="22"/>
        </w:rPr>
        <w:t xml:space="preserve"> In a subsequent step, we test</w:t>
      </w:r>
      <w:r w:rsidR="00CD3CF6" w:rsidRPr="009A28F5">
        <w:rPr>
          <w:sz w:val="22"/>
          <w:szCs w:val="22"/>
        </w:rPr>
        <w:t xml:space="preserve"> for co</w:t>
      </w:r>
      <w:r w:rsidR="00D54D4F" w:rsidRPr="009A28F5">
        <w:rPr>
          <w:sz w:val="22"/>
          <w:szCs w:val="22"/>
        </w:rPr>
        <w:t>-</w:t>
      </w:r>
      <w:r w:rsidR="00CD3CF6" w:rsidRPr="009A28F5">
        <w:rPr>
          <w:sz w:val="22"/>
          <w:szCs w:val="22"/>
        </w:rPr>
        <w:t xml:space="preserve">integration if the </w:t>
      </w:r>
      <w:r w:rsidR="00DE455B" w:rsidRPr="009A28F5">
        <w:rPr>
          <w:sz w:val="22"/>
          <w:szCs w:val="22"/>
        </w:rPr>
        <w:t>production</w:t>
      </w:r>
      <w:r w:rsidR="00CD3CF6" w:rsidRPr="009A28F5">
        <w:rPr>
          <w:sz w:val="22"/>
          <w:szCs w:val="22"/>
        </w:rPr>
        <w:t xml:space="preserve"> cost is </w:t>
      </w:r>
      <w:r w:rsidR="00D557F7" w:rsidRPr="009A28F5">
        <w:rPr>
          <w:sz w:val="22"/>
          <w:szCs w:val="22"/>
        </w:rPr>
        <w:t xml:space="preserve">non-stationary and </w:t>
      </w:r>
      <w:proofErr w:type="gramStart"/>
      <w:r w:rsidR="00CD3CF6" w:rsidRPr="009A28F5">
        <w:rPr>
          <w:sz w:val="22"/>
          <w:szCs w:val="22"/>
        </w:rPr>
        <w:t>I(</w:t>
      </w:r>
      <w:proofErr w:type="gramEnd"/>
      <w:r w:rsidR="00CD3CF6" w:rsidRPr="009A28F5">
        <w:rPr>
          <w:sz w:val="22"/>
          <w:szCs w:val="22"/>
        </w:rPr>
        <w:t>1)</w:t>
      </w:r>
      <w:r w:rsidR="00D557F7" w:rsidRPr="009A28F5">
        <w:rPr>
          <w:sz w:val="22"/>
          <w:szCs w:val="22"/>
        </w:rPr>
        <w:t xml:space="preserve"> as presented in Table </w:t>
      </w:r>
      <w:r w:rsidR="001D6D4D" w:rsidRPr="009A28F5">
        <w:rPr>
          <w:sz w:val="22"/>
          <w:szCs w:val="22"/>
        </w:rPr>
        <w:t>6</w:t>
      </w:r>
      <w:r w:rsidR="00CD3CF6" w:rsidRPr="009A28F5">
        <w:rPr>
          <w:sz w:val="22"/>
          <w:szCs w:val="22"/>
        </w:rPr>
        <w:t>.</w:t>
      </w:r>
      <w:r w:rsidR="00D557F7" w:rsidRPr="009A28F5">
        <w:rPr>
          <w:sz w:val="22"/>
          <w:szCs w:val="22"/>
        </w:rPr>
        <w:t xml:space="preserve"> </w:t>
      </w:r>
      <w:r w:rsidR="00CD3CF6" w:rsidRPr="009A28F5">
        <w:rPr>
          <w:sz w:val="22"/>
          <w:szCs w:val="22"/>
        </w:rPr>
        <w:t>Finally</w:t>
      </w:r>
      <w:r w:rsidR="00D557F7" w:rsidRPr="009A28F5">
        <w:rPr>
          <w:sz w:val="22"/>
          <w:szCs w:val="22"/>
        </w:rPr>
        <w:t>,</w:t>
      </w:r>
      <w:r w:rsidR="00CD3CF6" w:rsidRPr="009A28F5">
        <w:rPr>
          <w:sz w:val="22"/>
          <w:szCs w:val="22"/>
        </w:rPr>
        <w:t xml:space="preserve"> we </w:t>
      </w:r>
      <w:r w:rsidR="00D557F7" w:rsidRPr="009A28F5">
        <w:rPr>
          <w:sz w:val="22"/>
          <w:szCs w:val="22"/>
        </w:rPr>
        <w:t xml:space="preserve">estimate the statistics for Granger causality displayed in Table </w:t>
      </w:r>
      <w:r w:rsidR="001D6D4D" w:rsidRPr="009A28F5">
        <w:rPr>
          <w:sz w:val="22"/>
          <w:szCs w:val="22"/>
        </w:rPr>
        <w:t>7</w:t>
      </w:r>
      <w:r w:rsidR="00D557F7" w:rsidRPr="009A28F5">
        <w:rPr>
          <w:sz w:val="22"/>
          <w:szCs w:val="22"/>
        </w:rPr>
        <w:t>.</w:t>
      </w:r>
    </w:p>
    <w:p w14:paraId="69F9D473" w14:textId="77777777" w:rsidR="00E920FF" w:rsidRPr="009A28F5" w:rsidRDefault="00E920FF" w:rsidP="00D557F7">
      <w:pPr>
        <w:spacing w:line="360" w:lineRule="auto"/>
        <w:jc w:val="center"/>
        <w:rPr>
          <w:sz w:val="22"/>
          <w:szCs w:val="22"/>
        </w:rPr>
      </w:pPr>
    </w:p>
    <w:p w14:paraId="5773F4F2" w14:textId="77777777" w:rsidR="00482A9F" w:rsidRPr="009A28F5" w:rsidRDefault="00482A9F" w:rsidP="00482A9F">
      <w:pPr>
        <w:spacing w:line="360" w:lineRule="auto"/>
        <w:jc w:val="center"/>
        <w:rPr>
          <w:sz w:val="22"/>
          <w:szCs w:val="22"/>
        </w:rPr>
      </w:pPr>
      <w:r w:rsidRPr="009A28F5">
        <w:rPr>
          <w:sz w:val="22"/>
          <w:szCs w:val="22"/>
        </w:rPr>
        <w:t>*** Insert Table 5 about here ***</w:t>
      </w:r>
    </w:p>
    <w:p w14:paraId="19DD8CA4" w14:textId="77777777" w:rsidR="00314C7D" w:rsidRPr="009A28F5" w:rsidRDefault="00314C7D" w:rsidP="00314C7D">
      <w:pPr>
        <w:spacing w:line="360" w:lineRule="auto"/>
        <w:jc w:val="center"/>
        <w:rPr>
          <w:sz w:val="22"/>
          <w:szCs w:val="22"/>
        </w:rPr>
      </w:pPr>
    </w:p>
    <w:p w14:paraId="2B57E7CB" w14:textId="29C8DD46" w:rsidR="00314C7D" w:rsidRPr="009A28F5" w:rsidRDefault="00314C7D" w:rsidP="00314C7D">
      <w:pPr>
        <w:spacing w:line="360" w:lineRule="auto"/>
        <w:jc w:val="center"/>
        <w:rPr>
          <w:sz w:val="22"/>
          <w:szCs w:val="22"/>
        </w:rPr>
      </w:pPr>
      <w:r w:rsidRPr="009A28F5">
        <w:rPr>
          <w:sz w:val="22"/>
          <w:szCs w:val="22"/>
        </w:rPr>
        <w:t>*** Insert Table 6 about here ***</w:t>
      </w:r>
    </w:p>
    <w:p w14:paraId="1688C4AE" w14:textId="77777777" w:rsidR="00482A9F" w:rsidRPr="009A28F5" w:rsidRDefault="00482A9F" w:rsidP="001D6D4D">
      <w:pPr>
        <w:spacing w:line="360" w:lineRule="auto"/>
        <w:jc w:val="center"/>
        <w:rPr>
          <w:sz w:val="22"/>
          <w:szCs w:val="22"/>
        </w:rPr>
      </w:pPr>
    </w:p>
    <w:p w14:paraId="280592AD" w14:textId="0FCF0847" w:rsidR="00CD3CF6" w:rsidRPr="009A28F5" w:rsidRDefault="00EA7A32" w:rsidP="00CD3CF6">
      <w:pPr>
        <w:spacing w:line="360" w:lineRule="auto"/>
        <w:jc w:val="both"/>
        <w:rPr>
          <w:sz w:val="22"/>
          <w:szCs w:val="22"/>
        </w:rPr>
      </w:pPr>
      <w:r w:rsidRPr="009A28F5">
        <w:rPr>
          <w:sz w:val="22"/>
          <w:szCs w:val="22"/>
        </w:rPr>
        <w:t>Table 7</w:t>
      </w:r>
      <w:r w:rsidR="00D557F7" w:rsidRPr="009A28F5">
        <w:rPr>
          <w:sz w:val="22"/>
          <w:szCs w:val="22"/>
        </w:rPr>
        <w:t xml:space="preserve"> shows </w:t>
      </w:r>
      <w:r w:rsidR="00CD3CF6" w:rsidRPr="009A28F5">
        <w:rPr>
          <w:sz w:val="22"/>
          <w:szCs w:val="22"/>
        </w:rPr>
        <w:t xml:space="preserve">a number of companies where gold prices do indeed drive costs such as Anglo Gold Ashanti and Newcrest.  </w:t>
      </w:r>
      <w:r w:rsidRPr="009A28F5">
        <w:rPr>
          <w:sz w:val="22"/>
          <w:szCs w:val="22"/>
        </w:rPr>
        <w:t xml:space="preserve">Again, in some cases </w:t>
      </w:r>
      <w:r w:rsidR="00CD3CF6" w:rsidRPr="009A28F5">
        <w:rPr>
          <w:sz w:val="22"/>
          <w:szCs w:val="22"/>
        </w:rPr>
        <w:t>costs caus</w:t>
      </w:r>
      <w:r w:rsidRPr="009A28F5">
        <w:rPr>
          <w:sz w:val="22"/>
          <w:szCs w:val="22"/>
        </w:rPr>
        <w:t>e</w:t>
      </w:r>
      <w:r w:rsidR="00CD3CF6" w:rsidRPr="009A28F5">
        <w:rPr>
          <w:sz w:val="22"/>
          <w:szCs w:val="22"/>
        </w:rPr>
        <w:t xml:space="preserve"> prices</w:t>
      </w:r>
      <w:r w:rsidRPr="009A28F5">
        <w:rPr>
          <w:sz w:val="22"/>
          <w:szCs w:val="22"/>
        </w:rPr>
        <w:t xml:space="preserve"> with a negative sign,</w:t>
      </w:r>
      <w:r w:rsidR="00E963E5">
        <w:rPr>
          <w:sz w:val="22"/>
          <w:szCs w:val="22"/>
        </w:rPr>
        <w:t xml:space="preserve"> </w:t>
      </w:r>
      <w:r w:rsidRPr="009A28F5">
        <w:rPr>
          <w:sz w:val="22"/>
          <w:szCs w:val="22"/>
        </w:rPr>
        <w:t>e.g. B</w:t>
      </w:r>
      <w:r w:rsidR="00CD3CF6" w:rsidRPr="009A28F5">
        <w:rPr>
          <w:sz w:val="22"/>
          <w:szCs w:val="22"/>
        </w:rPr>
        <w:t xml:space="preserve">arrick </w:t>
      </w:r>
      <w:r w:rsidRPr="009A28F5">
        <w:rPr>
          <w:sz w:val="22"/>
          <w:szCs w:val="22"/>
        </w:rPr>
        <w:t>G</w:t>
      </w:r>
      <w:r w:rsidR="00CD3CF6" w:rsidRPr="009A28F5">
        <w:rPr>
          <w:sz w:val="22"/>
          <w:szCs w:val="22"/>
        </w:rPr>
        <w:t xml:space="preserve">old’s cash costs cause changes in the gold price with a $1 rise in cash costs followed by a $2.38 fall in the gold price. </w:t>
      </w:r>
      <w:proofErr w:type="gramStart"/>
      <w:r w:rsidR="009E0710">
        <w:rPr>
          <w:sz w:val="22"/>
          <w:szCs w:val="22"/>
        </w:rPr>
        <w:t>T</w:t>
      </w:r>
      <w:r w:rsidR="0003205D">
        <w:rPr>
          <w:sz w:val="22"/>
          <w:szCs w:val="22"/>
        </w:rPr>
        <w:t>his</w:t>
      </w:r>
      <w:r w:rsidR="00E963E5">
        <w:rPr>
          <w:sz w:val="22"/>
          <w:szCs w:val="22"/>
        </w:rPr>
        <w:t xml:space="preserve"> </w:t>
      </w:r>
      <w:r w:rsidR="00CD3CF6" w:rsidRPr="009A28F5">
        <w:rPr>
          <w:sz w:val="22"/>
          <w:szCs w:val="22"/>
        </w:rPr>
        <w:t>point</w:t>
      </w:r>
      <w:r w:rsidRPr="009A28F5">
        <w:rPr>
          <w:sz w:val="22"/>
          <w:szCs w:val="22"/>
        </w:rPr>
        <w:t>s</w:t>
      </w:r>
      <w:proofErr w:type="gramEnd"/>
      <w:r w:rsidR="00CD3CF6" w:rsidRPr="009A28F5">
        <w:rPr>
          <w:sz w:val="22"/>
          <w:szCs w:val="22"/>
        </w:rPr>
        <w:t xml:space="preserve"> to a lack of predictive abi</w:t>
      </w:r>
      <w:r w:rsidRPr="009A28F5">
        <w:rPr>
          <w:sz w:val="22"/>
          <w:szCs w:val="22"/>
        </w:rPr>
        <w:t>lity among some gold producers</w:t>
      </w:r>
      <w:r w:rsidR="00973EEB">
        <w:rPr>
          <w:sz w:val="22"/>
          <w:szCs w:val="22"/>
        </w:rPr>
        <w:t xml:space="preserve"> </w:t>
      </w:r>
      <w:r w:rsidR="009E0710">
        <w:rPr>
          <w:sz w:val="22"/>
          <w:szCs w:val="22"/>
        </w:rPr>
        <w:t>especially in rising gold price regimes.</w:t>
      </w:r>
    </w:p>
    <w:p w14:paraId="717C2FD2" w14:textId="77777777" w:rsidR="00314C7D" w:rsidRPr="009A28F5" w:rsidRDefault="00314C7D" w:rsidP="00314C7D">
      <w:pPr>
        <w:spacing w:line="360" w:lineRule="auto"/>
        <w:jc w:val="center"/>
        <w:rPr>
          <w:sz w:val="22"/>
          <w:szCs w:val="22"/>
        </w:rPr>
      </w:pPr>
    </w:p>
    <w:p w14:paraId="5494F4B2" w14:textId="6C798778" w:rsidR="00314C7D" w:rsidRPr="009A28F5" w:rsidRDefault="00314C7D" w:rsidP="00314C7D">
      <w:pPr>
        <w:spacing w:line="360" w:lineRule="auto"/>
        <w:jc w:val="center"/>
        <w:rPr>
          <w:sz w:val="22"/>
          <w:szCs w:val="22"/>
        </w:rPr>
      </w:pPr>
      <w:r w:rsidRPr="009A28F5">
        <w:rPr>
          <w:sz w:val="22"/>
          <w:szCs w:val="22"/>
        </w:rPr>
        <w:t>*** Insert Table 7 about here ***</w:t>
      </w:r>
    </w:p>
    <w:p w14:paraId="2B683C02" w14:textId="77777777" w:rsidR="00EA7A32" w:rsidRPr="009A28F5" w:rsidRDefault="00EA7A32" w:rsidP="001D6D4D">
      <w:pPr>
        <w:spacing w:after="200" w:line="276" w:lineRule="auto"/>
        <w:rPr>
          <w:b/>
          <w:sz w:val="22"/>
          <w:szCs w:val="22"/>
        </w:rPr>
      </w:pPr>
    </w:p>
    <w:p w14:paraId="314A5EB8" w14:textId="77777777" w:rsidR="00CD3CF6" w:rsidRPr="009A28F5" w:rsidRDefault="00CD3CF6" w:rsidP="003B7EAB">
      <w:pPr>
        <w:pStyle w:val="ListParagraph"/>
        <w:numPr>
          <w:ilvl w:val="0"/>
          <w:numId w:val="12"/>
        </w:numPr>
        <w:spacing w:line="360" w:lineRule="auto"/>
        <w:rPr>
          <w:rFonts w:ascii="Times New Roman" w:hAnsi="Times New Roman" w:cs="Times New Roman"/>
          <w:b/>
        </w:rPr>
      </w:pPr>
      <w:r w:rsidRPr="009A28F5">
        <w:rPr>
          <w:rFonts w:ascii="Times New Roman" w:hAnsi="Times New Roman" w:cs="Times New Roman"/>
          <w:b/>
        </w:rPr>
        <w:t>Summary and Concluding Remarks</w:t>
      </w:r>
    </w:p>
    <w:p w14:paraId="0D209994" w14:textId="147D469D" w:rsidR="007A3199" w:rsidRPr="009A28F5" w:rsidRDefault="006142EE" w:rsidP="007A3199">
      <w:pPr>
        <w:spacing w:line="360" w:lineRule="auto"/>
        <w:jc w:val="both"/>
        <w:rPr>
          <w:sz w:val="22"/>
          <w:szCs w:val="22"/>
        </w:rPr>
      </w:pPr>
      <w:r w:rsidRPr="009A28F5">
        <w:rPr>
          <w:sz w:val="22"/>
          <w:szCs w:val="22"/>
        </w:rPr>
        <w:t xml:space="preserve">This paper is motivated by the </w:t>
      </w:r>
      <w:r w:rsidR="0003205D">
        <w:rPr>
          <w:sz w:val="22"/>
          <w:szCs w:val="22"/>
        </w:rPr>
        <w:t xml:space="preserve">importance and </w:t>
      </w:r>
      <w:r w:rsidR="007A3199" w:rsidRPr="009A28F5">
        <w:rPr>
          <w:sz w:val="22"/>
          <w:szCs w:val="22"/>
        </w:rPr>
        <w:t>scarcity of studies on the relationship between gold pri</w:t>
      </w:r>
      <w:r w:rsidR="001D6D4D" w:rsidRPr="009A28F5">
        <w:rPr>
          <w:sz w:val="22"/>
          <w:szCs w:val="22"/>
        </w:rPr>
        <w:t xml:space="preserve">ces and </w:t>
      </w:r>
      <w:r w:rsidR="007A3199" w:rsidRPr="009A28F5">
        <w:rPr>
          <w:sz w:val="22"/>
          <w:szCs w:val="22"/>
        </w:rPr>
        <w:t xml:space="preserve">gold </w:t>
      </w:r>
      <w:r w:rsidR="00DE455B" w:rsidRPr="009A28F5">
        <w:rPr>
          <w:sz w:val="22"/>
          <w:szCs w:val="22"/>
        </w:rPr>
        <w:t>production</w:t>
      </w:r>
      <w:r w:rsidR="007A3199" w:rsidRPr="009A28F5">
        <w:rPr>
          <w:sz w:val="22"/>
          <w:szCs w:val="22"/>
        </w:rPr>
        <w:t xml:space="preserve"> costs</w:t>
      </w:r>
      <w:r w:rsidR="0003205D">
        <w:rPr>
          <w:sz w:val="22"/>
          <w:szCs w:val="22"/>
        </w:rPr>
        <w:t xml:space="preserve">, </w:t>
      </w:r>
      <w:r w:rsidR="006755B6" w:rsidRPr="009A28F5">
        <w:rPr>
          <w:sz w:val="22"/>
          <w:szCs w:val="22"/>
        </w:rPr>
        <w:t xml:space="preserve">as well as any other mined commodities. We use </w:t>
      </w:r>
      <w:r w:rsidR="0053096A" w:rsidRPr="009A28F5">
        <w:rPr>
          <w:sz w:val="22"/>
          <w:szCs w:val="22"/>
        </w:rPr>
        <w:t xml:space="preserve">a new </w:t>
      </w:r>
      <w:r w:rsidR="007A3199" w:rsidRPr="009A28F5">
        <w:rPr>
          <w:sz w:val="22"/>
          <w:szCs w:val="22"/>
        </w:rPr>
        <w:t xml:space="preserve">data set </w:t>
      </w:r>
      <w:r w:rsidR="00544B9B">
        <w:rPr>
          <w:sz w:val="22"/>
          <w:szCs w:val="22"/>
        </w:rPr>
        <w:t xml:space="preserve">on gold mine production costs </w:t>
      </w:r>
      <w:r w:rsidR="007A3199" w:rsidRPr="009A28F5">
        <w:rPr>
          <w:sz w:val="22"/>
          <w:szCs w:val="22"/>
        </w:rPr>
        <w:t xml:space="preserve">and describe two competing theories regarding the </w:t>
      </w:r>
      <w:r w:rsidR="006755B6" w:rsidRPr="009A28F5">
        <w:rPr>
          <w:sz w:val="22"/>
          <w:szCs w:val="22"/>
        </w:rPr>
        <w:t>causal relationship between</w:t>
      </w:r>
      <w:r w:rsidR="007A3199" w:rsidRPr="009A28F5">
        <w:rPr>
          <w:sz w:val="22"/>
          <w:szCs w:val="22"/>
        </w:rPr>
        <w:t xml:space="preserve"> prices and </w:t>
      </w:r>
      <w:r w:rsidR="00DE455B" w:rsidRPr="009A28F5">
        <w:rPr>
          <w:sz w:val="22"/>
          <w:szCs w:val="22"/>
        </w:rPr>
        <w:t>production</w:t>
      </w:r>
      <w:r w:rsidR="007A3199" w:rsidRPr="009A28F5">
        <w:rPr>
          <w:sz w:val="22"/>
          <w:szCs w:val="22"/>
        </w:rPr>
        <w:t xml:space="preserve"> costs. One theory is based on the role of general inflation on </w:t>
      </w:r>
      <w:r w:rsidR="00DE455B" w:rsidRPr="009A28F5">
        <w:rPr>
          <w:sz w:val="22"/>
          <w:szCs w:val="22"/>
        </w:rPr>
        <w:t>production</w:t>
      </w:r>
      <w:r w:rsidR="007A3199" w:rsidRPr="009A28F5">
        <w:rPr>
          <w:sz w:val="22"/>
          <w:szCs w:val="22"/>
        </w:rPr>
        <w:t xml:space="preserve"> costs ultimately affecting gold prices whilst the other is based on classical </w:t>
      </w:r>
      <w:r w:rsidR="001A2B29" w:rsidRPr="009A28F5">
        <w:rPr>
          <w:sz w:val="22"/>
          <w:szCs w:val="22"/>
        </w:rPr>
        <w:t>laws</w:t>
      </w:r>
      <w:r w:rsidR="007A3199" w:rsidRPr="009A28F5">
        <w:rPr>
          <w:sz w:val="22"/>
          <w:szCs w:val="22"/>
        </w:rPr>
        <w:t xml:space="preserve"> of rent and the “real option” character of gold mine operations. Our empirical analysis for a comprehensive set of country and firm-level data provides strong evidence for causality running from gold prices to </w:t>
      </w:r>
      <w:r w:rsidR="00DE455B" w:rsidRPr="009A28F5">
        <w:rPr>
          <w:sz w:val="22"/>
          <w:szCs w:val="22"/>
        </w:rPr>
        <w:t>production</w:t>
      </w:r>
      <w:r w:rsidR="007A3199" w:rsidRPr="009A28F5">
        <w:rPr>
          <w:sz w:val="22"/>
          <w:szCs w:val="22"/>
        </w:rPr>
        <w:t xml:space="preserve"> costs and not the other way around. Higher gold prices lead to the opening of previously unprofitable mines increasing the average </w:t>
      </w:r>
      <w:r w:rsidR="00DE455B" w:rsidRPr="009A28F5">
        <w:rPr>
          <w:sz w:val="22"/>
          <w:szCs w:val="22"/>
        </w:rPr>
        <w:t>production</w:t>
      </w:r>
      <w:r w:rsidR="007A3199" w:rsidRPr="009A28F5">
        <w:rPr>
          <w:sz w:val="22"/>
          <w:szCs w:val="22"/>
        </w:rPr>
        <w:t xml:space="preserve"> costs whilst lower gold prices lead to the closure of previously profitable mines decreasing the average </w:t>
      </w:r>
      <w:r w:rsidR="00DE455B" w:rsidRPr="009A28F5">
        <w:rPr>
          <w:sz w:val="22"/>
          <w:szCs w:val="22"/>
        </w:rPr>
        <w:t>production</w:t>
      </w:r>
      <w:r w:rsidR="007A3199" w:rsidRPr="009A28F5">
        <w:rPr>
          <w:sz w:val="22"/>
          <w:szCs w:val="22"/>
        </w:rPr>
        <w:t xml:space="preserve"> costs. </w:t>
      </w:r>
    </w:p>
    <w:p w14:paraId="36B08959" w14:textId="77777777" w:rsidR="006755B6" w:rsidRPr="009A28F5" w:rsidRDefault="006755B6" w:rsidP="007A3199">
      <w:pPr>
        <w:spacing w:line="360" w:lineRule="auto"/>
        <w:jc w:val="both"/>
        <w:rPr>
          <w:sz w:val="22"/>
          <w:szCs w:val="22"/>
        </w:rPr>
      </w:pPr>
    </w:p>
    <w:p w14:paraId="2D91F938" w14:textId="59E61D86" w:rsidR="000E7988" w:rsidRPr="009A28F5" w:rsidRDefault="007A3199" w:rsidP="007A3199">
      <w:pPr>
        <w:spacing w:line="360" w:lineRule="auto"/>
        <w:jc w:val="both"/>
        <w:rPr>
          <w:sz w:val="22"/>
          <w:szCs w:val="22"/>
        </w:rPr>
      </w:pPr>
      <w:r w:rsidRPr="009A28F5">
        <w:rPr>
          <w:sz w:val="22"/>
          <w:szCs w:val="22"/>
        </w:rPr>
        <w:t xml:space="preserve">The study contributes to the growing literature on gold in general and gold mining firms in particular and to a better understanding of the link between </w:t>
      </w:r>
      <w:r w:rsidR="00DE455B" w:rsidRPr="009A28F5">
        <w:rPr>
          <w:sz w:val="22"/>
          <w:szCs w:val="22"/>
        </w:rPr>
        <w:t>production</w:t>
      </w:r>
      <w:r w:rsidRPr="009A28F5">
        <w:rPr>
          <w:sz w:val="22"/>
          <w:szCs w:val="22"/>
        </w:rPr>
        <w:t xml:space="preserve"> costs and gold prices. </w:t>
      </w:r>
      <w:r w:rsidR="003579E2" w:rsidRPr="009A28F5">
        <w:rPr>
          <w:sz w:val="22"/>
          <w:szCs w:val="22"/>
        </w:rPr>
        <w:t xml:space="preserve">The data set also </w:t>
      </w:r>
      <w:r w:rsidR="003579E2" w:rsidRPr="009A28F5">
        <w:rPr>
          <w:sz w:val="22"/>
          <w:szCs w:val="22"/>
        </w:rPr>
        <w:lastRenderedPageBreak/>
        <w:t xml:space="preserve">enables an </w:t>
      </w:r>
      <w:r w:rsidR="0003205D">
        <w:rPr>
          <w:sz w:val="22"/>
          <w:szCs w:val="22"/>
        </w:rPr>
        <w:t xml:space="preserve">implicit </w:t>
      </w:r>
      <w:r w:rsidR="003579E2" w:rsidRPr="009A28F5">
        <w:rPr>
          <w:sz w:val="22"/>
          <w:szCs w:val="22"/>
        </w:rPr>
        <w:t xml:space="preserve">analysis of real optionality both on the aggregate country level and the firm-level avoiding a common focus on changes in the gold exposures of listed gold mining firms. </w:t>
      </w:r>
    </w:p>
    <w:p w14:paraId="5412A3AC" w14:textId="77777777" w:rsidR="006755B6" w:rsidRPr="009A28F5" w:rsidRDefault="006755B6" w:rsidP="007A3199">
      <w:pPr>
        <w:spacing w:line="360" w:lineRule="auto"/>
        <w:jc w:val="both"/>
        <w:rPr>
          <w:sz w:val="22"/>
          <w:szCs w:val="22"/>
        </w:rPr>
      </w:pPr>
    </w:p>
    <w:p w14:paraId="6A1DDE84" w14:textId="2850B456" w:rsidR="006755B6" w:rsidRDefault="006755B6" w:rsidP="007A3199">
      <w:pPr>
        <w:spacing w:line="360" w:lineRule="auto"/>
        <w:jc w:val="both"/>
        <w:rPr>
          <w:sz w:val="22"/>
          <w:szCs w:val="22"/>
        </w:rPr>
      </w:pPr>
      <w:r w:rsidRPr="009A28F5">
        <w:rPr>
          <w:sz w:val="22"/>
          <w:szCs w:val="22"/>
        </w:rPr>
        <w:t>Industry analys</w:t>
      </w:r>
      <w:r w:rsidR="009E0710">
        <w:rPr>
          <w:sz w:val="22"/>
          <w:szCs w:val="22"/>
        </w:rPr>
        <w:t>e</w:t>
      </w:r>
      <w:r w:rsidRPr="009A28F5">
        <w:rPr>
          <w:sz w:val="22"/>
          <w:szCs w:val="22"/>
        </w:rPr>
        <w:t xml:space="preserve">s sometimes argue that </w:t>
      </w:r>
      <w:r w:rsidR="00DE455B" w:rsidRPr="009A28F5">
        <w:rPr>
          <w:sz w:val="22"/>
          <w:szCs w:val="22"/>
        </w:rPr>
        <w:t>production</w:t>
      </w:r>
      <w:r w:rsidRPr="009A28F5">
        <w:rPr>
          <w:sz w:val="22"/>
          <w:szCs w:val="22"/>
        </w:rPr>
        <w:t xml:space="preserve"> costs provid</w:t>
      </w:r>
      <w:r w:rsidR="002F4DC2" w:rsidRPr="009A28F5">
        <w:rPr>
          <w:sz w:val="22"/>
          <w:szCs w:val="22"/>
        </w:rPr>
        <w:t xml:space="preserve">ed </w:t>
      </w:r>
      <w:r w:rsidRPr="009A28F5">
        <w:rPr>
          <w:sz w:val="22"/>
          <w:szCs w:val="22"/>
        </w:rPr>
        <w:t>a floor below which gold prices cannot fall such as reported in Barron’s in July 2014. Wh</w:t>
      </w:r>
      <w:r w:rsidR="00EA7A32" w:rsidRPr="009A28F5">
        <w:rPr>
          <w:sz w:val="22"/>
          <w:szCs w:val="22"/>
        </w:rPr>
        <w:t xml:space="preserve">ile this study does not test </w:t>
      </w:r>
      <w:r w:rsidRPr="009A28F5">
        <w:rPr>
          <w:sz w:val="22"/>
          <w:szCs w:val="22"/>
        </w:rPr>
        <w:t xml:space="preserve">this issue directly we do show that costs do not provide a long term price floor as </w:t>
      </w:r>
      <w:r w:rsidR="0003205D">
        <w:rPr>
          <w:sz w:val="22"/>
          <w:szCs w:val="22"/>
        </w:rPr>
        <w:t xml:space="preserve">decreasing </w:t>
      </w:r>
      <w:r w:rsidRPr="009A28F5">
        <w:rPr>
          <w:sz w:val="22"/>
          <w:szCs w:val="22"/>
        </w:rPr>
        <w:t>gold price</w:t>
      </w:r>
      <w:r w:rsidR="00EA7A32" w:rsidRPr="009A28F5">
        <w:rPr>
          <w:sz w:val="22"/>
          <w:szCs w:val="22"/>
        </w:rPr>
        <w:t xml:space="preserve">s </w:t>
      </w:r>
      <w:r w:rsidRPr="009A28F5">
        <w:rPr>
          <w:sz w:val="22"/>
          <w:szCs w:val="22"/>
        </w:rPr>
        <w:t xml:space="preserve">lead to </w:t>
      </w:r>
      <w:r w:rsidR="0003205D">
        <w:rPr>
          <w:sz w:val="22"/>
          <w:szCs w:val="22"/>
        </w:rPr>
        <w:t>lower p</w:t>
      </w:r>
      <w:r w:rsidRPr="009A28F5">
        <w:rPr>
          <w:sz w:val="22"/>
          <w:szCs w:val="22"/>
        </w:rPr>
        <w:t>roduction costs over time.</w:t>
      </w:r>
    </w:p>
    <w:p w14:paraId="13AB3EB8" w14:textId="77777777" w:rsidR="00544B9B" w:rsidRDefault="00544B9B" w:rsidP="007A3199">
      <w:pPr>
        <w:spacing w:line="360" w:lineRule="auto"/>
        <w:jc w:val="both"/>
        <w:rPr>
          <w:sz w:val="22"/>
          <w:szCs w:val="22"/>
        </w:rPr>
      </w:pPr>
    </w:p>
    <w:p w14:paraId="07D9ADB6" w14:textId="6840D51E" w:rsidR="009978A4" w:rsidRDefault="009978A4" w:rsidP="007A3199">
      <w:pPr>
        <w:spacing w:line="360" w:lineRule="auto"/>
        <w:jc w:val="both"/>
        <w:rPr>
          <w:sz w:val="22"/>
          <w:szCs w:val="22"/>
        </w:rPr>
      </w:pPr>
      <w:r>
        <w:rPr>
          <w:sz w:val="22"/>
          <w:szCs w:val="22"/>
        </w:rPr>
        <w:t>With more data available over the coming years future research could test for asymmetries in Granger causality both in mean and in volatility.</w:t>
      </w:r>
      <w:r w:rsidR="00544B9B">
        <w:rPr>
          <w:sz w:val="22"/>
          <w:szCs w:val="22"/>
        </w:rPr>
        <w:t xml:space="preserve"> In addition some of the countries not examined </w:t>
      </w:r>
      <w:r w:rsidR="009B6870">
        <w:rPr>
          <w:sz w:val="22"/>
          <w:szCs w:val="22"/>
        </w:rPr>
        <w:t>in this study</w:t>
      </w:r>
      <w:r w:rsidR="00835946">
        <w:rPr>
          <w:sz w:val="22"/>
          <w:szCs w:val="22"/>
        </w:rPr>
        <w:t xml:space="preserve"> </w:t>
      </w:r>
      <w:r w:rsidR="00544B9B">
        <w:rPr>
          <w:sz w:val="22"/>
          <w:szCs w:val="22"/>
        </w:rPr>
        <w:t>will have sufficient d</w:t>
      </w:r>
      <w:r w:rsidR="009B6870">
        <w:rPr>
          <w:sz w:val="22"/>
          <w:szCs w:val="22"/>
        </w:rPr>
        <w:t>a</w:t>
      </w:r>
      <w:r w:rsidR="00544B9B">
        <w:rPr>
          <w:sz w:val="22"/>
          <w:szCs w:val="22"/>
        </w:rPr>
        <w:t>ta to include them</w:t>
      </w:r>
      <w:r w:rsidR="009E0710">
        <w:rPr>
          <w:sz w:val="22"/>
          <w:szCs w:val="22"/>
        </w:rPr>
        <w:t xml:space="preserve"> such as China, </w:t>
      </w:r>
      <w:r w:rsidR="00544B9B">
        <w:rPr>
          <w:sz w:val="22"/>
          <w:szCs w:val="22"/>
        </w:rPr>
        <w:t>the largest gold producer in 2013</w:t>
      </w:r>
      <w:r w:rsidR="009E0710">
        <w:rPr>
          <w:sz w:val="22"/>
          <w:szCs w:val="22"/>
        </w:rPr>
        <w:t>.</w:t>
      </w:r>
      <w:r w:rsidR="00544B9B">
        <w:rPr>
          <w:sz w:val="22"/>
          <w:szCs w:val="22"/>
        </w:rPr>
        <w:t xml:space="preserve"> </w:t>
      </w:r>
    </w:p>
    <w:p w14:paraId="153EBFDD" w14:textId="6C078095" w:rsidR="0003205D" w:rsidRDefault="0003205D">
      <w:pPr>
        <w:spacing w:after="200" w:line="276" w:lineRule="auto"/>
        <w:rPr>
          <w:b/>
          <w:color w:val="000000" w:themeColor="text1"/>
          <w:sz w:val="22"/>
          <w:szCs w:val="22"/>
        </w:rPr>
      </w:pPr>
      <w:r>
        <w:rPr>
          <w:b/>
          <w:color w:val="000000" w:themeColor="text1"/>
          <w:sz w:val="22"/>
          <w:szCs w:val="22"/>
        </w:rPr>
        <w:br w:type="page"/>
      </w:r>
    </w:p>
    <w:p w14:paraId="18E057DE" w14:textId="77777777" w:rsidR="00CD3CF6" w:rsidRPr="00657F67" w:rsidRDefault="00CD3CF6" w:rsidP="00361F37">
      <w:pPr>
        <w:spacing w:after="200" w:line="276" w:lineRule="auto"/>
        <w:jc w:val="both"/>
        <w:rPr>
          <w:b/>
          <w:color w:val="000000" w:themeColor="text1"/>
          <w:sz w:val="22"/>
          <w:szCs w:val="22"/>
        </w:rPr>
      </w:pPr>
      <w:r w:rsidRPr="00657F67">
        <w:rPr>
          <w:b/>
          <w:color w:val="000000" w:themeColor="text1"/>
          <w:sz w:val="22"/>
          <w:szCs w:val="22"/>
        </w:rPr>
        <w:lastRenderedPageBreak/>
        <w:t>References</w:t>
      </w:r>
    </w:p>
    <w:p w14:paraId="5E364CD5" w14:textId="4820F3E2" w:rsidR="006755B6" w:rsidRPr="00657F67" w:rsidRDefault="00E963E5" w:rsidP="00B87F7B">
      <w:pPr>
        <w:autoSpaceDE w:val="0"/>
        <w:autoSpaceDN w:val="0"/>
        <w:adjustRightInd w:val="0"/>
        <w:jc w:val="both"/>
        <w:rPr>
          <w:color w:val="000000" w:themeColor="text1"/>
          <w:sz w:val="22"/>
          <w:szCs w:val="22"/>
        </w:rPr>
      </w:pPr>
      <w:proofErr w:type="spellStart"/>
      <w:r w:rsidRPr="00657F67">
        <w:rPr>
          <w:color w:val="000000" w:themeColor="text1"/>
          <w:sz w:val="22"/>
          <w:szCs w:val="22"/>
        </w:rPr>
        <w:t>Barrons</w:t>
      </w:r>
      <w:proofErr w:type="spellEnd"/>
      <w:r w:rsidRPr="00657F67">
        <w:rPr>
          <w:color w:val="000000" w:themeColor="text1"/>
          <w:sz w:val="22"/>
          <w:szCs w:val="22"/>
        </w:rPr>
        <w:t xml:space="preserve"> (2014) </w:t>
      </w:r>
      <w:hyperlink r:id="rId9" w:history="1">
        <w:r w:rsidR="006755B6" w:rsidRPr="00657F67">
          <w:rPr>
            <w:rStyle w:val="Hyperlink"/>
            <w:color w:val="000000" w:themeColor="text1"/>
            <w:sz w:val="22"/>
            <w:szCs w:val="22"/>
          </w:rPr>
          <w:t>http://blogs.barrons.com/focusonfunds/2014/07/24/goldman-on-gold-target-1050-an-ounce-but-1200-is-the-real-floor/</w:t>
        </w:r>
      </w:hyperlink>
    </w:p>
    <w:p w14:paraId="642E6437" w14:textId="77777777" w:rsidR="0084701C" w:rsidRPr="00657F67" w:rsidRDefault="0084701C" w:rsidP="00B87F7B">
      <w:pPr>
        <w:autoSpaceDE w:val="0"/>
        <w:autoSpaceDN w:val="0"/>
        <w:adjustRightInd w:val="0"/>
        <w:jc w:val="both"/>
        <w:rPr>
          <w:color w:val="000000" w:themeColor="text1"/>
          <w:sz w:val="22"/>
          <w:szCs w:val="22"/>
        </w:rPr>
      </w:pPr>
    </w:p>
    <w:p w14:paraId="62C76DD7" w14:textId="77777777" w:rsidR="00FE4207" w:rsidRPr="00657F67" w:rsidRDefault="00FE4207" w:rsidP="00B87F7B">
      <w:pPr>
        <w:autoSpaceDE w:val="0"/>
        <w:autoSpaceDN w:val="0"/>
        <w:adjustRightInd w:val="0"/>
        <w:jc w:val="both"/>
        <w:rPr>
          <w:color w:val="000000" w:themeColor="text1"/>
          <w:sz w:val="22"/>
          <w:szCs w:val="22"/>
        </w:rPr>
      </w:pPr>
      <w:proofErr w:type="gramStart"/>
      <w:r w:rsidRPr="00657F67">
        <w:rPr>
          <w:color w:val="000000" w:themeColor="text1"/>
          <w:sz w:val="22"/>
          <w:szCs w:val="22"/>
        </w:rPr>
        <w:t>Batten,</w:t>
      </w:r>
      <w:proofErr w:type="gramEnd"/>
      <w:r w:rsidRPr="00657F67">
        <w:rPr>
          <w:color w:val="000000" w:themeColor="text1"/>
          <w:sz w:val="22"/>
          <w:szCs w:val="22"/>
        </w:rPr>
        <w:t xml:space="preserve"> J.A., C. Ciner, and B.M. Lucey (2014), On the Economic Determinants of the Gold-Inflation Relation, Resources Policy, 41, 101-108.</w:t>
      </w:r>
    </w:p>
    <w:p w14:paraId="17CDC579" w14:textId="77777777" w:rsidR="00B82CE8" w:rsidRPr="00657F67" w:rsidRDefault="00B82CE8" w:rsidP="00B87F7B">
      <w:pPr>
        <w:autoSpaceDE w:val="0"/>
        <w:autoSpaceDN w:val="0"/>
        <w:adjustRightInd w:val="0"/>
        <w:jc w:val="both"/>
        <w:rPr>
          <w:color w:val="000000" w:themeColor="text1"/>
          <w:sz w:val="22"/>
          <w:szCs w:val="22"/>
        </w:rPr>
      </w:pPr>
    </w:p>
    <w:p w14:paraId="4C1D69CE" w14:textId="77777777" w:rsidR="00FE4207" w:rsidRPr="00657F67" w:rsidRDefault="00FE4207" w:rsidP="00B87F7B">
      <w:pPr>
        <w:jc w:val="both"/>
        <w:rPr>
          <w:color w:val="000000" w:themeColor="text1"/>
          <w:sz w:val="22"/>
          <w:szCs w:val="22"/>
        </w:rPr>
      </w:pPr>
      <w:r w:rsidRPr="00657F67">
        <w:rPr>
          <w:color w:val="000000" w:themeColor="text1"/>
          <w:sz w:val="22"/>
          <w:szCs w:val="22"/>
        </w:rPr>
        <w:t xml:space="preserve">Beckmann, J. and R. </w:t>
      </w:r>
      <w:proofErr w:type="spellStart"/>
      <w:r w:rsidRPr="00657F67">
        <w:rPr>
          <w:color w:val="000000" w:themeColor="text1"/>
          <w:sz w:val="22"/>
          <w:szCs w:val="22"/>
        </w:rPr>
        <w:t>Czudaj</w:t>
      </w:r>
      <w:proofErr w:type="spellEnd"/>
      <w:r w:rsidRPr="00657F67">
        <w:rPr>
          <w:color w:val="000000" w:themeColor="text1"/>
          <w:sz w:val="22"/>
          <w:szCs w:val="22"/>
        </w:rPr>
        <w:t xml:space="preserve"> (2013), Gold as </w:t>
      </w:r>
      <w:proofErr w:type="gramStart"/>
      <w:r w:rsidRPr="00657F67">
        <w:rPr>
          <w:color w:val="000000" w:themeColor="text1"/>
          <w:sz w:val="22"/>
          <w:szCs w:val="22"/>
        </w:rPr>
        <w:t>an Inflation</w:t>
      </w:r>
      <w:proofErr w:type="gramEnd"/>
      <w:r w:rsidRPr="00657F67">
        <w:rPr>
          <w:color w:val="000000" w:themeColor="text1"/>
          <w:sz w:val="22"/>
          <w:szCs w:val="22"/>
        </w:rPr>
        <w:t xml:space="preserve"> Hedge in a Time-Varying Coefficient Framework, The North American Journal of Economics and Finance, 24, 208-222.</w:t>
      </w:r>
    </w:p>
    <w:p w14:paraId="677D540E" w14:textId="77777777" w:rsidR="00B87F7B" w:rsidRPr="00657F67" w:rsidRDefault="00B87F7B" w:rsidP="00B87F7B">
      <w:pPr>
        <w:jc w:val="both"/>
        <w:rPr>
          <w:color w:val="000000" w:themeColor="text1"/>
          <w:sz w:val="22"/>
          <w:szCs w:val="22"/>
        </w:rPr>
      </w:pPr>
    </w:p>
    <w:p w14:paraId="333F6F3B" w14:textId="1D0B899A" w:rsidR="00E01DD8" w:rsidRPr="00657F67" w:rsidRDefault="00E01DD8" w:rsidP="00B87F7B">
      <w:pPr>
        <w:jc w:val="both"/>
        <w:rPr>
          <w:color w:val="000000" w:themeColor="text1"/>
          <w:sz w:val="22"/>
          <w:szCs w:val="22"/>
        </w:rPr>
      </w:pPr>
      <w:proofErr w:type="spellStart"/>
      <w:r w:rsidRPr="00657F67">
        <w:rPr>
          <w:color w:val="000000" w:themeColor="text1"/>
          <w:sz w:val="22"/>
          <w:szCs w:val="22"/>
        </w:rPr>
        <w:t>Blose</w:t>
      </w:r>
      <w:proofErr w:type="spellEnd"/>
      <w:r w:rsidRPr="00657F67">
        <w:rPr>
          <w:color w:val="000000" w:themeColor="text1"/>
          <w:sz w:val="22"/>
          <w:szCs w:val="22"/>
        </w:rPr>
        <w:t>, L</w:t>
      </w:r>
      <w:r w:rsidR="00E963E5" w:rsidRPr="00657F67">
        <w:rPr>
          <w:color w:val="000000" w:themeColor="text1"/>
          <w:sz w:val="22"/>
          <w:szCs w:val="22"/>
        </w:rPr>
        <w:t xml:space="preserve">. </w:t>
      </w:r>
      <w:r w:rsidRPr="00657F67">
        <w:rPr>
          <w:color w:val="000000" w:themeColor="text1"/>
          <w:sz w:val="22"/>
          <w:szCs w:val="22"/>
        </w:rPr>
        <w:t>E., and J</w:t>
      </w:r>
      <w:r w:rsidR="00E963E5" w:rsidRPr="00657F67">
        <w:rPr>
          <w:color w:val="000000" w:themeColor="text1"/>
          <w:sz w:val="22"/>
          <w:szCs w:val="22"/>
        </w:rPr>
        <w:t xml:space="preserve">. </w:t>
      </w:r>
      <w:r w:rsidRPr="00657F67">
        <w:rPr>
          <w:color w:val="000000" w:themeColor="text1"/>
          <w:sz w:val="22"/>
          <w:szCs w:val="22"/>
        </w:rPr>
        <w:t xml:space="preserve">CP Shieh (1995), </w:t>
      </w:r>
      <w:proofErr w:type="gramStart"/>
      <w:r w:rsidRPr="00657F67">
        <w:rPr>
          <w:color w:val="000000" w:themeColor="text1"/>
          <w:sz w:val="22"/>
          <w:szCs w:val="22"/>
        </w:rPr>
        <w:t>The</w:t>
      </w:r>
      <w:proofErr w:type="gramEnd"/>
      <w:r w:rsidRPr="00657F67">
        <w:rPr>
          <w:color w:val="000000" w:themeColor="text1"/>
          <w:sz w:val="22"/>
          <w:szCs w:val="22"/>
        </w:rPr>
        <w:t xml:space="preserve"> impact of gold price on the value of gold mining stock, </w:t>
      </w:r>
      <w:r w:rsidRPr="00657F67">
        <w:rPr>
          <w:iCs/>
          <w:color w:val="000000" w:themeColor="text1"/>
          <w:sz w:val="22"/>
          <w:szCs w:val="22"/>
        </w:rPr>
        <w:t>Review of Financial Economics</w:t>
      </w:r>
      <w:r w:rsidRPr="00657F67">
        <w:rPr>
          <w:color w:val="000000" w:themeColor="text1"/>
          <w:sz w:val="22"/>
          <w:szCs w:val="22"/>
        </w:rPr>
        <w:t xml:space="preserve"> 4 (2), 125-139.</w:t>
      </w:r>
    </w:p>
    <w:p w14:paraId="239AF032" w14:textId="77777777" w:rsidR="00E01DD8" w:rsidRPr="00657F67" w:rsidRDefault="00E01DD8" w:rsidP="00B87F7B">
      <w:pPr>
        <w:jc w:val="both"/>
        <w:rPr>
          <w:color w:val="000000" w:themeColor="text1"/>
          <w:sz w:val="22"/>
          <w:szCs w:val="22"/>
        </w:rPr>
      </w:pPr>
    </w:p>
    <w:p w14:paraId="5BF97EF4" w14:textId="0A98180D" w:rsidR="00E01DD8" w:rsidRPr="00657F67" w:rsidRDefault="00E01DD8" w:rsidP="00B87F7B">
      <w:pPr>
        <w:jc w:val="both"/>
        <w:rPr>
          <w:color w:val="000000" w:themeColor="text1"/>
          <w:sz w:val="22"/>
          <w:szCs w:val="22"/>
        </w:rPr>
      </w:pPr>
      <w:proofErr w:type="spellStart"/>
      <w:r w:rsidRPr="00657F67">
        <w:rPr>
          <w:color w:val="000000" w:themeColor="text1"/>
          <w:sz w:val="22"/>
          <w:szCs w:val="22"/>
        </w:rPr>
        <w:t>Blose</w:t>
      </w:r>
      <w:proofErr w:type="spellEnd"/>
      <w:r w:rsidRPr="00657F67">
        <w:rPr>
          <w:color w:val="000000" w:themeColor="text1"/>
          <w:sz w:val="22"/>
          <w:szCs w:val="22"/>
        </w:rPr>
        <w:t>, L.E. (2010), Gold Prices, Cost of Carry, and Expected Inflation, Journal of Economics and Business, 62(1), 35-47.</w:t>
      </w:r>
    </w:p>
    <w:p w14:paraId="4E0E8ED4" w14:textId="77777777" w:rsidR="00B87F7B" w:rsidRPr="00657F67" w:rsidRDefault="00B87F7B" w:rsidP="00B87F7B">
      <w:pPr>
        <w:jc w:val="both"/>
        <w:rPr>
          <w:color w:val="000000" w:themeColor="text1"/>
          <w:sz w:val="22"/>
          <w:szCs w:val="22"/>
        </w:rPr>
      </w:pPr>
    </w:p>
    <w:p w14:paraId="3E92E7D6" w14:textId="512D4EC6" w:rsidR="00E01DD8" w:rsidRPr="00657F67" w:rsidRDefault="00E01DD8" w:rsidP="00B87F7B">
      <w:pPr>
        <w:jc w:val="both"/>
        <w:rPr>
          <w:color w:val="000000" w:themeColor="text1"/>
          <w:sz w:val="22"/>
          <w:szCs w:val="22"/>
        </w:rPr>
      </w:pPr>
      <w:proofErr w:type="spellStart"/>
      <w:r w:rsidRPr="00657F67">
        <w:rPr>
          <w:color w:val="000000" w:themeColor="text1"/>
          <w:sz w:val="22"/>
          <w:szCs w:val="22"/>
        </w:rPr>
        <w:t>Borenstein</w:t>
      </w:r>
      <w:proofErr w:type="spellEnd"/>
      <w:r w:rsidRPr="00657F67">
        <w:rPr>
          <w:color w:val="000000" w:themeColor="text1"/>
          <w:sz w:val="22"/>
          <w:szCs w:val="22"/>
        </w:rPr>
        <w:t>, S</w:t>
      </w:r>
      <w:r w:rsidR="00E963E5" w:rsidRPr="00657F67">
        <w:rPr>
          <w:color w:val="000000" w:themeColor="text1"/>
          <w:sz w:val="22"/>
          <w:szCs w:val="22"/>
        </w:rPr>
        <w:t xml:space="preserve">. </w:t>
      </w:r>
      <w:r w:rsidRPr="00657F67">
        <w:rPr>
          <w:color w:val="000000" w:themeColor="text1"/>
          <w:sz w:val="22"/>
          <w:szCs w:val="22"/>
        </w:rPr>
        <w:t>and J</w:t>
      </w:r>
      <w:r w:rsidR="00E963E5" w:rsidRPr="00657F67">
        <w:rPr>
          <w:color w:val="000000" w:themeColor="text1"/>
          <w:sz w:val="22"/>
          <w:szCs w:val="22"/>
        </w:rPr>
        <w:t xml:space="preserve">. </w:t>
      </w:r>
      <w:r w:rsidRPr="00657F67">
        <w:rPr>
          <w:color w:val="000000" w:themeColor="text1"/>
          <w:sz w:val="22"/>
          <w:szCs w:val="22"/>
        </w:rPr>
        <w:t>Farrell (2007), Do investors forecast fat firms? Evidence from the gold</w:t>
      </w:r>
      <w:r w:rsidRPr="00657F67">
        <w:rPr>
          <w:rFonts w:ascii="Cambria Math" w:hAnsi="Cambria Math" w:cs="Cambria Math"/>
          <w:color w:val="000000" w:themeColor="text1"/>
          <w:sz w:val="22"/>
          <w:szCs w:val="22"/>
        </w:rPr>
        <w:t>‐</w:t>
      </w:r>
      <w:r w:rsidRPr="00657F67">
        <w:rPr>
          <w:color w:val="000000" w:themeColor="text1"/>
          <w:sz w:val="22"/>
          <w:szCs w:val="22"/>
        </w:rPr>
        <w:t xml:space="preserve">mining industry, </w:t>
      </w:r>
      <w:r w:rsidRPr="00657F67">
        <w:rPr>
          <w:iCs/>
          <w:color w:val="000000" w:themeColor="text1"/>
          <w:sz w:val="22"/>
          <w:szCs w:val="22"/>
        </w:rPr>
        <w:t>The RAND Journal of Economics</w:t>
      </w:r>
      <w:r w:rsidRPr="00657F67">
        <w:rPr>
          <w:color w:val="000000" w:themeColor="text1"/>
          <w:sz w:val="22"/>
          <w:szCs w:val="22"/>
        </w:rPr>
        <w:t xml:space="preserve"> 38 (3): 626-647.</w:t>
      </w:r>
    </w:p>
    <w:p w14:paraId="13A36A87" w14:textId="77777777" w:rsidR="00E01DD8" w:rsidRPr="00657F67" w:rsidRDefault="00E01DD8" w:rsidP="00B87F7B">
      <w:pPr>
        <w:jc w:val="both"/>
        <w:rPr>
          <w:color w:val="000000" w:themeColor="text1"/>
          <w:sz w:val="22"/>
          <w:szCs w:val="22"/>
        </w:rPr>
      </w:pPr>
    </w:p>
    <w:p w14:paraId="47BB8A1B" w14:textId="680341BA" w:rsidR="00A51BD0" w:rsidRPr="00657F67" w:rsidRDefault="00A51BD0" w:rsidP="00B87F7B">
      <w:pPr>
        <w:jc w:val="both"/>
        <w:rPr>
          <w:color w:val="000000" w:themeColor="text1"/>
          <w:sz w:val="22"/>
          <w:szCs w:val="22"/>
        </w:rPr>
      </w:pPr>
      <w:r w:rsidRPr="00657F67">
        <w:rPr>
          <w:color w:val="000000" w:themeColor="text1"/>
          <w:sz w:val="22"/>
          <w:szCs w:val="22"/>
        </w:rPr>
        <w:t>Brown, G</w:t>
      </w:r>
      <w:r w:rsidR="00E963E5" w:rsidRPr="00657F67">
        <w:rPr>
          <w:color w:val="000000" w:themeColor="text1"/>
          <w:sz w:val="22"/>
          <w:szCs w:val="22"/>
        </w:rPr>
        <w:t>.</w:t>
      </w:r>
      <w:r w:rsidRPr="00657F67">
        <w:rPr>
          <w:color w:val="000000" w:themeColor="text1"/>
          <w:sz w:val="22"/>
          <w:szCs w:val="22"/>
        </w:rPr>
        <w:t xml:space="preserve"> W., </w:t>
      </w:r>
      <w:proofErr w:type="spellStart"/>
      <w:r w:rsidRPr="00657F67">
        <w:rPr>
          <w:color w:val="000000" w:themeColor="text1"/>
          <w:sz w:val="22"/>
          <w:szCs w:val="22"/>
        </w:rPr>
        <w:t>Crabb</w:t>
      </w:r>
      <w:proofErr w:type="spellEnd"/>
      <w:r w:rsidRPr="00657F67">
        <w:rPr>
          <w:color w:val="000000" w:themeColor="text1"/>
          <w:sz w:val="22"/>
          <w:szCs w:val="22"/>
        </w:rPr>
        <w:t xml:space="preserve">, </w:t>
      </w:r>
      <w:r w:rsidR="00E963E5" w:rsidRPr="00657F67">
        <w:rPr>
          <w:color w:val="000000" w:themeColor="text1"/>
          <w:sz w:val="22"/>
          <w:szCs w:val="22"/>
        </w:rPr>
        <w:t xml:space="preserve">P.R. </w:t>
      </w:r>
      <w:r w:rsidRPr="00657F67">
        <w:rPr>
          <w:color w:val="000000" w:themeColor="text1"/>
          <w:sz w:val="22"/>
          <w:szCs w:val="22"/>
        </w:rPr>
        <w:t>and D</w:t>
      </w:r>
      <w:r w:rsidR="00E963E5" w:rsidRPr="00657F67">
        <w:rPr>
          <w:color w:val="000000" w:themeColor="text1"/>
          <w:sz w:val="22"/>
          <w:szCs w:val="22"/>
        </w:rPr>
        <w:t xml:space="preserve">. </w:t>
      </w:r>
      <w:proofErr w:type="spellStart"/>
      <w:r w:rsidRPr="00657F67">
        <w:rPr>
          <w:color w:val="000000" w:themeColor="text1"/>
          <w:sz w:val="22"/>
          <w:szCs w:val="22"/>
        </w:rPr>
        <w:t>Haushalter</w:t>
      </w:r>
      <w:proofErr w:type="spellEnd"/>
      <w:r w:rsidRPr="00657F67">
        <w:rPr>
          <w:color w:val="000000" w:themeColor="text1"/>
          <w:sz w:val="22"/>
          <w:szCs w:val="22"/>
        </w:rPr>
        <w:t xml:space="preserve">, 2006, Are Firms Successful at Selective Hedging? </w:t>
      </w:r>
      <w:proofErr w:type="gramStart"/>
      <w:r w:rsidRPr="00657F67">
        <w:rPr>
          <w:color w:val="000000" w:themeColor="text1"/>
          <w:sz w:val="22"/>
          <w:szCs w:val="22"/>
        </w:rPr>
        <w:t>Journal of Business 79, 2925–2949.</w:t>
      </w:r>
      <w:proofErr w:type="gramEnd"/>
    </w:p>
    <w:p w14:paraId="7F3A868B" w14:textId="77777777" w:rsidR="00E01DD8" w:rsidRPr="00657F67" w:rsidRDefault="00E01DD8" w:rsidP="00B87F7B">
      <w:pPr>
        <w:jc w:val="both"/>
        <w:rPr>
          <w:color w:val="000000" w:themeColor="text1"/>
          <w:sz w:val="22"/>
          <w:szCs w:val="22"/>
        </w:rPr>
      </w:pPr>
    </w:p>
    <w:p w14:paraId="00AE0CE6" w14:textId="01D2BA03" w:rsidR="003171F1" w:rsidRPr="00657F67" w:rsidRDefault="009C7F02" w:rsidP="00B87F7B">
      <w:pPr>
        <w:jc w:val="both"/>
        <w:rPr>
          <w:rStyle w:val="citation"/>
          <w:color w:val="000000" w:themeColor="text1"/>
          <w:sz w:val="22"/>
          <w:szCs w:val="22"/>
        </w:rPr>
      </w:pPr>
      <w:hyperlink r:id="rId10" w:tooltip="Michael Brennan (finance)" w:history="1">
        <w:r w:rsidR="003171F1" w:rsidRPr="00657F67">
          <w:rPr>
            <w:rStyle w:val="Hyperlink"/>
            <w:color w:val="000000" w:themeColor="text1"/>
            <w:sz w:val="22"/>
            <w:szCs w:val="22"/>
          </w:rPr>
          <w:t>Brennan, J.</w:t>
        </w:r>
      </w:hyperlink>
      <w:r w:rsidR="003171F1" w:rsidRPr="00657F67">
        <w:rPr>
          <w:rStyle w:val="citation"/>
          <w:color w:val="000000" w:themeColor="text1"/>
          <w:sz w:val="22"/>
          <w:szCs w:val="22"/>
        </w:rPr>
        <w:t xml:space="preserve"> and E. </w:t>
      </w:r>
      <w:hyperlink r:id="rId11" w:tooltip="Eduardo Schwartz" w:history="1">
        <w:r w:rsidR="003171F1" w:rsidRPr="00657F67">
          <w:rPr>
            <w:rStyle w:val="Hyperlink"/>
            <w:color w:val="000000" w:themeColor="text1"/>
            <w:sz w:val="22"/>
            <w:szCs w:val="22"/>
          </w:rPr>
          <w:t>Schwartz</w:t>
        </w:r>
      </w:hyperlink>
      <w:r w:rsidR="001041E0" w:rsidRPr="00657F67">
        <w:rPr>
          <w:rStyle w:val="citation"/>
          <w:color w:val="000000" w:themeColor="text1"/>
          <w:sz w:val="22"/>
          <w:szCs w:val="22"/>
        </w:rPr>
        <w:t xml:space="preserve"> </w:t>
      </w:r>
      <w:r w:rsidR="003171F1" w:rsidRPr="00657F67">
        <w:rPr>
          <w:rStyle w:val="citation"/>
          <w:color w:val="000000" w:themeColor="text1"/>
          <w:sz w:val="22"/>
          <w:szCs w:val="22"/>
        </w:rPr>
        <w:t>(1985)</w:t>
      </w:r>
      <w:r w:rsidR="001041E0" w:rsidRPr="00657F67">
        <w:rPr>
          <w:rStyle w:val="citation"/>
          <w:color w:val="000000" w:themeColor="text1"/>
          <w:sz w:val="22"/>
          <w:szCs w:val="22"/>
        </w:rPr>
        <w:t xml:space="preserve">, </w:t>
      </w:r>
      <w:r w:rsidR="003171F1" w:rsidRPr="00657F67">
        <w:rPr>
          <w:rStyle w:val="citation"/>
          <w:color w:val="000000" w:themeColor="text1"/>
          <w:sz w:val="22"/>
          <w:szCs w:val="22"/>
        </w:rPr>
        <w:t>Evaluating Natural Resource Investments</w:t>
      </w:r>
      <w:r w:rsidR="001041E0" w:rsidRPr="00657F67">
        <w:rPr>
          <w:rStyle w:val="citation"/>
          <w:color w:val="000000" w:themeColor="text1"/>
          <w:sz w:val="22"/>
          <w:szCs w:val="22"/>
        </w:rPr>
        <w:t xml:space="preserve">, </w:t>
      </w:r>
      <w:hyperlink r:id="rId12" w:tooltip="The Journal of Business" w:history="1">
        <w:r w:rsidR="003171F1" w:rsidRPr="00657F67">
          <w:rPr>
            <w:rStyle w:val="Hyperlink"/>
            <w:iCs/>
            <w:color w:val="000000" w:themeColor="text1"/>
            <w:sz w:val="22"/>
            <w:szCs w:val="22"/>
          </w:rPr>
          <w:t>Journal of Business</w:t>
        </w:r>
      </w:hyperlink>
      <w:r w:rsidR="003171F1" w:rsidRPr="00657F67">
        <w:rPr>
          <w:rStyle w:val="citation"/>
          <w:color w:val="000000" w:themeColor="text1"/>
          <w:sz w:val="22"/>
          <w:szCs w:val="22"/>
        </w:rPr>
        <w:t xml:space="preserve"> </w:t>
      </w:r>
      <w:r w:rsidR="003171F1" w:rsidRPr="00657F67">
        <w:rPr>
          <w:rStyle w:val="citation"/>
          <w:bCs/>
          <w:color w:val="000000" w:themeColor="text1"/>
          <w:sz w:val="22"/>
          <w:szCs w:val="22"/>
        </w:rPr>
        <w:t>58</w:t>
      </w:r>
      <w:r w:rsidR="003171F1" w:rsidRPr="00657F67">
        <w:rPr>
          <w:rStyle w:val="citation"/>
          <w:color w:val="000000" w:themeColor="text1"/>
          <w:sz w:val="22"/>
          <w:szCs w:val="22"/>
        </w:rPr>
        <w:t xml:space="preserve"> (2)</w:t>
      </w:r>
      <w:r w:rsidR="00E01DD8" w:rsidRPr="00657F67">
        <w:rPr>
          <w:rStyle w:val="citation"/>
          <w:color w:val="000000" w:themeColor="text1"/>
          <w:sz w:val="22"/>
          <w:szCs w:val="22"/>
        </w:rPr>
        <w:t xml:space="preserve">, </w:t>
      </w:r>
      <w:r w:rsidR="003171F1" w:rsidRPr="00657F67">
        <w:rPr>
          <w:rStyle w:val="citation"/>
          <w:color w:val="000000" w:themeColor="text1"/>
          <w:sz w:val="22"/>
          <w:szCs w:val="22"/>
        </w:rPr>
        <w:t>35–157</w:t>
      </w:r>
    </w:p>
    <w:p w14:paraId="1F8A2A84" w14:textId="77777777" w:rsidR="00B87F7B" w:rsidRPr="00657F67" w:rsidRDefault="00B87F7B" w:rsidP="00B87F7B">
      <w:pPr>
        <w:jc w:val="both"/>
        <w:rPr>
          <w:rStyle w:val="citation"/>
          <w:color w:val="000000" w:themeColor="text1"/>
          <w:sz w:val="22"/>
          <w:szCs w:val="22"/>
        </w:rPr>
      </w:pPr>
    </w:p>
    <w:p w14:paraId="303173ED" w14:textId="77777777" w:rsidR="00FF5069" w:rsidRPr="00657F67" w:rsidRDefault="00FF5069" w:rsidP="00B87F7B">
      <w:pPr>
        <w:jc w:val="both"/>
        <w:rPr>
          <w:color w:val="000000" w:themeColor="text1"/>
          <w:sz w:val="22"/>
          <w:szCs w:val="22"/>
        </w:rPr>
      </w:pPr>
      <w:proofErr w:type="gramStart"/>
      <w:r w:rsidRPr="00657F67">
        <w:rPr>
          <w:rStyle w:val="citation"/>
          <w:color w:val="000000" w:themeColor="text1"/>
          <w:sz w:val="22"/>
          <w:szCs w:val="22"/>
        </w:rPr>
        <w:t>Economist, The.</w:t>
      </w:r>
      <w:proofErr w:type="gramEnd"/>
      <w:r w:rsidRPr="00657F67">
        <w:rPr>
          <w:rStyle w:val="citation"/>
          <w:color w:val="000000" w:themeColor="text1"/>
          <w:sz w:val="22"/>
          <w:szCs w:val="22"/>
        </w:rPr>
        <w:t xml:space="preserve"> </w:t>
      </w:r>
      <w:proofErr w:type="gramStart"/>
      <w:r w:rsidRPr="00657F67">
        <w:rPr>
          <w:rStyle w:val="citation"/>
          <w:color w:val="000000" w:themeColor="text1"/>
          <w:sz w:val="22"/>
          <w:szCs w:val="22"/>
        </w:rPr>
        <w:t xml:space="preserve">(2014). </w:t>
      </w:r>
      <w:proofErr w:type="spellStart"/>
      <w:r w:rsidRPr="00657F67">
        <w:rPr>
          <w:rStyle w:val="citation"/>
          <w:color w:val="000000" w:themeColor="text1"/>
          <w:sz w:val="22"/>
          <w:szCs w:val="22"/>
        </w:rPr>
        <w:t>Munk’s</w:t>
      </w:r>
      <w:proofErr w:type="spellEnd"/>
      <w:r w:rsidRPr="00657F67">
        <w:rPr>
          <w:rStyle w:val="citation"/>
          <w:color w:val="000000" w:themeColor="text1"/>
          <w:sz w:val="22"/>
          <w:szCs w:val="22"/>
        </w:rPr>
        <w:t xml:space="preserve"> Tale.</w:t>
      </w:r>
      <w:proofErr w:type="gramEnd"/>
      <w:r w:rsidRPr="00657F67">
        <w:rPr>
          <w:rStyle w:val="citation"/>
          <w:color w:val="000000" w:themeColor="text1"/>
          <w:sz w:val="22"/>
          <w:szCs w:val="22"/>
        </w:rPr>
        <w:t xml:space="preserve"> The Economist 19</w:t>
      </w:r>
      <w:r w:rsidRPr="00657F67">
        <w:rPr>
          <w:rStyle w:val="citation"/>
          <w:color w:val="000000" w:themeColor="text1"/>
          <w:sz w:val="22"/>
          <w:szCs w:val="22"/>
          <w:vertAlign w:val="superscript"/>
        </w:rPr>
        <w:t>th</w:t>
      </w:r>
      <w:r w:rsidRPr="00657F67">
        <w:rPr>
          <w:rStyle w:val="citation"/>
          <w:color w:val="000000" w:themeColor="text1"/>
          <w:sz w:val="22"/>
          <w:szCs w:val="22"/>
        </w:rPr>
        <w:t xml:space="preserve"> April 2014. </w:t>
      </w:r>
    </w:p>
    <w:p w14:paraId="128DD915" w14:textId="77777777" w:rsidR="00B87F7B" w:rsidRPr="00657F67" w:rsidRDefault="00B87F7B" w:rsidP="00B87F7B">
      <w:pPr>
        <w:jc w:val="both"/>
        <w:rPr>
          <w:color w:val="000000" w:themeColor="text1"/>
          <w:sz w:val="22"/>
          <w:szCs w:val="22"/>
        </w:rPr>
      </w:pPr>
    </w:p>
    <w:p w14:paraId="7439108E" w14:textId="77777777" w:rsidR="00361F37" w:rsidRPr="00657F67" w:rsidRDefault="00361F37" w:rsidP="00B87F7B">
      <w:pPr>
        <w:jc w:val="both"/>
        <w:rPr>
          <w:color w:val="000000" w:themeColor="text1"/>
          <w:sz w:val="22"/>
          <w:szCs w:val="22"/>
        </w:rPr>
      </w:pPr>
      <w:r w:rsidRPr="00657F67">
        <w:rPr>
          <w:color w:val="000000" w:themeColor="text1"/>
          <w:sz w:val="22"/>
          <w:szCs w:val="22"/>
        </w:rPr>
        <w:t xml:space="preserve">Engle, R.F. and C.W.J. Granger (1987), Co-integration and Error Correction: Representation, Estimation and Testing, </w:t>
      </w:r>
      <w:proofErr w:type="spellStart"/>
      <w:r w:rsidRPr="00657F67">
        <w:rPr>
          <w:color w:val="000000" w:themeColor="text1"/>
          <w:sz w:val="22"/>
          <w:szCs w:val="22"/>
        </w:rPr>
        <w:t>Econometrica</w:t>
      </w:r>
      <w:proofErr w:type="spellEnd"/>
      <w:r w:rsidRPr="00657F67">
        <w:rPr>
          <w:color w:val="000000" w:themeColor="text1"/>
          <w:sz w:val="22"/>
          <w:szCs w:val="22"/>
        </w:rPr>
        <w:t xml:space="preserve"> 55 (2), 251-276.</w:t>
      </w:r>
    </w:p>
    <w:p w14:paraId="66CDA6E9" w14:textId="77777777" w:rsidR="00B87F7B" w:rsidRPr="00657F67" w:rsidRDefault="00B87F7B" w:rsidP="00B87F7B">
      <w:pPr>
        <w:jc w:val="both"/>
        <w:rPr>
          <w:color w:val="000000" w:themeColor="text1"/>
          <w:sz w:val="22"/>
          <w:szCs w:val="22"/>
        </w:rPr>
      </w:pPr>
    </w:p>
    <w:p w14:paraId="4C3D0B89" w14:textId="77777777" w:rsidR="00361F37" w:rsidRPr="00657F67" w:rsidRDefault="00361F37" w:rsidP="00B87F7B">
      <w:pPr>
        <w:jc w:val="both"/>
        <w:rPr>
          <w:color w:val="000000" w:themeColor="text1"/>
          <w:sz w:val="22"/>
          <w:szCs w:val="22"/>
        </w:rPr>
      </w:pPr>
      <w:proofErr w:type="gramStart"/>
      <w:r w:rsidRPr="00657F67">
        <w:rPr>
          <w:color w:val="000000" w:themeColor="text1"/>
          <w:sz w:val="22"/>
          <w:szCs w:val="22"/>
        </w:rPr>
        <w:t>Granger, C.W.J. (1988), Causal</w:t>
      </w:r>
      <w:r w:rsidR="00DC1DD1" w:rsidRPr="00657F67">
        <w:rPr>
          <w:color w:val="000000" w:themeColor="text1"/>
          <w:sz w:val="22"/>
          <w:szCs w:val="22"/>
        </w:rPr>
        <w:t>ity, cointegration, and control.</w:t>
      </w:r>
      <w:proofErr w:type="gramEnd"/>
      <w:r w:rsidRPr="00657F67">
        <w:rPr>
          <w:color w:val="000000" w:themeColor="text1"/>
          <w:sz w:val="22"/>
          <w:szCs w:val="22"/>
        </w:rPr>
        <w:t xml:space="preserve"> Journal of Economic Dynamics and Control, 12(2-3), 551-559.</w:t>
      </w:r>
    </w:p>
    <w:p w14:paraId="79997991" w14:textId="77777777" w:rsidR="00B87F7B" w:rsidRPr="00657F67" w:rsidRDefault="00B87F7B" w:rsidP="00B87F7B">
      <w:pPr>
        <w:jc w:val="both"/>
        <w:rPr>
          <w:color w:val="000000" w:themeColor="text1"/>
          <w:sz w:val="22"/>
          <w:szCs w:val="22"/>
        </w:rPr>
      </w:pPr>
    </w:p>
    <w:p w14:paraId="04A05B71" w14:textId="1A3CDB88" w:rsidR="006517C6" w:rsidRPr="00657F67" w:rsidRDefault="00A7763E" w:rsidP="00B87F7B">
      <w:pPr>
        <w:jc w:val="both"/>
        <w:rPr>
          <w:color w:val="000000" w:themeColor="text1"/>
          <w:sz w:val="22"/>
          <w:szCs w:val="22"/>
        </w:rPr>
      </w:pPr>
      <w:r w:rsidRPr="00657F67">
        <w:rPr>
          <w:color w:val="000000" w:themeColor="text1"/>
          <w:sz w:val="22"/>
          <w:szCs w:val="22"/>
        </w:rPr>
        <w:t>GFMS (2013)</w:t>
      </w:r>
      <w:r w:rsidR="006867AA" w:rsidRPr="00657F67">
        <w:rPr>
          <w:color w:val="000000" w:themeColor="text1"/>
          <w:sz w:val="22"/>
          <w:szCs w:val="22"/>
        </w:rPr>
        <w:t>, Gold Survey 2013, update 2</w:t>
      </w:r>
    </w:p>
    <w:p w14:paraId="4BCF53B5" w14:textId="77777777" w:rsidR="006517C6" w:rsidRPr="00657F67" w:rsidRDefault="006517C6" w:rsidP="00B87F7B">
      <w:pPr>
        <w:jc w:val="both"/>
        <w:rPr>
          <w:color w:val="000000" w:themeColor="text1"/>
          <w:sz w:val="22"/>
          <w:szCs w:val="22"/>
        </w:rPr>
      </w:pPr>
    </w:p>
    <w:p w14:paraId="16E0AF6E" w14:textId="3BA87224" w:rsidR="006517C6" w:rsidRPr="00657F67" w:rsidRDefault="006517C6" w:rsidP="00B87F7B">
      <w:pPr>
        <w:jc w:val="both"/>
        <w:rPr>
          <w:color w:val="000000" w:themeColor="text1"/>
          <w:sz w:val="22"/>
          <w:szCs w:val="22"/>
        </w:rPr>
      </w:pPr>
      <w:r w:rsidRPr="00657F67">
        <w:rPr>
          <w:noProof/>
        </w:rPr>
        <w:t xml:space="preserve">GFMS (2013). </w:t>
      </w:r>
      <w:r w:rsidRPr="00657F67">
        <w:rPr>
          <w:iCs/>
          <w:noProof/>
        </w:rPr>
        <w:t>Gold Fields Minerals Gold Survey 2012.</w:t>
      </w:r>
    </w:p>
    <w:p w14:paraId="08BAE3DF" w14:textId="77777777" w:rsidR="006517C6" w:rsidRPr="00657F67" w:rsidRDefault="006517C6" w:rsidP="00B87F7B">
      <w:pPr>
        <w:jc w:val="both"/>
        <w:rPr>
          <w:color w:val="000000" w:themeColor="text1"/>
          <w:sz w:val="22"/>
          <w:szCs w:val="22"/>
        </w:rPr>
      </w:pPr>
    </w:p>
    <w:p w14:paraId="03CA580B" w14:textId="454D512C" w:rsidR="006517C6" w:rsidRPr="00657F67" w:rsidRDefault="006517C6" w:rsidP="00B87F7B">
      <w:pPr>
        <w:jc w:val="both"/>
        <w:rPr>
          <w:iCs/>
          <w:noProof/>
        </w:rPr>
      </w:pPr>
      <w:r w:rsidRPr="00657F67">
        <w:rPr>
          <w:noProof/>
        </w:rPr>
        <w:t xml:space="preserve">GFMS (2014). </w:t>
      </w:r>
      <w:r w:rsidRPr="00657F67">
        <w:rPr>
          <w:iCs/>
          <w:noProof/>
        </w:rPr>
        <w:t>Gold Fields Minerals Gold Survey 2013.</w:t>
      </w:r>
    </w:p>
    <w:p w14:paraId="0FD9A6BD" w14:textId="77777777" w:rsidR="00B87F7B" w:rsidRPr="00657F67" w:rsidRDefault="00B87F7B" w:rsidP="00B87F7B">
      <w:pPr>
        <w:jc w:val="both"/>
        <w:rPr>
          <w:color w:val="000000" w:themeColor="text1"/>
          <w:sz w:val="22"/>
          <w:szCs w:val="22"/>
        </w:rPr>
      </w:pPr>
    </w:p>
    <w:p w14:paraId="7D587E56" w14:textId="7197F8E4" w:rsidR="00172128" w:rsidRPr="00657F67" w:rsidRDefault="00172128" w:rsidP="00B87F7B">
      <w:pPr>
        <w:jc w:val="both"/>
        <w:rPr>
          <w:color w:val="000000" w:themeColor="text1"/>
          <w:sz w:val="22"/>
          <w:szCs w:val="22"/>
        </w:rPr>
      </w:pPr>
      <w:proofErr w:type="spellStart"/>
      <w:proofErr w:type="gramStart"/>
      <w:r w:rsidRPr="00657F67">
        <w:rPr>
          <w:color w:val="000000" w:themeColor="text1"/>
          <w:sz w:val="22"/>
          <w:szCs w:val="22"/>
        </w:rPr>
        <w:t>Krautkraemer</w:t>
      </w:r>
      <w:proofErr w:type="spellEnd"/>
      <w:r w:rsidRPr="00657F67">
        <w:rPr>
          <w:color w:val="000000" w:themeColor="text1"/>
          <w:sz w:val="22"/>
          <w:szCs w:val="22"/>
        </w:rPr>
        <w:t>, J</w:t>
      </w:r>
      <w:r w:rsidR="002F4DC2" w:rsidRPr="00657F67">
        <w:rPr>
          <w:color w:val="000000" w:themeColor="text1"/>
          <w:sz w:val="22"/>
          <w:szCs w:val="22"/>
        </w:rPr>
        <w:t>.</w:t>
      </w:r>
      <w:r w:rsidRPr="00657F67">
        <w:rPr>
          <w:color w:val="000000" w:themeColor="text1"/>
          <w:sz w:val="22"/>
          <w:szCs w:val="22"/>
        </w:rPr>
        <w:t>A.</w:t>
      </w:r>
      <w:r w:rsidR="002F4DC2" w:rsidRPr="00657F67">
        <w:rPr>
          <w:color w:val="000000" w:themeColor="text1"/>
          <w:sz w:val="22"/>
          <w:szCs w:val="22"/>
        </w:rPr>
        <w:t xml:space="preserve"> (1989), </w:t>
      </w:r>
      <w:r w:rsidRPr="00657F67">
        <w:rPr>
          <w:color w:val="000000" w:themeColor="text1"/>
          <w:sz w:val="22"/>
          <w:szCs w:val="22"/>
        </w:rPr>
        <w:t>Price expectations, ore quality selection, and the supply of a non</w:t>
      </w:r>
      <w:r w:rsidR="00E60E85" w:rsidRPr="00657F67">
        <w:rPr>
          <w:color w:val="000000" w:themeColor="text1"/>
          <w:sz w:val="22"/>
          <w:szCs w:val="22"/>
        </w:rPr>
        <w:t>-</w:t>
      </w:r>
      <w:r w:rsidRPr="00657F67">
        <w:rPr>
          <w:color w:val="000000" w:themeColor="text1"/>
          <w:sz w:val="22"/>
          <w:szCs w:val="22"/>
        </w:rPr>
        <w:t>renewable resource</w:t>
      </w:r>
      <w:r w:rsidR="002F4DC2" w:rsidRPr="00657F67">
        <w:rPr>
          <w:color w:val="000000" w:themeColor="text1"/>
          <w:sz w:val="22"/>
          <w:szCs w:val="22"/>
        </w:rPr>
        <w:t xml:space="preserve">, </w:t>
      </w:r>
      <w:r w:rsidR="00E01DD8" w:rsidRPr="00657F67">
        <w:rPr>
          <w:iCs/>
          <w:color w:val="000000" w:themeColor="text1"/>
          <w:sz w:val="22"/>
          <w:szCs w:val="22"/>
        </w:rPr>
        <w:t>Journal of E</w:t>
      </w:r>
      <w:r w:rsidRPr="00657F67">
        <w:rPr>
          <w:iCs/>
          <w:color w:val="000000" w:themeColor="text1"/>
          <w:sz w:val="22"/>
          <w:szCs w:val="22"/>
        </w:rPr>
        <w:t xml:space="preserve">nvironmental </w:t>
      </w:r>
      <w:r w:rsidR="00E01DD8" w:rsidRPr="00657F67">
        <w:rPr>
          <w:iCs/>
          <w:color w:val="000000" w:themeColor="text1"/>
          <w:sz w:val="22"/>
          <w:szCs w:val="22"/>
        </w:rPr>
        <w:t>E</w:t>
      </w:r>
      <w:r w:rsidRPr="00657F67">
        <w:rPr>
          <w:iCs/>
          <w:color w:val="000000" w:themeColor="text1"/>
          <w:sz w:val="22"/>
          <w:szCs w:val="22"/>
        </w:rPr>
        <w:t xml:space="preserve">conomics and </w:t>
      </w:r>
      <w:r w:rsidR="00E01DD8" w:rsidRPr="00657F67">
        <w:rPr>
          <w:iCs/>
          <w:color w:val="000000" w:themeColor="text1"/>
          <w:sz w:val="22"/>
          <w:szCs w:val="22"/>
        </w:rPr>
        <w:t>M</w:t>
      </w:r>
      <w:r w:rsidRPr="00657F67">
        <w:rPr>
          <w:iCs/>
          <w:color w:val="000000" w:themeColor="text1"/>
          <w:sz w:val="22"/>
          <w:szCs w:val="22"/>
        </w:rPr>
        <w:t>anagement</w:t>
      </w:r>
      <w:r w:rsidRPr="00657F67">
        <w:rPr>
          <w:color w:val="000000" w:themeColor="text1"/>
          <w:sz w:val="22"/>
          <w:szCs w:val="22"/>
        </w:rPr>
        <w:t xml:space="preserve"> 16</w:t>
      </w:r>
      <w:r w:rsidR="002F4DC2" w:rsidRPr="00657F67">
        <w:rPr>
          <w:color w:val="000000" w:themeColor="text1"/>
          <w:sz w:val="22"/>
          <w:szCs w:val="22"/>
        </w:rPr>
        <w:t xml:space="preserve"> (3), </w:t>
      </w:r>
      <w:r w:rsidRPr="00657F67">
        <w:rPr>
          <w:color w:val="000000" w:themeColor="text1"/>
          <w:sz w:val="22"/>
          <w:szCs w:val="22"/>
        </w:rPr>
        <w:t>253-267.</w:t>
      </w:r>
      <w:proofErr w:type="gramEnd"/>
    </w:p>
    <w:p w14:paraId="46F39BE2" w14:textId="77777777" w:rsidR="00172128" w:rsidRPr="00657F67" w:rsidRDefault="00172128" w:rsidP="00B87F7B">
      <w:pPr>
        <w:jc w:val="both"/>
        <w:rPr>
          <w:color w:val="000000" w:themeColor="text1"/>
          <w:sz w:val="22"/>
          <w:szCs w:val="22"/>
        </w:rPr>
      </w:pPr>
    </w:p>
    <w:p w14:paraId="0AB003A6" w14:textId="77777777" w:rsidR="00DC1DD1" w:rsidRPr="00657F67" w:rsidRDefault="00A7763E" w:rsidP="00B87F7B">
      <w:pPr>
        <w:jc w:val="both"/>
        <w:rPr>
          <w:color w:val="000000" w:themeColor="text1"/>
          <w:sz w:val="22"/>
          <w:szCs w:val="22"/>
        </w:rPr>
      </w:pPr>
      <w:r w:rsidRPr="00657F67">
        <w:rPr>
          <w:color w:val="000000" w:themeColor="text1"/>
          <w:sz w:val="22"/>
          <w:szCs w:val="22"/>
        </w:rPr>
        <w:t xml:space="preserve">Levin, </w:t>
      </w:r>
      <w:r w:rsidR="00361F37" w:rsidRPr="00657F67">
        <w:rPr>
          <w:color w:val="000000" w:themeColor="text1"/>
          <w:sz w:val="22"/>
          <w:szCs w:val="22"/>
        </w:rPr>
        <w:t xml:space="preserve">E., </w:t>
      </w:r>
      <w:r w:rsidRPr="00657F67">
        <w:rPr>
          <w:color w:val="000000" w:themeColor="text1"/>
          <w:sz w:val="22"/>
          <w:szCs w:val="22"/>
        </w:rPr>
        <w:t>Abhyankar</w:t>
      </w:r>
      <w:r w:rsidR="00361F37" w:rsidRPr="00657F67">
        <w:rPr>
          <w:color w:val="000000" w:themeColor="text1"/>
          <w:sz w:val="22"/>
          <w:szCs w:val="22"/>
        </w:rPr>
        <w:t>, A.</w:t>
      </w:r>
      <w:r w:rsidRPr="00657F67">
        <w:rPr>
          <w:color w:val="000000" w:themeColor="text1"/>
          <w:sz w:val="22"/>
          <w:szCs w:val="22"/>
        </w:rPr>
        <w:t xml:space="preserve"> and </w:t>
      </w:r>
      <w:r w:rsidR="00361F37" w:rsidRPr="00657F67">
        <w:rPr>
          <w:color w:val="000000" w:themeColor="text1"/>
          <w:sz w:val="22"/>
          <w:szCs w:val="22"/>
        </w:rPr>
        <w:t xml:space="preserve">D. </w:t>
      </w:r>
      <w:r w:rsidRPr="00657F67">
        <w:rPr>
          <w:color w:val="000000" w:themeColor="text1"/>
          <w:sz w:val="22"/>
          <w:szCs w:val="22"/>
        </w:rPr>
        <w:t>Gosh (1994)</w:t>
      </w:r>
      <w:r w:rsidR="00361F37" w:rsidRPr="00657F67">
        <w:rPr>
          <w:color w:val="000000" w:themeColor="text1"/>
          <w:sz w:val="22"/>
          <w:szCs w:val="22"/>
        </w:rPr>
        <w:t xml:space="preserve">, </w:t>
      </w:r>
      <w:proofErr w:type="gramStart"/>
      <w:r w:rsidR="00361F37" w:rsidRPr="00657F67">
        <w:rPr>
          <w:color w:val="000000" w:themeColor="text1"/>
          <w:sz w:val="22"/>
          <w:szCs w:val="22"/>
        </w:rPr>
        <w:t>Does</w:t>
      </w:r>
      <w:proofErr w:type="gramEnd"/>
      <w:r w:rsidR="00361F37" w:rsidRPr="00657F67">
        <w:rPr>
          <w:color w:val="000000" w:themeColor="text1"/>
          <w:sz w:val="22"/>
          <w:szCs w:val="22"/>
        </w:rPr>
        <w:t xml:space="preserve"> the gold market reveal real interest rates? The Manchester School 62 (1), 93-103.</w:t>
      </w:r>
    </w:p>
    <w:p w14:paraId="1E32244B" w14:textId="77777777" w:rsidR="00544B9B" w:rsidRPr="00657F67" w:rsidRDefault="00544B9B" w:rsidP="00B87F7B">
      <w:pPr>
        <w:jc w:val="both"/>
        <w:rPr>
          <w:color w:val="000000" w:themeColor="text1"/>
          <w:sz w:val="22"/>
          <w:szCs w:val="22"/>
        </w:rPr>
      </w:pPr>
    </w:p>
    <w:p w14:paraId="04A70361" w14:textId="1BDC8C49" w:rsidR="00544B9B" w:rsidRPr="00657F67" w:rsidRDefault="00544B9B" w:rsidP="00B87F7B">
      <w:pPr>
        <w:jc w:val="both"/>
        <w:rPr>
          <w:color w:val="000000" w:themeColor="text1"/>
          <w:sz w:val="22"/>
          <w:szCs w:val="22"/>
        </w:rPr>
      </w:pPr>
      <w:proofErr w:type="gramStart"/>
      <w:r w:rsidRPr="00657F67">
        <w:rPr>
          <w:color w:val="000000" w:themeColor="text1"/>
          <w:sz w:val="22"/>
          <w:szCs w:val="22"/>
        </w:rPr>
        <w:t>Levin, E.J. &amp; Wright, R.E., 2006.</w:t>
      </w:r>
      <w:proofErr w:type="gramEnd"/>
      <w:r w:rsidRPr="00657F67">
        <w:rPr>
          <w:color w:val="000000" w:themeColor="text1"/>
          <w:sz w:val="22"/>
          <w:szCs w:val="22"/>
        </w:rPr>
        <w:t xml:space="preserve"> </w:t>
      </w:r>
      <w:proofErr w:type="gramStart"/>
      <w:r w:rsidRPr="00657F67">
        <w:rPr>
          <w:color w:val="000000" w:themeColor="text1"/>
          <w:sz w:val="22"/>
          <w:szCs w:val="22"/>
        </w:rPr>
        <w:t>SHORT-RUN AND LONG-RUN DETERMINANTS OF THE PRICE OF GOLD Determinants of the Price of Gold.</w:t>
      </w:r>
      <w:proofErr w:type="gramEnd"/>
      <w:r w:rsidRPr="00657F67">
        <w:rPr>
          <w:color w:val="000000" w:themeColor="text1"/>
          <w:sz w:val="22"/>
          <w:szCs w:val="22"/>
        </w:rPr>
        <w:t xml:space="preserve"> </w:t>
      </w:r>
      <w:proofErr w:type="gramStart"/>
      <w:r w:rsidRPr="00657F67">
        <w:rPr>
          <w:color w:val="000000" w:themeColor="text1"/>
          <w:sz w:val="22"/>
          <w:szCs w:val="22"/>
        </w:rPr>
        <w:t>World Gold Council.</w:t>
      </w:r>
      <w:proofErr w:type="gramEnd"/>
      <w:r w:rsidRPr="00657F67">
        <w:rPr>
          <w:color w:val="000000" w:themeColor="text1"/>
          <w:sz w:val="22"/>
          <w:szCs w:val="22"/>
        </w:rPr>
        <w:t xml:space="preserve"> Research Study No. 32.</w:t>
      </w:r>
    </w:p>
    <w:p w14:paraId="0D400C7F" w14:textId="77777777" w:rsidR="006517C6" w:rsidRPr="00657F67" w:rsidRDefault="006517C6" w:rsidP="00B87F7B">
      <w:pPr>
        <w:jc w:val="both"/>
        <w:rPr>
          <w:color w:val="000000" w:themeColor="text1"/>
          <w:sz w:val="22"/>
          <w:szCs w:val="22"/>
        </w:rPr>
      </w:pPr>
    </w:p>
    <w:p w14:paraId="6D2C2745" w14:textId="12A94B6F" w:rsidR="006517C6" w:rsidRPr="00657F67" w:rsidRDefault="006517C6" w:rsidP="00B87F7B">
      <w:pPr>
        <w:jc w:val="both"/>
        <w:rPr>
          <w:color w:val="000000" w:themeColor="text1"/>
          <w:sz w:val="22"/>
          <w:szCs w:val="22"/>
        </w:rPr>
      </w:pPr>
      <w:r w:rsidRPr="00657F67">
        <w:rPr>
          <w:color w:val="000000" w:themeColor="text1"/>
          <w:sz w:val="22"/>
          <w:szCs w:val="22"/>
        </w:rPr>
        <w:t>Lucey, B., Larkin, C. and O’Connor, F. (2014), Gold markets around the world - who spills over what, to whom, when? Applied Economics Letters, 21(13), pp.887–892.</w:t>
      </w:r>
    </w:p>
    <w:p w14:paraId="2BDE6C44" w14:textId="77777777" w:rsidR="00B87F7B" w:rsidRPr="00657F67" w:rsidRDefault="00B87F7B" w:rsidP="00B87F7B">
      <w:pPr>
        <w:jc w:val="both"/>
        <w:rPr>
          <w:color w:val="000000" w:themeColor="text1"/>
          <w:sz w:val="22"/>
          <w:szCs w:val="22"/>
        </w:rPr>
      </w:pPr>
    </w:p>
    <w:p w14:paraId="00D4BCE6" w14:textId="41A18BD1" w:rsidR="00DE455B" w:rsidRPr="00657F67" w:rsidRDefault="00DE455B" w:rsidP="00DE455B">
      <w:pPr>
        <w:pStyle w:val="EndNoteBibliography"/>
        <w:spacing w:line="360" w:lineRule="auto"/>
        <w:jc w:val="both"/>
        <w:rPr>
          <w:sz w:val="22"/>
          <w:szCs w:val="22"/>
        </w:rPr>
      </w:pPr>
      <w:r w:rsidRPr="00657F67">
        <w:rPr>
          <w:sz w:val="22"/>
          <w:szCs w:val="22"/>
        </w:rPr>
        <w:t>Moel, A</w:t>
      </w:r>
      <w:r w:rsidR="00E963E5" w:rsidRPr="00657F67">
        <w:rPr>
          <w:sz w:val="22"/>
          <w:szCs w:val="22"/>
        </w:rPr>
        <w:t xml:space="preserve">. and P. </w:t>
      </w:r>
      <w:r w:rsidRPr="00657F67">
        <w:rPr>
          <w:sz w:val="22"/>
          <w:szCs w:val="22"/>
        </w:rPr>
        <w:t>Tufano</w:t>
      </w:r>
      <w:r w:rsidR="00E963E5" w:rsidRPr="00657F67">
        <w:rPr>
          <w:sz w:val="22"/>
          <w:szCs w:val="22"/>
        </w:rPr>
        <w:t xml:space="preserve"> (</w:t>
      </w:r>
      <w:r w:rsidRPr="00657F67">
        <w:rPr>
          <w:sz w:val="22"/>
          <w:szCs w:val="22"/>
        </w:rPr>
        <w:t>2002</w:t>
      </w:r>
      <w:r w:rsidR="00E963E5" w:rsidRPr="00657F67">
        <w:rPr>
          <w:sz w:val="22"/>
          <w:szCs w:val="22"/>
        </w:rPr>
        <w:t>)</w:t>
      </w:r>
      <w:r w:rsidRPr="00657F67">
        <w:rPr>
          <w:sz w:val="22"/>
          <w:szCs w:val="22"/>
        </w:rPr>
        <w:t>, When are real options exercised? An empirical study of mine closings, The Review of Financial Studies 15, 35-64.</w:t>
      </w:r>
    </w:p>
    <w:p w14:paraId="6E3439A9" w14:textId="77777777" w:rsidR="00E60E85" w:rsidRPr="00657F67" w:rsidRDefault="00E60E85" w:rsidP="00B87F7B">
      <w:pPr>
        <w:jc w:val="both"/>
        <w:rPr>
          <w:color w:val="000000" w:themeColor="text1"/>
          <w:sz w:val="22"/>
          <w:szCs w:val="22"/>
        </w:rPr>
      </w:pPr>
    </w:p>
    <w:p w14:paraId="1D88A2EA" w14:textId="77777777" w:rsidR="00CB609F" w:rsidRPr="00657F67" w:rsidRDefault="00CB609F" w:rsidP="00B87F7B">
      <w:pPr>
        <w:jc w:val="both"/>
        <w:rPr>
          <w:color w:val="000000" w:themeColor="text1"/>
          <w:sz w:val="22"/>
          <w:szCs w:val="22"/>
        </w:rPr>
      </w:pPr>
      <w:proofErr w:type="spellStart"/>
      <w:r w:rsidRPr="00657F67">
        <w:rPr>
          <w:color w:val="000000" w:themeColor="text1"/>
          <w:sz w:val="22"/>
          <w:szCs w:val="22"/>
        </w:rPr>
        <w:t>Paish</w:t>
      </w:r>
      <w:proofErr w:type="spellEnd"/>
      <w:r w:rsidRPr="00657F67">
        <w:rPr>
          <w:color w:val="000000" w:themeColor="text1"/>
          <w:sz w:val="22"/>
          <w:szCs w:val="22"/>
        </w:rPr>
        <w:t>, F</w:t>
      </w:r>
      <w:r w:rsidR="002F4DC2" w:rsidRPr="00657F67">
        <w:rPr>
          <w:color w:val="000000" w:themeColor="text1"/>
          <w:sz w:val="22"/>
          <w:szCs w:val="22"/>
        </w:rPr>
        <w:t xml:space="preserve">.W. (1938), </w:t>
      </w:r>
      <w:r w:rsidRPr="00657F67">
        <w:rPr>
          <w:color w:val="000000" w:themeColor="text1"/>
          <w:sz w:val="22"/>
          <w:szCs w:val="22"/>
        </w:rPr>
        <w:t>C</w:t>
      </w:r>
      <w:r w:rsidR="002F4DC2" w:rsidRPr="00657F67">
        <w:rPr>
          <w:color w:val="000000" w:themeColor="text1"/>
          <w:sz w:val="22"/>
          <w:szCs w:val="22"/>
        </w:rPr>
        <w:t xml:space="preserve">auses of changes in gold supply, </w:t>
      </w:r>
      <w:proofErr w:type="spellStart"/>
      <w:r w:rsidRPr="00657F67">
        <w:rPr>
          <w:iCs/>
          <w:color w:val="000000" w:themeColor="text1"/>
          <w:sz w:val="22"/>
          <w:szCs w:val="22"/>
        </w:rPr>
        <w:t>Economica</w:t>
      </w:r>
      <w:proofErr w:type="spellEnd"/>
      <w:r w:rsidR="002F4DC2" w:rsidRPr="00657F67">
        <w:rPr>
          <w:iCs/>
          <w:color w:val="000000" w:themeColor="text1"/>
          <w:sz w:val="22"/>
          <w:szCs w:val="22"/>
        </w:rPr>
        <w:t xml:space="preserve">, </w:t>
      </w:r>
      <w:r w:rsidRPr="00657F67">
        <w:rPr>
          <w:color w:val="000000" w:themeColor="text1"/>
          <w:sz w:val="22"/>
          <w:szCs w:val="22"/>
        </w:rPr>
        <w:t>379-409.</w:t>
      </w:r>
    </w:p>
    <w:p w14:paraId="1DDEB9E9" w14:textId="77777777" w:rsidR="002F4DC2" w:rsidRPr="00657F67" w:rsidRDefault="002F4DC2" w:rsidP="00B87F7B">
      <w:pPr>
        <w:jc w:val="both"/>
        <w:rPr>
          <w:color w:val="000000" w:themeColor="text1"/>
          <w:sz w:val="22"/>
          <w:szCs w:val="22"/>
        </w:rPr>
      </w:pPr>
    </w:p>
    <w:p w14:paraId="048EDD64" w14:textId="77777777" w:rsidR="00A7763E" w:rsidRPr="00657F67" w:rsidRDefault="00A7763E" w:rsidP="00B87F7B">
      <w:pPr>
        <w:jc w:val="both"/>
        <w:rPr>
          <w:color w:val="000000" w:themeColor="text1"/>
          <w:sz w:val="22"/>
          <w:szCs w:val="22"/>
        </w:rPr>
      </w:pPr>
      <w:r w:rsidRPr="00657F67">
        <w:rPr>
          <w:color w:val="000000" w:themeColor="text1"/>
          <w:sz w:val="22"/>
          <w:szCs w:val="22"/>
        </w:rPr>
        <w:t>Ricardo</w:t>
      </w:r>
      <w:r w:rsidR="006867AA" w:rsidRPr="00657F67">
        <w:rPr>
          <w:color w:val="000000" w:themeColor="text1"/>
          <w:sz w:val="22"/>
          <w:szCs w:val="22"/>
        </w:rPr>
        <w:t>, D. (1817), On the Principles of Political Economy and Taxation (1 ed.), London</w:t>
      </w:r>
      <w:r w:rsidR="00361F37" w:rsidRPr="00657F67">
        <w:rPr>
          <w:color w:val="000000" w:themeColor="text1"/>
          <w:sz w:val="22"/>
          <w:szCs w:val="22"/>
        </w:rPr>
        <w:t>: John Murray</w:t>
      </w:r>
    </w:p>
    <w:p w14:paraId="76FE8457" w14:textId="77777777" w:rsidR="00544B9B" w:rsidRPr="00657F67" w:rsidRDefault="00544B9B" w:rsidP="00B87F7B">
      <w:pPr>
        <w:jc w:val="both"/>
        <w:rPr>
          <w:color w:val="000000" w:themeColor="text1"/>
          <w:sz w:val="22"/>
          <w:szCs w:val="22"/>
        </w:rPr>
      </w:pPr>
    </w:p>
    <w:p w14:paraId="1D27E3CF" w14:textId="4A638FD6" w:rsidR="00544B9B" w:rsidRPr="00657F67" w:rsidRDefault="00544B9B" w:rsidP="00B87F7B">
      <w:pPr>
        <w:jc w:val="both"/>
        <w:rPr>
          <w:color w:val="000000" w:themeColor="text1"/>
          <w:sz w:val="22"/>
          <w:szCs w:val="22"/>
        </w:rPr>
      </w:pPr>
      <w:proofErr w:type="spellStart"/>
      <w:r w:rsidRPr="00657F67">
        <w:rPr>
          <w:color w:val="000000" w:themeColor="text1"/>
          <w:sz w:val="22"/>
          <w:szCs w:val="22"/>
        </w:rPr>
        <w:t>Rockerbie</w:t>
      </w:r>
      <w:proofErr w:type="spellEnd"/>
      <w:r w:rsidRPr="00657F67">
        <w:rPr>
          <w:color w:val="000000" w:themeColor="text1"/>
          <w:sz w:val="22"/>
          <w:szCs w:val="22"/>
        </w:rPr>
        <w:t xml:space="preserve">, D.W., 1999. </w:t>
      </w:r>
      <w:proofErr w:type="gramStart"/>
      <w:r w:rsidRPr="00657F67">
        <w:rPr>
          <w:color w:val="000000" w:themeColor="text1"/>
          <w:sz w:val="22"/>
          <w:szCs w:val="22"/>
        </w:rPr>
        <w:t>Gold prices and gold production evidence for South Africa.</w:t>
      </w:r>
      <w:proofErr w:type="gramEnd"/>
      <w:r w:rsidRPr="00657F67">
        <w:rPr>
          <w:color w:val="000000" w:themeColor="text1"/>
          <w:sz w:val="22"/>
          <w:szCs w:val="22"/>
        </w:rPr>
        <w:t xml:space="preserve"> </w:t>
      </w:r>
      <w:proofErr w:type="gramStart"/>
      <w:r w:rsidRPr="00657F67">
        <w:rPr>
          <w:color w:val="000000" w:themeColor="text1"/>
          <w:sz w:val="22"/>
          <w:szCs w:val="22"/>
        </w:rPr>
        <w:t>Resources Policy, 25(2), pp.69–76.</w:t>
      </w:r>
      <w:proofErr w:type="gramEnd"/>
    </w:p>
    <w:p w14:paraId="0EEC2ABF" w14:textId="77777777" w:rsidR="00B87F7B" w:rsidRPr="00657F67" w:rsidRDefault="00B87F7B" w:rsidP="00B87F7B">
      <w:pPr>
        <w:jc w:val="both"/>
        <w:rPr>
          <w:color w:val="000000" w:themeColor="text1"/>
          <w:sz w:val="22"/>
          <w:szCs w:val="22"/>
        </w:rPr>
      </w:pPr>
    </w:p>
    <w:p w14:paraId="77CFEC36" w14:textId="77777777" w:rsidR="00BD01A2" w:rsidRPr="00657F67" w:rsidRDefault="00BD01A2" w:rsidP="00B87F7B">
      <w:pPr>
        <w:jc w:val="both"/>
        <w:rPr>
          <w:color w:val="000000" w:themeColor="text1"/>
          <w:sz w:val="22"/>
          <w:szCs w:val="22"/>
        </w:rPr>
      </w:pPr>
      <w:proofErr w:type="spellStart"/>
      <w:r w:rsidRPr="00657F67">
        <w:rPr>
          <w:color w:val="000000" w:themeColor="text1"/>
          <w:sz w:val="22"/>
          <w:szCs w:val="22"/>
        </w:rPr>
        <w:t>Rockoff</w:t>
      </w:r>
      <w:proofErr w:type="spellEnd"/>
      <w:r w:rsidRPr="00657F67">
        <w:rPr>
          <w:color w:val="000000" w:themeColor="text1"/>
          <w:sz w:val="22"/>
          <w:szCs w:val="22"/>
        </w:rPr>
        <w:t>, H</w:t>
      </w:r>
      <w:r w:rsidR="002F4DC2" w:rsidRPr="00657F67">
        <w:rPr>
          <w:color w:val="000000" w:themeColor="text1"/>
          <w:sz w:val="22"/>
          <w:szCs w:val="22"/>
        </w:rPr>
        <w:t xml:space="preserve">. (1984), </w:t>
      </w:r>
      <w:proofErr w:type="gramStart"/>
      <w:r w:rsidRPr="00657F67">
        <w:rPr>
          <w:color w:val="000000" w:themeColor="text1"/>
          <w:sz w:val="22"/>
          <w:szCs w:val="22"/>
        </w:rPr>
        <w:t>Some</w:t>
      </w:r>
      <w:proofErr w:type="gramEnd"/>
      <w:r w:rsidRPr="00657F67">
        <w:rPr>
          <w:color w:val="000000" w:themeColor="text1"/>
          <w:sz w:val="22"/>
          <w:szCs w:val="22"/>
        </w:rPr>
        <w:t xml:space="preserve"> evidence on the real price of gold, its costs of production, and commodity prices</w:t>
      </w:r>
      <w:r w:rsidR="002F4DC2" w:rsidRPr="00657F67">
        <w:rPr>
          <w:color w:val="000000" w:themeColor="text1"/>
          <w:sz w:val="22"/>
          <w:szCs w:val="22"/>
        </w:rPr>
        <w:t xml:space="preserve"> - </w:t>
      </w:r>
      <w:r w:rsidRPr="00657F67">
        <w:rPr>
          <w:iCs/>
          <w:color w:val="000000" w:themeColor="text1"/>
          <w:sz w:val="22"/>
          <w:szCs w:val="22"/>
        </w:rPr>
        <w:t>A Retrospective on the Classical Gold Standard, 1821-1931</w:t>
      </w:r>
      <w:r w:rsidR="002F4DC2" w:rsidRPr="00657F67">
        <w:rPr>
          <w:iCs/>
          <w:color w:val="000000" w:themeColor="text1"/>
          <w:sz w:val="22"/>
          <w:szCs w:val="22"/>
        </w:rPr>
        <w:t xml:space="preserve">, </w:t>
      </w:r>
      <w:r w:rsidRPr="00657F67">
        <w:rPr>
          <w:color w:val="000000" w:themeColor="text1"/>
          <w:sz w:val="22"/>
          <w:szCs w:val="22"/>
        </w:rPr>
        <w:t>University of Chicago Press, 613-650.</w:t>
      </w:r>
    </w:p>
    <w:p w14:paraId="6891E1A7" w14:textId="77777777" w:rsidR="00544B9B" w:rsidRPr="00657F67" w:rsidRDefault="00544B9B" w:rsidP="00B87F7B">
      <w:pPr>
        <w:jc w:val="both"/>
        <w:rPr>
          <w:color w:val="000000" w:themeColor="text1"/>
          <w:sz w:val="22"/>
          <w:szCs w:val="22"/>
        </w:rPr>
      </w:pPr>
    </w:p>
    <w:p w14:paraId="3F8AA680" w14:textId="484DB338" w:rsidR="00544B9B" w:rsidRPr="00657F67" w:rsidRDefault="00544B9B" w:rsidP="00B87F7B">
      <w:pPr>
        <w:jc w:val="both"/>
        <w:rPr>
          <w:color w:val="000000" w:themeColor="text1"/>
          <w:sz w:val="22"/>
          <w:szCs w:val="22"/>
        </w:rPr>
      </w:pPr>
      <w:r w:rsidRPr="00657F67">
        <w:rPr>
          <w:color w:val="000000" w:themeColor="text1"/>
          <w:sz w:val="22"/>
          <w:szCs w:val="22"/>
        </w:rPr>
        <w:t xml:space="preserve">Taylor, N.J., 1998. </w:t>
      </w:r>
      <w:proofErr w:type="gramStart"/>
      <w:r w:rsidRPr="00657F67">
        <w:rPr>
          <w:color w:val="000000" w:themeColor="text1"/>
          <w:sz w:val="22"/>
          <w:szCs w:val="22"/>
        </w:rPr>
        <w:t>Precious metals and inflation.</w:t>
      </w:r>
      <w:proofErr w:type="gramEnd"/>
      <w:r w:rsidRPr="00657F67">
        <w:rPr>
          <w:color w:val="000000" w:themeColor="text1"/>
          <w:sz w:val="22"/>
          <w:szCs w:val="22"/>
        </w:rPr>
        <w:t xml:space="preserve"> Applied Financial Economics, 8(2), pp.201–210.</w:t>
      </w:r>
    </w:p>
    <w:p w14:paraId="7EA5DE3B" w14:textId="77777777" w:rsidR="00F50F44" w:rsidRPr="00657F67" w:rsidRDefault="00F50F44" w:rsidP="00B87F7B">
      <w:pPr>
        <w:jc w:val="both"/>
        <w:rPr>
          <w:color w:val="000000" w:themeColor="text1"/>
          <w:sz w:val="22"/>
          <w:szCs w:val="22"/>
        </w:rPr>
      </w:pPr>
    </w:p>
    <w:p w14:paraId="3C4B7F23" w14:textId="77777777" w:rsidR="00D64E33" w:rsidRPr="00657F67" w:rsidRDefault="00D64E33" w:rsidP="00B87F7B">
      <w:pPr>
        <w:jc w:val="both"/>
        <w:rPr>
          <w:color w:val="000000" w:themeColor="text1"/>
          <w:sz w:val="22"/>
          <w:szCs w:val="22"/>
        </w:rPr>
      </w:pPr>
      <w:proofErr w:type="spellStart"/>
      <w:r w:rsidRPr="00657F67">
        <w:rPr>
          <w:color w:val="000000" w:themeColor="text1"/>
          <w:sz w:val="22"/>
          <w:szCs w:val="22"/>
        </w:rPr>
        <w:t>Tufano</w:t>
      </w:r>
      <w:proofErr w:type="spellEnd"/>
      <w:r w:rsidRPr="00657F67">
        <w:rPr>
          <w:color w:val="000000" w:themeColor="text1"/>
          <w:sz w:val="22"/>
          <w:szCs w:val="22"/>
        </w:rPr>
        <w:t>, P</w:t>
      </w:r>
      <w:r w:rsidR="002F4DC2" w:rsidRPr="00657F67">
        <w:rPr>
          <w:color w:val="000000" w:themeColor="text1"/>
          <w:sz w:val="22"/>
          <w:szCs w:val="22"/>
        </w:rPr>
        <w:t>. (</w:t>
      </w:r>
      <w:r w:rsidRPr="00657F67">
        <w:rPr>
          <w:color w:val="000000" w:themeColor="text1"/>
          <w:sz w:val="22"/>
          <w:szCs w:val="22"/>
        </w:rPr>
        <w:t>1996</w:t>
      </w:r>
      <w:r w:rsidR="002F4DC2" w:rsidRPr="00657F67">
        <w:rPr>
          <w:color w:val="000000" w:themeColor="text1"/>
          <w:sz w:val="22"/>
          <w:szCs w:val="22"/>
        </w:rPr>
        <w:t xml:space="preserve">), </w:t>
      </w:r>
      <w:r w:rsidRPr="00657F67">
        <w:rPr>
          <w:color w:val="000000" w:themeColor="text1"/>
          <w:sz w:val="22"/>
          <w:szCs w:val="22"/>
        </w:rPr>
        <w:t>Who Manages Risk? An Empirical Examination of Risk Management Practices in the Gold Mining Industry, Journal of Finance 51, 1097-1137.</w:t>
      </w:r>
    </w:p>
    <w:p w14:paraId="1530A427" w14:textId="77777777" w:rsidR="00B87F7B" w:rsidRPr="00657F67" w:rsidRDefault="00B87F7B" w:rsidP="00B87F7B">
      <w:pPr>
        <w:jc w:val="both"/>
        <w:rPr>
          <w:color w:val="000000" w:themeColor="text1"/>
          <w:sz w:val="22"/>
          <w:szCs w:val="22"/>
        </w:rPr>
      </w:pPr>
    </w:p>
    <w:p w14:paraId="16643A9E" w14:textId="5FED5B8F" w:rsidR="00B87F7B" w:rsidRPr="00657F67" w:rsidRDefault="00B87F7B" w:rsidP="00B87F7B">
      <w:pPr>
        <w:pStyle w:val="EndNoteBibliography"/>
        <w:jc w:val="both"/>
        <w:rPr>
          <w:sz w:val="22"/>
          <w:szCs w:val="22"/>
        </w:rPr>
      </w:pPr>
      <w:r w:rsidRPr="00657F67">
        <w:rPr>
          <w:sz w:val="22"/>
          <w:szCs w:val="22"/>
        </w:rPr>
        <w:t>Tufano, P</w:t>
      </w:r>
      <w:r w:rsidR="00E963E5" w:rsidRPr="00657F67">
        <w:rPr>
          <w:sz w:val="22"/>
          <w:szCs w:val="22"/>
        </w:rPr>
        <w:t>. (</w:t>
      </w:r>
      <w:r w:rsidRPr="00657F67">
        <w:rPr>
          <w:sz w:val="22"/>
          <w:szCs w:val="22"/>
        </w:rPr>
        <w:t>1998</w:t>
      </w:r>
      <w:r w:rsidR="00E963E5" w:rsidRPr="00657F67">
        <w:rPr>
          <w:sz w:val="22"/>
          <w:szCs w:val="22"/>
        </w:rPr>
        <w:t>)</w:t>
      </w:r>
      <w:r w:rsidRPr="00657F67">
        <w:rPr>
          <w:sz w:val="22"/>
          <w:szCs w:val="22"/>
        </w:rPr>
        <w:t>, The determinants of stock price exposure: Financial engineering and the gold mining industry, The Journal of Finance 53, 1015-1052.</w:t>
      </w:r>
    </w:p>
    <w:p w14:paraId="7819F1F5" w14:textId="77777777" w:rsidR="00B87F7B" w:rsidRPr="00657F67" w:rsidRDefault="00B87F7B" w:rsidP="00B87F7B">
      <w:pPr>
        <w:jc w:val="both"/>
        <w:rPr>
          <w:color w:val="000000" w:themeColor="text1"/>
          <w:sz w:val="22"/>
          <w:szCs w:val="22"/>
        </w:rPr>
      </w:pPr>
    </w:p>
    <w:p w14:paraId="37592560" w14:textId="77777777" w:rsidR="00361F37" w:rsidRPr="00657F67" w:rsidRDefault="00A7763E" w:rsidP="00B87F7B">
      <w:pPr>
        <w:jc w:val="both"/>
        <w:rPr>
          <w:rStyle w:val="Hyperlink"/>
          <w:color w:val="000000" w:themeColor="text1"/>
          <w:sz w:val="22"/>
          <w:szCs w:val="22"/>
        </w:rPr>
      </w:pPr>
      <w:r w:rsidRPr="00657F67">
        <w:rPr>
          <w:color w:val="000000" w:themeColor="text1"/>
          <w:sz w:val="22"/>
          <w:szCs w:val="22"/>
        </w:rPr>
        <w:t>World Gold Council (2010)</w:t>
      </w:r>
      <w:r w:rsidR="006867AA" w:rsidRPr="00657F67">
        <w:rPr>
          <w:color w:val="000000" w:themeColor="text1"/>
          <w:sz w:val="22"/>
          <w:szCs w:val="22"/>
        </w:rPr>
        <w:t xml:space="preserve">, Gold Demand Trends, </w:t>
      </w:r>
      <w:hyperlink r:id="rId13" w:history="1">
        <w:r w:rsidR="006867AA" w:rsidRPr="00657F67">
          <w:rPr>
            <w:rStyle w:val="Hyperlink"/>
            <w:color w:val="000000" w:themeColor="text1"/>
            <w:sz w:val="22"/>
            <w:szCs w:val="22"/>
          </w:rPr>
          <w:t>www.gold.org</w:t>
        </w:r>
      </w:hyperlink>
    </w:p>
    <w:p w14:paraId="67E142A2" w14:textId="77777777" w:rsidR="00544B9B" w:rsidRPr="00657F67" w:rsidRDefault="00544B9B" w:rsidP="00B87F7B">
      <w:pPr>
        <w:jc w:val="both"/>
        <w:rPr>
          <w:rStyle w:val="Hyperlink"/>
          <w:color w:val="000000" w:themeColor="text1"/>
          <w:sz w:val="22"/>
          <w:szCs w:val="22"/>
        </w:rPr>
      </w:pPr>
    </w:p>
    <w:p w14:paraId="47C63225" w14:textId="3844DC76" w:rsidR="00544B9B" w:rsidRPr="00657F67" w:rsidRDefault="00544B9B" w:rsidP="00B87F7B">
      <w:pPr>
        <w:jc w:val="both"/>
        <w:rPr>
          <w:color w:val="000000" w:themeColor="text1"/>
          <w:sz w:val="22"/>
          <w:szCs w:val="22"/>
        </w:rPr>
      </w:pPr>
      <w:proofErr w:type="gramStart"/>
      <w:r w:rsidRPr="00657F67">
        <w:rPr>
          <w:color w:val="000000" w:themeColor="text1"/>
          <w:sz w:val="22"/>
          <w:szCs w:val="22"/>
        </w:rPr>
        <w:t xml:space="preserve">Worthington, A.C. &amp; </w:t>
      </w:r>
      <w:proofErr w:type="spellStart"/>
      <w:r w:rsidRPr="00657F67">
        <w:rPr>
          <w:color w:val="000000" w:themeColor="text1"/>
          <w:sz w:val="22"/>
          <w:szCs w:val="22"/>
        </w:rPr>
        <w:t>Pahlavani</w:t>
      </w:r>
      <w:proofErr w:type="spellEnd"/>
      <w:r w:rsidRPr="00657F67">
        <w:rPr>
          <w:color w:val="000000" w:themeColor="text1"/>
          <w:sz w:val="22"/>
          <w:szCs w:val="22"/>
        </w:rPr>
        <w:t>, M., 2007.</w:t>
      </w:r>
      <w:proofErr w:type="gramEnd"/>
      <w:r w:rsidRPr="00657F67">
        <w:rPr>
          <w:color w:val="000000" w:themeColor="text1"/>
          <w:sz w:val="22"/>
          <w:szCs w:val="22"/>
        </w:rPr>
        <w:t xml:space="preserve"> Gold investment as an inflationary hedge: Cointegration evidence with allowance for endogenous structural breaks. Applied Financial Economics Letters, 3(4), pp.259–262.</w:t>
      </w:r>
    </w:p>
    <w:p w14:paraId="71FBAE89" w14:textId="77777777" w:rsidR="00A7763E" w:rsidRPr="009A28F5" w:rsidRDefault="00A7763E" w:rsidP="00B87F7B">
      <w:pPr>
        <w:spacing w:after="200"/>
        <w:jc w:val="both"/>
        <w:rPr>
          <w:color w:val="000000" w:themeColor="text1"/>
          <w:sz w:val="22"/>
          <w:szCs w:val="22"/>
        </w:rPr>
      </w:pPr>
    </w:p>
    <w:p w14:paraId="5F63B5BA" w14:textId="77777777" w:rsidR="00A7763E" w:rsidRPr="009A28F5" w:rsidRDefault="00A7763E" w:rsidP="002F4DC2">
      <w:pPr>
        <w:spacing w:after="200"/>
        <w:jc w:val="both"/>
        <w:rPr>
          <w:color w:val="000000" w:themeColor="text1"/>
          <w:sz w:val="22"/>
          <w:szCs w:val="22"/>
        </w:rPr>
      </w:pPr>
    </w:p>
    <w:p w14:paraId="0F3F996F" w14:textId="0A1982DC" w:rsidR="00CD3CF6" w:rsidRPr="009A28F5" w:rsidRDefault="00CD3CF6">
      <w:pPr>
        <w:spacing w:after="200" w:line="276" w:lineRule="auto"/>
        <w:rPr>
          <w:sz w:val="22"/>
          <w:szCs w:val="22"/>
        </w:rPr>
      </w:pPr>
    </w:p>
    <w:sectPr w:rsidR="00CD3CF6" w:rsidRPr="009A28F5" w:rsidSect="00E95E71">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FD5D4" w14:textId="77777777" w:rsidR="009C7F02" w:rsidRDefault="009C7F02" w:rsidP="00034C64">
      <w:r>
        <w:separator/>
      </w:r>
    </w:p>
  </w:endnote>
  <w:endnote w:type="continuationSeparator" w:id="0">
    <w:p w14:paraId="1CA68079" w14:textId="77777777" w:rsidR="009C7F02" w:rsidRDefault="009C7F02" w:rsidP="0003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276587"/>
      <w:docPartObj>
        <w:docPartGallery w:val="Page Numbers (Bottom of Page)"/>
        <w:docPartUnique/>
      </w:docPartObj>
    </w:sdtPr>
    <w:sdtEndPr>
      <w:rPr>
        <w:rFonts w:ascii="Times New Roman" w:hAnsi="Times New Roman" w:cs="Times New Roman"/>
        <w:noProof/>
      </w:rPr>
    </w:sdtEndPr>
    <w:sdtContent>
      <w:p w14:paraId="7C6715B0" w14:textId="77777777" w:rsidR="009C7F02" w:rsidRPr="00E95E71" w:rsidRDefault="009C7F02">
        <w:pPr>
          <w:pStyle w:val="Footer"/>
          <w:jc w:val="right"/>
          <w:rPr>
            <w:rFonts w:ascii="Times New Roman" w:hAnsi="Times New Roman" w:cs="Times New Roman"/>
          </w:rPr>
        </w:pPr>
        <w:r w:rsidRPr="00E95E71">
          <w:rPr>
            <w:rFonts w:ascii="Times New Roman" w:hAnsi="Times New Roman" w:cs="Times New Roman"/>
          </w:rPr>
          <w:fldChar w:fldCharType="begin"/>
        </w:r>
        <w:r w:rsidRPr="00E95E71">
          <w:rPr>
            <w:rFonts w:ascii="Times New Roman" w:hAnsi="Times New Roman" w:cs="Times New Roman"/>
          </w:rPr>
          <w:instrText xml:space="preserve"> PAGE   \* MERGEFORMAT </w:instrText>
        </w:r>
        <w:r w:rsidRPr="00E95E71">
          <w:rPr>
            <w:rFonts w:ascii="Times New Roman" w:hAnsi="Times New Roman" w:cs="Times New Roman"/>
          </w:rPr>
          <w:fldChar w:fldCharType="separate"/>
        </w:r>
        <w:r w:rsidR="00BB7309">
          <w:rPr>
            <w:rFonts w:ascii="Times New Roman" w:hAnsi="Times New Roman" w:cs="Times New Roman"/>
            <w:noProof/>
          </w:rPr>
          <w:t>2</w:t>
        </w:r>
        <w:r w:rsidRPr="00E95E71">
          <w:rPr>
            <w:rFonts w:ascii="Times New Roman" w:hAnsi="Times New Roman" w:cs="Times New Roman"/>
            <w:noProof/>
          </w:rPr>
          <w:fldChar w:fldCharType="end"/>
        </w:r>
      </w:p>
    </w:sdtContent>
  </w:sdt>
  <w:p w14:paraId="19B7FFB8" w14:textId="77777777" w:rsidR="009C7F02" w:rsidRDefault="009C7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82380"/>
      <w:docPartObj>
        <w:docPartGallery w:val="Page Numbers (Bottom of Page)"/>
        <w:docPartUnique/>
      </w:docPartObj>
    </w:sdtPr>
    <w:sdtEndPr>
      <w:rPr>
        <w:noProof/>
      </w:rPr>
    </w:sdtEndPr>
    <w:sdtContent>
      <w:p w14:paraId="3EC72A38" w14:textId="77777777" w:rsidR="009C7F02" w:rsidRDefault="009C7F02">
        <w:pPr>
          <w:pStyle w:val="Footer"/>
          <w:jc w:val="right"/>
        </w:pPr>
        <w:r>
          <w:fldChar w:fldCharType="begin"/>
        </w:r>
        <w:r>
          <w:instrText xml:space="preserve"> PAGE   \* MERGEFORMAT </w:instrText>
        </w:r>
        <w:r>
          <w:fldChar w:fldCharType="separate"/>
        </w:r>
        <w:r w:rsidR="00BB7309">
          <w:rPr>
            <w:noProof/>
          </w:rPr>
          <w:t>1</w:t>
        </w:r>
        <w:r>
          <w:rPr>
            <w:noProof/>
          </w:rPr>
          <w:fldChar w:fldCharType="end"/>
        </w:r>
      </w:p>
    </w:sdtContent>
  </w:sdt>
  <w:p w14:paraId="79AB6D73" w14:textId="77777777" w:rsidR="009C7F02" w:rsidRDefault="009C7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880CA" w14:textId="77777777" w:rsidR="009C7F02" w:rsidRDefault="009C7F02" w:rsidP="00034C64">
      <w:r>
        <w:separator/>
      </w:r>
    </w:p>
  </w:footnote>
  <w:footnote w:type="continuationSeparator" w:id="0">
    <w:p w14:paraId="40637752" w14:textId="77777777" w:rsidR="009C7F02" w:rsidRDefault="009C7F02" w:rsidP="00034C64">
      <w:r>
        <w:continuationSeparator/>
      </w:r>
    </w:p>
  </w:footnote>
  <w:footnote w:id="1">
    <w:p w14:paraId="488414F5" w14:textId="4132F02E" w:rsidR="009C7F02" w:rsidRDefault="009C7F02">
      <w:pPr>
        <w:pStyle w:val="FootnoteText"/>
      </w:pPr>
      <w:r>
        <w:rPr>
          <w:rStyle w:val="FootnoteReference"/>
        </w:rPr>
        <w:footnoteRef/>
      </w:r>
      <w:r>
        <w:t xml:space="preserve"> We would like to thank William Tankard for his feedback on an early draft of this paper.</w:t>
      </w:r>
    </w:p>
  </w:footnote>
  <w:footnote w:id="2">
    <w:p w14:paraId="28A96A1E" w14:textId="41299DE0" w:rsidR="009C7F02" w:rsidRPr="00DE455B" w:rsidRDefault="009C7F02" w:rsidP="00D04409">
      <w:pPr>
        <w:spacing w:line="360" w:lineRule="auto"/>
        <w:jc w:val="both"/>
        <w:rPr>
          <w:lang w:val="en-US"/>
        </w:rPr>
      </w:pPr>
      <w:r>
        <w:rPr>
          <w:rStyle w:val="FootnoteReference"/>
        </w:rPr>
        <w:footnoteRef/>
      </w:r>
      <w:r>
        <w:t xml:space="preserve"> </w:t>
      </w:r>
      <w:r>
        <w:rPr>
          <w:sz w:val="20"/>
        </w:rPr>
        <w:t xml:space="preserve">For example, </w:t>
      </w:r>
      <w:proofErr w:type="spellStart"/>
      <w:r>
        <w:rPr>
          <w:sz w:val="20"/>
        </w:rPr>
        <w:t>K</w:t>
      </w:r>
      <w:r w:rsidRPr="00DE455B">
        <w:rPr>
          <w:sz w:val="20"/>
        </w:rPr>
        <w:t>rautkraemer</w:t>
      </w:r>
      <w:proofErr w:type="spellEnd"/>
      <w:r w:rsidRPr="00DE455B">
        <w:rPr>
          <w:sz w:val="20"/>
        </w:rPr>
        <w:t xml:space="preserve"> (1989) finds that as prices rise miners tend to mine lower quality ore.</w:t>
      </w:r>
    </w:p>
  </w:footnote>
  <w:footnote w:id="3">
    <w:p w14:paraId="54CD3D76" w14:textId="77777777" w:rsidR="009C7F02" w:rsidRPr="00FE4375" w:rsidRDefault="009C7F02" w:rsidP="009C1556">
      <w:pPr>
        <w:pStyle w:val="FootnoteText"/>
        <w:rPr>
          <w:lang w:val="en-US"/>
        </w:rPr>
      </w:pPr>
      <w:r>
        <w:rPr>
          <w:rStyle w:val="FootnoteReference"/>
        </w:rPr>
        <w:footnoteRef/>
      </w:r>
      <w:r>
        <w:t xml:space="preserve"> </w:t>
      </w:r>
      <w:r w:rsidRPr="00FE4375">
        <w:rPr>
          <w:lang w:val="en-US"/>
        </w:rPr>
        <w:t>Paul Krugman states „Placing a ceiling on the value of gold is mining technology, and the prospect that if its price gets out of whack for long on the upside a great deal more of it will be produced.“</w:t>
      </w:r>
      <w:r>
        <w:rPr>
          <w:lang w:val="en-US"/>
        </w:rPr>
        <w:t xml:space="preserve"> (New York Times, December 28, 2013).</w:t>
      </w:r>
    </w:p>
  </w:footnote>
  <w:footnote w:id="4">
    <w:p w14:paraId="4E58CDE8" w14:textId="64CE5365" w:rsidR="009C7F02" w:rsidRDefault="009C7F02">
      <w:pPr>
        <w:pStyle w:val="FootnoteText"/>
      </w:pPr>
      <w:r>
        <w:rPr>
          <w:rStyle w:val="FootnoteReference"/>
        </w:rPr>
        <w:footnoteRef/>
      </w:r>
      <w:r>
        <w:t xml:space="preserve"> </w:t>
      </w:r>
      <w:r>
        <w:rPr>
          <w:i/>
        </w:rPr>
        <w:t xml:space="preserve">“Other” represents all other countries covered by Thomson Reuters GFMS but not listed in Panel </w:t>
      </w:r>
      <w:proofErr w:type="gramStart"/>
      <w:r>
        <w:rPr>
          <w:i/>
        </w:rPr>
        <w:t>A</w:t>
      </w:r>
      <w:proofErr w:type="gramEnd"/>
      <w:r>
        <w:rPr>
          <w:i/>
        </w:rPr>
        <w:t xml:space="preserve"> of Table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6375"/>
    <w:multiLevelType w:val="multilevel"/>
    <w:tmpl w:val="176AB9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9D4154"/>
    <w:multiLevelType w:val="hybridMultilevel"/>
    <w:tmpl w:val="DBA4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79712F"/>
    <w:multiLevelType w:val="hybridMultilevel"/>
    <w:tmpl w:val="FF82E112"/>
    <w:lvl w:ilvl="0" w:tplc="FDCE6D22">
      <w:start w:val="1"/>
      <w:numFmt w:val="decimal"/>
      <w:lvlText w:val="%1."/>
      <w:lvlJc w:val="left"/>
      <w:pPr>
        <w:ind w:left="360" w:hanging="360"/>
      </w:pPr>
      <w:rPr>
        <w:rFonts w:ascii="Times New Roman" w:hAnsi="Times New Roman" w:cs="Times New Roman" w:hint="default"/>
        <w:b/>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134983"/>
    <w:multiLevelType w:val="multilevel"/>
    <w:tmpl w:val="D928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9F2A7A"/>
    <w:multiLevelType w:val="hybridMultilevel"/>
    <w:tmpl w:val="74FA2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034850"/>
    <w:multiLevelType w:val="multilevel"/>
    <w:tmpl w:val="E2462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AC22C3"/>
    <w:multiLevelType w:val="multilevel"/>
    <w:tmpl w:val="57F252B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599561D6"/>
    <w:multiLevelType w:val="multilevel"/>
    <w:tmpl w:val="14DCA2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E3E137A"/>
    <w:multiLevelType w:val="multilevel"/>
    <w:tmpl w:val="B6AC52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76735E32"/>
    <w:multiLevelType w:val="hybridMultilevel"/>
    <w:tmpl w:val="0096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20697D"/>
    <w:multiLevelType w:val="multilevel"/>
    <w:tmpl w:val="B37AEFA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B972192"/>
    <w:multiLevelType w:val="hybridMultilevel"/>
    <w:tmpl w:val="3344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1E37D8"/>
    <w:multiLevelType w:val="multilevel"/>
    <w:tmpl w:val="1872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
  </w:num>
  <w:num w:numId="4">
    <w:abstractNumId w:val="4"/>
  </w:num>
  <w:num w:numId="5">
    <w:abstractNumId w:val="6"/>
  </w:num>
  <w:num w:numId="6">
    <w:abstractNumId w:val="10"/>
  </w:num>
  <w:num w:numId="7">
    <w:abstractNumId w:val="8"/>
  </w:num>
  <w:num w:numId="8">
    <w:abstractNumId w:val="12"/>
  </w:num>
  <w:num w:numId="9">
    <w:abstractNumId w:val="5"/>
  </w:num>
  <w:num w:numId="10">
    <w:abstractNumId w:val="3"/>
  </w:num>
  <w:num w:numId="11">
    <w:abstractNumId w:val="0"/>
  </w:num>
  <w:num w:numId="12">
    <w:abstractNumId w:val="2"/>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rk Baur">
    <w15:presenceInfo w15:providerId="Windows Live" w15:userId="2ff93ae63912a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C5"/>
    <w:rsid w:val="00004309"/>
    <w:rsid w:val="0003205D"/>
    <w:rsid w:val="00034C64"/>
    <w:rsid w:val="000368BB"/>
    <w:rsid w:val="00043972"/>
    <w:rsid w:val="00050302"/>
    <w:rsid w:val="00071433"/>
    <w:rsid w:val="000729AC"/>
    <w:rsid w:val="00072FB0"/>
    <w:rsid w:val="00083169"/>
    <w:rsid w:val="000921B9"/>
    <w:rsid w:val="000931E7"/>
    <w:rsid w:val="000A3C35"/>
    <w:rsid w:val="000A4284"/>
    <w:rsid w:val="000A456A"/>
    <w:rsid w:val="000A5398"/>
    <w:rsid w:val="000B6B85"/>
    <w:rsid w:val="000D3EC5"/>
    <w:rsid w:val="000E7988"/>
    <w:rsid w:val="000E7DBC"/>
    <w:rsid w:val="000F2BF8"/>
    <w:rsid w:val="000F4797"/>
    <w:rsid w:val="000F712D"/>
    <w:rsid w:val="001041E0"/>
    <w:rsid w:val="00124F41"/>
    <w:rsid w:val="00126A88"/>
    <w:rsid w:val="00127338"/>
    <w:rsid w:val="00127E85"/>
    <w:rsid w:val="00135E4C"/>
    <w:rsid w:val="00136822"/>
    <w:rsid w:val="001477E6"/>
    <w:rsid w:val="00154B8B"/>
    <w:rsid w:val="00166C7D"/>
    <w:rsid w:val="001678B7"/>
    <w:rsid w:val="00172128"/>
    <w:rsid w:val="00173FFE"/>
    <w:rsid w:val="00186044"/>
    <w:rsid w:val="001870CA"/>
    <w:rsid w:val="001908E3"/>
    <w:rsid w:val="00191591"/>
    <w:rsid w:val="001A182F"/>
    <w:rsid w:val="001A2B29"/>
    <w:rsid w:val="001A49B1"/>
    <w:rsid w:val="001A5250"/>
    <w:rsid w:val="001B4C68"/>
    <w:rsid w:val="001B61D2"/>
    <w:rsid w:val="001C4CB7"/>
    <w:rsid w:val="001D232B"/>
    <w:rsid w:val="001D28DD"/>
    <w:rsid w:val="001D2D1C"/>
    <w:rsid w:val="001D32E6"/>
    <w:rsid w:val="001D6D4D"/>
    <w:rsid w:val="001E1B65"/>
    <w:rsid w:val="001E1CDD"/>
    <w:rsid w:val="001F09AA"/>
    <w:rsid w:val="001F2307"/>
    <w:rsid w:val="0021236B"/>
    <w:rsid w:val="002155E5"/>
    <w:rsid w:val="0023698F"/>
    <w:rsid w:val="002463EE"/>
    <w:rsid w:val="00250E4A"/>
    <w:rsid w:val="00254984"/>
    <w:rsid w:val="002549F5"/>
    <w:rsid w:val="0025636E"/>
    <w:rsid w:val="002604B2"/>
    <w:rsid w:val="00263BDD"/>
    <w:rsid w:val="00282E5B"/>
    <w:rsid w:val="00283412"/>
    <w:rsid w:val="00290A17"/>
    <w:rsid w:val="002A3FFC"/>
    <w:rsid w:val="002A65BE"/>
    <w:rsid w:val="002E2CCA"/>
    <w:rsid w:val="002E5929"/>
    <w:rsid w:val="002F4DC2"/>
    <w:rsid w:val="002F62F2"/>
    <w:rsid w:val="003006CA"/>
    <w:rsid w:val="00305107"/>
    <w:rsid w:val="00314C7D"/>
    <w:rsid w:val="00316B8B"/>
    <w:rsid w:val="003171F1"/>
    <w:rsid w:val="003218E7"/>
    <w:rsid w:val="00323844"/>
    <w:rsid w:val="00324DF4"/>
    <w:rsid w:val="00326DA7"/>
    <w:rsid w:val="00340DB6"/>
    <w:rsid w:val="00343F11"/>
    <w:rsid w:val="00352078"/>
    <w:rsid w:val="00353A09"/>
    <w:rsid w:val="003579E2"/>
    <w:rsid w:val="003603C6"/>
    <w:rsid w:val="00361F37"/>
    <w:rsid w:val="00371398"/>
    <w:rsid w:val="00375151"/>
    <w:rsid w:val="003775C7"/>
    <w:rsid w:val="00380587"/>
    <w:rsid w:val="00381C2A"/>
    <w:rsid w:val="00381E51"/>
    <w:rsid w:val="00390920"/>
    <w:rsid w:val="003978E5"/>
    <w:rsid w:val="003B1B75"/>
    <w:rsid w:val="003B459C"/>
    <w:rsid w:val="003B48D0"/>
    <w:rsid w:val="003B7EAB"/>
    <w:rsid w:val="003C1232"/>
    <w:rsid w:val="003C22FB"/>
    <w:rsid w:val="003C73CD"/>
    <w:rsid w:val="003E42E4"/>
    <w:rsid w:val="003E62C8"/>
    <w:rsid w:val="003E7BB2"/>
    <w:rsid w:val="003F5F44"/>
    <w:rsid w:val="004005EE"/>
    <w:rsid w:val="0040174B"/>
    <w:rsid w:val="00405C6C"/>
    <w:rsid w:val="00413664"/>
    <w:rsid w:val="00422E3D"/>
    <w:rsid w:val="00434EFB"/>
    <w:rsid w:val="004408FD"/>
    <w:rsid w:val="00456271"/>
    <w:rsid w:val="00456F14"/>
    <w:rsid w:val="00463683"/>
    <w:rsid w:val="00463876"/>
    <w:rsid w:val="00480243"/>
    <w:rsid w:val="00482A9F"/>
    <w:rsid w:val="00484091"/>
    <w:rsid w:val="00493DBA"/>
    <w:rsid w:val="0049781A"/>
    <w:rsid w:val="004A2748"/>
    <w:rsid w:val="004A5B10"/>
    <w:rsid w:val="004B31D2"/>
    <w:rsid w:val="004E1803"/>
    <w:rsid w:val="004E3725"/>
    <w:rsid w:val="004E46C2"/>
    <w:rsid w:val="004F0047"/>
    <w:rsid w:val="004F77C9"/>
    <w:rsid w:val="005017DD"/>
    <w:rsid w:val="00503717"/>
    <w:rsid w:val="0050794C"/>
    <w:rsid w:val="0051359E"/>
    <w:rsid w:val="00523060"/>
    <w:rsid w:val="005268C4"/>
    <w:rsid w:val="005269CB"/>
    <w:rsid w:val="0053096A"/>
    <w:rsid w:val="005357D7"/>
    <w:rsid w:val="00544B9B"/>
    <w:rsid w:val="00552EE4"/>
    <w:rsid w:val="00560E0E"/>
    <w:rsid w:val="005616A4"/>
    <w:rsid w:val="005627E6"/>
    <w:rsid w:val="0056411C"/>
    <w:rsid w:val="005704D3"/>
    <w:rsid w:val="00576545"/>
    <w:rsid w:val="00576E14"/>
    <w:rsid w:val="00582C89"/>
    <w:rsid w:val="0058782D"/>
    <w:rsid w:val="00595144"/>
    <w:rsid w:val="00595ECE"/>
    <w:rsid w:val="00596F08"/>
    <w:rsid w:val="005A5FC6"/>
    <w:rsid w:val="005A6A26"/>
    <w:rsid w:val="005B0D80"/>
    <w:rsid w:val="005B518D"/>
    <w:rsid w:val="005B728D"/>
    <w:rsid w:val="005C392B"/>
    <w:rsid w:val="005D3CBA"/>
    <w:rsid w:val="005D5A93"/>
    <w:rsid w:val="005E05CE"/>
    <w:rsid w:val="005E1215"/>
    <w:rsid w:val="005E1D6D"/>
    <w:rsid w:val="005F1AF9"/>
    <w:rsid w:val="005F374C"/>
    <w:rsid w:val="005F48E3"/>
    <w:rsid w:val="00603D8C"/>
    <w:rsid w:val="0060485B"/>
    <w:rsid w:val="00606D5A"/>
    <w:rsid w:val="0061342C"/>
    <w:rsid w:val="006142EE"/>
    <w:rsid w:val="0062276C"/>
    <w:rsid w:val="00623471"/>
    <w:rsid w:val="00623DC5"/>
    <w:rsid w:val="0062517E"/>
    <w:rsid w:val="006263CC"/>
    <w:rsid w:val="00635912"/>
    <w:rsid w:val="00636B5D"/>
    <w:rsid w:val="00636E1A"/>
    <w:rsid w:val="0064015E"/>
    <w:rsid w:val="00640DE5"/>
    <w:rsid w:val="006517C6"/>
    <w:rsid w:val="00654CF5"/>
    <w:rsid w:val="00657F67"/>
    <w:rsid w:val="00662CF3"/>
    <w:rsid w:val="00667527"/>
    <w:rsid w:val="006753CF"/>
    <w:rsid w:val="006755B6"/>
    <w:rsid w:val="00683225"/>
    <w:rsid w:val="006867AA"/>
    <w:rsid w:val="00690F6F"/>
    <w:rsid w:val="006A0E7A"/>
    <w:rsid w:val="006A4BB8"/>
    <w:rsid w:val="006B0C6F"/>
    <w:rsid w:val="006C4B09"/>
    <w:rsid w:val="006C6C45"/>
    <w:rsid w:val="006D38F2"/>
    <w:rsid w:val="006D6B94"/>
    <w:rsid w:val="006D74C2"/>
    <w:rsid w:val="006E64C3"/>
    <w:rsid w:val="006F2368"/>
    <w:rsid w:val="00703F27"/>
    <w:rsid w:val="00710372"/>
    <w:rsid w:val="007139AA"/>
    <w:rsid w:val="00722D32"/>
    <w:rsid w:val="00724408"/>
    <w:rsid w:val="00725AE1"/>
    <w:rsid w:val="00730032"/>
    <w:rsid w:val="00753269"/>
    <w:rsid w:val="00773888"/>
    <w:rsid w:val="00796D8E"/>
    <w:rsid w:val="007A3199"/>
    <w:rsid w:val="007B1239"/>
    <w:rsid w:val="007B28D2"/>
    <w:rsid w:val="007B6A72"/>
    <w:rsid w:val="007C7B2C"/>
    <w:rsid w:val="007D7DBB"/>
    <w:rsid w:val="007E2FA5"/>
    <w:rsid w:val="007E370C"/>
    <w:rsid w:val="007E3F22"/>
    <w:rsid w:val="007F2734"/>
    <w:rsid w:val="007F36B9"/>
    <w:rsid w:val="00813C0D"/>
    <w:rsid w:val="008146FB"/>
    <w:rsid w:val="008249DA"/>
    <w:rsid w:val="008263E2"/>
    <w:rsid w:val="00835946"/>
    <w:rsid w:val="00843100"/>
    <w:rsid w:val="00843397"/>
    <w:rsid w:val="008445F2"/>
    <w:rsid w:val="0084701C"/>
    <w:rsid w:val="00852416"/>
    <w:rsid w:val="00863568"/>
    <w:rsid w:val="00863717"/>
    <w:rsid w:val="00864E7F"/>
    <w:rsid w:val="00866815"/>
    <w:rsid w:val="00867B26"/>
    <w:rsid w:val="00870E84"/>
    <w:rsid w:val="008715B3"/>
    <w:rsid w:val="008777F2"/>
    <w:rsid w:val="00877D37"/>
    <w:rsid w:val="008839E1"/>
    <w:rsid w:val="00892860"/>
    <w:rsid w:val="008B0948"/>
    <w:rsid w:val="008B390B"/>
    <w:rsid w:val="008B4C18"/>
    <w:rsid w:val="008B73A4"/>
    <w:rsid w:val="008C33E6"/>
    <w:rsid w:val="008C4EDC"/>
    <w:rsid w:val="008D49F9"/>
    <w:rsid w:val="008F52DB"/>
    <w:rsid w:val="009036E7"/>
    <w:rsid w:val="0092122F"/>
    <w:rsid w:val="00921273"/>
    <w:rsid w:val="00921323"/>
    <w:rsid w:val="00924699"/>
    <w:rsid w:val="00935461"/>
    <w:rsid w:val="00936CEC"/>
    <w:rsid w:val="0094060B"/>
    <w:rsid w:val="009445F9"/>
    <w:rsid w:val="00950148"/>
    <w:rsid w:val="009503AC"/>
    <w:rsid w:val="0095427F"/>
    <w:rsid w:val="00960554"/>
    <w:rsid w:val="00970F71"/>
    <w:rsid w:val="00973EEB"/>
    <w:rsid w:val="009830FF"/>
    <w:rsid w:val="00992738"/>
    <w:rsid w:val="00994FF2"/>
    <w:rsid w:val="009978A4"/>
    <w:rsid w:val="009A24AB"/>
    <w:rsid w:val="009A28F5"/>
    <w:rsid w:val="009B6870"/>
    <w:rsid w:val="009C1556"/>
    <w:rsid w:val="009C7F02"/>
    <w:rsid w:val="009D34B2"/>
    <w:rsid w:val="009D4E0B"/>
    <w:rsid w:val="009E0710"/>
    <w:rsid w:val="00A10EDB"/>
    <w:rsid w:val="00A23E89"/>
    <w:rsid w:val="00A2441C"/>
    <w:rsid w:val="00A37AA5"/>
    <w:rsid w:val="00A51BD0"/>
    <w:rsid w:val="00A5227B"/>
    <w:rsid w:val="00A53C48"/>
    <w:rsid w:val="00A6131F"/>
    <w:rsid w:val="00A614A7"/>
    <w:rsid w:val="00A63603"/>
    <w:rsid w:val="00A637B1"/>
    <w:rsid w:val="00A657DB"/>
    <w:rsid w:val="00A737F0"/>
    <w:rsid w:val="00A73B01"/>
    <w:rsid w:val="00A7763E"/>
    <w:rsid w:val="00A8677E"/>
    <w:rsid w:val="00A93EBA"/>
    <w:rsid w:val="00AA4B63"/>
    <w:rsid w:val="00AA66A6"/>
    <w:rsid w:val="00AA6B9C"/>
    <w:rsid w:val="00AD5B52"/>
    <w:rsid w:val="00AE52B5"/>
    <w:rsid w:val="00AE64F1"/>
    <w:rsid w:val="00AF1F0F"/>
    <w:rsid w:val="00B029CB"/>
    <w:rsid w:val="00B05194"/>
    <w:rsid w:val="00B21E77"/>
    <w:rsid w:val="00B34408"/>
    <w:rsid w:val="00B34A57"/>
    <w:rsid w:val="00B36857"/>
    <w:rsid w:val="00B41313"/>
    <w:rsid w:val="00B4776C"/>
    <w:rsid w:val="00B505F0"/>
    <w:rsid w:val="00B51011"/>
    <w:rsid w:val="00B53C4B"/>
    <w:rsid w:val="00B56EE1"/>
    <w:rsid w:val="00B82CE8"/>
    <w:rsid w:val="00B87F7B"/>
    <w:rsid w:val="00B92A57"/>
    <w:rsid w:val="00B9513B"/>
    <w:rsid w:val="00B96417"/>
    <w:rsid w:val="00BA08C5"/>
    <w:rsid w:val="00BA460A"/>
    <w:rsid w:val="00BA662A"/>
    <w:rsid w:val="00BB7309"/>
    <w:rsid w:val="00BC5400"/>
    <w:rsid w:val="00BC5B67"/>
    <w:rsid w:val="00BD01A2"/>
    <w:rsid w:val="00BD0748"/>
    <w:rsid w:val="00BD6C28"/>
    <w:rsid w:val="00BE5ECC"/>
    <w:rsid w:val="00BE7347"/>
    <w:rsid w:val="00BF0F48"/>
    <w:rsid w:val="00BF5EC5"/>
    <w:rsid w:val="00BF7974"/>
    <w:rsid w:val="00C006AC"/>
    <w:rsid w:val="00C04C19"/>
    <w:rsid w:val="00C1151F"/>
    <w:rsid w:val="00C25EF8"/>
    <w:rsid w:val="00C27BA8"/>
    <w:rsid w:val="00C310F9"/>
    <w:rsid w:val="00C3190E"/>
    <w:rsid w:val="00C337D1"/>
    <w:rsid w:val="00C444D5"/>
    <w:rsid w:val="00C46D86"/>
    <w:rsid w:val="00C66205"/>
    <w:rsid w:val="00C66DF8"/>
    <w:rsid w:val="00C77833"/>
    <w:rsid w:val="00C91C58"/>
    <w:rsid w:val="00C91FF7"/>
    <w:rsid w:val="00C92F19"/>
    <w:rsid w:val="00C95C00"/>
    <w:rsid w:val="00C974A3"/>
    <w:rsid w:val="00CB09DD"/>
    <w:rsid w:val="00CB56BF"/>
    <w:rsid w:val="00CB609F"/>
    <w:rsid w:val="00CC49BB"/>
    <w:rsid w:val="00CC7FE9"/>
    <w:rsid w:val="00CD20F4"/>
    <w:rsid w:val="00CD3CF6"/>
    <w:rsid w:val="00CE1F1C"/>
    <w:rsid w:val="00CE222D"/>
    <w:rsid w:val="00CE77DF"/>
    <w:rsid w:val="00D00AF2"/>
    <w:rsid w:val="00D04409"/>
    <w:rsid w:val="00D15E02"/>
    <w:rsid w:val="00D36618"/>
    <w:rsid w:val="00D4450F"/>
    <w:rsid w:val="00D53A0D"/>
    <w:rsid w:val="00D54D4F"/>
    <w:rsid w:val="00D557F7"/>
    <w:rsid w:val="00D63363"/>
    <w:rsid w:val="00D6403C"/>
    <w:rsid w:val="00D64E33"/>
    <w:rsid w:val="00D76534"/>
    <w:rsid w:val="00D819C2"/>
    <w:rsid w:val="00D82428"/>
    <w:rsid w:val="00DC1DD1"/>
    <w:rsid w:val="00DC541F"/>
    <w:rsid w:val="00DD13E8"/>
    <w:rsid w:val="00DD2AE0"/>
    <w:rsid w:val="00DD7BB1"/>
    <w:rsid w:val="00DE0BDF"/>
    <w:rsid w:val="00DE2237"/>
    <w:rsid w:val="00DE455B"/>
    <w:rsid w:val="00DE4E99"/>
    <w:rsid w:val="00DE59EB"/>
    <w:rsid w:val="00DE60D6"/>
    <w:rsid w:val="00DF023A"/>
    <w:rsid w:val="00E003D5"/>
    <w:rsid w:val="00E01DD8"/>
    <w:rsid w:val="00E03213"/>
    <w:rsid w:val="00E04FC8"/>
    <w:rsid w:val="00E056C2"/>
    <w:rsid w:val="00E17345"/>
    <w:rsid w:val="00E20DB9"/>
    <w:rsid w:val="00E22433"/>
    <w:rsid w:val="00E26047"/>
    <w:rsid w:val="00E26EC3"/>
    <w:rsid w:val="00E30508"/>
    <w:rsid w:val="00E369E9"/>
    <w:rsid w:val="00E417F6"/>
    <w:rsid w:val="00E422E4"/>
    <w:rsid w:val="00E470C4"/>
    <w:rsid w:val="00E50CA4"/>
    <w:rsid w:val="00E60E85"/>
    <w:rsid w:val="00E632AC"/>
    <w:rsid w:val="00E7282E"/>
    <w:rsid w:val="00E75283"/>
    <w:rsid w:val="00E75406"/>
    <w:rsid w:val="00E772C6"/>
    <w:rsid w:val="00E77E98"/>
    <w:rsid w:val="00E87E3C"/>
    <w:rsid w:val="00E920FF"/>
    <w:rsid w:val="00E93746"/>
    <w:rsid w:val="00E95E71"/>
    <w:rsid w:val="00E963E5"/>
    <w:rsid w:val="00EA0A14"/>
    <w:rsid w:val="00EA1842"/>
    <w:rsid w:val="00EA1D57"/>
    <w:rsid w:val="00EA7A32"/>
    <w:rsid w:val="00EB518C"/>
    <w:rsid w:val="00EC1768"/>
    <w:rsid w:val="00EC3AA8"/>
    <w:rsid w:val="00ED014D"/>
    <w:rsid w:val="00ED2A98"/>
    <w:rsid w:val="00ED368E"/>
    <w:rsid w:val="00ED4C2E"/>
    <w:rsid w:val="00ED761E"/>
    <w:rsid w:val="00EF3F2F"/>
    <w:rsid w:val="00F0628E"/>
    <w:rsid w:val="00F11D77"/>
    <w:rsid w:val="00F205EC"/>
    <w:rsid w:val="00F23159"/>
    <w:rsid w:val="00F50F44"/>
    <w:rsid w:val="00F54C90"/>
    <w:rsid w:val="00F60174"/>
    <w:rsid w:val="00F64B49"/>
    <w:rsid w:val="00F656DA"/>
    <w:rsid w:val="00F91117"/>
    <w:rsid w:val="00F93696"/>
    <w:rsid w:val="00F96EE2"/>
    <w:rsid w:val="00FA283B"/>
    <w:rsid w:val="00FA48D3"/>
    <w:rsid w:val="00FB0CBA"/>
    <w:rsid w:val="00FC6287"/>
    <w:rsid w:val="00FD401A"/>
    <w:rsid w:val="00FD5D6B"/>
    <w:rsid w:val="00FE4207"/>
    <w:rsid w:val="00FE7D95"/>
    <w:rsid w:val="00FF3B7B"/>
    <w:rsid w:val="00FF5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9E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E20DB9"/>
    <w:pPr>
      <w:outlineLvl w:val="0"/>
    </w:pPr>
    <w:rPr>
      <w:rFonts w:ascii="Arial" w:hAnsi="Arial" w:cs="Arial"/>
      <w:b/>
      <w:bCs/>
      <w:color w:val="990066"/>
      <w:kern w:val="36"/>
      <w:sz w:val="29"/>
      <w:szCs w:val="29"/>
    </w:rPr>
  </w:style>
  <w:style w:type="paragraph" w:styleId="Heading2">
    <w:name w:val="heading 2"/>
    <w:basedOn w:val="Normal"/>
    <w:link w:val="Heading2Char"/>
    <w:uiPriority w:val="9"/>
    <w:qFormat/>
    <w:rsid w:val="00E20DB9"/>
    <w:pPr>
      <w:outlineLvl w:val="1"/>
    </w:pPr>
    <w:rPr>
      <w:rFonts w:ascii="Arial" w:hAnsi="Arial" w:cs="Arial"/>
      <w:b/>
      <w:bCs/>
      <w:color w:val="990066"/>
      <w:sz w:val="29"/>
      <w:szCs w:val="29"/>
    </w:rPr>
  </w:style>
  <w:style w:type="paragraph" w:styleId="Heading3">
    <w:name w:val="heading 3"/>
    <w:basedOn w:val="Normal"/>
    <w:link w:val="Heading3Char"/>
    <w:uiPriority w:val="9"/>
    <w:qFormat/>
    <w:rsid w:val="00E20DB9"/>
    <w:pPr>
      <w:spacing w:before="100" w:beforeAutospacing="1" w:after="100" w:afterAutospacing="1"/>
      <w:outlineLvl w:val="2"/>
    </w:pPr>
    <w:rPr>
      <w:b/>
      <w:bCs/>
      <w:color w:val="990066"/>
    </w:rPr>
  </w:style>
  <w:style w:type="paragraph" w:styleId="Heading4">
    <w:name w:val="heading 4"/>
    <w:basedOn w:val="Normal"/>
    <w:link w:val="Heading4Char"/>
    <w:uiPriority w:val="9"/>
    <w:qFormat/>
    <w:rsid w:val="00E20DB9"/>
    <w:pPr>
      <w:spacing w:before="100" w:beforeAutospacing="1" w:after="100" w:afterAutospacing="1"/>
      <w:outlineLvl w:val="3"/>
    </w:pPr>
    <w:rPr>
      <w:b/>
      <w:bCs/>
      <w:color w:val="808285"/>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DB9"/>
    <w:rPr>
      <w:rFonts w:ascii="Arial" w:eastAsia="Times New Roman" w:hAnsi="Arial" w:cs="Arial"/>
      <w:b/>
      <w:bCs/>
      <w:color w:val="990066"/>
      <w:kern w:val="36"/>
      <w:sz w:val="29"/>
      <w:szCs w:val="29"/>
      <w:lang w:eastAsia="en-GB"/>
    </w:rPr>
  </w:style>
  <w:style w:type="character" w:customStyle="1" w:styleId="Heading2Char">
    <w:name w:val="Heading 2 Char"/>
    <w:basedOn w:val="DefaultParagraphFont"/>
    <w:link w:val="Heading2"/>
    <w:uiPriority w:val="9"/>
    <w:rsid w:val="00E20DB9"/>
    <w:rPr>
      <w:rFonts w:ascii="Arial" w:eastAsia="Times New Roman" w:hAnsi="Arial" w:cs="Arial"/>
      <w:b/>
      <w:bCs/>
      <w:color w:val="990066"/>
      <w:sz w:val="29"/>
      <w:szCs w:val="29"/>
      <w:lang w:eastAsia="en-GB"/>
    </w:rPr>
  </w:style>
  <w:style w:type="character" w:customStyle="1" w:styleId="Heading3Char">
    <w:name w:val="Heading 3 Char"/>
    <w:basedOn w:val="DefaultParagraphFont"/>
    <w:link w:val="Heading3"/>
    <w:uiPriority w:val="9"/>
    <w:rsid w:val="00E20DB9"/>
    <w:rPr>
      <w:rFonts w:ascii="Times New Roman" w:eastAsia="Times New Roman" w:hAnsi="Times New Roman" w:cs="Times New Roman"/>
      <w:b/>
      <w:bCs/>
      <w:color w:val="990066"/>
      <w:sz w:val="24"/>
      <w:szCs w:val="24"/>
      <w:lang w:eastAsia="en-GB"/>
    </w:rPr>
  </w:style>
  <w:style w:type="character" w:customStyle="1" w:styleId="Heading4Char">
    <w:name w:val="Heading 4 Char"/>
    <w:basedOn w:val="DefaultParagraphFont"/>
    <w:link w:val="Heading4"/>
    <w:uiPriority w:val="9"/>
    <w:rsid w:val="00E20DB9"/>
    <w:rPr>
      <w:rFonts w:ascii="Times New Roman" w:eastAsia="Times New Roman" w:hAnsi="Times New Roman" w:cs="Times New Roman"/>
      <w:b/>
      <w:bCs/>
      <w:color w:val="808285"/>
      <w:sz w:val="19"/>
      <w:szCs w:val="19"/>
      <w:lang w:eastAsia="en-GB"/>
    </w:rPr>
  </w:style>
  <w:style w:type="paragraph" w:styleId="NormalWeb">
    <w:name w:val="Normal (Web)"/>
    <w:basedOn w:val="Normal"/>
    <w:uiPriority w:val="99"/>
    <w:semiHidden/>
    <w:unhideWhenUsed/>
    <w:rsid w:val="00E20DB9"/>
  </w:style>
  <w:style w:type="character" w:styleId="Strong">
    <w:name w:val="Strong"/>
    <w:basedOn w:val="DefaultParagraphFont"/>
    <w:uiPriority w:val="22"/>
    <w:qFormat/>
    <w:rsid w:val="00E20DB9"/>
    <w:rPr>
      <w:b/>
      <w:bCs/>
    </w:rPr>
  </w:style>
  <w:style w:type="paragraph" w:styleId="BalloonText">
    <w:name w:val="Balloon Text"/>
    <w:basedOn w:val="Normal"/>
    <w:link w:val="BalloonTextChar"/>
    <w:uiPriority w:val="99"/>
    <w:semiHidden/>
    <w:unhideWhenUsed/>
    <w:rsid w:val="00E20DB9"/>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20DB9"/>
    <w:rPr>
      <w:rFonts w:ascii="Tahoma" w:hAnsi="Tahoma" w:cs="Tahoma"/>
      <w:sz w:val="16"/>
      <w:szCs w:val="16"/>
    </w:rPr>
  </w:style>
  <w:style w:type="character" w:styleId="Hyperlink">
    <w:name w:val="Hyperlink"/>
    <w:basedOn w:val="DefaultParagraphFont"/>
    <w:uiPriority w:val="99"/>
    <w:unhideWhenUsed/>
    <w:rsid w:val="00E20DB9"/>
    <w:rPr>
      <w:b w:val="0"/>
      <w:bCs w:val="0"/>
      <w:strike w:val="0"/>
      <w:dstrike w:val="0"/>
      <w:color w:val="66A300"/>
      <w:u w:val="none"/>
      <w:effect w:val="none"/>
    </w:rPr>
  </w:style>
  <w:style w:type="paragraph" w:styleId="ListParagraph">
    <w:name w:val="List Paragraph"/>
    <w:basedOn w:val="Normal"/>
    <w:uiPriority w:val="34"/>
    <w:qFormat/>
    <w:rsid w:val="00B05194"/>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034C6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34C64"/>
  </w:style>
  <w:style w:type="paragraph" w:styleId="Footer">
    <w:name w:val="footer"/>
    <w:basedOn w:val="Normal"/>
    <w:link w:val="FooterChar"/>
    <w:uiPriority w:val="99"/>
    <w:unhideWhenUsed/>
    <w:rsid w:val="00034C6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34C64"/>
  </w:style>
  <w:style w:type="table" w:styleId="TableGrid">
    <w:name w:val="Table Grid"/>
    <w:basedOn w:val="TableNormal"/>
    <w:uiPriority w:val="59"/>
    <w:rsid w:val="00DE5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1D232B"/>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1D232B"/>
    <w:rPr>
      <w:sz w:val="20"/>
      <w:szCs w:val="20"/>
    </w:rPr>
  </w:style>
  <w:style w:type="character" w:styleId="Emphasis">
    <w:name w:val="Emphasis"/>
    <w:basedOn w:val="DefaultParagraphFont"/>
    <w:uiPriority w:val="20"/>
    <w:qFormat/>
    <w:rsid w:val="001D232B"/>
    <w:rPr>
      <w:i/>
      <w:iCs/>
    </w:rPr>
  </w:style>
  <w:style w:type="character" w:customStyle="1" w:styleId="citation">
    <w:name w:val="citation"/>
    <w:basedOn w:val="DefaultParagraphFont"/>
    <w:rsid w:val="001D232B"/>
  </w:style>
  <w:style w:type="paragraph" w:styleId="Caption">
    <w:name w:val="caption"/>
    <w:basedOn w:val="Normal"/>
    <w:next w:val="Normal"/>
    <w:uiPriority w:val="35"/>
    <w:unhideWhenUsed/>
    <w:qFormat/>
    <w:rsid w:val="00CD3CF6"/>
    <w:pPr>
      <w:spacing w:after="200"/>
    </w:pPr>
    <w:rPr>
      <w:i/>
      <w:iCs/>
      <w:color w:val="1F497D" w:themeColor="text2"/>
      <w:sz w:val="18"/>
      <w:szCs w:val="18"/>
    </w:rPr>
  </w:style>
  <w:style w:type="character" w:customStyle="1" w:styleId="apple-converted-space">
    <w:name w:val="apple-converted-space"/>
    <w:basedOn w:val="DefaultParagraphFont"/>
    <w:rsid w:val="006867AA"/>
  </w:style>
  <w:style w:type="character" w:customStyle="1" w:styleId="reference-text">
    <w:name w:val="reference-text"/>
    <w:basedOn w:val="DefaultParagraphFont"/>
    <w:rsid w:val="006867AA"/>
  </w:style>
  <w:style w:type="character" w:customStyle="1" w:styleId="reference-accessdate">
    <w:name w:val="reference-accessdate"/>
    <w:basedOn w:val="DefaultParagraphFont"/>
    <w:rsid w:val="006867AA"/>
  </w:style>
  <w:style w:type="character" w:customStyle="1" w:styleId="maintitle">
    <w:name w:val="maintitle"/>
    <w:basedOn w:val="DefaultParagraphFont"/>
    <w:rsid w:val="00361F37"/>
  </w:style>
  <w:style w:type="paragraph" w:customStyle="1" w:styleId="copyright">
    <w:name w:val="copyright"/>
    <w:basedOn w:val="Normal"/>
    <w:rsid w:val="00361F37"/>
    <w:pPr>
      <w:spacing w:before="100" w:beforeAutospacing="1" w:after="100" w:afterAutospacing="1"/>
    </w:pPr>
    <w:rPr>
      <w:lang w:val="en-US" w:eastAsia="en-US"/>
    </w:rPr>
  </w:style>
  <w:style w:type="paragraph" w:customStyle="1" w:styleId="articlecategory">
    <w:name w:val="articlecategory"/>
    <w:basedOn w:val="Normal"/>
    <w:rsid w:val="00361F37"/>
    <w:pPr>
      <w:spacing w:before="100" w:beforeAutospacing="1" w:after="100" w:afterAutospacing="1"/>
    </w:pPr>
    <w:rPr>
      <w:lang w:val="en-US" w:eastAsia="en-US"/>
    </w:rPr>
  </w:style>
  <w:style w:type="paragraph" w:customStyle="1" w:styleId="articledetails">
    <w:name w:val="articledetails"/>
    <w:basedOn w:val="Normal"/>
    <w:rsid w:val="00361F37"/>
    <w:pPr>
      <w:spacing w:before="100" w:beforeAutospacing="1" w:after="100" w:afterAutospacing="1"/>
    </w:pPr>
    <w:rPr>
      <w:lang w:val="en-US" w:eastAsia="en-US"/>
    </w:rPr>
  </w:style>
  <w:style w:type="paragraph" w:styleId="FootnoteText">
    <w:name w:val="footnote text"/>
    <w:basedOn w:val="Normal"/>
    <w:link w:val="FootnoteTextChar"/>
    <w:uiPriority w:val="99"/>
    <w:semiHidden/>
    <w:unhideWhenUsed/>
    <w:rsid w:val="00E920FF"/>
    <w:rPr>
      <w:sz w:val="20"/>
      <w:szCs w:val="20"/>
    </w:rPr>
  </w:style>
  <w:style w:type="character" w:customStyle="1" w:styleId="FootnoteTextChar">
    <w:name w:val="Footnote Text Char"/>
    <w:basedOn w:val="DefaultParagraphFont"/>
    <w:link w:val="FootnoteText"/>
    <w:uiPriority w:val="99"/>
    <w:semiHidden/>
    <w:rsid w:val="00E920F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920FF"/>
    <w:rPr>
      <w:vertAlign w:val="superscript"/>
    </w:rPr>
  </w:style>
  <w:style w:type="character" w:customStyle="1" w:styleId="EndnoteTextChar1">
    <w:name w:val="Endnote Text Char1"/>
    <w:basedOn w:val="DefaultParagraphFont"/>
    <w:uiPriority w:val="99"/>
    <w:semiHidden/>
    <w:rsid w:val="00F91117"/>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F50F44"/>
    <w:rPr>
      <w:sz w:val="16"/>
      <w:szCs w:val="16"/>
    </w:rPr>
  </w:style>
  <w:style w:type="paragraph" w:styleId="CommentText">
    <w:name w:val="annotation text"/>
    <w:basedOn w:val="Normal"/>
    <w:link w:val="CommentTextChar"/>
    <w:uiPriority w:val="99"/>
    <w:unhideWhenUsed/>
    <w:rsid w:val="00F50F44"/>
    <w:rPr>
      <w:sz w:val="20"/>
      <w:szCs w:val="20"/>
    </w:rPr>
  </w:style>
  <w:style w:type="character" w:customStyle="1" w:styleId="CommentTextChar">
    <w:name w:val="Comment Text Char"/>
    <w:basedOn w:val="DefaultParagraphFont"/>
    <w:link w:val="CommentText"/>
    <w:uiPriority w:val="99"/>
    <w:rsid w:val="00F50F4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50F44"/>
    <w:rPr>
      <w:b/>
      <w:bCs/>
    </w:rPr>
  </w:style>
  <w:style w:type="character" w:customStyle="1" w:styleId="CommentSubjectChar">
    <w:name w:val="Comment Subject Char"/>
    <w:basedOn w:val="CommentTextChar"/>
    <w:link w:val="CommentSubject"/>
    <w:uiPriority w:val="99"/>
    <w:semiHidden/>
    <w:rsid w:val="00F50F44"/>
    <w:rPr>
      <w:rFonts w:ascii="Times New Roman" w:eastAsia="Times New Roman" w:hAnsi="Times New Roman" w:cs="Times New Roman"/>
      <w:b/>
      <w:bCs/>
      <w:sz w:val="20"/>
      <w:szCs w:val="20"/>
      <w:lang w:eastAsia="en-GB"/>
    </w:rPr>
  </w:style>
  <w:style w:type="paragraph" w:customStyle="1" w:styleId="EndNoteBibliography">
    <w:name w:val="EndNote Bibliography"/>
    <w:basedOn w:val="Normal"/>
    <w:link w:val="EndNoteBibliographyChar"/>
    <w:rsid w:val="00B87F7B"/>
    <w:rPr>
      <w:rFonts w:eastAsiaTheme="minorHAnsi"/>
      <w:noProof/>
      <w:lang w:val="en-US" w:eastAsia="en-US"/>
    </w:rPr>
  </w:style>
  <w:style w:type="character" w:customStyle="1" w:styleId="EndNoteBibliographyChar">
    <w:name w:val="EndNote Bibliography Char"/>
    <w:basedOn w:val="DefaultParagraphFont"/>
    <w:link w:val="EndNoteBibliography"/>
    <w:rsid w:val="00B87F7B"/>
    <w:rPr>
      <w:rFonts w:ascii="Times New Roman" w:hAnsi="Times New Roman" w:cs="Times New Roman"/>
      <w:noProof/>
      <w:sz w:val="24"/>
      <w:szCs w:val="24"/>
      <w:lang w:val="en-US"/>
    </w:rPr>
  </w:style>
  <w:style w:type="character" w:styleId="PlaceholderText">
    <w:name w:val="Placeholder Text"/>
    <w:basedOn w:val="DefaultParagraphFont"/>
    <w:uiPriority w:val="99"/>
    <w:semiHidden/>
    <w:rsid w:val="00E60E85"/>
    <w:rPr>
      <w:color w:val="808080"/>
    </w:rPr>
  </w:style>
  <w:style w:type="character" w:styleId="EndnoteReference">
    <w:name w:val="endnote reference"/>
    <w:basedOn w:val="DefaultParagraphFont"/>
    <w:uiPriority w:val="99"/>
    <w:semiHidden/>
    <w:unhideWhenUsed/>
    <w:rsid w:val="009036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9E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E20DB9"/>
    <w:pPr>
      <w:outlineLvl w:val="0"/>
    </w:pPr>
    <w:rPr>
      <w:rFonts w:ascii="Arial" w:hAnsi="Arial" w:cs="Arial"/>
      <w:b/>
      <w:bCs/>
      <w:color w:val="990066"/>
      <w:kern w:val="36"/>
      <w:sz w:val="29"/>
      <w:szCs w:val="29"/>
    </w:rPr>
  </w:style>
  <w:style w:type="paragraph" w:styleId="Heading2">
    <w:name w:val="heading 2"/>
    <w:basedOn w:val="Normal"/>
    <w:link w:val="Heading2Char"/>
    <w:uiPriority w:val="9"/>
    <w:qFormat/>
    <w:rsid w:val="00E20DB9"/>
    <w:pPr>
      <w:outlineLvl w:val="1"/>
    </w:pPr>
    <w:rPr>
      <w:rFonts w:ascii="Arial" w:hAnsi="Arial" w:cs="Arial"/>
      <w:b/>
      <w:bCs/>
      <w:color w:val="990066"/>
      <w:sz w:val="29"/>
      <w:szCs w:val="29"/>
    </w:rPr>
  </w:style>
  <w:style w:type="paragraph" w:styleId="Heading3">
    <w:name w:val="heading 3"/>
    <w:basedOn w:val="Normal"/>
    <w:link w:val="Heading3Char"/>
    <w:uiPriority w:val="9"/>
    <w:qFormat/>
    <w:rsid w:val="00E20DB9"/>
    <w:pPr>
      <w:spacing w:before="100" w:beforeAutospacing="1" w:after="100" w:afterAutospacing="1"/>
      <w:outlineLvl w:val="2"/>
    </w:pPr>
    <w:rPr>
      <w:b/>
      <w:bCs/>
      <w:color w:val="990066"/>
    </w:rPr>
  </w:style>
  <w:style w:type="paragraph" w:styleId="Heading4">
    <w:name w:val="heading 4"/>
    <w:basedOn w:val="Normal"/>
    <w:link w:val="Heading4Char"/>
    <w:uiPriority w:val="9"/>
    <w:qFormat/>
    <w:rsid w:val="00E20DB9"/>
    <w:pPr>
      <w:spacing w:before="100" w:beforeAutospacing="1" w:after="100" w:afterAutospacing="1"/>
      <w:outlineLvl w:val="3"/>
    </w:pPr>
    <w:rPr>
      <w:b/>
      <w:bCs/>
      <w:color w:val="808285"/>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DB9"/>
    <w:rPr>
      <w:rFonts w:ascii="Arial" w:eastAsia="Times New Roman" w:hAnsi="Arial" w:cs="Arial"/>
      <w:b/>
      <w:bCs/>
      <w:color w:val="990066"/>
      <w:kern w:val="36"/>
      <w:sz w:val="29"/>
      <w:szCs w:val="29"/>
      <w:lang w:eastAsia="en-GB"/>
    </w:rPr>
  </w:style>
  <w:style w:type="character" w:customStyle="1" w:styleId="Heading2Char">
    <w:name w:val="Heading 2 Char"/>
    <w:basedOn w:val="DefaultParagraphFont"/>
    <w:link w:val="Heading2"/>
    <w:uiPriority w:val="9"/>
    <w:rsid w:val="00E20DB9"/>
    <w:rPr>
      <w:rFonts w:ascii="Arial" w:eastAsia="Times New Roman" w:hAnsi="Arial" w:cs="Arial"/>
      <w:b/>
      <w:bCs/>
      <w:color w:val="990066"/>
      <w:sz w:val="29"/>
      <w:szCs w:val="29"/>
      <w:lang w:eastAsia="en-GB"/>
    </w:rPr>
  </w:style>
  <w:style w:type="character" w:customStyle="1" w:styleId="Heading3Char">
    <w:name w:val="Heading 3 Char"/>
    <w:basedOn w:val="DefaultParagraphFont"/>
    <w:link w:val="Heading3"/>
    <w:uiPriority w:val="9"/>
    <w:rsid w:val="00E20DB9"/>
    <w:rPr>
      <w:rFonts w:ascii="Times New Roman" w:eastAsia="Times New Roman" w:hAnsi="Times New Roman" w:cs="Times New Roman"/>
      <w:b/>
      <w:bCs/>
      <w:color w:val="990066"/>
      <w:sz w:val="24"/>
      <w:szCs w:val="24"/>
      <w:lang w:eastAsia="en-GB"/>
    </w:rPr>
  </w:style>
  <w:style w:type="character" w:customStyle="1" w:styleId="Heading4Char">
    <w:name w:val="Heading 4 Char"/>
    <w:basedOn w:val="DefaultParagraphFont"/>
    <w:link w:val="Heading4"/>
    <w:uiPriority w:val="9"/>
    <w:rsid w:val="00E20DB9"/>
    <w:rPr>
      <w:rFonts w:ascii="Times New Roman" w:eastAsia="Times New Roman" w:hAnsi="Times New Roman" w:cs="Times New Roman"/>
      <w:b/>
      <w:bCs/>
      <w:color w:val="808285"/>
      <w:sz w:val="19"/>
      <w:szCs w:val="19"/>
      <w:lang w:eastAsia="en-GB"/>
    </w:rPr>
  </w:style>
  <w:style w:type="paragraph" w:styleId="NormalWeb">
    <w:name w:val="Normal (Web)"/>
    <w:basedOn w:val="Normal"/>
    <w:uiPriority w:val="99"/>
    <w:semiHidden/>
    <w:unhideWhenUsed/>
    <w:rsid w:val="00E20DB9"/>
  </w:style>
  <w:style w:type="character" w:styleId="Strong">
    <w:name w:val="Strong"/>
    <w:basedOn w:val="DefaultParagraphFont"/>
    <w:uiPriority w:val="22"/>
    <w:qFormat/>
    <w:rsid w:val="00E20DB9"/>
    <w:rPr>
      <w:b/>
      <w:bCs/>
    </w:rPr>
  </w:style>
  <w:style w:type="paragraph" w:styleId="BalloonText">
    <w:name w:val="Balloon Text"/>
    <w:basedOn w:val="Normal"/>
    <w:link w:val="BalloonTextChar"/>
    <w:uiPriority w:val="99"/>
    <w:semiHidden/>
    <w:unhideWhenUsed/>
    <w:rsid w:val="00E20DB9"/>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20DB9"/>
    <w:rPr>
      <w:rFonts w:ascii="Tahoma" w:hAnsi="Tahoma" w:cs="Tahoma"/>
      <w:sz w:val="16"/>
      <w:szCs w:val="16"/>
    </w:rPr>
  </w:style>
  <w:style w:type="character" w:styleId="Hyperlink">
    <w:name w:val="Hyperlink"/>
    <w:basedOn w:val="DefaultParagraphFont"/>
    <w:uiPriority w:val="99"/>
    <w:unhideWhenUsed/>
    <w:rsid w:val="00E20DB9"/>
    <w:rPr>
      <w:b w:val="0"/>
      <w:bCs w:val="0"/>
      <w:strike w:val="0"/>
      <w:dstrike w:val="0"/>
      <w:color w:val="66A300"/>
      <w:u w:val="none"/>
      <w:effect w:val="none"/>
    </w:rPr>
  </w:style>
  <w:style w:type="paragraph" w:styleId="ListParagraph">
    <w:name w:val="List Paragraph"/>
    <w:basedOn w:val="Normal"/>
    <w:uiPriority w:val="34"/>
    <w:qFormat/>
    <w:rsid w:val="00B05194"/>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034C6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34C64"/>
  </w:style>
  <w:style w:type="paragraph" w:styleId="Footer">
    <w:name w:val="footer"/>
    <w:basedOn w:val="Normal"/>
    <w:link w:val="FooterChar"/>
    <w:uiPriority w:val="99"/>
    <w:unhideWhenUsed/>
    <w:rsid w:val="00034C6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34C64"/>
  </w:style>
  <w:style w:type="table" w:styleId="TableGrid">
    <w:name w:val="Table Grid"/>
    <w:basedOn w:val="TableNormal"/>
    <w:uiPriority w:val="59"/>
    <w:rsid w:val="00DE5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1D232B"/>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1D232B"/>
    <w:rPr>
      <w:sz w:val="20"/>
      <w:szCs w:val="20"/>
    </w:rPr>
  </w:style>
  <w:style w:type="character" w:styleId="Emphasis">
    <w:name w:val="Emphasis"/>
    <w:basedOn w:val="DefaultParagraphFont"/>
    <w:uiPriority w:val="20"/>
    <w:qFormat/>
    <w:rsid w:val="001D232B"/>
    <w:rPr>
      <w:i/>
      <w:iCs/>
    </w:rPr>
  </w:style>
  <w:style w:type="character" w:customStyle="1" w:styleId="citation">
    <w:name w:val="citation"/>
    <w:basedOn w:val="DefaultParagraphFont"/>
    <w:rsid w:val="001D232B"/>
  </w:style>
  <w:style w:type="paragraph" w:styleId="Caption">
    <w:name w:val="caption"/>
    <w:basedOn w:val="Normal"/>
    <w:next w:val="Normal"/>
    <w:uiPriority w:val="35"/>
    <w:unhideWhenUsed/>
    <w:qFormat/>
    <w:rsid w:val="00CD3CF6"/>
    <w:pPr>
      <w:spacing w:after="200"/>
    </w:pPr>
    <w:rPr>
      <w:i/>
      <w:iCs/>
      <w:color w:val="1F497D" w:themeColor="text2"/>
      <w:sz w:val="18"/>
      <w:szCs w:val="18"/>
    </w:rPr>
  </w:style>
  <w:style w:type="character" w:customStyle="1" w:styleId="apple-converted-space">
    <w:name w:val="apple-converted-space"/>
    <w:basedOn w:val="DefaultParagraphFont"/>
    <w:rsid w:val="006867AA"/>
  </w:style>
  <w:style w:type="character" w:customStyle="1" w:styleId="reference-text">
    <w:name w:val="reference-text"/>
    <w:basedOn w:val="DefaultParagraphFont"/>
    <w:rsid w:val="006867AA"/>
  </w:style>
  <w:style w:type="character" w:customStyle="1" w:styleId="reference-accessdate">
    <w:name w:val="reference-accessdate"/>
    <w:basedOn w:val="DefaultParagraphFont"/>
    <w:rsid w:val="006867AA"/>
  </w:style>
  <w:style w:type="character" w:customStyle="1" w:styleId="maintitle">
    <w:name w:val="maintitle"/>
    <w:basedOn w:val="DefaultParagraphFont"/>
    <w:rsid w:val="00361F37"/>
  </w:style>
  <w:style w:type="paragraph" w:customStyle="1" w:styleId="copyright">
    <w:name w:val="copyright"/>
    <w:basedOn w:val="Normal"/>
    <w:rsid w:val="00361F37"/>
    <w:pPr>
      <w:spacing w:before="100" w:beforeAutospacing="1" w:after="100" w:afterAutospacing="1"/>
    </w:pPr>
    <w:rPr>
      <w:lang w:val="en-US" w:eastAsia="en-US"/>
    </w:rPr>
  </w:style>
  <w:style w:type="paragraph" w:customStyle="1" w:styleId="articlecategory">
    <w:name w:val="articlecategory"/>
    <w:basedOn w:val="Normal"/>
    <w:rsid w:val="00361F37"/>
    <w:pPr>
      <w:spacing w:before="100" w:beforeAutospacing="1" w:after="100" w:afterAutospacing="1"/>
    </w:pPr>
    <w:rPr>
      <w:lang w:val="en-US" w:eastAsia="en-US"/>
    </w:rPr>
  </w:style>
  <w:style w:type="paragraph" w:customStyle="1" w:styleId="articledetails">
    <w:name w:val="articledetails"/>
    <w:basedOn w:val="Normal"/>
    <w:rsid w:val="00361F37"/>
    <w:pPr>
      <w:spacing w:before="100" w:beforeAutospacing="1" w:after="100" w:afterAutospacing="1"/>
    </w:pPr>
    <w:rPr>
      <w:lang w:val="en-US" w:eastAsia="en-US"/>
    </w:rPr>
  </w:style>
  <w:style w:type="paragraph" w:styleId="FootnoteText">
    <w:name w:val="footnote text"/>
    <w:basedOn w:val="Normal"/>
    <w:link w:val="FootnoteTextChar"/>
    <w:uiPriority w:val="99"/>
    <w:semiHidden/>
    <w:unhideWhenUsed/>
    <w:rsid w:val="00E920FF"/>
    <w:rPr>
      <w:sz w:val="20"/>
      <w:szCs w:val="20"/>
    </w:rPr>
  </w:style>
  <w:style w:type="character" w:customStyle="1" w:styleId="FootnoteTextChar">
    <w:name w:val="Footnote Text Char"/>
    <w:basedOn w:val="DefaultParagraphFont"/>
    <w:link w:val="FootnoteText"/>
    <w:uiPriority w:val="99"/>
    <w:semiHidden/>
    <w:rsid w:val="00E920F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920FF"/>
    <w:rPr>
      <w:vertAlign w:val="superscript"/>
    </w:rPr>
  </w:style>
  <w:style w:type="character" w:customStyle="1" w:styleId="EndnoteTextChar1">
    <w:name w:val="Endnote Text Char1"/>
    <w:basedOn w:val="DefaultParagraphFont"/>
    <w:uiPriority w:val="99"/>
    <w:semiHidden/>
    <w:rsid w:val="00F91117"/>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F50F44"/>
    <w:rPr>
      <w:sz w:val="16"/>
      <w:szCs w:val="16"/>
    </w:rPr>
  </w:style>
  <w:style w:type="paragraph" w:styleId="CommentText">
    <w:name w:val="annotation text"/>
    <w:basedOn w:val="Normal"/>
    <w:link w:val="CommentTextChar"/>
    <w:uiPriority w:val="99"/>
    <w:unhideWhenUsed/>
    <w:rsid w:val="00F50F44"/>
    <w:rPr>
      <w:sz w:val="20"/>
      <w:szCs w:val="20"/>
    </w:rPr>
  </w:style>
  <w:style w:type="character" w:customStyle="1" w:styleId="CommentTextChar">
    <w:name w:val="Comment Text Char"/>
    <w:basedOn w:val="DefaultParagraphFont"/>
    <w:link w:val="CommentText"/>
    <w:uiPriority w:val="99"/>
    <w:rsid w:val="00F50F4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50F44"/>
    <w:rPr>
      <w:b/>
      <w:bCs/>
    </w:rPr>
  </w:style>
  <w:style w:type="character" w:customStyle="1" w:styleId="CommentSubjectChar">
    <w:name w:val="Comment Subject Char"/>
    <w:basedOn w:val="CommentTextChar"/>
    <w:link w:val="CommentSubject"/>
    <w:uiPriority w:val="99"/>
    <w:semiHidden/>
    <w:rsid w:val="00F50F44"/>
    <w:rPr>
      <w:rFonts w:ascii="Times New Roman" w:eastAsia="Times New Roman" w:hAnsi="Times New Roman" w:cs="Times New Roman"/>
      <w:b/>
      <w:bCs/>
      <w:sz w:val="20"/>
      <w:szCs w:val="20"/>
      <w:lang w:eastAsia="en-GB"/>
    </w:rPr>
  </w:style>
  <w:style w:type="paragraph" w:customStyle="1" w:styleId="EndNoteBibliography">
    <w:name w:val="EndNote Bibliography"/>
    <w:basedOn w:val="Normal"/>
    <w:link w:val="EndNoteBibliographyChar"/>
    <w:rsid w:val="00B87F7B"/>
    <w:rPr>
      <w:rFonts w:eastAsiaTheme="minorHAnsi"/>
      <w:noProof/>
      <w:lang w:val="en-US" w:eastAsia="en-US"/>
    </w:rPr>
  </w:style>
  <w:style w:type="character" w:customStyle="1" w:styleId="EndNoteBibliographyChar">
    <w:name w:val="EndNote Bibliography Char"/>
    <w:basedOn w:val="DefaultParagraphFont"/>
    <w:link w:val="EndNoteBibliography"/>
    <w:rsid w:val="00B87F7B"/>
    <w:rPr>
      <w:rFonts w:ascii="Times New Roman" w:hAnsi="Times New Roman" w:cs="Times New Roman"/>
      <w:noProof/>
      <w:sz w:val="24"/>
      <w:szCs w:val="24"/>
      <w:lang w:val="en-US"/>
    </w:rPr>
  </w:style>
  <w:style w:type="character" w:styleId="PlaceholderText">
    <w:name w:val="Placeholder Text"/>
    <w:basedOn w:val="DefaultParagraphFont"/>
    <w:uiPriority w:val="99"/>
    <w:semiHidden/>
    <w:rsid w:val="00E60E85"/>
    <w:rPr>
      <w:color w:val="808080"/>
    </w:rPr>
  </w:style>
  <w:style w:type="character" w:styleId="EndnoteReference">
    <w:name w:val="endnote reference"/>
    <w:basedOn w:val="DefaultParagraphFont"/>
    <w:uiPriority w:val="99"/>
    <w:semiHidden/>
    <w:unhideWhenUsed/>
    <w:rsid w:val="00903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5480">
      <w:bodyDiv w:val="1"/>
      <w:marLeft w:val="0"/>
      <w:marRight w:val="0"/>
      <w:marTop w:val="0"/>
      <w:marBottom w:val="0"/>
      <w:divBdr>
        <w:top w:val="none" w:sz="0" w:space="0" w:color="auto"/>
        <w:left w:val="none" w:sz="0" w:space="0" w:color="auto"/>
        <w:bottom w:val="none" w:sz="0" w:space="0" w:color="auto"/>
        <w:right w:val="none" w:sz="0" w:space="0" w:color="auto"/>
      </w:divBdr>
      <w:divsChild>
        <w:div w:id="1498882484">
          <w:marLeft w:val="0"/>
          <w:marRight w:val="0"/>
          <w:marTop w:val="0"/>
          <w:marBottom w:val="0"/>
          <w:divBdr>
            <w:top w:val="none" w:sz="0" w:space="0" w:color="auto"/>
            <w:left w:val="none" w:sz="0" w:space="0" w:color="auto"/>
            <w:bottom w:val="none" w:sz="0" w:space="0" w:color="auto"/>
            <w:right w:val="none" w:sz="0" w:space="0" w:color="auto"/>
          </w:divBdr>
        </w:div>
      </w:divsChild>
    </w:div>
    <w:div w:id="516772578">
      <w:bodyDiv w:val="1"/>
      <w:marLeft w:val="0"/>
      <w:marRight w:val="0"/>
      <w:marTop w:val="0"/>
      <w:marBottom w:val="0"/>
      <w:divBdr>
        <w:top w:val="none" w:sz="0" w:space="0" w:color="auto"/>
        <w:left w:val="none" w:sz="0" w:space="0" w:color="auto"/>
        <w:bottom w:val="none" w:sz="0" w:space="0" w:color="auto"/>
        <w:right w:val="none" w:sz="0" w:space="0" w:color="auto"/>
      </w:divBdr>
    </w:div>
    <w:div w:id="626467977">
      <w:bodyDiv w:val="1"/>
      <w:marLeft w:val="0"/>
      <w:marRight w:val="0"/>
      <w:marTop w:val="0"/>
      <w:marBottom w:val="0"/>
      <w:divBdr>
        <w:top w:val="none" w:sz="0" w:space="0" w:color="auto"/>
        <w:left w:val="none" w:sz="0" w:space="0" w:color="auto"/>
        <w:bottom w:val="none" w:sz="0" w:space="0" w:color="auto"/>
        <w:right w:val="none" w:sz="0" w:space="0" w:color="auto"/>
      </w:divBdr>
    </w:div>
    <w:div w:id="665059885">
      <w:bodyDiv w:val="1"/>
      <w:marLeft w:val="0"/>
      <w:marRight w:val="0"/>
      <w:marTop w:val="0"/>
      <w:marBottom w:val="0"/>
      <w:divBdr>
        <w:top w:val="none" w:sz="0" w:space="0" w:color="auto"/>
        <w:left w:val="none" w:sz="0" w:space="0" w:color="auto"/>
        <w:bottom w:val="none" w:sz="0" w:space="0" w:color="auto"/>
        <w:right w:val="none" w:sz="0" w:space="0" w:color="auto"/>
      </w:divBdr>
      <w:divsChild>
        <w:div w:id="1965379163">
          <w:marLeft w:val="0"/>
          <w:marRight w:val="0"/>
          <w:marTop w:val="0"/>
          <w:marBottom w:val="0"/>
          <w:divBdr>
            <w:top w:val="none" w:sz="0" w:space="0" w:color="auto"/>
            <w:left w:val="none" w:sz="0" w:space="0" w:color="auto"/>
            <w:bottom w:val="none" w:sz="0" w:space="0" w:color="auto"/>
            <w:right w:val="none" w:sz="0" w:space="0" w:color="auto"/>
          </w:divBdr>
        </w:div>
      </w:divsChild>
    </w:div>
    <w:div w:id="765077456">
      <w:bodyDiv w:val="1"/>
      <w:marLeft w:val="0"/>
      <w:marRight w:val="0"/>
      <w:marTop w:val="0"/>
      <w:marBottom w:val="0"/>
      <w:divBdr>
        <w:top w:val="none" w:sz="0" w:space="0" w:color="auto"/>
        <w:left w:val="none" w:sz="0" w:space="0" w:color="auto"/>
        <w:bottom w:val="none" w:sz="0" w:space="0" w:color="auto"/>
        <w:right w:val="none" w:sz="0" w:space="0" w:color="auto"/>
      </w:divBdr>
      <w:divsChild>
        <w:div w:id="1320385819">
          <w:marLeft w:val="0"/>
          <w:marRight w:val="0"/>
          <w:marTop w:val="0"/>
          <w:marBottom w:val="0"/>
          <w:divBdr>
            <w:top w:val="single" w:sz="18" w:space="6" w:color="E1E9EB"/>
            <w:left w:val="none" w:sz="0" w:space="0" w:color="auto"/>
            <w:bottom w:val="none" w:sz="0" w:space="0" w:color="auto"/>
            <w:right w:val="none" w:sz="0" w:space="0" w:color="auto"/>
          </w:divBdr>
        </w:div>
        <w:div w:id="1579246760">
          <w:marLeft w:val="0"/>
          <w:marRight w:val="0"/>
          <w:marTop w:val="120"/>
          <w:marBottom w:val="0"/>
          <w:divBdr>
            <w:top w:val="none" w:sz="0" w:space="0" w:color="auto"/>
            <w:left w:val="none" w:sz="0" w:space="0" w:color="auto"/>
            <w:bottom w:val="none" w:sz="0" w:space="0" w:color="auto"/>
            <w:right w:val="none" w:sz="0" w:space="0" w:color="auto"/>
          </w:divBdr>
        </w:div>
        <w:div w:id="1393196686">
          <w:marLeft w:val="240"/>
          <w:marRight w:val="0"/>
          <w:marTop w:val="288"/>
          <w:marBottom w:val="0"/>
          <w:divBdr>
            <w:top w:val="single" w:sz="18" w:space="6" w:color="E1E9EB"/>
            <w:left w:val="none" w:sz="0" w:space="0" w:color="auto"/>
            <w:bottom w:val="none" w:sz="0" w:space="0" w:color="auto"/>
            <w:right w:val="none" w:sz="0" w:space="0" w:color="auto"/>
          </w:divBdr>
          <w:divsChild>
            <w:div w:id="279118487">
              <w:marLeft w:val="0"/>
              <w:marRight w:val="240"/>
              <w:marTop w:val="120"/>
              <w:marBottom w:val="0"/>
              <w:divBdr>
                <w:top w:val="none" w:sz="0" w:space="0" w:color="auto"/>
                <w:left w:val="none" w:sz="0" w:space="0" w:color="auto"/>
                <w:bottom w:val="none" w:sz="0" w:space="0" w:color="auto"/>
                <w:right w:val="none" w:sz="0" w:space="0" w:color="auto"/>
              </w:divBdr>
              <w:divsChild>
                <w:div w:id="956789592">
                  <w:marLeft w:val="75"/>
                  <w:marRight w:val="0"/>
                  <w:marTop w:val="75"/>
                  <w:marBottom w:val="360"/>
                  <w:divBdr>
                    <w:top w:val="none" w:sz="0" w:space="0" w:color="auto"/>
                    <w:left w:val="none" w:sz="0" w:space="0" w:color="auto"/>
                    <w:bottom w:val="none" w:sz="0" w:space="0" w:color="auto"/>
                    <w:right w:val="none" w:sz="0" w:space="0" w:color="auto"/>
                  </w:divBdr>
                </w:div>
              </w:divsChild>
            </w:div>
            <w:div w:id="1849707150">
              <w:marLeft w:val="0"/>
              <w:marRight w:val="0"/>
              <w:marTop w:val="120"/>
              <w:marBottom w:val="0"/>
              <w:divBdr>
                <w:top w:val="none" w:sz="0" w:space="0" w:color="auto"/>
                <w:left w:val="none" w:sz="0" w:space="0" w:color="auto"/>
                <w:bottom w:val="none" w:sz="0" w:space="0" w:color="auto"/>
                <w:right w:val="none" w:sz="0" w:space="0" w:color="auto"/>
              </w:divBdr>
              <w:divsChild>
                <w:div w:id="16314027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16399815">
      <w:bodyDiv w:val="1"/>
      <w:marLeft w:val="0"/>
      <w:marRight w:val="0"/>
      <w:marTop w:val="0"/>
      <w:marBottom w:val="0"/>
      <w:divBdr>
        <w:top w:val="none" w:sz="0" w:space="0" w:color="auto"/>
        <w:left w:val="none" w:sz="0" w:space="0" w:color="auto"/>
        <w:bottom w:val="none" w:sz="0" w:space="0" w:color="auto"/>
        <w:right w:val="none" w:sz="0" w:space="0" w:color="auto"/>
      </w:divBdr>
      <w:divsChild>
        <w:div w:id="1985114441">
          <w:marLeft w:val="0"/>
          <w:marRight w:val="0"/>
          <w:marTop w:val="0"/>
          <w:marBottom w:val="0"/>
          <w:divBdr>
            <w:top w:val="none" w:sz="0" w:space="0" w:color="auto"/>
            <w:left w:val="none" w:sz="0" w:space="0" w:color="auto"/>
            <w:bottom w:val="none" w:sz="0" w:space="0" w:color="auto"/>
            <w:right w:val="none" w:sz="0" w:space="0" w:color="auto"/>
          </w:divBdr>
          <w:divsChild>
            <w:div w:id="317536453">
              <w:marLeft w:val="0"/>
              <w:marRight w:val="0"/>
              <w:marTop w:val="0"/>
              <w:marBottom w:val="0"/>
              <w:divBdr>
                <w:top w:val="none" w:sz="0" w:space="0" w:color="auto"/>
                <w:left w:val="none" w:sz="0" w:space="0" w:color="auto"/>
                <w:bottom w:val="none" w:sz="0" w:space="0" w:color="auto"/>
                <w:right w:val="none" w:sz="0" w:space="0" w:color="auto"/>
              </w:divBdr>
              <w:divsChild>
                <w:div w:id="1458990992">
                  <w:marLeft w:val="0"/>
                  <w:marRight w:val="0"/>
                  <w:marTop w:val="0"/>
                  <w:marBottom w:val="0"/>
                  <w:divBdr>
                    <w:top w:val="none" w:sz="0" w:space="0" w:color="auto"/>
                    <w:left w:val="none" w:sz="0" w:space="0" w:color="auto"/>
                    <w:bottom w:val="none" w:sz="0" w:space="0" w:color="auto"/>
                    <w:right w:val="none" w:sz="0" w:space="0" w:color="auto"/>
                  </w:divBdr>
                  <w:divsChild>
                    <w:div w:id="1232933531">
                      <w:marLeft w:val="0"/>
                      <w:marRight w:val="0"/>
                      <w:marTop w:val="0"/>
                      <w:marBottom w:val="0"/>
                      <w:divBdr>
                        <w:top w:val="none" w:sz="0" w:space="0" w:color="auto"/>
                        <w:left w:val="none" w:sz="0" w:space="0" w:color="auto"/>
                        <w:bottom w:val="none" w:sz="0" w:space="0" w:color="auto"/>
                        <w:right w:val="none" w:sz="0" w:space="0" w:color="auto"/>
                      </w:divBdr>
                      <w:divsChild>
                        <w:div w:id="643126480">
                          <w:marLeft w:val="0"/>
                          <w:marRight w:val="0"/>
                          <w:marTop w:val="0"/>
                          <w:marBottom w:val="0"/>
                          <w:divBdr>
                            <w:top w:val="none" w:sz="0" w:space="0" w:color="auto"/>
                            <w:left w:val="none" w:sz="0" w:space="0" w:color="auto"/>
                            <w:bottom w:val="none" w:sz="0" w:space="0" w:color="auto"/>
                            <w:right w:val="none" w:sz="0" w:space="0" w:color="auto"/>
                          </w:divBdr>
                          <w:divsChild>
                            <w:div w:id="16646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312121">
      <w:bodyDiv w:val="1"/>
      <w:marLeft w:val="0"/>
      <w:marRight w:val="0"/>
      <w:marTop w:val="0"/>
      <w:marBottom w:val="0"/>
      <w:divBdr>
        <w:top w:val="none" w:sz="0" w:space="0" w:color="auto"/>
        <w:left w:val="none" w:sz="0" w:space="0" w:color="auto"/>
        <w:bottom w:val="none" w:sz="0" w:space="0" w:color="auto"/>
        <w:right w:val="none" w:sz="0" w:space="0" w:color="auto"/>
      </w:divBdr>
    </w:div>
    <w:div w:id="1101876693">
      <w:bodyDiv w:val="1"/>
      <w:marLeft w:val="0"/>
      <w:marRight w:val="0"/>
      <w:marTop w:val="0"/>
      <w:marBottom w:val="0"/>
      <w:divBdr>
        <w:top w:val="none" w:sz="0" w:space="0" w:color="auto"/>
        <w:left w:val="none" w:sz="0" w:space="0" w:color="auto"/>
        <w:bottom w:val="none" w:sz="0" w:space="0" w:color="auto"/>
        <w:right w:val="none" w:sz="0" w:space="0" w:color="auto"/>
      </w:divBdr>
    </w:div>
    <w:div w:id="1125582555">
      <w:bodyDiv w:val="1"/>
      <w:marLeft w:val="0"/>
      <w:marRight w:val="0"/>
      <w:marTop w:val="0"/>
      <w:marBottom w:val="0"/>
      <w:divBdr>
        <w:top w:val="none" w:sz="0" w:space="0" w:color="auto"/>
        <w:left w:val="none" w:sz="0" w:space="0" w:color="auto"/>
        <w:bottom w:val="none" w:sz="0" w:space="0" w:color="auto"/>
        <w:right w:val="none" w:sz="0" w:space="0" w:color="auto"/>
      </w:divBdr>
    </w:div>
    <w:div w:id="1635065361">
      <w:bodyDiv w:val="1"/>
      <w:marLeft w:val="0"/>
      <w:marRight w:val="0"/>
      <w:marTop w:val="0"/>
      <w:marBottom w:val="0"/>
      <w:divBdr>
        <w:top w:val="none" w:sz="0" w:space="0" w:color="auto"/>
        <w:left w:val="none" w:sz="0" w:space="0" w:color="auto"/>
        <w:bottom w:val="none" w:sz="0" w:space="0" w:color="auto"/>
        <w:right w:val="none" w:sz="0" w:space="0" w:color="auto"/>
      </w:divBdr>
    </w:div>
    <w:div w:id="1898011369">
      <w:bodyDiv w:val="1"/>
      <w:marLeft w:val="0"/>
      <w:marRight w:val="0"/>
      <w:marTop w:val="0"/>
      <w:marBottom w:val="0"/>
      <w:divBdr>
        <w:top w:val="none" w:sz="0" w:space="0" w:color="auto"/>
        <w:left w:val="none" w:sz="0" w:space="0" w:color="auto"/>
        <w:bottom w:val="none" w:sz="0" w:space="0" w:color="auto"/>
        <w:right w:val="none" w:sz="0" w:space="0" w:color="auto"/>
      </w:divBdr>
      <w:divsChild>
        <w:div w:id="286544821">
          <w:marLeft w:val="0"/>
          <w:marRight w:val="0"/>
          <w:marTop w:val="0"/>
          <w:marBottom w:val="0"/>
          <w:divBdr>
            <w:top w:val="none" w:sz="0" w:space="0" w:color="auto"/>
            <w:left w:val="none" w:sz="0" w:space="0" w:color="auto"/>
            <w:bottom w:val="none" w:sz="0" w:space="0" w:color="auto"/>
            <w:right w:val="none" w:sz="0" w:space="0" w:color="auto"/>
          </w:divBdr>
        </w:div>
      </w:divsChild>
    </w:div>
    <w:div w:id="2032994570">
      <w:bodyDiv w:val="1"/>
      <w:marLeft w:val="0"/>
      <w:marRight w:val="0"/>
      <w:marTop w:val="0"/>
      <w:marBottom w:val="0"/>
      <w:divBdr>
        <w:top w:val="none" w:sz="0" w:space="0" w:color="auto"/>
        <w:left w:val="none" w:sz="0" w:space="0" w:color="auto"/>
        <w:bottom w:val="none" w:sz="0" w:space="0" w:color="auto"/>
        <w:right w:val="none" w:sz="0" w:space="0" w:color="auto"/>
      </w:divBdr>
      <w:divsChild>
        <w:div w:id="1713923699">
          <w:marLeft w:val="0"/>
          <w:marRight w:val="0"/>
          <w:marTop w:val="0"/>
          <w:marBottom w:val="0"/>
          <w:divBdr>
            <w:top w:val="none" w:sz="0" w:space="0" w:color="auto"/>
            <w:left w:val="none" w:sz="0" w:space="0" w:color="auto"/>
            <w:bottom w:val="none" w:sz="0" w:space="0" w:color="auto"/>
            <w:right w:val="none" w:sz="0" w:space="0" w:color="auto"/>
          </w:divBdr>
        </w:div>
      </w:divsChild>
    </w:div>
    <w:div w:id="2114277824">
      <w:bodyDiv w:val="1"/>
      <w:marLeft w:val="0"/>
      <w:marRight w:val="0"/>
      <w:marTop w:val="0"/>
      <w:marBottom w:val="0"/>
      <w:divBdr>
        <w:top w:val="none" w:sz="0" w:space="0" w:color="auto"/>
        <w:left w:val="none" w:sz="0" w:space="0" w:color="auto"/>
        <w:bottom w:val="none" w:sz="0" w:space="0" w:color="auto"/>
        <w:right w:val="none" w:sz="0" w:space="0" w:color="auto"/>
      </w:divBdr>
      <w:divsChild>
        <w:div w:id="1035420433">
          <w:marLeft w:val="0"/>
          <w:marRight w:val="0"/>
          <w:marTop w:val="0"/>
          <w:marBottom w:val="0"/>
          <w:divBdr>
            <w:top w:val="none" w:sz="0" w:space="0" w:color="auto"/>
            <w:left w:val="none" w:sz="0" w:space="0" w:color="auto"/>
            <w:bottom w:val="none" w:sz="0" w:space="0" w:color="auto"/>
            <w:right w:val="none" w:sz="0" w:space="0" w:color="auto"/>
          </w:divBdr>
          <w:divsChild>
            <w:div w:id="1432169073">
              <w:marLeft w:val="0"/>
              <w:marRight w:val="0"/>
              <w:marTop w:val="0"/>
              <w:marBottom w:val="0"/>
              <w:divBdr>
                <w:top w:val="none" w:sz="0" w:space="0" w:color="auto"/>
                <w:left w:val="none" w:sz="0" w:space="0" w:color="auto"/>
                <w:bottom w:val="none" w:sz="0" w:space="0" w:color="auto"/>
                <w:right w:val="none" w:sz="0" w:space="0" w:color="auto"/>
              </w:divBdr>
              <w:divsChild>
                <w:div w:id="815730394">
                  <w:marLeft w:val="0"/>
                  <w:marRight w:val="0"/>
                  <w:marTop w:val="0"/>
                  <w:marBottom w:val="0"/>
                  <w:divBdr>
                    <w:top w:val="none" w:sz="0" w:space="0" w:color="auto"/>
                    <w:left w:val="none" w:sz="0" w:space="0" w:color="auto"/>
                    <w:bottom w:val="none" w:sz="0" w:space="0" w:color="auto"/>
                    <w:right w:val="none" w:sz="0" w:space="0" w:color="auto"/>
                  </w:divBdr>
                  <w:divsChild>
                    <w:div w:id="710569389">
                      <w:marLeft w:val="0"/>
                      <w:marRight w:val="0"/>
                      <w:marTop w:val="0"/>
                      <w:marBottom w:val="0"/>
                      <w:divBdr>
                        <w:top w:val="none" w:sz="0" w:space="0" w:color="auto"/>
                        <w:left w:val="none" w:sz="0" w:space="0" w:color="auto"/>
                        <w:bottom w:val="none" w:sz="0" w:space="0" w:color="auto"/>
                        <w:right w:val="none" w:sz="0" w:space="0" w:color="auto"/>
                      </w:divBdr>
                      <w:divsChild>
                        <w:div w:id="1173767117">
                          <w:marLeft w:val="0"/>
                          <w:marRight w:val="0"/>
                          <w:marTop w:val="0"/>
                          <w:marBottom w:val="0"/>
                          <w:divBdr>
                            <w:top w:val="none" w:sz="0" w:space="0" w:color="auto"/>
                            <w:left w:val="none" w:sz="0" w:space="0" w:color="auto"/>
                            <w:bottom w:val="none" w:sz="0" w:space="0" w:color="auto"/>
                            <w:right w:val="none" w:sz="0" w:space="0" w:color="auto"/>
                          </w:divBdr>
                          <w:divsChild>
                            <w:div w:id="2695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495301">
      <w:bodyDiv w:val="1"/>
      <w:marLeft w:val="0"/>
      <w:marRight w:val="0"/>
      <w:marTop w:val="0"/>
      <w:marBottom w:val="0"/>
      <w:divBdr>
        <w:top w:val="none" w:sz="0" w:space="0" w:color="auto"/>
        <w:left w:val="none" w:sz="0" w:space="0" w:color="auto"/>
        <w:bottom w:val="none" w:sz="0" w:space="0" w:color="auto"/>
        <w:right w:val="none" w:sz="0" w:space="0" w:color="auto"/>
      </w:divBdr>
      <w:divsChild>
        <w:div w:id="31274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l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The_Journal_of_Busine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Eduardo_Schwartz"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en.wikipedia.org/wiki/Michael_Brennan_%28finance%29" TargetMode="External"/><Relationship Id="rId4" Type="http://schemas.microsoft.com/office/2007/relationships/stylesWithEffects" Target="stylesWithEffects.xml"/><Relationship Id="rId9" Type="http://schemas.openxmlformats.org/officeDocument/2006/relationships/hyperlink" Target="http://blogs.barrons.com/focusonfunds/2014/07/24/goldman-on-gold-target-1050-an-ounce-but-1200-is-the-real-floo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17BDE-567E-4E80-A524-D698D866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4120</Words>
  <Characters>22744</Characters>
  <Application>Microsoft Office Word</Application>
  <DocSecurity>0</DocSecurity>
  <Lines>733</Lines>
  <Paragraphs>596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26268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OConnor</dc:creator>
  <cp:lastModifiedBy>f.oconnor</cp:lastModifiedBy>
  <cp:revision>8</cp:revision>
  <cp:lastPrinted>2015-07-13T15:39:00Z</cp:lastPrinted>
  <dcterms:created xsi:type="dcterms:W3CDTF">2015-07-13T15:27:00Z</dcterms:created>
  <dcterms:modified xsi:type="dcterms:W3CDTF">2015-10-17T08:17:00Z</dcterms:modified>
</cp:coreProperties>
</file>