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D5456" w14:textId="67EC3F1D" w:rsidR="00B36512" w:rsidRDefault="00B36512" w:rsidP="00B36512">
      <w:pPr>
        <w:rPr>
          <w:b/>
          <w:bCs/>
          <w:u w:val="single"/>
        </w:rPr>
      </w:pPr>
      <w:r w:rsidRPr="00B36512">
        <w:rPr>
          <w:b/>
          <w:bCs/>
          <w:u w:val="single"/>
        </w:rPr>
        <w:t>The Wander Score: Strategies for Writing Texts, Scripts and Scores for Creative Walking Experiences</w:t>
      </w:r>
    </w:p>
    <w:p w14:paraId="6D3E3956" w14:textId="77777777" w:rsidR="00B36512" w:rsidRPr="00B36512" w:rsidRDefault="00B36512" w:rsidP="00B36512">
      <w:pPr>
        <w:rPr>
          <w:b/>
          <w:bCs/>
          <w:u w:val="single"/>
        </w:rPr>
      </w:pPr>
    </w:p>
    <w:p w14:paraId="3019376B" w14:textId="77777777" w:rsidR="00B36512" w:rsidRPr="00B36512" w:rsidRDefault="00B36512" w:rsidP="00B36512">
      <w:pPr>
        <w:rPr>
          <w:bCs/>
        </w:rPr>
      </w:pPr>
      <w:r w:rsidRPr="00B36512">
        <w:rPr>
          <w:bCs/>
        </w:rPr>
        <w:t>Dr Claire Hind</w:t>
      </w:r>
    </w:p>
    <w:p w14:paraId="526FC4FC" w14:textId="77777777" w:rsidR="00B36512" w:rsidRPr="00B36512" w:rsidRDefault="00B36512" w:rsidP="00B36512">
      <w:pPr>
        <w:rPr>
          <w:bCs/>
        </w:rPr>
      </w:pPr>
      <w:r w:rsidRPr="00B36512">
        <w:rPr>
          <w:bCs/>
        </w:rPr>
        <w:t>Unit 33</w:t>
      </w:r>
    </w:p>
    <w:p w14:paraId="24E4CB78" w14:textId="77777777" w:rsidR="00B36512" w:rsidRPr="00B36512" w:rsidRDefault="00B36512" w:rsidP="00B36512">
      <w:pPr>
        <w:rPr>
          <w:bCs/>
        </w:rPr>
      </w:pPr>
      <w:bookmarkStart w:id="0" w:name="_GoBack"/>
      <w:bookmarkEnd w:id="0"/>
      <w:r w:rsidRPr="00B36512">
        <w:rPr>
          <w:bCs/>
        </w:rPr>
        <w:t>Multicomponent output with contextualised information</w:t>
      </w:r>
    </w:p>
    <w:p w14:paraId="5D6E74A9" w14:textId="77777777" w:rsidR="00B36512" w:rsidRDefault="00B36512" w:rsidP="00B36512">
      <w:pPr>
        <w:rPr>
          <w:b/>
          <w:bCs/>
          <w:u w:val="single"/>
        </w:rPr>
      </w:pPr>
    </w:p>
    <w:p w14:paraId="17BFA84C" w14:textId="77777777" w:rsidR="00B36512" w:rsidRDefault="00B36512" w:rsidP="00B36512">
      <w:pPr>
        <w:rPr>
          <w:b/>
          <w:bCs/>
          <w:u w:val="single"/>
        </w:rPr>
      </w:pPr>
    </w:p>
    <w:p w14:paraId="04165126" w14:textId="77777777" w:rsidR="00B36512" w:rsidRDefault="00B36512" w:rsidP="00B36512">
      <w:pPr>
        <w:rPr>
          <w:b/>
          <w:bCs/>
          <w:u w:val="single"/>
        </w:rPr>
      </w:pPr>
    </w:p>
    <w:p w14:paraId="23216C78" w14:textId="2EA82814" w:rsidR="00B36512" w:rsidRPr="00B36512" w:rsidRDefault="00B36512" w:rsidP="00B36512">
      <w:r w:rsidRPr="00B36512">
        <w:rPr>
          <w:b/>
          <w:bCs/>
          <w:u w:val="single"/>
        </w:rPr>
        <w:t xml:space="preserve">Contextual Information </w:t>
      </w:r>
    </w:p>
    <w:p w14:paraId="544AFC14" w14:textId="2828C950" w:rsidR="00B36512" w:rsidRDefault="00B36512" w:rsidP="00B36512">
      <w:r w:rsidRPr="00B36512">
        <w:t xml:space="preserve">This research examines the relationship between walking and writing and asks: </w:t>
      </w:r>
    </w:p>
    <w:p w14:paraId="3FBFDCCD" w14:textId="77777777" w:rsidR="00FB0CB9" w:rsidRPr="00B36512" w:rsidRDefault="00FB0CB9" w:rsidP="00B36512"/>
    <w:p w14:paraId="5BB565DA" w14:textId="55A19D47" w:rsidR="00B36512" w:rsidRPr="00B36512" w:rsidRDefault="00B36512" w:rsidP="00B36512">
      <w:r w:rsidRPr="00B36512">
        <w:rPr>
          <w:i/>
          <w:iCs/>
        </w:rPr>
        <w:t>How might walking experiences be scored creatively on a page for others to explore</w:t>
      </w:r>
      <w:r w:rsidR="00FB0CB9">
        <w:rPr>
          <w:i/>
          <w:iCs/>
        </w:rPr>
        <w:t xml:space="preserve">? </w:t>
      </w:r>
    </w:p>
    <w:p w14:paraId="59114D30" w14:textId="77777777" w:rsidR="00B36512" w:rsidRPr="00B36512" w:rsidRDefault="00B36512" w:rsidP="00B36512">
      <w:r w:rsidRPr="00B36512">
        <w:t> </w:t>
      </w:r>
    </w:p>
    <w:p w14:paraId="07CB00FC" w14:textId="77777777" w:rsidR="00B36512" w:rsidRPr="00B36512" w:rsidRDefault="00B36512" w:rsidP="00B36512">
      <w:r w:rsidRPr="00B36512">
        <w:rPr>
          <w:i/>
          <w:iCs/>
        </w:rPr>
        <w:t>How might that score develop from embodied intervention?</w:t>
      </w:r>
    </w:p>
    <w:p w14:paraId="11F16F29" w14:textId="77777777" w:rsidR="00B36512" w:rsidRPr="00B36512" w:rsidRDefault="00B36512" w:rsidP="00B36512">
      <w:r w:rsidRPr="00B36512">
        <w:t> </w:t>
      </w:r>
    </w:p>
    <w:p w14:paraId="7642206E" w14:textId="77777777" w:rsidR="00B36512" w:rsidRPr="00B36512" w:rsidRDefault="00B36512" w:rsidP="00B36512">
      <w:r w:rsidRPr="00B36512">
        <w:t> </w:t>
      </w:r>
    </w:p>
    <w:p w14:paraId="61E30010" w14:textId="4A4550BD" w:rsidR="00B36512" w:rsidRPr="00B36512" w:rsidRDefault="00B36512" w:rsidP="00B36512">
      <w:r w:rsidRPr="00B36512">
        <w:t>Drawing upon the traditions of the Fluxus movement, where instructions are scored performance, I developed a new concept through my practice in walking arts and named it the Wander Score. Collaborating with Clare Qualmann, I observed there was a lack of aesthetic consideration between performance</w:t>
      </w:r>
      <w:r w:rsidR="00FB0CB9">
        <w:t xml:space="preserve">, </w:t>
      </w:r>
      <w:r w:rsidRPr="00B36512">
        <w:t xml:space="preserve">writing and walking.   </w:t>
      </w:r>
    </w:p>
    <w:p w14:paraId="5C86596D" w14:textId="603733A8" w:rsidR="00B36512" w:rsidRPr="00B36512" w:rsidRDefault="00B36512" w:rsidP="00B36512">
      <w:r w:rsidRPr="00B36512">
        <w:t>The Wander score invites an artist to mark a page creatively, directly from their own experience of walking and</w:t>
      </w:r>
      <w:r w:rsidR="00FB0CB9">
        <w:t>,</w:t>
      </w:r>
      <w:r w:rsidRPr="00B36512">
        <w:t xml:space="preserve"> for others to explore that walk in their own way, or place/space.</w:t>
      </w:r>
    </w:p>
    <w:p w14:paraId="29218EDA" w14:textId="77777777" w:rsidR="00B36512" w:rsidRPr="00B36512" w:rsidRDefault="00B36512" w:rsidP="00B36512">
      <w:r w:rsidRPr="00B36512">
        <w:t xml:space="preserve"> </w:t>
      </w:r>
    </w:p>
    <w:p w14:paraId="07721C63" w14:textId="77777777" w:rsidR="00B36512" w:rsidRPr="00B36512" w:rsidRDefault="00B36512" w:rsidP="00B36512">
      <w:r w:rsidRPr="00B36512">
        <w:t xml:space="preserve">Artists were given strict limitations to design a one-page maximum score. The limitation proved insightful; paradoxically, freedom of expression was illustrated producing varied artistic styles and inventive proposals for new ways of engaging with walking. </w:t>
      </w:r>
    </w:p>
    <w:p w14:paraId="3FB7B79D" w14:textId="77777777" w:rsidR="00B36512" w:rsidRPr="00B36512" w:rsidRDefault="00B36512" w:rsidP="00B36512">
      <w:r w:rsidRPr="00B36512">
        <w:t> </w:t>
      </w:r>
    </w:p>
    <w:p w14:paraId="060BDDFA" w14:textId="77777777" w:rsidR="00B36512" w:rsidRPr="00B36512" w:rsidRDefault="00B36512" w:rsidP="00B36512">
      <w:r w:rsidRPr="00B36512">
        <w:t>In workshop practice at Tate Modern with Qualmann, we walked ‘with’ the artworks as an embodied intervention. With participants, we traced the experiences of walking the gallery in situ with a painting. For example, we studied the architecture of Mehretu’s palimpsest painting ‘Mogamma Part 3’, by following the lines of the artwork and tracing them through, by mimicking the layers of her painting. Participants walked the artwork as if it were a score for movement; and interpreted it physically matching colour to a gesture. This experience was then translated onto a page as a drawing, set of instructions, or, as a map. We found this translation task did more than document the experience but initiate a practice for developing Wander Scores. Participants therefore, learnt how to compose scores with autonomous expression.</w:t>
      </w:r>
    </w:p>
    <w:p w14:paraId="104F6E6E" w14:textId="77777777" w:rsidR="00B36512" w:rsidRPr="00B36512" w:rsidRDefault="00B36512" w:rsidP="00B36512">
      <w:r w:rsidRPr="00B36512">
        <w:t>The Wander Score’s compositional and visual arrangement is open to interpretation; connecting an artists’ work to a wanderer’s experience.</w:t>
      </w:r>
    </w:p>
    <w:p w14:paraId="201CE4EB" w14:textId="072A9779" w:rsidR="00A102BB" w:rsidRDefault="001A6AA8" w:rsidP="00B36512"/>
    <w:p w14:paraId="0801C0EC" w14:textId="3910914E" w:rsidR="00B36512" w:rsidRPr="00B36512" w:rsidRDefault="00B36512" w:rsidP="00B36512">
      <w:pPr>
        <w:rPr>
          <w:b/>
          <w:color w:val="000000" w:themeColor="text1"/>
          <w:u w:val="single"/>
        </w:rPr>
      </w:pPr>
      <w:r w:rsidRPr="00B36512">
        <w:rPr>
          <w:b/>
          <w:color w:val="000000" w:themeColor="text1"/>
          <w:u w:val="single"/>
        </w:rPr>
        <w:t>Manifestations</w:t>
      </w:r>
    </w:p>
    <w:p w14:paraId="4BA32784" w14:textId="77777777" w:rsidR="00B36512" w:rsidRDefault="00B36512" w:rsidP="00B36512"/>
    <w:p w14:paraId="64D4E7FC" w14:textId="77777777" w:rsidR="00B36512" w:rsidRPr="00B36512" w:rsidRDefault="00B36512" w:rsidP="00B36512">
      <w:r w:rsidRPr="00B36512">
        <w:rPr>
          <w:b/>
          <w:bCs/>
        </w:rPr>
        <w:t>Book Publications:</w:t>
      </w:r>
    </w:p>
    <w:p w14:paraId="56D49C17" w14:textId="77777777" w:rsidR="00B36512" w:rsidRPr="00B36512" w:rsidRDefault="00B36512" w:rsidP="00B36512">
      <w:r w:rsidRPr="00B36512">
        <w:t xml:space="preserve">Hind, Claire &amp; Qualmann, C.  (2015) entitled:  </w:t>
      </w:r>
      <w:r w:rsidRPr="00B36512">
        <w:rPr>
          <w:i/>
          <w:iCs/>
        </w:rPr>
        <w:t>Ways to Wander</w:t>
      </w:r>
      <w:r w:rsidRPr="00B36512">
        <w:t xml:space="preserve"> Triarchy Press</w:t>
      </w:r>
    </w:p>
    <w:p w14:paraId="35750DA0" w14:textId="77777777" w:rsidR="00B36512" w:rsidRPr="00B36512" w:rsidRDefault="00B36512" w:rsidP="00B36512">
      <w:r w:rsidRPr="00B36512">
        <w:t xml:space="preserve">Hind, Claire &amp; Qualmann, C.  (2018) entitled:  </w:t>
      </w:r>
      <w:r w:rsidRPr="00B36512">
        <w:rPr>
          <w:i/>
          <w:iCs/>
        </w:rPr>
        <w:t>Ways to Wander the Gallery</w:t>
      </w:r>
      <w:r w:rsidRPr="00B36512">
        <w:t xml:space="preserve"> Triarchy Press</w:t>
      </w:r>
    </w:p>
    <w:p w14:paraId="7D3618F0" w14:textId="77777777" w:rsidR="00B36512" w:rsidRPr="00B36512" w:rsidRDefault="00B36512" w:rsidP="00B36512"/>
    <w:sectPr w:rsidR="00B36512" w:rsidRPr="00B36512" w:rsidSect="00155B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2"/>
    <w:rsid w:val="00155B2C"/>
    <w:rsid w:val="001A6AA8"/>
    <w:rsid w:val="00293599"/>
    <w:rsid w:val="00912580"/>
    <w:rsid w:val="00B36512"/>
    <w:rsid w:val="00DA263B"/>
    <w:rsid w:val="00FB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62C5"/>
  <w14:defaultImageDpi w14:val="32767"/>
  <w15:chartTrackingRefBased/>
  <w15:docId w15:val="{99574777-291C-9C48-B1D1-051FE782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08862">
      <w:bodyDiv w:val="1"/>
      <w:marLeft w:val="0"/>
      <w:marRight w:val="0"/>
      <w:marTop w:val="0"/>
      <w:marBottom w:val="0"/>
      <w:divBdr>
        <w:top w:val="none" w:sz="0" w:space="0" w:color="auto"/>
        <w:left w:val="none" w:sz="0" w:space="0" w:color="auto"/>
        <w:bottom w:val="none" w:sz="0" w:space="0" w:color="auto"/>
        <w:right w:val="none" w:sz="0" w:space="0" w:color="auto"/>
      </w:divBdr>
    </w:div>
    <w:div w:id="1388070655">
      <w:bodyDiv w:val="1"/>
      <w:marLeft w:val="0"/>
      <w:marRight w:val="0"/>
      <w:marTop w:val="0"/>
      <w:marBottom w:val="0"/>
      <w:divBdr>
        <w:top w:val="none" w:sz="0" w:space="0" w:color="auto"/>
        <w:left w:val="none" w:sz="0" w:space="0" w:color="auto"/>
        <w:bottom w:val="none" w:sz="0" w:space="0" w:color="auto"/>
        <w:right w:val="none" w:sz="0" w:space="0" w:color="auto"/>
      </w:divBdr>
    </w:div>
    <w:div w:id="19668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Ruth Mardall (R.Mardall)</cp:lastModifiedBy>
  <cp:revision>2</cp:revision>
  <dcterms:created xsi:type="dcterms:W3CDTF">2020-05-20T09:33:00Z</dcterms:created>
  <dcterms:modified xsi:type="dcterms:W3CDTF">2020-05-20T09:33:00Z</dcterms:modified>
</cp:coreProperties>
</file>