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E5CC8" w14:textId="77777777" w:rsidR="00563CFC" w:rsidRPr="006076FC" w:rsidRDefault="00563CFC" w:rsidP="00B77E38">
      <w:pPr>
        <w:pStyle w:val="MDPI11articletype"/>
        <w:rPr>
          <w:lang w:val="en-GB"/>
        </w:rPr>
      </w:pPr>
      <w:r w:rsidRPr="006076FC">
        <w:rPr>
          <w:lang w:val="en-GB"/>
        </w:rPr>
        <w:t>Article</w:t>
      </w:r>
    </w:p>
    <w:p w14:paraId="285A7006" w14:textId="77777777" w:rsidR="00563CFC" w:rsidRPr="00E50D6C" w:rsidRDefault="00563CFC" w:rsidP="00B77E38">
      <w:pPr>
        <w:pStyle w:val="MDPI12title"/>
        <w:spacing w:line="240" w:lineRule="atLeast"/>
        <w:rPr>
          <w:lang w:val="en-GB"/>
        </w:rPr>
      </w:pPr>
      <w:r w:rsidRPr="006076FC">
        <w:rPr>
          <w:lang w:val="en-GB"/>
        </w:rPr>
        <w:t>Using an e-</w:t>
      </w:r>
      <w:r w:rsidR="00B77E38" w:rsidRPr="006076FC">
        <w:rPr>
          <w:lang w:val="en-GB"/>
        </w:rPr>
        <w:t xml:space="preserve">Health Intervention </w:t>
      </w:r>
      <w:r w:rsidRPr="006076FC">
        <w:rPr>
          <w:lang w:val="en-GB"/>
        </w:rPr>
        <w:t xml:space="preserve">to </w:t>
      </w:r>
      <w:r w:rsidR="00B77E38" w:rsidRPr="006076FC">
        <w:rPr>
          <w:lang w:val="en-GB"/>
        </w:rPr>
        <w:t xml:space="preserve">Reduce Prolonged </w:t>
      </w:r>
      <w:r w:rsidR="00B77E38" w:rsidRPr="00E50D6C">
        <w:rPr>
          <w:lang w:val="en-GB"/>
        </w:rPr>
        <w:t xml:space="preserve">Sitting </w:t>
      </w:r>
      <w:r w:rsidRPr="00E50D6C">
        <w:rPr>
          <w:lang w:val="en-GB"/>
        </w:rPr>
        <w:t xml:space="preserve">in UK </w:t>
      </w:r>
      <w:r w:rsidR="00B77E38" w:rsidRPr="00E50D6C">
        <w:rPr>
          <w:lang w:val="en-GB"/>
        </w:rPr>
        <w:t xml:space="preserve">Office Workers: A Randomised Acceptability </w:t>
      </w:r>
      <w:r w:rsidRPr="00E50D6C">
        <w:rPr>
          <w:lang w:val="en-GB"/>
        </w:rPr>
        <w:t xml:space="preserve">and </w:t>
      </w:r>
      <w:r w:rsidR="00B77E38" w:rsidRPr="00E50D6C">
        <w:rPr>
          <w:lang w:val="en-GB"/>
        </w:rPr>
        <w:t>Feasibility Study</w:t>
      </w:r>
    </w:p>
    <w:p w14:paraId="30886A53" w14:textId="77777777" w:rsidR="00563CFC" w:rsidRPr="00E50D6C" w:rsidRDefault="00563CFC" w:rsidP="00B77E38">
      <w:pPr>
        <w:pStyle w:val="MDPI13authornames"/>
        <w:rPr>
          <w:lang w:val="en-GB"/>
        </w:rPr>
      </w:pPr>
      <w:r w:rsidRPr="00E50D6C">
        <w:rPr>
          <w:lang w:val="en-GB"/>
        </w:rPr>
        <w:t xml:space="preserve">Sophie E Carter </w:t>
      </w:r>
      <w:r w:rsidRPr="00E50D6C">
        <w:rPr>
          <w:vertAlign w:val="superscript"/>
          <w:lang w:val="en-GB"/>
        </w:rPr>
        <w:t>1,</w:t>
      </w:r>
      <w:proofErr w:type="gramStart"/>
      <w:r w:rsidRPr="00E50D6C">
        <w:rPr>
          <w:vertAlign w:val="superscript"/>
          <w:lang w:val="en-GB"/>
        </w:rPr>
        <w:t>2</w:t>
      </w:r>
      <w:r w:rsidR="00B77E38" w:rsidRPr="00E50D6C">
        <w:rPr>
          <w:vertAlign w:val="superscript"/>
          <w:lang w:val="en-GB"/>
        </w:rPr>
        <w:t>,</w:t>
      </w:r>
      <w:r w:rsidRPr="00E50D6C">
        <w:rPr>
          <w:lang w:val="en-GB"/>
        </w:rPr>
        <w:t>*</w:t>
      </w:r>
      <w:proofErr w:type="gramEnd"/>
      <w:r w:rsidRPr="00E50D6C">
        <w:rPr>
          <w:lang w:val="en-GB"/>
        </w:rPr>
        <w:t xml:space="preserve">, Richard Draijer </w:t>
      </w:r>
      <w:r w:rsidRPr="00E50D6C">
        <w:rPr>
          <w:vertAlign w:val="superscript"/>
          <w:lang w:val="en-GB"/>
        </w:rPr>
        <w:t>3</w:t>
      </w:r>
      <w:r w:rsidRPr="00E50D6C">
        <w:rPr>
          <w:lang w:val="en-GB"/>
        </w:rPr>
        <w:t xml:space="preserve">, Joseph D Maxwell </w:t>
      </w:r>
      <w:r w:rsidRPr="00E50D6C">
        <w:rPr>
          <w:vertAlign w:val="superscript"/>
          <w:lang w:val="en-GB"/>
        </w:rPr>
        <w:t>1</w:t>
      </w:r>
      <w:r w:rsidRPr="00E50D6C">
        <w:rPr>
          <w:lang w:val="en-GB"/>
        </w:rPr>
        <w:t xml:space="preserve">, Abigail S Morris </w:t>
      </w:r>
      <w:r w:rsidRPr="00E50D6C">
        <w:rPr>
          <w:vertAlign w:val="superscript"/>
          <w:lang w:val="en-GB"/>
        </w:rPr>
        <w:t>4</w:t>
      </w:r>
      <w:r w:rsidRPr="00E50D6C">
        <w:rPr>
          <w:lang w:val="en-GB"/>
        </w:rPr>
        <w:t xml:space="preserve">, Scott J Pedersen </w:t>
      </w:r>
      <w:r w:rsidRPr="00E50D6C">
        <w:rPr>
          <w:vertAlign w:val="superscript"/>
          <w:lang w:val="en-GB"/>
        </w:rPr>
        <w:t>5</w:t>
      </w:r>
      <w:r w:rsidRPr="00E50D6C">
        <w:rPr>
          <w:lang w:val="en-GB"/>
        </w:rPr>
        <w:t xml:space="preserve">, Lee E F Graves </w:t>
      </w:r>
      <w:r w:rsidRPr="00E50D6C">
        <w:rPr>
          <w:vertAlign w:val="superscript"/>
          <w:lang w:val="en-GB"/>
        </w:rPr>
        <w:t>1</w:t>
      </w:r>
      <w:r w:rsidRPr="00E50D6C">
        <w:rPr>
          <w:lang w:val="en-GB"/>
        </w:rPr>
        <w:t xml:space="preserve">, Dick H J Thijssen </w:t>
      </w:r>
      <w:r w:rsidRPr="00E50D6C">
        <w:rPr>
          <w:vertAlign w:val="superscript"/>
          <w:lang w:val="en-GB"/>
        </w:rPr>
        <w:t>1,6</w:t>
      </w:r>
      <w:r w:rsidRPr="00E50D6C">
        <w:rPr>
          <w:lang w:val="en-GB"/>
        </w:rPr>
        <w:t xml:space="preserve"> and Nicola D Hopkins </w:t>
      </w:r>
      <w:r w:rsidRPr="00E50D6C">
        <w:rPr>
          <w:vertAlign w:val="superscript"/>
          <w:lang w:val="en-GB"/>
        </w:rPr>
        <w:t>1</w:t>
      </w:r>
    </w:p>
    <w:p w14:paraId="7C63CB50" w14:textId="5788C1FE" w:rsidR="00563CFC" w:rsidRPr="00E50D6C" w:rsidRDefault="00563CFC" w:rsidP="00B77E38">
      <w:pPr>
        <w:pStyle w:val="MDPI16affiliation"/>
        <w:rPr>
          <w:rFonts w:eastAsiaTheme="minorEastAsia"/>
          <w:lang w:val="en-GB" w:eastAsia="zh-CN"/>
        </w:rPr>
      </w:pPr>
      <w:r w:rsidRPr="00E50D6C">
        <w:rPr>
          <w:vertAlign w:val="superscript"/>
          <w:lang w:val="en-GB"/>
        </w:rPr>
        <w:t>1</w:t>
      </w:r>
      <w:r w:rsidR="00B77E38" w:rsidRPr="00E50D6C">
        <w:rPr>
          <w:lang w:val="en-GB"/>
        </w:rPr>
        <w:tab/>
      </w:r>
      <w:r w:rsidRPr="00E50D6C">
        <w:rPr>
          <w:lang w:val="en-GB"/>
        </w:rPr>
        <w:t xml:space="preserve">Research Institute for Sport and Exercise Sciences, Liverpool John </w:t>
      </w:r>
      <w:proofErr w:type="spellStart"/>
      <w:r w:rsidRPr="00E50D6C">
        <w:rPr>
          <w:lang w:val="en-GB"/>
        </w:rPr>
        <w:t>Moores</w:t>
      </w:r>
      <w:proofErr w:type="spellEnd"/>
      <w:r w:rsidRPr="00E50D6C">
        <w:rPr>
          <w:lang w:val="en-GB"/>
        </w:rPr>
        <w:t xml:space="preserve"> University</w:t>
      </w:r>
      <w:r w:rsidRPr="00E50D6C">
        <w:rPr>
          <w:lang w:val="en-GB"/>
        </w:rPr>
        <w:t xml:space="preserve">, </w:t>
      </w:r>
      <w:r w:rsidR="00344F13" w:rsidRPr="00E50D6C">
        <w:rPr>
          <w:lang w:val="en-GB"/>
        </w:rPr>
        <w:t xml:space="preserve">Liverpool, L3 3AF, </w:t>
      </w:r>
      <w:r w:rsidR="00B77E38" w:rsidRPr="00E50D6C">
        <w:rPr>
          <w:lang w:val="en-GB"/>
        </w:rPr>
        <w:t>UK</w:t>
      </w:r>
      <w:r w:rsidR="009C7669" w:rsidRPr="00E50D6C">
        <w:rPr>
          <w:lang w:val="en-GB"/>
        </w:rPr>
        <w:t>; jmaxwell1@live.co.uk (J.D.M.); L.E.Graves@ljmu.ac.uk (L.E.F.G.); D.Thijssen@ljmu.ac.uk (D.H.J.T.); n.d.hopkins@ljmu.ac.uk (N.D.H.)</w:t>
      </w:r>
    </w:p>
    <w:p w14:paraId="1B7BC21D" w14:textId="7A5E472E" w:rsidR="00563CFC" w:rsidRPr="00E50D6C" w:rsidRDefault="00563CFC" w:rsidP="00B77E38">
      <w:pPr>
        <w:pStyle w:val="MDPI16affiliation"/>
        <w:rPr>
          <w:rFonts w:eastAsia="Calibri"/>
          <w:lang w:val="en-GB"/>
        </w:rPr>
      </w:pPr>
      <w:r w:rsidRPr="00E50D6C">
        <w:rPr>
          <w:vertAlign w:val="superscript"/>
          <w:lang w:val="en-GB"/>
        </w:rPr>
        <w:t>2</w:t>
      </w:r>
      <w:r w:rsidR="00B77E38" w:rsidRPr="00E50D6C">
        <w:rPr>
          <w:rFonts w:eastAsia="Calibri"/>
          <w:lang w:val="en-GB"/>
        </w:rPr>
        <w:tab/>
      </w:r>
      <w:r w:rsidRPr="00E50D6C">
        <w:rPr>
          <w:rFonts w:eastAsia="Calibri"/>
          <w:lang w:val="en-GB"/>
        </w:rPr>
        <w:t xml:space="preserve">School of Science, Technology and Health, York St John University, York, </w:t>
      </w:r>
      <w:r w:rsidR="00344F13" w:rsidRPr="00E50D6C">
        <w:rPr>
          <w:rFonts w:eastAsia="Calibri"/>
          <w:lang w:val="en-GB"/>
        </w:rPr>
        <w:t xml:space="preserve">YO31 8TA, </w:t>
      </w:r>
      <w:r w:rsidR="00B77E38" w:rsidRPr="00E50D6C">
        <w:rPr>
          <w:lang w:val="en-GB"/>
        </w:rPr>
        <w:t>UK</w:t>
      </w:r>
    </w:p>
    <w:p w14:paraId="75D2845C" w14:textId="77777777" w:rsidR="00563CFC" w:rsidRPr="00E50D6C" w:rsidRDefault="00563CFC" w:rsidP="00B77E38">
      <w:pPr>
        <w:pStyle w:val="MDPI16affiliation"/>
        <w:rPr>
          <w:rFonts w:eastAsia="Calibri"/>
          <w:lang w:val="en-GB"/>
        </w:rPr>
      </w:pPr>
      <w:r w:rsidRPr="00E50D6C">
        <w:rPr>
          <w:vertAlign w:val="superscript"/>
          <w:lang w:val="en-GB"/>
        </w:rPr>
        <w:t>3</w:t>
      </w:r>
      <w:r w:rsidR="00B77E38" w:rsidRPr="00E50D6C">
        <w:rPr>
          <w:lang w:val="en-GB"/>
        </w:rPr>
        <w:tab/>
      </w:r>
      <w:r w:rsidRPr="00E50D6C">
        <w:rPr>
          <w:lang w:val="en-GB"/>
        </w:rPr>
        <w:t>Unilever Foods Innovation Centre, Wageningen, The Netherlands</w:t>
      </w:r>
      <w:r w:rsidR="009C7669" w:rsidRPr="00E50D6C">
        <w:rPr>
          <w:lang w:val="en-GB"/>
        </w:rPr>
        <w:t>; richard.draijer@unilever.com</w:t>
      </w:r>
    </w:p>
    <w:p w14:paraId="282CB59C" w14:textId="6CBA9401" w:rsidR="00563CFC" w:rsidRPr="00E50D6C" w:rsidRDefault="00563CFC" w:rsidP="00B77E38">
      <w:pPr>
        <w:pStyle w:val="MDPI16affiliation"/>
        <w:rPr>
          <w:lang w:val="en-GB"/>
        </w:rPr>
      </w:pPr>
      <w:r w:rsidRPr="00E50D6C">
        <w:rPr>
          <w:vertAlign w:val="superscript"/>
          <w:lang w:val="en-GB"/>
        </w:rPr>
        <w:t>4</w:t>
      </w:r>
      <w:r w:rsidR="00B77E38" w:rsidRPr="00E50D6C">
        <w:rPr>
          <w:lang w:val="en-GB"/>
        </w:rPr>
        <w:tab/>
      </w:r>
      <w:r w:rsidRPr="00E50D6C">
        <w:rPr>
          <w:lang w:val="en-GB"/>
        </w:rPr>
        <w:t xml:space="preserve">Department of Health Research, Lancaster University, </w:t>
      </w:r>
      <w:r w:rsidR="0071277E" w:rsidRPr="00E50D6C">
        <w:rPr>
          <w:lang w:val="en-GB"/>
        </w:rPr>
        <w:t xml:space="preserve">Lancaster, LA1 4YW, </w:t>
      </w:r>
      <w:r w:rsidR="00B77E38" w:rsidRPr="00E50D6C">
        <w:rPr>
          <w:lang w:val="en-GB"/>
        </w:rPr>
        <w:t>UK</w:t>
      </w:r>
      <w:r w:rsidR="009C7669" w:rsidRPr="00E50D6C">
        <w:rPr>
          <w:lang w:val="en-GB"/>
        </w:rPr>
        <w:t>; a.morris7@lancaster.ac.uk</w:t>
      </w:r>
    </w:p>
    <w:p w14:paraId="563FE2A2" w14:textId="4981E277" w:rsidR="00563CFC" w:rsidRPr="00E50D6C" w:rsidRDefault="00563CFC" w:rsidP="00B77E38">
      <w:pPr>
        <w:pStyle w:val="MDPI16affiliation"/>
        <w:rPr>
          <w:lang w:val="en-GB"/>
        </w:rPr>
      </w:pPr>
      <w:r w:rsidRPr="00E50D6C">
        <w:rPr>
          <w:rStyle w:val="normaltextrun"/>
          <w:vertAlign w:val="superscript"/>
          <w:lang w:val="en-GB"/>
        </w:rPr>
        <w:t>5</w:t>
      </w:r>
      <w:r w:rsidR="00B77E38" w:rsidRPr="00E50D6C">
        <w:rPr>
          <w:rStyle w:val="normaltextrun"/>
          <w:lang w:val="en-GB"/>
        </w:rPr>
        <w:tab/>
      </w:r>
      <w:r w:rsidRPr="00E50D6C">
        <w:rPr>
          <w:rStyle w:val="normaltextrun"/>
          <w:lang w:val="en-GB"/>
        </w:rPr>
        <w:t xml:space="preserve">Active Work Laboratory, School of Education, University of Tasmania, Launceston, </w:t>
      </w:r>
      <w:r w:rsidR="00344F13" w:rsidRPr="00E50D6C">
        <w:rPr>
          <w:rStyle w:val="normaltextrun"/>
          <w:lang w:val="en-GB"/>
        </w:rPr>
        <w:t xml:space="preserve">7250, </w:t>
      </w:r>
      <w:r w:rsidRPr="00E50D6C">
        <w:rPr>
          <w:rStyle w:val="normaltextrun"/>
          <w:lang w:val="en-GB"/>
        </w:rPr>
        <w:t>Australia</w:t>
      </w:r>
      <w:r w:rsidR="009C7669" w:rsidRPr="00E50D6C">
        <w:rPr>
          <w:rStyle w:val="normaltextrun"/>
          <w:lang w:val="en-GB"/>
        </w:rPr>
        <w:t>; scott.pedersen@utas.edu.au</w:t>
      </w:r>
    </w:p>
    <w:p w14:paraId="6BE64D32" w14:textId="38C031F6" w:rsidR="00563CFC" w:rsidRPr="00E50D6C" w:rsidRDefault="00563CFC" w:rsidP="00B77E38">
      <w:pPr>
        <w:pStyle w:val="MDPI16affiliation"/>
        <w:rPr>
          <w:lang w:val="en-GB"/>
        </w:rPr>
      </w:pPr>
      <w:r w:rsidRPr="00E50D6C">
        <w:rPr>
          <w:vertAlign w:val="superscript"/>
          <w:lang w:val="en-GB"/>
        </w:rPr>
        <w:t>6</w:t>
      </w:r>
      <w:r w:rsidR="00B77E38" w:rsidRPr="00E50D6C">
        <w:rPr>
          <w:lang w:val="en-GB"/>
        </w:rPr>
        <w:tab/>
        <w:t xml:space="preserve">Department of Physiology, </w:t>
      </w:r>
      <w:r w:rsidRPr="00E50D6C">
        <w:rPr>
          <w:lang w:val="en-GB"/>
        </w:rPr>
        <w:t xml:space="preserve">Radboud Institute for Health Sciences, Radboud University Medical </w:t>
      </w:r>
      <w:proofErr w:type="spellStart"/>
      <w:r w:rsidRPr="00E50D6C">
        <w:rPr>
          <w:lang w:val="en-GB"/>
        </w:rPr>
        <w:t>Center</w:t>
      </w:r>
      <w:proofErr w:type="spellEnd"/>
      <w:r w:rsidRPr="00E50D6C">
        <w:rPr>
          <w:lang w:val="en-GB"/>
        </w:rPr>
        <w:t xml:space="preserve">, </w:t>
      </w:r>
      <w:r w:rsidR="00212E99" w:rsidRPr="00E50D6C">
        <w:rPr>
          <w:lang w:val="en-GB"/>
        </w:rPr>
        <w:t xml:space="preserve">PO Box 9101, 6500 HB, Nijmegen, </w:t>
      </w:r>
      <w:r w:rsidRPr="00E50D6C">
        <w:rPr>
          <w:lang w:val="en-GB"/>
        </w:rPr>
        <w:t>The Netherlands</w:t>
      </w:r>
    </w:p>
    <w:p w14:paraId="7D2C6A07" w14:textId="322B776A" w:rsidR="00563CFC" w:rsidRPr="006076FC" w:rsidRDefault="00B77E38" w:rsidP="00B77E38">
      <w:pPr>
        <w:pStyle w:val="MDPI16affiliation"/>
        <w:rPr>
          <w:lang w:val="en-GB"/>
        </w:rPr>
      </w:pPr>
      <w:r w:rsidRPr="00E50D6C">
        <w:rPr>
          <w:b/>
          <w:lang w:val="en-GB"/>
        </w:rPr>
        <w:t>*</w:t>
      </w:r>
      <w:r w:rsidRPr="00E50D6C">
        <w:rPr>
          <w:lang w:val="en-GB"/>
        </w:rPr>
        <w:tab/>
        <w:t>Correspondence: s.carter@yorksj.ac.uk; Tel.:</w:t>
      </w:r>
      <w:r w:rsidR="00563CFC" w:rsidRPr="00E50D6C">
        <w:rPr>
          <w:lang w:val="en-GB"/>
        </w:rPr>
        <w:t xml:space="preserve"> </w:t>
      </w:r>
      <w:r w:rsidR="00593F78" w:rsidRPr="00E50D6C">
        <w:rPr>
          <w:lang w:val="en-GB"/>
        </w:rPr>
        <w:t>+</w:t>
      </w:r>
      <w:r w:rsidR="00563CFC" w:rsidRPr="00E50D6C">
        <w:rPr>
          <w:lang w:val="en-GB"/>
        </w:rPr>
        <w:t>1904</w:t>
      </w:r>
      <w:r w:rsidRPr="00E50D6C">
        <w:rPr>
          <w:lang w:val="en-GB"/>
        </w:rPr>
        <w:t>-</w:t>
      </w:r>
      <w:r w:rsidR="00563CFC" w:rsidRPr="00E50D6C">
        <w:rPr>
          <w:lang w:val="en-GB"/>
        </w:rPr>
        <w:t>876207</w:t>
      </w:r>
    </w:p>
    <w:p w14:paraId="2BEC79EB" w14:textId="2B71A357" w:rsidR="00563CFC" w:rsidRPr="006076FC" w:rsidRDefault="00563CFC" w:rsidP="00B77E38">
      <w:pPr>
        <w:pStyle w:val="MDPI14history"/>
        <w:rPr>
          <w:lang w:val="en-GB"/>
        </w:rPr>
      </w:pPr>
      <w:r w:rsidRPr="006076FC">
        <w:rPr>
          <w:lang w:val="en-GB"/>
        </w:rPr>
        <w:t xml:space="preserve">Received: </w:t>
      </w:r>
      <w:r w:rsidR="00EA56EE">
        <w:t>24 August 2020</w:t>
      </w:r>
      <w:r w:rsidRPr="006076FC">
        <w:rPr>
          <w:lang w:val="en-GB"/>
        </w:rPr>
        <w:t xml:space="preserve">; Accepted: </w:t>
      </w:r>
      <w:r w:rsidR="00EA56EE">
        <w:t>27 November 2020</w:t>
      </w:r>
      <w:r w:rsidRPr="006076FC">
        <w:rPr>
          <w:lang w:val="en-GB"/>
        </w:rPr>
        <w:t>; Published: date</w:t>
      </w:r>
    </w:p>
    <w:p w14:paraId="2A0DEB16" w14:textId="38A5B6D2" w:rsidR="00563CFC" w:rsidRPr="006076FC" w:rsidRDefault="00563CFC" w:rsidP="00B77E38">
      <w:pPr>
        <w:pStyle w:val="MDPI17abstract"/>
        <w:rPr>
          <w:lang w:val="en-GB"/>
        </w:rPr>
      </w:pPr>
      <w:r w:rsidRPr="006076FC">
        <w:rPr>
          <w:b/>
          <w:lang w:val="en-GB"/>
        </w:rPr>
        <w:t xml:space="preserve">Abstract: </w:t>
      </w:r>
      <w:r w:rsidRPr="006076FC">
        <w:rPr>
          <w:lang w:val="en-GB"/>
        </w:rPr>
        <w:t xml:space="preserve">Low-cost workplace interventions are required to reduce prolonged sitting in office workers as this may improve employees’ health and </w:t>
      </w:r>
      <w:r w:rsidR="00837C44">
        <w:rPr>
          <w:lang w:val="en-GB"/>
        </w:rPr>
        <w:t>well-being</w:t>
      </w:r>
      <w:r w:rsidRPr="006076FC">
        <w:rPr>
          <w:lang w:val="en-GB"/>
        </w:rPr>
        <w:t>. This study aimed to assess the acceptability and feasibility of an e-health intervention to reduce prolonged sitting among sedentary UK-based office workers. Secondary aims were to describe preliminary changes in employee health, mood and work productivity after using an e-health intervention. Healthy, university office workers (n</w:t>
      </w:r>
      <w:r w:rsidR="00B77E38" w:rsidRPr="006076FC">
        <w:rPr>
          <w:lang w:val="en-GB"/>
        </w:rPr>
        <w:t xml:space="preserve"> </w:t>
      </w:r>
      <w:r w:rsidRPr="006076FC">
        <w:rPr>
          <w:lang w:val="en-GB"/>
        </w:rPr>
        <w:t>=</w:t>
      </w:r>
      <w:r w:rsidR="00B77E38" w:rsidRPr="006076FC">
        <w:rPr>
          <w:lang w:val="en-GB"/>
        </w:rPr>
        <w:t xml:space="preserve"> </w:t>
      </w:r>
      <w:r w:rsidRPr="006076FC">
        <w:rPr>
          <w:lang w:val="en-GB"/>
        </w:rPr>
        <w:t xml:space="preserve">14) completed </w:t>
      </w:r>
      <w:r w:rsidR="006C4E48">
        <w:rPr>
          <w:lang w:val="en-GB"/>
        </w:rPr>
        <w:t>this</w:t>
      </w:r>
      <w:r w:rsidR="006C4E48" w:rsidRPr="006076FC">
        <w:rPr>
          <w:lang w:val="en-GB"/>
        </w:rPr>
        <w:t xml:space="preserve"> </w:t>
      </w:r>
      <w:r w:rsidRPr="006076FC">
        <w:rPr>
          <w:lang w:val="en-GB"/>
        </w:rPr>
        <w:t xml:space="preserve">study. An </w:t>
      </w:r>
      <w:proofErr w:type="gramStart"/>
      <w:r w:rsidR="00756DBF">
        <w:rPr>
          <w:lang w:val="en-GB"/>
        </w:rPr>
        <w:t>8 week</w:t>
      </w:r>
      <w:proofErr w:type="gramEnd"/>
      <w:r w:rsidRPr="006076FC">
        <w:rPr>
          <w:lang w:val="en-GB"/>
        </w:rPr>
        <w:t xml:space="preserve"> randomised crossover design was used, consisting of two trials: Intervention (computer-based prompts) and Control. Eligibility and retention rates were recorded to assess the feasibility of the trial and interviews were conducted following the intervention to explore its acceptability. Sitting, standing and stepping were objectively assessed </w:t>
      </w:r>
      <w:r w:rsidRPr="006076FC">
        <w:rPr>
          <w:lang w:val="en-GB"/>
        </w:rPr>
        <w:t xml:space="preserve">prior to and during week 8 of each </w:t>
      </w:r>
      <w:r w:rsidRPr="006076FC">
        <w:rPr>
          <w:lang w:val="en-GB"/>
        </w:rPr>
        <w:t xml:space="preserve">trial. Before and after each trial, measurements of vascular function, cerebrovascular function, mood and work productivity were obtained. </w:t>
      </w:r>
      <w:r w:rsidR="006C4E48">
        <w:rPr>
          <w:lang w:val="en-GB"/>
        </w:rPr>
        <w:t>This</w:t>
      </w:r>
      <w:r w:rsidR="006C4E48" w:rsidRPr="006076FC">
        <w:rPr>
          <w:lang w:val="en-GB"/>
        </w:rPr>
        <w:t xml:space="preserve"> </w:t>
      </w:r>
      <w:r w:rsidRPr="006076FC">
        <w:rPr>
          <w:lang w:val="en-GB"/>
        </w:rPr>
        <w:t>study had eligibility and retention rate</w:t>
      </w:r>
      <w:r w:rsidR="008102AD">
        <w:rPr>
          <w:lang w:val="en-GB"/>
        </w:rPr>
        <w:t>s</w:t>
      </w:r>
      <w:r w:rsidRPr="006076FC">
        <w:rPr>
          <w:lang w:val="en-GB"/>
        </w:rPr>
        <w:t xml:space="preserve"> of 54.5% and 77.8%, respectively. Participants expressed a lack of autonomy and disruption to their workflow when using the e-health intervention, raising concerns over its acceptability and long-term implementation. Preliminary data indicate</w:t>
      </w:r>
      <w:r w:rsidR="00C9224E" w:rsidRPr="00C9224E">
        <w:rPr>
          <w:lang w:val="en-GB"/>
        </w:rPr>
        <w:t xml:space="preserve"> </w:t>
      </w:r>
      <w:r w:rsidR="00C9224E">
        <w:rPr>
          <w:lang w:val="en-GB"/>
        </w:rPr>
        <w:t>that</w:t>
      </w:r>
      <w:r w:rsidRPr="006076FC">
        <w:rPr>
          <w:lang w:val="en-GB"/>
        </w:rPr>
        <w:t xml:space="preserve"> the intervention may improve the patterning of activity accrued during work hours, with increases in the number of standing and stepping bouts completed, in addition to improving vascular function. This e-health intervention is feasible to deliver in a cohort of university office workers</w:t>
      </w:r>
      <w:r w:rsidR="00E74662">
        <w:rPr>
          <w:lang w:val="en-GB"/>
        </w:rPr>
        <w:t>.</w:t>
      </w:r>
      <w:r w:rsidRPr="006076FC">
        <w:rPr>
          <w:lang w:val="en-GB"/>
        </w:rPr>
        <w:t xml:space="preserve"> </w:t>
      </w:r>
      <w:r w:rsidR="00E74662">
        <w:rPr>
          <w:lang w:val="en-GB"/>
        </w:rPr>
        <w:t>H</w:t>
      </w:r>
      <w:r w:rsidR="00E74662" w:rsidRPr="006076FC">
        <w:rPr>
          <w:lang w:val="en-GB"/>
        </w:rPr>
        <w:t>owever</w:t>
      </w:r>
      <w:r w:rsidRPr="006076FC">
        <w:rPr>
          <w:lang w:val="en-GB"/>
        </w:rPr>
        <w:t>, adaptations to its implementation, such as personalised settings, are needed to increase acceptability before larger trials can be conducted.</w:t>
      </w:r>
    </w:p>
    <w:p w14:paraId="7300861A" w14:textId="2F77FAEC" w:rsidR="00563CFC" w:rsidRPr="006076FC" w:rsidRDefault="00B77E38" w:rsidP="00B77E38">
      <w:pPr>
        <w:pStyle w:val="MDPI18keywords"/>
        <w:rPr>
          <w:lang w:val="en-GB"/>
        </w:rPr>
      </w:pPr>
      <w:r w:rsidRPr="006076FC">
        <w:rPr>
          <w:b/>
          <w:lang w:val="en-GB"/>
        </w:rPr>
        <w:t>Keywords:</w:t>
      </w:r>
      <w:r w:rsidR="00563CFC" w:rsidRPr="006076FC">
        <w:rPr>
          <w:b/>
          <w:lang w:val="en-GB"/>
        </w:rPr>
        <w:t xml:space="preserve"> </w:t>
      </w:r>
      <w:r w:rsidR="00563CFC" w:rsidRPr="006076FC">
        <w:rPr>
          <w:lang w:val="en-GB"/>
        </w:rPr>
        <w:t xml:space="preserve">sedentary </w:t>
      </w:r>
      <w:r w:rsidR="00D22B54" w:rsidRPr="006076FC">
        <w:rPr>
          <w:lang w:val="en-GB"/>
        </w:rPr>
        <w:t>behaviour</w:t>
      </w:r>
      <w:r w:rsidR="00563CFC" w:rsidRPr="006076FC">
        <w:rPr>
          <w:lang w:val="en-GB"/>
        </w:rPr>
        <w:t>; workplace; prompts; cardiovascular health</w:t>
      </w:r>
    </w:p>
    <w:p w14:paraId="76258ED9" w14:textId="77777777" w:rsidR="00563CFC" w:rsidRPr="006076FC" w:rsidRDefault="00563CFC" w:rsidP="00B77E38">
      <w:pPr>
        <w:pStyle w:val="MDPI19line"/>
        <w:pBdr>
          <w:bottom w:val="single" w:sz="4" w:space="1" w:color="000000"/>
        </w:pBdr>
        <w:spacing w:after="480"/>
        <w:rPr>
          <w:lang w:val="en-GB"/>
        </w:rPr>
      </w:pPr>
    </w:p>
    <w:p w14:paraId="19E62155" w14:textId="7AD42745" w:rsidR="00563CFC" w:rsidRPr="006076FC" w:rsidRDefault="008B2AB1" w:rsidP="008B2AB1">
      <w:pPr>
        <w:pStyle w:val="MDPI21heading1"/>
        <w:rPr>
          <w:lang w:val="en-GB"/>
        </w:rPr>
      </w:pPr>
      <w:r w:rsidRPr="006076FC">
        <w:rPr>
          <w:lang w:val="en-GB" w:eastAsia="zh-CN"/>
        </w:rPr>
        <w:t xml:space="preserve">1. </w:t>
      </w:r>
      <w:r w:rsidR="00563CFC" w:rsidRPr="006076FC">
        <w:rPr>
          <w:lang w:val="en-GB"/>
        </w:rPr>
        <w:t>Introduction</w:t>
      </w:r>
    </w:p>
    <w:p w14:paraId="2C996F28" w14:textId="77777777" w:rsidR="00563CFC" w:rsidRPr="006076FC" w:rsidRDefault="00563CFC" w:rsidP="008B2AB1">
      <w:pPr>
        <w:pStyle w:val="MDPI31text"/>
        <w:rPr>
          <w:color w:val="auto"/>
          <w:lang w:val="en-GB" w:eastAsia="en-US"/>
        </w:rPr>
      </w:pPr>
      <w:r w:rsidRPr="006076FC">
        <w:rPr>
          <w:lang w:val="en-GB"/>
        </w:rPr>
        <w:t xml:space="preserve">The workplace is where most employed adults accumulate high amounts of total and prolonged bouts of sedentary behaviour (SB), predominantly by sitting </w:t>
      </w:r>
      <w:r w:rsidRPr="006076FC">
        <w:rPr>
          <w:lang w:val="en-GB"/>
        </w:rPr>
        <w:fldChar w:fldCharType="begin" w:fldLock="1"/>
      </w:r>
      <w:r w:rsidRPr="006076FC">
        <w:rPr>
          <w:lang w:val="en-GB"/>
        </w:rPr>
        <w:instrText>ADDIN CSL_CITATION {"citationItems":[{"id":"ITEM-1","itemData":{"DOI":"10.1186/1471-2458-13-296","ISBN":"1471-2458","ISSN":"1471-2458","PMID":"23557495","abstract":"BACKGROUND: Sedentary time has been found to be independently associated with poor health and mortality. Further, a greater proportion of the workforce is now employed in low activity occupations such as office work. To date, there is no research that specifically examines the contribution of sedentary work to overall sedentary exposure and thus risk. The purpose of the study was to determine the total exposure and exposure pattern for sedentary time, light activity and moderate/vigorous physical activity (MVPA) of office workers during work and non-work time. METHODS: 50 office workers from Perth, Australia wore an Actical (Phillips, Respironics) accelerometer during waking hours for 7 days (in 2008--2009). Participants recorded wear time, waking hours, work hours and daily activities in an activity diary. Time in activity levels (as percentage of wear time) during work and non-work time were analysed using paired t-tests and Pearson's correlations. RESULTS: Sedentary time accounted for 81.8% of work hours (light activity 15.3% and MVPA 2.9%), which was significantly greater than sedentary time during non-work time (68.9% p &lt; 0.001). Office workers experienced significantly more sustained sedentary time (bouts &gt;30 minutes) and significantly less brief duration (0--10 minutes) light intensity activity during work hours compared to non-work time (p &lt; 0.001). Further, office workers had fewer breaks in sedentary time during work hours compared to non-work time (p &lt; 0.001). CONCLUSIONS: Office work is characterised by sustained sedentary time and contributes significantly to overall sedentary exposure of office workers.","author":[{"dropping-particle":"","family":"Parry","given":"Sharon","non-dropping-particle":"","parse-names":false,"suffix":""},{"dropping-particle":"","family":"Straker","given":"Leon","non-dropping-particle":"","parse-names":false,"suffix":""}],"container-title":"BMC public health","id":"ITEM-1","issue":"1","issued":{"date-parts":[["2013"]]},"note":"Australia office workers\n\nMethods- actical accelerometer\n\nResults- work day sedentary time= 11.3 hrs\nnon work day= 9.3hrs \n76% wory day sedentary of which 82% of work hours duirng this day were sedentary \n\n\nWhile inclinom-eter based devices, such as activPAL, differentiate between\npostures (lying/sitting/standing) [45], movement based de-vices, such as accelerometers differentiate between the in-tensity of movement and have the advantage of providing\nsimultaneous detail about sedentary, light andMVPA [44].","page":"296","publisher":"BMC Public Health","title":"The contribution of office work to sedentary behaviour associated risk","type":"article-journal","volume":"13"},"uris":["http://www.mendeley.com/documents/?uuid=4d565790-7005-4edf-affe-2395a024a4d1"]},{"id":"ITEM-2","itemData":{"DOI":"10.1080/00140139.2011.570458","ISBN":"0014-0139","ISSN":"0014-0139","abstract":"Long uninterrupted sedentary periods, independent of total sedentary time, are risk factors for poor health. There is little objective data relating to workplace sedentary behavior and adherence to current recommendations. The sitting behaviour of office workers (n=83) was quantified objectively using body-worn accelerometers (activPAL™) over a working week. Adherence to three different recommendations (maximum length of a sitting event of: 20minutes, 30minutes and 55minutes) were assessed. Participants were seated at work for 5.3±1.0hours/day (Mean±1SD), equivalent to 66±12% of the working day, accrued in 27±7events/day individual sitting events. Dependent on the recommendation applied, 5-20% of sitting events and 25-67% of time was accumulated in sitting events longer than current guidelines. No participants met the 20 or 30minutes recommendations on every working day but seven (8%) participants met the 55minutes recommendation. In conclusion, office workers spend a considerable period of their day sitting, accumulated in uninterrupted sitting events longer than current recommendations.","author":[{"dropping-particle":"","family":"Ryan","given":"Cormac G.","non-dropping-particle":"","parse-names":false,"suffix":""},{"dropping-particle":"","family":"Dall","given":"Philippa M.","non-dropping-particle":"","parse-names":false,"suffix":""},{"dropping-particle":"","family":"Granat","given":"Malcolm H.","non-dropping-particle":"","parse-names":false,"suffix":""},{"dropping-particle":"","family":"Grant","given":"P. Margaret","non-dropping-particle":"","parse-names":false,"suffix":""}],"container-title":"Ergonomics","id":"ITEM-2","issue":"January 2015","issued":{"date-parts":[["2011"]]},"note":"UK study conducted in a University with lecturers, researcher, technicians and adminstrators \n\nMethods- activPAL\n\nresults- 66% time at work spent sitting\n\ncompares sitting time results to current recommendations about prolonged sitting periods- 30ins, 55mins","page":"531-538","title":"Sitting patterns at work: objective measurement of adherence to current recommendations","type":"article-journal","volume":"54"},"uris":["http://www.mendeley.com/documents/?uuid=fde3e176-63ac-4060-a783-f5d0df4210d1"]}],"mendeley":{"formattedCitation":"[1,2]","plainTextFormattedCitation":"[1,2]","previouslyFormattedCitation":"[1,2]"},"properties":{"noteIndex":0},"schema":"https://github.com/citation-style-language/schema/raw/master/csl-citation.json"}</w:instrText>
      </w:r>
      <w:r w:rsidRPr="006076FC">
        <w:rPr>
          <w:lang w:val="en-GB"/>
        </w:rPr>
        <w:fldChar w:fldCharType="separate"/>
      </w:r>
      <w:r w:rsidRPr="006076FC">
        <w:rPr>
          <w:noProof/>
          <w:lang w:val="en-GB"/>
        </w:rPr>
        <w:t>[1,2]</w:t>
      </w:r>
      <w:r w:rsidRPr="006076FC">
        <w:rPr>
          <w:lang w:val="en-GB"/>
        </w:rPr>
        <w:fldChar w:fldCharType="end"/>
      </w:r>
      <w:r w:rsidRPr="006076FC">
        <w:rPr>
          <w:lang w:val="en-GB"/>
        </w:rPr>
        <w:t xml:space="preserve">. Since SB is an established independent risk factor for cardiovascular morbidity and mortality </w:t>
      </w:r>
      <w:r w:rsidRPr="006076FC">
        <w:rPr>
          <w:lang w:val="en-GB"/>
        </w:rPr>
        <w:fldChar w:fldCharType="begin" w:fldLock="1"/>
      </w:r>
      <w:r w:rsidRPr="006076FC">
        <w:rPr>
          <w:lang w:val="en-GB"/>
        </w:rPr>
        <w:instrText>ADDIN CSL_CITATION {"citationItems":[{"id":"ITEM-1","itemData":{"DOI":"10.1161/CIR.0000000000000440","ISBN":"0000000000000","ISSN":"0009-7322","PMID":"27528691","abstract":"Epidemiological evidence is accumulating that indicates greater time spent in sedentary behavior is associated with all-cause and cardiovascular morbidity and mortality in adults such that some countries have disseminated broad guidelines that recommend minimizing sedentary behaviors. Research examining the possible deleterious consequences of excess sedentary behavior is rapidly evolving, with the epidemiology-based literature ahead of potential biological mechanisms that might explain the observed associations. This American Heart Association science advisory reviews the current evidence on sedentary behavior in terms of assessment methods, population prevalence, determinants, associations with cardiovascular disease incidence and mortality, potential underlying mechanisms, and interventions. Recommendations for future research on this emerging cardiovascular health topic are included. Further evidence is required to better inform public health interventions and future quantitative guidelines on sedentary behavior and cardiovascular health outcomes.","author":[{"dropping-particle":"","family":"Young","given":"Deborah Rohm","non-dropping-particle":"","parse-names":false,"suffix":""},{"dropping-particle":"","family":"Hivert","given":"Marie-France","non-dropping-particle":"","parse-names":false,"suffix":""},{"dropping-particle":"","family":"Alhassan","given":"Sofiya","non-dropping-particle":"","parse-names":false,"suffix":""},{"dropping-particle":"","family":"Camhi","given":"Sarah M.","non-dropping-particle":"","parse-names":false,"suffix":""},{"dropping-particle":"","family":"Ferguson","given":"Jane F.","non-dropping-particle":"","parse-names":false,"suffix":""},{"dropping-particle":"","family":"Katzmarzyk","given":"Peter T.","non-dropping-particle":"","parse-names":false,"suffix":""},{"dropping-particle":"","family":"Lewis","given":"Cora E.","non-dropping-particle":"","parse-names":false,"suffix":""},{"dropping-particle":"","family":"Owen","given":"Neville","non-dropping-particle":"","parse-names":false,"suffix":""},{"dropping-particle":"","family":"Perry","given":"Cynthia K.","non-dropping-particle":"","parse-names":false,"suffix":""},{"dropping-particle":"","family":"Siddique","given":"Juned","non-dropping-particle":"","parse-names":false,"suffix":""},{"dropping-particle":"","family":"Yong","given":"Celina M.","non-dropping-particle":"","parse-names":false,"suffix":""}],"container-title":"Circulation","id":"ITEM-1","issue":"13","issued":{"date-parts":[["2016"]]},"page":"e262-e279","title":"Sedentary behavior and cardiovascular morbidity and mortality: a science advisory from the American Heart Association","type":"article-journal","volume":"134"},"uris":["http://www.mendeley.com/documents/?uuid=d0bb533a-d97e-4f5a-8761-89c0c0861119"]}],"mendeley":{"formattedCitation":"[3]","plainTextFormattedCitation":"[3]","previouslyFormattedCitation":"[3]"},"properties":{"noteIndex":0},"schema":"https://github.com/citation-style-language/schema/raw/master/csl-citation.json"}</w:instrText>
      </w:r>
      <w:r w:rsidRPr="006076FC">
        <w:rPr>
          <w:lang w:val="en-GB"/>
        </w:rPr>
        <w:fldChar w:fldCharType="separate"/>
      </w:r>
      <w:r w:rsidRPr="006076FC">
        <w:rPr>
          <w:noProof/>
          <w:lang w:val="en-GB"/>
        </w:rPr>
        <w:t>[3]</w:t>
      </w:r>
      <w:r w:rsidRPr="006076FC">
        <w:rPr>
          <w:lang w:val="en-GB"/>
        </w:rPr>
        <w:fldChar w:fldCharType="end"/>
      </w:r>
      <w:r w:rsidRPr="006076FC">
        <w:rPr>
          <w:lang w:val="en-GB"/>
        </w:rPr>
        <w:t xml:space="preserve">, workers are frequently </w:t>
      </w:r>
      <w:r w:rsidRPr="006076FC">
        <w:rPr>
          <w:lang w:val="en-GB"/>
        </w:rPr>
        <w:lastRenderedPageBreak/>
        <w:t xml:space="preserve">exposing themselves to these potential health risks. Consequently, there is a need to change workplace activity patterns to facilitate regular breaks from sitting through increased standing and physical activity (PA) </w:t>
      </w:r>
      <w:r w:rsidRPr="006076FC">
        <w:rPr>
          <w:lang w:val="en-GB"/>
        </w:rPr>
        <w:fldChar w:fldCharType="begin" w:fldLock="1"/>
      </w:r>
      <w:r w:rsidRPr="006076FC">
        <w:rPr>
          <w:lang w:val="en-GB"/>
        </w:rPr>
        <w:instrText>ADDIN CSL_CITATION {"citationItems":[{"id":"ITEM-1","itemData":{"DOI":"10.1136/bjsports-2015-094618","ISBN":"1473-0480","ISSN":"1473-0480","PMID":"26034192","abstract":"An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iterations.","author":[{"dropping-particle":"","family":"Buckley","given":"John P.","non-dropping-particle":"","parse-names":false,"suffix":""},{"dropping-particle":"","family":"Hedge","given":"Alan","non-dropping-particle":"","parse-names":false,"suffix":""},{"dropping-particle":"","family":"Yates","given":"Thomas","non-dropping-particle":"","parse-names":false,"suffix":""},{"dropping-particle":"","family":"Copeland","given":"Robert J.","non-dropping-particle":"","parse-names":false,"suffix":""},{"dropping-particle":"","family":"Loosemore","given":"Michael","non-dropping-particle":"","parse-names":false,"suffix":""},{"dropping-particle":"","family":"Hamer","given":"Mark","non-dropping-particle":"","parse-names":false,"suffix":""},{"dropping-particle":"","family":"Bradley","given":"Gavin","non-dropping-particle":"","parse-names":false,"suffix":""},{"dropping-particle":"","family":"Dunstan","given":"David W.","non-dropping-particle":"","parse-names":false,"suffix":""}],"container-title":"British journal of sports medicine","id":"ITEM-1","issue":"21","issued":{"date-parts":[["2015","11"]]},"page":"1357-62","title":"The sedentary office: An expert statement on the growing case for change towards better health and productivity","type":"article-journal","volume":"49"},"uris":["http://www.mendeley.com/documents/?uuid=46f931e6-3202-4571-a676-dca28cb77458"]}],"mendeley":{"formattedCitation":"[4]","plainTextFormattedCitation":"[4]","previouslyFormattedCitation":"[4]"},"properties":{"noteIndex":0},"schema":"https://github.com/citation-style-language/schema/raw/master/csl-citation.json"}</w:instrText>
      </w:r>
      <w:r w:rsidRPr="006076FC">
        <w:rPr>
          <w:lang w:val="en-GB"/>
        </w:rPr>
        <w:fldChar w:fldCharType="separate"/>
      </w:r>
      <w:r w:rsidRPr="006076FC">
        <w:rPr>
          <w:noProof/>
          <w:lang w:val="en-GB"/>
        </w:rPr>
        <w:t>[4]</w:t>
      </w:r>
      <w:r w:rsidRPr="006076FC">
        <w:rPr>
          <w:lang w:val="en-GB"/>
        </w:rPr>
        <w:fldChar w:fldCharType="end"/>
      </w:r>
      <w:r w:rsidRPr="006076FC">
        <w:rPr>
          <w:lang w:val="en-GB"/>
        </w:rPr>
        <w:t xml:space="preserve">. Nonetheless, there is little evidence from workplace intervention studies to support their efficacy in improving workers’ health </w:t>
      </w:r>
      <w:r w:rsidRPr="006076FC">
        <w:rPr>
          <w:lang w:val="en-GB"/>
        </w:rPr>
        <w:fldChar w:fldCharType="begin" w:fldLock="1"/>
      </w:r>
      <w:r w:rsidRPr="006076FC">
        <w:rPr>
          <w:lang w:val="en-GB"/>
        </w:rPr>
        <w:instrText>ADDIN CSL_CITATION {"citationItems":[{"id":"ITEM-1","itemData":{"DOI":"10.1136/bjsports-2018-099131","ISSN":"1473-0480","PMID":"29891615","abstract":"Sedentary behaviour (SB) has been proposed as an 'independent' risk factor for chronic disease risk, attracting much research and media attention. Many countries have included generic, non-quantitative reductions in SB in their public health guidelines and calls for quantitative SB targets are increasing. The aim of this narrative review is to critically evaluate key evidence areas relating to the development of guidance on sitting for adults. We carried out a non-systematic narrative evidence synthesis across seven key areas: (1) definition of SB, (2) independence of sitting from physical activity, (3) use of television viewing as a proxy of sitting, (4) interpretation of SB evidence, (5) evidence on 'sedentary breaks', (6) evidence on objectively measured sedentary SB and mortality and (7) dose response of sitting and mortality/cardiovascular disease. Despite research progress, we still know little about the independent detrimental health effects of sitting, and the possibility that sitting is mostly the inverse of physical activity remains. Unresolved issues include an unclear definition, inconsistencies between mechanistic and epidemiological studies, over-reliance on surrogate outcomes, a very weak epidemiological evidence base to support the inclusion of 'sedentary breaks' in guidelines, reliance on self-reported sitting measures, and misinterpretation of data whereby methodologically inconsistent associations are claimed to be strong evidence. In conclusion, public health guidance requires a consistent evidence base but this is lacking for SB. The development of quantitative SB guidance, using an underdeveloped evidence base, is premature; any further recommendations for sedentary behaviour require development of the evidence base and refinement of the research paradigms used in the field.","author":[{"dropping-particle":"","family":"Stamatakis","given":"Emmanuel","non-dropping-particle":"","parse-names":false,"suffix":""},{"dropping-particle":"","family":"Ekelund","given":"Ulf","non-dropping-particle":"","parse-names":false,"suffix":""},{"dropping-particle":"","family":"Ding","given":"Ding","non-dropping-particle":"","parse-names":false,"suffix":""},{"dropping-particle":"","family":"Hamer","given":"Mark","non-dropping-particle":"","parse-names":false,"suffix":""},{"dropping-particle":"","family":"Bauman","given":"Adrian E","non-dropping-particle":"","parse-names":false,"suffix":""},{"dropping-particle":"","family":"Lee","given":"I-Min","non-dropping-particle":"","parse-names":false,"suffix":""}],"container-title":"British journal of sports medicine","id":"ITEM-1","issued":{"date-parts":[["2018","6","10"]]},"page":"bjsports-2018-099131","title":"Is the time right for quantitative public health guidelines on sitting? A narrative review of sedentary behaviour research paradigms and findings","type":"article-journal"},"uris":["http://www.mendeley.com/documents/?uuid=1afab370-16e3-48cd-ab89-77c4e508faa6"]}],"mendeley":{"formattedCitation":"[5]","plainTextFormattedCitation":"[5]","previouslyFormattedCitation":"[5]"},"properties":{"noteIndex":0},"schema":"https://github.com/citation-style-language/schema/raw/master/csl-citation.json"}</w:instrText>
      </w:r>
      <w:r w:rsidRPr="006076FC">
        <w:rPr>
          <w:lang w:val="en-GB"/>
        </w:rPr>
        <w:fldChar w:fldCharType="separate"/>
      </w:r>
      <w:r w:rsidRPr="006076FC">
        <w:rPr>
          <w:noProof/>
          <w:lang w:val="en-GB"/>
        </w:rPr>
        <w:t>[5]</w:t>
      </w:r>
      <w:r w:rsidRPr="006076FC">
        <w:rPr>
          <w:lang w:val="en-GB"/>
        </w:rPr>
        <w:fldChar w:fldCharType="end"/>
      </w:r>
      <w:r w:rsidRPr="006076FC">
        <w:rPr>
          <w:lang w:val="en-GB"/>
        </w:rPr>
        <w:t>.</w:t>
      </w:r>
    </w:p>
    <w:p w14:paraId="548685B3" w14:textId="04E91540" w:rsidR="00563CFC" w:rsidRPr="006076FC" w:rsidRDefault="00563CFC" w:rsidP="008B2AB1">
      <w:pPr>
        <w:pStyle w:val="MDPI31text"/>
        <w:rPr>
          <w:lang w:val="en-GB"/>
        </w:rPr>
      </w:pPr>
      <w:r w:rsidRPr="006076FC">
        <w:rPr>
          <w:lang w:val="en-GB"/>
        </w:rPr>
        <w:t>A range of intervention strategies, including active workstations and sit-to-stand desks, have been employed to increase workplace PA and reduce sitting time</w:t>
      </w:r>
      <w:r w:rsidR="00D22B54">
        <w:rPr>
          <w:lang w:val="en-GB"/>
        </w:rPr>
        <w:t>,</w:t>
      </w:r>
      <w:r w:rsidRPr="006076FC">
        <w:rPr>
          <w:lang w:val="en-GB"/>
        </w:rPr>
        <w:t xml:space="preserve"> respectively </w:t>
      </w:r>
      <w:r w:rsidRPr="006076FC">
        <w:rPr>
          <w:lang w:val="en-GB"/>
        </w:rPr>
        <w:fldChar w:fldCharType="begin" w:fldLock="1"/>
      </w:r>
      <w:r w:rsidRPr="006076FC">
        <w:rPr>
          <w:lang w:val="en-GB"/>
        </w:rPr>
        <w:instrText>ADDIN CSL_CITATION {"citationItems":[{"id":"ITEM-1","itemData":{"DOI":"10.1002/14651858.CD010912.pub4","ISSN":"1469-493X","PMID":"29926475","abstract":"BACKGROUND A large number of people are employed in sedentary occupations. Physical inactivity and excessive sitting at workplaces have been linked to increased risk of cardiovascular disease, obesity, and all-cause mortality. OBJECTIVES To evaluate the effectiveness of workplace interventions to reduce sitting at work compared to no intervention or alternative interventions. SEARCH METHODS We searched the Cochrane Central Register of Controlled Trials (CENTRAL), MEDLINE, Embase, CINAHL, OSH UPDATE, PsycINFO, ClinicalTrials.gov, and the World Health Organization (WHO) International Clinical Trials Registry Platform (ICTRP) search portal up to 9 August 2017. We also screened reference lists of articles and contacted authors to find more studies. SELECTION CRITERIA We included randomised controlled trials (RCTs), cross-over RCTs, cluster-randomised controlled trials (cluster-RCTs), and quasi-RCTs of interventions to reduce sitting at work. For changes of workplace arrangements, we also included controlled before-and-after studies. The primary outcome was time spent sitting at work per day, either self-reported or measured using devices such as an accelerometer-inclinometer and duration and number of sitting bouts lasting 30 minutes or more. We considered energy expenditure, total time spent sitting (including sitting at and outside work), time spent standing at work, work productivity and adverse events as secondary outcomes. DATA COLLECTION AND ANALYSIS Two review authors independently screened titles, abstracts and full-text articles for study eligibility. Two review authors independently extracted data and assessed risk of bias. We contacted authors for additional data where required. MAIN RESULTS We found 34 studies - including two cross-over RCTs, 17 RCTs, seven cluster-RCTs, and eight controlled before-and-after studies - with a total of 3,397 participants, all from high-income countries. The studies evaluated physical workplace changes (16 studies), workplace policy changes (four studies), information and counselling (11 studies), and multi-component interventions (four studies). One study included both physical workplace changes and information and counselling components. We did not find any studies that specifically investigated the effects of standing meetings or walking meetings on sitting time.Physical workplace changesInterventions using sit-stand desks, either alone or in combination with information and counselling, reduced sitting time at …","author":[{"dropping-particle":"","family":"Shrestha","given":"Nipun","non-dropping-particle":"","parse-names":false,"suffix":""},{"dropping-particle":"","family":"Kukkonen-Harjula","given":"Katriina T","non-dropping-particle":"","parse-names":false,"suffix":""},{"dropping-particle":"","family":"Verbeek","given":"Jos H","non-dropping-particle":"","parse-names":false,"suffix":""},{"dropping-particle":"","family":"Ijaz","given":"Sharea","non-dropping-particle":"","parse-names":false,"suffix":""},{"dropping-particle":"","family":"Hermans","given":"Veerle","non-dropping-particle":"","parse-names":false,"suffix":""},{"dropping-particle":"","family":"Pedisic","given":"Zeljko","non-dropping-particle":"","parse-names":false,"suffix":""}],"container-title":"The Cochrane database of systematic reviews","id":"ITEM-1","issue":"6","issued":{"date-parts":[["2018"]]},"page":"CD010912","publisher":"John Wiley &amp; Sons, Ltd","title":"Workplace interventions for reducing sitting at work","type":"article-journal","volume":"6"},"uris":["http://www.mendeley.com/documents/?uuid=413cf9b3-ee7e-4817-bdb2-23e13e10d8d3"]}],"mendeley":{"formattedCitation":"[6]","plainTextFormattedCitation":"[6]","previouslyFormattedCitation":"[6]"},"properties":{"noteIndex":0},"schema":"https://github.com/citation-style-language/schema/raw/master/csl-citation.json"}</w:instrText>
      </w:r>
      <w:r w:rsidRPr="006076FC">
        <w:rPr>
          <w:lang w:val="en-GB"/>
        </w:rPr>
        <w:fldChar w:fldCharType="separate"/>
      </w:r>
      <w:r w:rsidRPr="006076FC">
        <w:rPr>
          <w:noProof/>
          <w:lang w:val="en-GB"/>
        </w:rPr>
        <w:t>[6]</w:t>
      </w:r>
      <w:r w:rsidRPr="006076FC">
        <w:rPr>
          <w:lang w:val="en-GB"/>
        </w:rPr>
        <w:fldChar w:fldCharType="end"/>
      </w:r>
      <w:r w:rsidRPr="006076FC">
        <w:rPr>
          <w:lang w:val="en-GB"/>
        </w:rPr>
        <w:t>. Such interventions have shown promise, with systematic reviews reporting reductions in sitting time of 77</w:t>
      </w:r>
      <w:r w:rsidR="001C5864" w:rsidRPr="006076FC">
        <w:rPr>
          <w:lang w:val="en-GB"/>
        </w:rPr>
        <w:t>–</w:t>
      </w:r>
      <w:r w:rsidRPr="006076FC">
        <w:rPr>
          <w:lang w:val="en-GB"/>
        </w:rPr>
        <w:t xml:space="preserve">116 </w:t>
      </w:r>
      <w:r w:rsidR="001C5864" w:rsidRPr="006076FC">
        <w:rPr>
          <w:lang w:val="en-GB"/>
        </w:rPr>
        <w:t>min</w:t>
      </w:r>
      <w:r w:rsidRPr="006076FC">
        <w:rPr>
          <w:lang w:val="en-GB"/>
        </w:rPr>
        <w:t xml:space="preserve"> per workday </w:t>
      </w:r>
      <w:r w:rsidRPr="006076FC">
        <w:rPr>
          <w:lang w:val="en-GB"/>
        </w:rPr>
        <w:fldChar w:fldCharType="begin" w:fldLock="1"/>
      </w:r>
      <w:r w:rsidRPr="006076FC">
        <w:rPr>
          <w:lang w:val="en-GB"/>
        </w:rPr>
        <w:instrText>ADDIN CSL_CITATION {"citationItems":[{"id":"ITEM-1","itemData":{"DOI":"10.1111/obr.12201","ISBN":"1467-789X","ISSN":"1467-789X","PMID":"25040784","abstract":"Excessive sedentary time is detrimentally linked to obesity, type 2 diabetes, cardiovascular disease and premature mortality. Studies have been investigating the use of activity-permissive workstations to reduce sedentary time in office workers, a highly sedentary target group. This review systematically summarizes the evidence for activity-permissive workstations on sedentary time, health-risk biomarkers, work performance and feasibility indicators in office workplaces. In July 2013, a literature search identified 38 relevant peer-reviewed publications. Key findings were independently extracted by two researchers. The average intervention effect on sedentary time was calculated via meta-analysis. In total, 984 participants across 19 field-based trials and 19 laboratory investigations were included, with sample sizes ranging from n = 2 to 66 per study. Sedentary time, health-risk biomarkers and work performance indicators were reported in 13, 23 and 23 studies, respectively. The pooled effect size from the meta-analysis was -77 min of sedentary time/8-h workday (95% confidence interval = -120, -35 min). Non-significant changes were reported for most health- and work-related outcomes. Studies with acceptability measures reported predominantly positive feedback. Findings suggest that activity-permissive workstations can be effective to reduce occupational sedentary time, without compromising work performance. Larger and longer-term randomized-controlled trials are needed to understand the sustainability of the sedentary time reductions and their longer-term impacts on health- and work-related outcomes.","author":[{"dropping-particle":"","family":"Neuhaus","given":"M","non-dropping-particle":"","parse-names":false,"suffix":""},{"dropping-particle":"","family":"Eakin","given":"E. G","non-dropping-particle":"","parse-names":false,"suffix":""},{"dropping-particle":"","family":"Straker","given":"L","non-dropping-particle":"","parse-names":false,"suffix":""},{"dropping-particle":"","family":"Owen","given":"N","non-dropping-particle":"","parse-names":false,"suffix":""},{"dropping-particle":"","family":"Dunstan","given":"D. W","non-dropping-particle":"","parse-names":false,"suffix":""},{"dropping-particle":"","family":"Reid","given":"N","non-dropping-particle":"","parse-names":false,"suffix":""},{"dropping-particle":"","family":"Healy","given":"G. N","non-dropping-particle":"","parse-names":false,"suffix":""}],"container-title":"Obesity reviews","id":"ITEM-1","issue":"10","issued":{"date-parts":[["2014","10"]]},"note":"Review of activity-permissive workstations\n\nFound workstations can lead to reduction in sitting time, without negatively impacting work outcomes \n\nimpact on helath related parameter is inconcusive due to being based on short term studies with insufficient power \n\nstanding desks do no conform to ergonomic recommendation to encourage postural variety \n\ntreadmill desks + cycles mmay lead to decreased work performance 21 out of 112 oucomes worsened= however acute studies= need to aclimiatise","page":"822-38","title":"Reducing occupational sedentary time: A systematic review and meta-analysis of evidence on activity-permissive workstations","type":"article-journal","volume":"15"},"uris":["http://www.mendeley.com/documents/?uuid=c1fa178a-4575-4606-9215-7cb93fd820bd"]},{"id":"ITEM-2","itemData":{"DOI":"10.1002/14651858.CD010912.pub4","ISSN":"1469-493X","PMID":"29926475","abstract":"BACKGROUND A large number of people are employed in sedentary occupations. Physical inactivity and excessive sitting at workplaces have been linked to increased risk of cardiovascular disease, obesity, and all-cause mortality. OBJECTIVES To evaluate the effectiveness of workplace interventions to reduce sitting at work compared to no intervention or alternative interventions. SEARCH METHODS We searched the Cochrane Central Register of Controlled Trials (CENTRAL), MEDLINE, Embase, CINAHL, OSH UPDATE, PsycINFO, ClinicalTrials.gov, and the World Health Organization (WHO) International Clinical Trials Registry Platform (ICTRP) search portal up to 9 August 2017. We also screened reference lists of articles and contacted authors to find more studies. SELECTION CRITERIA We included randomised controlled trials (RCTs), cross-over RCTs, cluster-randomised controlled trials (cluster-RCTs), and quasi-RCTs of interventions to reduce sitting at work. For changes of workplace arrangements, we also included controlled before-and-after studies. The primary outcome was time spent sitting at work per day, either self-reported or measured using devices such as an accelerometer-inclinometer and duration and number of sitting bouts lasting 30 minutes or more. We considered energy expenditure, total time spent sitting (including sitting at and outside work), time spent standing at work, work productivity and adverse events as secondary outcomes. DATA COLLECTION AND ANALYSIS Two review authors independently screened titles, abstracts and full-text articles for study eligibility. Two review authors independently extracted data and assessed risk of bias. We contacted authors for additional data where required. MAIN RESULTS We found 34 studies - including two cross-over RCTs, 17 RCTs, seven cluster-RCTs, and eight controlled before-and-after studies - with a total of 3,397 participants, all from high-income countries. The studies evaluated physical workplace changes (16 studies), workplace policy changes (four studies), information and counselling (11 studies), and multi-component interventions (four studies). One study included both physical workplace changes and information and counselling components. We did not find any studies that specifically investigated the effects of standing meetings or walking meetings on sitting time.Physical workplace changesInterventions using sit-stand desks, either alone or in combination with information and counselling, reduced sitting time at …","author":[{"dropping-particle":"","family":"Shrestha","given":"Nipun","non-dropping-particle":"","parse-names":false,"suffix":""},{"dropping-particle":"","family":"Kukkonen-Harjula","given":"Katriina T","non-dropping-particle":"","parse-names":false,"suffix":""},{"dropping-particle":"","family":"Verbeek","given":"Jos H","non-dropping-particle":"","parse-names":false,"suffix":""},{"dropping-particle":"","family":"Ijaz","given":"Sharea","non-dropping-particle":"","parse-names":false,"suffix":""},{"dropping-particle":"","family":"Hermans","given":"Veerle","non-dropping-particle":"","parse-names":false,"suffix":""},{"dropping-particle":"","family":"Pedisic","given":"Zeljko","non-dropping-particle":"","parse-names":false,"suffix":""}],"container-title":"The Cochrane database of systematic reviews","id":"ITEM-2","issue":"6","issued":{"date-parts":[["2018"]]},"page":"CD010912","publisher":"John Wiley &amp; Sons, Ltd","title":"Workplace interventions for reducing sitting at work","type":"article-journal","volume":"6"},"uris":["http://www.mendeley.com/documents/?uuid=413cf9b3-ee7e-4817-bdb2-23e13e10d8d3"]}],"mendeley":{"formattedCitation":"[6,7]","plainTextFormattedCitation":"[6,7]","previouslyFormattedCitation":"[6,7]"},"properties":{"noteIndex":0},"schema":"https://github.com/citation-style-language/schema/raw/master/csl-citation.json"}</w:instrText>
      </w:r>
      <w:r w:rsidRPr="006076FC">
        <w:rPr>
          <w:lang w:val="en-GB"/>
        </w:rPr>
        <w:fldChar w:fldCharType="separate"/>
      </w:r>
      <w:r w:rsidRPr="006076FC">
        <w:rPr>
          <w:noProof/>
          <w:lang w:val="en-GB"/>
        </w:rPr>
        <w:t>[6,7]</w:t>
      </w:r>
      <w:r w:rsidRPr="006076FC">
        <w:rPr>
          <w:lang w:val="en-GB"/>
        </w:rPr>
        <w:fldChar w:fldCharType="end"/>
      </w:r>
      <w:r w:rsidRPr="006076FC">
        <w:rPr>
          <w:lang w:val="en-GB"/>
        </w:rPr>
        <w:t xml:space="preserve">. However, these strategies are limited by purchasing and installation costs, which may be beyond the financial budgets of some workplaces. As such, there is a need to examine alternative low-cost interventions </w:t>
      </w:r>
      <w:r w:rsidRPr="006076FC">
        <w:rPr>
          <w:lang w:val="en-GB"/>
        </w:rPr>
        <w:fldChar w:fldCharType="begin" w:fldLock="1"/>
      </w:r>
      <w:r w:rsidRPr="006076FC">
        <w:rPr>
          <w:lang w:val="en-GB"/>
        </w:rPr>
        <w:instrText>ADDIN CSL_CITATION {"citationItems":[{"id":"ITEM-1","itemData":{"DOI":"10.1002/14651858.CD010912.pub4","ISSN":"1469-493X","PMID":"29926475","abstract":"BACKGROUND A large number of people are employed in sedentary occupations. Physical inactivity and excessive sitting at workplaces have been linked to increased risk of cardiovascular disease, obesity, and all-cause mortality. OBJECTIVES To evaluate the effectiveness of workplace interventions to reduce sitting at work compared to no intervention or alternative interventions. SEARCH METHODS We searched the Cochrane Central Register of Controlled Trials (CENTRAL), MEDLINE, Embase, CINAHL, OSH UPDATE, PsycINFO, ClinicalTrials.gov, and the World Health Organization (WHO) International Clinical Trials Registry Platform (ICTRP) search portal up to 9 August 2017. We also screened reference lists of articles and contacted authors to find more studies. SELECTION CRITERIA We included randomised controlled trials (RCTs), cross-over RCTs, cluster-randomised controlled trials (cluster-RCTs), and quasi-RCTs of interventions to reduce sitting at work. For changes of workplace arrangements, we also included controlled before-and-after studies. The primary outcome was time spent sitting at work per day, either self-reported or measured using devices such as an accelerometer-inclinometer and duration and number of sitting bouts lasting 30 minutes or more. We considered energy expenditure, total time spent sitting (including sitting at and outside work), time spent standing at work, work productivity and adverse events as secondary outcomes. DATA COLLECTION AND ANALYSIS Two review authors independently screened titles, abstracts and full-text articles for study eligibility. Two review authors independently extracted data and assessed risk of bias. We contacted authors for additional data where required. MAIN RESULTS We found 34 studies - including two cross-over RCTs, 17 RCTs, seven cluster-RCTs, and eight controlled before-and-after studies - with a total of 3,397 participants, all from high-income countries. The studies evaluated physical workplace changes (16 studies), workplace policy changes (four studies), information and counselling (11 studies), and multi-component interventions (four studies). One study included both physical workplace changes and information and counselling components. We did not find any studies that specifically investigated the effects of standing meetings or walking meetings on sitting time.Physical workplace changesInterventions using sit-stand desks, either alone or in combination with information and counselling, reduced sitting time at …","author":[{"dropping-particle":"","family":"Shrestha","given":"Nipun","non-dropping-particle":"","parse-names":false,"suffix":""},{"dropping-particle":"","family":"Kukkonen-Harjula","given":"Katriina T","non-dropping-particle":"","parse-names":false,"suffix":""},{"dropping-particle":"","family":"Verbeek","given":"Jos H","non-dropping-particle":"","parse-names":false,"suffix":""},{"dropping-particle":"","family":"Ijaz","given":"Sharea","non-dropping-particle":"","parse-names":false,"suffix":""},{"dropping-particle":"","family":"Hermans","given":"Veerle","non-dropping-particle":"","parse-names":false,"suffix":""},{"dropping-particle":"","family":"Pedisic","given":"Zeljko","non-dropping-particle":"","parse-names":false,"suffix":""}],"container-title":"The Cochrane database of systematic reviews","id":"ITEM-1","issue":"6","issued":{"date-parts":[["2018"]]},"page":"CD010912","publisher":"John Wiley &amp; Sons, Ltd","title":"Workplace interventions for reducing sitting at work","type":"article-journal","volume":"6"},"uris":["http://www.mendeley.com/documents/?uuid=413cf9b3-ee7e-4817-bdb2-23e13e10d8d3"]}],"mendeley":{"formattedCitation":"[6]","plainTextFormattedCitation":"[6]","previouslyFormattedCitation":"[6]"},"properties":{"noteIndex":0},"schema":"https://github.com/citation-style-language/schema/raw/master/csl-citation.json"}</w:instrText>
      </w:r>
      <w:r w:rsidRPr="006076FC">
        <w:rPr>
          <w:lang w:val="en-GB"/>
        </w:rPr>
        <w:fldChar w:fldCharType="separate"/>
      </w:r>
      <w:r w:rsidRPr="006076FC">
        <w:rPr>
          <w:noProof/>
          <w:lang w:val="en-GB"/>
        </w:rPr>
        <w:t>[6]</w:t>
      </w:r>
      <w:r w:rsidRPr="006076FC">
        <w:rPr>
          <w:lang w:val="en-GB"/>
        </w:rPr>
        <w:fldChar w:fldCharType="end"/>
      </w:r>
      <w:r w:rsidRPr="006076FC">
        <w:rPr>
          <w:lang w:val="en-GB"/>
        </w:rPr>
        <w:t xml:space="preserve">. One alternative strategy is using e-health interventions that deliver information electronically to individuals via computer and mobile technology </w:t>
      </w:r>
      <w:r w:rsidRPr="006076FC">
        <w:rPr>
          <w:lang w:val="en-GB"/>
        </w:rPr>
        <w:fldChar w:fldCharType="begin" w:fldLock="1"/>
      </w:r>
      <w:r w:rsidRPr="006076FC">
        <w:rPr>
          <w:lang w:val="en-GB"/>
        </w:rPr>
        <w:instrText>ADDIN CSL_CITATION {"citationItems":[{"id":"ITEM-1","itemData":{"DOI":"10.1002/14651858.CD010912.pub4","ISSN":"1469-493X","PMID":"29926475","abstract":"BACKGROUND A large number of people are employed in sedentary occupations. Physical inactivity and excessive sitting at workplaces have been linked to increased risk of cardiovascular disease, obesity, and all-cause mortality. OBJECTIVES To evaluate the effectiveness of workplace interventions to reduce sitting at work compared to no intervention or alternative interventions. SEARCH METHODS We searched the Cochrane Central Register of Controlled Trials (CENTRAL), MEDLINE, Embase, CINAHL, OSH UPDATE, PsycINFO, ClinicalTrials.gov, and the World Health Organization (WHO) International Clinical Trials Registry Platform (ICTRP) search portal up to 9 August 2017. We also screened reference lists of articles and contacted authors to find more studies. SELECTION CRITERIA We included randomised controlled trials (RCTs), cross-over RCTs, cluster-randomised controlled trials (cluster-RCTs), and quasi-RCTs of interventions to reduce sitting at work. For changes of workplace arrangements, we also included controlled before-and-after studies. The primary outcome was time spent sitting at work per day, either self-reported or measured using devices such as an accelerometer-inclinometer and duration and number of sitting bouts lasting 30 minutes or more. We considered energy expenditure, total time spent sitting (including sitting at and outside work), time spent standing at work, work productivity and adverse events as secondary outcomes. DATA COLLECTION AND ANALYSIS Two review authors independently screened titles, abstracts and full-text articles for study eligibility. Two review authors independently extracted data and assessed risk of bias. We contacted authors for additional data where required. MAIN RESULTS We found 34 studies - including two cross-over RCTs, 17 RCTs, seven cluster-RCTs, and eight controlled before-and-after studies - with a total of 3,397 participants, all from high-income countries. The studies evaluated physical workplace changes (16 studies), workplace policy changes (four studies), information and counselling (11 studies), and multi-component interventions (four studies). One study included both physical workplace changes and information and counselling components. We did not find any studies that specifically investigated the effects of standing meetings or walking meetings on sitting time.Physical workplace changesInterventions using sit-stand desks, either alone or in combination with information and counselling, reduced sitting time at …","author":[{"dropping-particle":"","family":"Shrestha","given":"Nipun","non-dropping-particle":"","parse-names":false,"suffix":""},{"dropping-particle":"","family":"Kukkonen-Harjula","given":"Katriina T","non-dropping-particle":"","parse-names":false,"suffix":""},{"dropping-particle":"","family":"Verbeek","given":"Jos H","non-dropping-particle":"","parse-names":false,"suffix":""},{"dropping-particle":"","family":"Ijaz","given":"Sharea","non-dropping-particle":"","parse-names":false,"suffix":""},{"dropping-particle":"","family":"Hermans","given":"Veerle","non-dropping-particle":"","parse-names":false,"suffix":""},{"dropping-particle":"","family":"Pedisic","given":"Zeljko","non-dropping-particle":"","parse-names":false,"suffix":""}],"container-title":"The Cochrane database of systematic reviews","id":"ITEM-1","issue":"6","issued":{"date-parts":[["2018"]]},"page":"CD010912","publisher":"John Wiley &amp; Sons, Ltd","title":"Workplace interventions for reducing sitting at work","type":"article-journal","volume":"6"},"uris":["http://www.mendeley.com/documents/?uuid=413cf9b3-ee7e-4817-bdb2-23e13e10d8d3"]}],"mendeley":{"formattedCitation":"[6]","plainTextFormattedCitation":"[6]","previouslyFormattedCitation":"[6]"},"properties":{"noteIndex":0},"schema":"https://github.com/citation-style-language/schema/raw/master/csl-citation.json"}</w:instrText>
      </w:r>
      <w:r w:rsidRPr="006076FC">
        <w:rPr>
          <w:lang w:val="en-GB"/>
        </w:rPr>
        <w:fldChar w:fldCharType="separate"/>
      </w:r>
      <w:r w:rsidRPr="006076FC">
        <w:rPr>
          <w:noProof/>
          <w:lang w:val="en-GB"/>
        </w:rPr>
        <w:t>[6]</w:t>
      </w:r>
      <w:r w:rsidRPr="006076FC">
        <w:rPr>
          <w:lang w:val="en-GB"/>
        </w:rPr>
        <w:fldChar w:fldCharType="end"/>
      </w:r>
      <w:r w:rsidRPr="006076FC">
        <w:rPr>
          <w:lang w:val="en-GB"/>
        </w:rPr>
        <w:t xml:space="preserve">. In a recent review of technology enhanced interventions to reduce workplace SB, the most commonly used behavioural change techniques were prompts and cues </w:t>
      </w:r>
      <w:r w:rsidRPr="006076FC">
        <w:rPr>
          <w:lang w:val="en-GB"/>
        </w:rPr>
        <w:fldChar w:fldCharType="begin" w:fldLock="1"/>
      </w:r>
      <w:r w:rsidRPr="006076FC">
        <w:rPr>
          <w:lang w:val="en-GB"/>
        </w:rPr>
        <w:instrText>ADDIN CSL_CITATION {"citationItems":[{"id":"ITEM-1","itemData":{"DOI":"10.1186/s12966-017-0561-4","ISBN":"1296601705614","ISSN":"14795868","abstract":"BACKGROUND: High levels of sedentary behaviour (SB) are associated with negative health consequences. Technology enhanced solutions such as mobile applications, activity monitors, prompting software, texts, emails and websites are being harnessed to reduce SB. The aim of this paper is to evaluate the effectiveness of such technology enhanced interventions aimed at reducing SB in healthy adults and to examine the behaviour change techniques (BCTs) used. METHODS: Five electronic databases were searched to identify randomised-controlled trials (RCTs), published up to June 2016. Interventions using computer, mobile or wearable technologies to facilitate a reduction in SB, using a measure of sedentary time as an outcome, were eligible for inclusion. Risk of bias was assessed using the Cochrane Collaboration's tool and interventions were coded using the BCT Taxonomy (v1). RESULTS: Meta-analysis of 15/17 RCTs suggested that computer, mobile and wearable technology tools resulted in a mean reduction of -41.28 min per day (min/day) of sitting time (95% CI -60.99, -21.58, I2 = 77%, n = 1402), in favour of the intervention group at end point follow-up. The pooled effects showed mean reductions at short (≤ 3 months), medium (&gt;3 to 6 months), and long-term follow-up (&gt;6 months) of -42.42 min/day, -37.23 min/day and -1.65 min/day, respectively. Overall, 16/17 studies were deemed as having a high or unclear risk of bias, and 1/17 was judged to be at a low risk of bias. A total of 46 BCTs (14 unique) were coded for the computer, mobile and wearable components of the interventions. The most frequently coded were \"prompts and cues\", \"self-monitoring of behaviour\", \"social support (unspecified)\" and \"goal setting (behaviour)\". CONCLUSION: Interventions using computer, mobile and wearable technologies can be effective in reducing SB. Effectiveness appeared most prominent in the short-term and lessened over time. A range of BCTs have been implemented in these interventions. Future studies need to improve reporting of BCTs within interventions and address the methodological flaws identified within the review through the use of more rigorously controlled study designs with longer-term follow-ups, objective measures of SB and the incorporation of strategies to reduce attrition. TRIAL REGISTRATION: The review protocol was registered with PROSPERO: CRD42016038187.","author":[{"dropping-particle":"","family":"Stephenson","given":"Aoife","non-dropping-particle":"","parse-names":false,"suffix":""},{"dropping-particle":"","family":"McDonough","given":"Suzanne M.","non-dropping-particle":"","parse-names":false,"suffix":""},{"dropping-particle":"","family":"Murphy","given":"Marie H.","non-dropping-particle":"","parse-names":false,"suffix":""},{"dropping-particle":"","family":"Nugent","given":"Chris D.","non-dropping-particle":"","parse-names":false,"suffix":""},{"dropping-particle":"","family":"Mair","given":"Jacqueline L.","non-dropping-particle":"","parse-names":false,"suffix":""}],"container-title":"The international journal of behavioral nutrition and physical activity","id":"ITEM-1","issue":"1","issued":{"date-parts":[["2017"]]},"page":"105","publisher":"International Journal of Behavioral Nutrition and Physical Activity","title":"Using computer, mobile and wearable technology enhanced interventions to reduce sedentary behaviour: A systematic review and meta-analysis","type":"article-journal","volume":"14"},"uris":["http://www.mendeley.com/documents/?uuid=fa06b082-e0ce-479d-ad57-cbd64d84fdd5"]}],"mendeley":{"formattedCitation":"[8]","plainTextFormattedCitation":"[8]","previouslyFormattedCitation":"[8]"},"properties":{"noteIndex":0},"schema":"https://github.com/citation-style-language/schema/raw/master/csl-citation.json"}</w:instrText>
      </w:r>
      <w:r w:rsidRPr="006076FC">
        <w:rPr>
          <w:lang w:val="en-GB"/>
        </w:rPr>
        <w:fldChar w:fldCharType="separate"/>
      </w:r>
      <w:r w:rsidRPr="006076FC">
        <w:rPr>
          <w:noProof/>
          <w:lang w:val="en-GB"/>
        </w:rPr>
        <w:t>[8]</w:t>
      </w:r>
      <w:r w:rsidRPr="006076FC">
        <w:rPr>
          <w:lang w:val="en-GB"/>
        </w:rPr>
        <w:fldChar w:fldCharType="end"/>
      </w:r>
      <w:r w:rsidRPr="006076FC">
        <w:rPr>
          <w:lang w:val="en-GB"/>
        </w:rPr>
        <w:t>. This typically includes computer-based prompting software that provide messages to encourage workers to take breaks from prolonged sitting.</w:t>
      </w:r>
    </w:p>
    <w:p w14:paraId="448A63D9" w14:textId="52B67CEA" w:rsidR="00563CFC" w:rsidRPr="006076FC" w:rsidRDefault="00563CFC" w:rsidP="008B2AB1">
      <w:pPr>
        <w:pStyle w:val="MDPI31text"/>
        <w:rPr>
          <w:lang w:val="en-GB"/>
        </w:rPr>
      </w:pPr>
      <w:r w:rsidRPr="006076FC">
        <w:rPr>
          <w:lang w:val="en-GB"/>
        </w:rPr>
        <w:t xml:space="preserve">Interventions using computer-based prompting software have resulted in favourable changes in workplace behaviours, including daily increases in standing time </w:t>
      </w:r>
      <w:r w:rsidRPr="006076FC">
        <w:rPr>
          <w:lang w:val="en-GB"/>
        </w:rPr>
        <w:fldChar w:fldCharType="begin" w:fldLock="1"/>
      </w:r>
      <w:r w:rsidRPr="006076FC">
        <w:rPr>
          <w:lang w:val="en-GB"/>
        </w:rPr>
        <w:instrText>ADDIN CSL_CITATION {"citationItems":[{"id":"ITEM-1","itemData":{"DOI":"10.1097/JOM.0000000000000243","ISBN":"0000000000000","ISSN":"1536-5948","PMID":"25376414","abstract":"OBJECTIVE: To evaluate the effect of a workplace health intervention designed to reduce prolonged occupational sitting on the mean arterial pressure (MAP) of desk-based employees. METHODS: This randomized controlled trial involved an experimental group who received an e-health intervention and a control group who did not. The 13-week intervention passively prompted participants to stand and engage in short bouts of office-based physical activity by interrupting prolonged occupational sitting time periodically throughout the workday. Mean arterial pressure was measured at pretest and posttest. RESULTS: Between pretest and posttest the experimental group significantly reduced their MAP, whereas MAP in the control group did not. CONCLUSIONS: A workplace e-health intervention designed to reduce prolonged occupational sitting was effective in decreasing MAP in desk-based employees.","author":[{"dropping-particle":"","family":"Mainsbridge","given":"Casey P","non-dropping-particle":"","parse-names":false,"suffix":""},{"dropping-particle":"","family":"Cooley","given":"Paul D","non-dropping-particle":"","parse-names":false,"suffix":""},{"dropping-particle":"","family":"Fraser","given":"Sharon P","non-dropping-particle":"","parse-names":false,"suffix":""},{"dropping-particle":"","family":"Pedersen","given":"Scott J","non-dropping-particle":"","parse-names":false,"suffix":""}],"container-title":"Journal of occupational and environmental medicine","id":"ITEM-1","issue":"11","issued":{"date-parts":[["2014"]]},"note":"METHODS\nexperimental group with exertime v.s control group \n13 week intervention\neducational session given prior to starting intervention \nMAP measured pre and post \n\nRESULTS\nexperimental group sig. decreased MAP pre v. post\n\n\nIn terms of\nthe duration of breaks from sitting, the e-health software prompted\nparticipants in the experimental group to engage in activity for 7.99± 4.44 minutes per day by performing short-burst physical activities\n6.28 ± 3.59 times per workday. The average time for each bout of NEPA was 1.34 ± 0.74 minutes.","page":"1189-94","title":"The effect of an e-health intervention designed to reduce prolonged occupational sitting on mean arterial pressure","type":"article-journal","volume":"56"},"uris":["http://www.mendeley.com/documents/?uuid=dc275069-0fec-4e29-bb4e-2afcf027fc94"]},{"id":"ITEM-2","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Management","id":"ITEM-2","issue":"2","issued":{"date-parts":[["2016","6","13"]]},"note":"Detailed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sitting","type":"article-journal","volume":"9"},"uris":["http://www.mendeley.com/documents/?uuid=32631e9e-6bf3-420b-b955-3a9fdb164f42"]},{"id":"ITEM-3","itemData":{"DOI":"10.3233/WOR-131644","ISBN":"1875-9270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-3","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[9–11]","plainTextFormattedCitation":"[9–11]","previouslyFormattedCitation":"[9–11]"},"properties":{"noteIndex":0},"schema":"https://github.com/citation-style-language/schema/raw/master/csl-citation.json"}</w:instrText>
      </w:r>
      <w:r w:rsidRPr="006076FC">
        <w:rPr>
          <w:lang w:val="en-GB"/>
        </w:rPr>
        <w:fldChar w:fldCharType="separate"/>
      </w:r>
      <w:r w:rsidRPr="006076FC">
        <w:rPr>
          <w:noProof/>
          <w:lang w:val="en-GB"/>
        </w:rPr>
        <w:t>[9–11]</w:t>
      </w:r>
      <w:r w:rsidRPr="006076FC">
        <w:rPr>
          <w:lang w:val="en-GB"/>
        </w:rPr>
        <w:fldChar w:fldCharType="end"/>
      </w:r>
      <w:r w:rsidRPr="006076FC">
        <w:rPr>
          <w:lang w:val="en-GB"/>
        </w:rPr>
        <w:t xml:space="preserve"> and reductions in sitting time and the number and duration of prolonged sitting bouts </w:t>
      </w:r>
      <w:r w:rsidRPr="006076FC">
        <w:rPr>
          <w:lang w:val="en-GB"/>
        </w:rPr>
        <w:fldChar w:fldCharType="begin" w:fldLock="1"/>
      </w:r>
      <w:r w:rsidRPr="006076FC">
        <w:rPr>
          <w:lang w:val="en-GB"/>
        </w:rPr>
        <w:instrText>ADDIN CSL_CITATION {"citationItems":[{"id":"ITEM-1","itemData":{"DOI":"10.1016/j.amepre.2012.05.010","ISBN":"0749-3797","ISSN":"07493797","PMID":"22898122","abstract":"Background: Prolonged sitting is prevalent in the workplace and is associated with adverse health markers. Purpose: Investigate the effects of point-of-choice (PoC) prompting software, on the computer used at work (PC), to reduce long uninterrupted sedentary periods and total sedentary time at work. Design: Assessor-blinded, parallel group, active-controlled randomized trial. Setting/participants: A convenience sample of office workers from Glasgow, United Kingdom. Data were collected April to June 2010, and analyzed October 2010 to June 2011. Intervention: The education group (n=14) received a brief education session on the importance of reducing long sitting periods at work. The PoC group (n=14) received the same education along with prompting software on their PC for 5 workdays, which reminded them to stand up every 30 minutes. Main outcome measures: Sitting time was measured objectively using the activPAL??? activity monitor for 5 workdays at baseline and 5 workdays during the intervention. The number and time spent sitting in events &gt;30 minutes' duration were the main outcome measures. Results: At baseline, participants spent 5.7??1.0 hours/day (76%??9%) of their time at work sitting. Of that time, 3.3??1.3 hours/day was spent sitting in 3.7??1.4 events &gt;30 minutes. There was a significant difference between the groups in the change (intervention to baseline) of both the number (ANCOVA; -6.8%, p=0.014) and duration (-15.5%, p=0.007) of sitting events &gt;30 minutes. During the intervention, compared with baseline, the PoC group reduced the number (paired t-test; -0.11 events/hour, p=0.045) and duration (-12.2%, p=0.035) of sitting events &gt;30 minutes. However, there was no significant difference in total sitting time between groups (-4.4%, p=0.084). Conclusions: Point-of-choice prompting software on work computers recommending taking a break from sitting plus education is superior to education alone in reducing long uninterrupted sedentary periods at work. Trial registration: This trial was registered at ClinicalTrials.gov NCT01628861. ?? 2012 American Journal of Preventive Medicine.","author":[{"dropping-particle":"","family":"Evans","given":"Rhian E.","non-dropping-particle":"","parse-names":false,"suffix":""},{"dropping-particle":"","family":"Fawole","given":"Henrietta O.","non-dropping-particle":"","parse-names":false,"suffix":""},{"dropping-particle":"","family":"Sheriff","given":"Stephanie A.","non-dropping-particle":"","parse-names":false,"suffix":""},{"dropping-particle":"","family":"Dall","given":"Philippa M.","non-dropping-particle":"","parse-names":false,"suffix":""},{"dropping-particle":"","family":"Grant","given":"P. Margaret","non-dropping-particle":"","parse-names":false,"suffix":""},{"dropping-particle":"","family":"Ryan","given":"Cormac G.","non-dropping-particle":"","parse-names":false,"suffix":""}],"container-title":"American Journal of Preventive Medicine","id":"ITEM-1","issue":"3","issued":{"date-parts":[["2012"]]},"note":"METHOD\nPrompting software on PC- stand every 30 mins (MyRestBreak)- Window appears on PC screen every 30mins, cannot be minimised or moved but could work on open windows around it\nEducation session on health efects of prolonged sitting\nCompared Education group v prompting group\n\nRESULTS\nNo sig difference in sitting time between groups \nPrompting group has sig lower number of and time spent siting in prolonged sitting periods \n\nPrompts were based on the time at which the PC was switched on and not the sitting behaviour of the participant","page":"293-297","publisher":"Elsevier Inc.","title":"Point-of-choice prompts to reduce sitting time at work: A randomized trial","type":"article-journal","volume":"43"},"uris":["http://www.mendeley.com/documents/?uuid=517e7ca3-9264-409f-8b21-a7222c3bc000"]}],"mendeley":{"formattedCitation":"[12]","plainTextFormattedCitation":"[12]","previouslyFormattedCitation":"[12]"},"properties":{"noteIndex":0},"schema":"https://github.com/citation-style-language/schema/raw/master/csl-citation.json"}</w:instrText>
      </w:r>
      <w:r w:rsidRPr="006076FC">
        <w:rPr>
          <w:lang w:val="en-GB"/>
        </w:rPr>
        <w:fldChar w:fldCharType="separate"/>
      </w:r>
      <w:r w:rsidRPr="006076FC">
        <w:rPr>
          <w:noProof/>
          <w:lang w:val="en-GB"/>
        </w:rPr>
        <w:t>[12]</w:t>
      </w:r>
      <w:r w:rsidRPr="006076FC">
        <w:rPr>
          <w:lang w:val="en-GB"/>
        </w:rPr>
        <w:fldChar w:fldCharType="end"/>
      </w:r>
      <w:r w:rsidRPr="006076FC">
        <w:rPr>
          <w:lang w:val="en-GB"/>
        </w:rPr>
        <w:t>. Some e-health interventions have</w:t>
      </w:r>
      <w:r w:rsidR="00F1265E">
        <w:rPr>
          <w:lang w:val="en-GB"/>
        </w:rPr>
        <w:t>,</w:t>
      </w:r>
      <w:r w:rsidRPr="006076FC">
        <w:rPr>
          <w:lang w:val="en-GB"/>
        </w:rPr>
        <w:t xml:space="preserve"> however</w:t>
      </w:r>
      <w:r w:rsidR="00F1265E">
        <w:rPr>
          <w:lang w:val="en-GB"/>
        </w:rPr>
        <w:t>,</w:t>
      </w:r>
      <w:r w:rsidRPr="006076FC">
        <w:rPr>
          <w:lang w:val="en-GB"/>
        </w:rPr>
        <w:t xml:space="preserve"> observed no changes in sitting time </w:t>
      </w:r>
      <w:r w:rsidRPr="006076FC">
        <w:rPr>
          <w:lang w:val="en-GB"/>
        </w:rPr>
        <w:fldChar w:fldCharType="begin" w:fldLock="1"/>
      </w:r>
      <w:r w:rsidRPr="006076FC">
        <w:rPr>
          <w:lang w:val="en-GB"/>
        </w:rPr>
        <w:instrText>ADDIN CSL_CITATION {"citationItems":[{"id":"ITEM-1","itemData":{"DOI":"10.1123/jpah.2015-0385","ISSN":"15435476","abstract":"Background: The purpose of this study was to determine whether an alert to get up once per hour while at work would reduce sitting time, increase sit-to-stand transitions, and improve perceived wellness in women with sedentary jobs. Methods: Female university staff and administrators (48 ± 10 years) were randomly assigned to control-control (CC) (n = 22) or control-intervention (CI) (n = 22) groups. Both used a thigh-worn postural-based activity monitor for 2 weeks. The CC group maintained normal behaviors, whereas the CI group maintained behaviors during control week, but received hourly alerts on their computer during work hours in the intervention week. Time sitting and sit-to-stand transitions during an 8.5-hour workday were examined. A perceived wellness survey was completed at baseline and after the control and intervention weeks. Results: Among all participants (N = 44) during the control week, 68% of the workday was spent sitting and 41 sit-to-stand transitions occurred. An analysis of variance revealed no statistically significant differences in variables over time (P &gt; .05). There was a significant increase in perceived wellness from baseline in both groups (P ≤ .05). Perceived wellness showed no statistically significant difference between groups. Conclusions: The intervention had no statistically significant effect on sitting time or sit-to-stand transitions. Participation improved perceived wellness in the absence of behavior change.","author":[{"dropping-particle":"","family":"Urda","given":"Joyan L.","non-dropping-particle":"","parse-names":false,"suffix":""},{"dropping-particle":"","family":"Lynn","given":"Jeffrey S.","non-dropping-particle":"","parse-names":false,"suffix":""},{"dropping-particle":"","family":"Gorman","given":"Andrea","non-dropping-particle":"","parse-names":false,"suffix":""},{"dropping-particle":"","family":"Larouere","given":"Beth","non-dropping-particle":"","parse-names":false,"suffix":""}],"container-title":"Journal of Physical Activity and Health","id":"ITEM-1","issue":"8","issued":{"date-parts":[["2016"]]},"page":"838-844","title":"Effects of a minimal workplace intervention to reduce sedentary behaviors and improve perceived wellness in middle-aged women office workers","type":"article-journal","volume":"13"},"uris":["http://www.mendeley.com/documents/?uuid=03a012b9-0cb8-4800-80ea-6b290a07ef84"]}],"mendeley":{"formattedCitation":"[13]","plainTextFormattedCitation":"[13]","previouslyFormattedCitation":"[13]"},"properties":{"noteIndex":0},"schema":"https://github.com/citation-style-language/schema/raw/master/csl-citation.json"}</w:instrText>
      </w:r>
      <w:r w:rsidRPr="006076FC">
        <w:rPr>
          <w:lang w:val="en-GB"/>
        </w:rPr>
        <w:fldChar w:fldCharType="separate"/>
      </w:r>
      <w:r w:rsidRPr="006076FC">
        <w:rPr>
          <w:noProof/>
          <w:lang w:val="en-GB"/>
        </w:rPr>
        <w:t>[13]</w:t>
      </w:r>
      <w:r w:rsidRPr="006076FC">
        <w:rPr>
          <w:lang w:val="en-GB"/>
        </w:rPr>
        <w:fldChar w:fldCharType="end"/>
      </w:r>
      <w:r w:rsidRPr="006076FC">
        <w:rPr>
          <w:lang w:val="en-GB"/>
        </w:rPr>
        <w:t>, possibly due to the strict automaticity of the hourly timed prompt, which did not restart once an activity break had been completed. This suggests that the design of some prompting software may not be suitable for all workers. It is therefore important to establish whether e-health interventions are acceptable and feasible among workers to enable appropriate adaptations to software to be made to increase their effectiveness. The primary aim of this study was therefore to assess the acceptability and feasibility of an e-health computer-based prompting software to promote a reduction in total and prolonged sitting time among sedentary UK-based office workers.</w:t>
      </w:r>
    </w:p>
    <w:p w14:paraId="0DE1A9D8" w14:textId="28E1F498" w:rsidR="00563CFC" w:rsidRPr="006076FC" w:rsidRDefault="00563CFC" w:rsidP="008B2AB1">
      <w:pPr>
        <w:pStyle w:val="MDPI31text"/>
        <w:rPr>
          <w:lang w:val="en-GB"/>
        </w:rPr>
      </w:pPr>
      <w:r w:rsidRPr="006076FC">
        <w:rPr>
          <w:lang w:val="en-GB"/>
        </w:rPr>
        <w:t xml:space="preserve">Reducing total and prolonged sitting bouts can benefit workers’ cardiometabolic health </w:t>
      </w:r>
      <w:r w:rsidRPr="006076FC">
        <w:rPr>
          <w:lang w:val="en-GB"/>
        </w:rPr>
        <w:fldChar w:fldCharType="begin" w:fldLock="1"/>
      </w:r>
      <w:r w:rsidRPr="006076FC">
        <w:rPr>
          <w:lang w:val="en-GB"/>
        </w:rPr>
        <w:instrText>ADDIN CSL_CITATION {"citationItems":[{"id":"ITEM-1","itemData":{"DOI":"10.1249/MSS.0000000000001328","ISBN":"0000000000","ISSN":"0195-9131","abstract":"Purpose To evaluate the initial and long-term impacts on cardiometabolic health indicators of the Stand Up Victoria intervention - a 12-month, multicomponent workplace-delivered intervention that successfully reduced overall sitting time, primarily by increasing standing time. Methods Office worksites (≥1 km apart) from a single organization were cluster randomized to intervention (n = 7) or control (n = 7). Participants were 136 intervention and 95 control desk-based workers (5-39 per worksite; 68% women; mean ± SD age = 45.6 ± 9.4 yr). Outcomes, assessed at baseline (0 months), 3, and 12 months, were 14 individual biomarkers of body composition, blood pressure, glucose metabolism, lipid metabolism, and a composite overall cardiometabolic risk score. Intervention effects were assessed by linear mixed models, accounting for repeated measures and clustering, baseline values, and potential confounders. Missing data were multiply imputed. Significance was set at P &lt; 0.05, two-tailed. Results No significant intervention effects were observed at 3 months. Significant effects, favoring intervention, were observed at 12 months for fasting glucose (-0.34; 95% confidence interval [CI], -0.65 to -0.03; P = 0.028 mmol·L-1) and the overall cardiometabolic risk score (-0.11, 95% CI, -0.29 to -0.00; P = 0.046). Other intervention effects were typically weakly in favor of the intervention group, but were nonsignificant and estimated with wide CI. Conclusions In \"healthy\" workers (not selected as having any specific health condition), a workplace intervention showed a small benefit for improving biomarkers of cardiometabolic risk, but only with 12 months of intervention and not for all biomarkers. Long-term facilitation of movement and standing at work may be a useful approach to reducing cardiovascular disease risk in the working population. The potential benefits for workers at high risk for cardiovascular disease (e.g., with diabetes) may be even greater and merit investigation.","author":[{"dropping-particle":"","family":"Healy","given":"Geneviève N","non-dropping-particle":"","parse-names":false,"suffix":""},{"dropping-particle":"","family":"Winkler","given":"Elisabeth A. H.","non-dropping-particle":"","parse-names":false,"suffix":""},{"dropping-particle":"","family":"Eakin","given":"Elizabeth G.","non-dropping-particle":"","parse-names":false,"suffix":""},{"dropping-particle":"","family":"Owen","given":"Neville","non-dropping-particle":"","parse-names":false,"suffix":""},{"dropping-particle":"","family":"Lamontagne","given":"Anthony D.","non-dropping-particle":"","parse-names":false,"suffix":""},{"dropping-particle":"","family":"Moodie","given":"Marj","non-dropping-particle":"","parse-names":false,"suffix":""},{"dropping-particle":"","family":"Dunstan","given":"David W.","non-dropping-particle":"","parse-names":false,"suffix":""}],"container-title":"Medicine &amp; Science in Sports &amp; Exercise","id":"ITEM-1","issue":"10","issued":{"date-parts":[["2017","10"]]},"page":"2032-2039","title":"A Cluster RCT to Reduce Workers’ Sitting Time","type":"article-journal","volume":"49"},"uris":["http://www.mendeley.com/documents/?uuid=e7671845-1f2e-402e-8cba-66afc42809e2"]}],"mendeley":{"formattedCitation":"[14]","plainTextFormattedCitation":"[14]","previouslyFormattedCitation":"[14]"},"properties":{"noteIndex":0},"schema":"https://github.com/citation-style-language/schema/raw/master/csl-citation.json"}</w:instrText>
      </w:r>
      <w:r w:rsidRPr="006076FC">
        <w:rPr>
          <w:lang w:val="en-GB"/>
        </w:rPr>
        <w:fldChar w:fldCharType="separate"/>
      </w:r>
      <w:r w:rsidRPr="006076FC">
        <w:rPr>
          <w:noProof/>
          <w:lang w:val="en-GB"/>
        </w:rPr>
        <w:t>[14]</w:t>
      </w:r>
      <w:r w:rsidRPr="006076FC">
        <w:rPr>
          <w:lang w:val="en-GB"/>
        </w:rPr>
        <w:fldChar w:fldCharType="end"/>
      </w:r>
      <w:r w:rsidRPr="006076FC">
        <w:rPr>
          <w:lang w:val="en-GB"/>
        </w:rPr>
        <w:t xml:space="preserve"> and potentially enhance productivity and overall performance </w:t>
      </w:r>
      <w:r w:rsidRPr="006076FC">
        <w:rPr>
          <w:lang w:val="en-GB"/>
        </w:rPr>
        <w:fldChar w:fldCharType="begin" w:fldLock="1"/>
      </w:r>
      <w:r w:rsidRPr="006076FC">
        <w:rPr>
          <w:lang w:val="en-GB"/>
        </w:rPr>
        <w:instrText>ADDIN CSL_CITATION {"citationItems":[{"id":"ITEM-1","itemData":{"DOI":"10.1136/bjsports-2015-094618","ISBN":"1473-0480","ISSN":"1473-0480","PMID":"26034192","abstract":"An international group of experts convened to provide guidance for employers to promote the avoidance of prolonged periods of sedentary work. The set of recommendations was developed from the totality of the current evidence, including long-term epidemiological studies and interventional studies of getting workers to stand and/or move more frequently. The evidence was ranked in quality using the four levels of the American College of Sports Medicine. The derived guidance is as follows: for those occupations which are predominantly desk based, workers should aim to initially progress towards accumulating 2 h/day of standing and light activity (light walking) during working hours, eventually progressing to a total accumulation of 4 h/day (prorated to part-time hours). To achieve this, seated-based work should be regularly broken up with standing-based work, the use of sit-stand desks, or the taking of short active standing breaks. Along with other health promotion goals (improved nutrition, reducing alcohol, smoking and stress), companies should also promote among their staff that prolonged sitting, aggregated from work and in leisure time, may significantly and independently increase the risk of cardiometabolic diseases and premature mortality. It is appreciated that these recommendations should be interpreted in relation to the evidence from which they were derived, largely observational and retrospective studies, or short-term interventional studies showing acute cardiometabolic changes. While longer term intervention studies are required, the level of consistent evidence accumulated to date, and the public health context of rising chronic diseases, suggest initial guidelines are justified. We hope these guidelines stimulate future research, and that greater precision will be possible within future iterations.","author":[{"dropping-particle":"","family":"Buckley","given":"John P.","non-dropping-particle":"","parse-names":false,"suffix":""},{"dropping-particle":"","family":"Hedge","given":"Alan","non-dropping-particle":"","parse-names":false,"suffix":""},{"dropping-particle":"","family":"Yates","given":"Thomas","non-dropping-particle":"","parse-names":false,"suffix":""},{"dropping-particle":"","family":"Copeland","given":"Robert J.","non-dropping-particle":"","parse-names":false,"suffix":""},{"dropping-particle":"","family":"Loosemore","given":"Michael","non-dropping-particle":"","parse-names":false,"suffix":""},{"dropping-particle":"","family":"Hamer","given":"Mark","non-dropping-particle":"","parse-names":false,"suffix":""},{"dropping-particle":"","family":"Bradley","given":"Gavin","non-dropping-particle":"","parse-names":false,"suffix":""},{"dropping-particle":"","family":"Dunstan","given":"David W.","non-dropping-particle":"","parse-names":false,"suffix":""}],"container-title":"British journal of sports medicine","id":"ITEM-1","issue":"21","issued":{"date-parts":[["2015","11"]]},"page":"1357-62","title":"The sedentary office: An expert statement on the growing case for change towards better health and productivity","type":"article-journal","volume":"49"},"uris":["http://www.mendeley.com/documents/?uuid=46f931e6-3202-4571-a676-dca28cb77458"]}],"mendeley":{"formattedCitation":"[4]","plainTextFormattedCitation":"[4]","previouslyFormattedCitation":"[4]"},"properties":{"noteIndex":0},"schema":"https://github.com/citation-style-language/schema/raw/master/csl-citation.json"}</w:instrText>
      </w:r>
      <w:r w:rsidRPr="006076FC">
        <w:rPr>
          <w:lang w:val="en-GB"/>
        </w:rPr>
        <w:fldChar w:fldCharType="separate"/>
      </w:r>
      <w:r w:rsidRPr="006076FC">
        <w:rPr>
          <w:noProof/>
          <w:lang w:val="en-GB"/>
        </w:rPr>
        <w:t>[4]</w:t>
      </w:r>
      <w:r w:rsidRPr="006076FC">
        <w:rPr>
          <w:lang w:val="en-GB"/>
        </w:rPr>
        <w:fldChar w:fldCharType="end"/>
      </w:r>
      <w:r w:rsidRPr="006076FC">
        <w:rPr>
          <w:lang w:val="en-GB"/>
        </w:rPr>
        <w:t xml:space="preserve">. Interestingly, previous studies utilising e-health interventions have observed increases in workers’ self-report health and </w:t>
      </w:r>
      <w:r w:rsidR="00837C44">
        <w:rPr>
          <w:lang w:val="en-GB"/>
        </w:rPr>
        <w:t>well-being</w:t>
      </w:r>
      <w:r w:rsidRPr="006076FC">
        <w:rPr>
          <w:lang w:val="en-GB"/>
        </w:rPr>
        <w:t xml:space="preserve"> </w:t>
      </w:r>
      <w:r w:rsidRPr="006076FC">
        <w:rPr>
          <w:lang w:val="en-GB"/>
        </w:rPr>
        <w:fldChar w:fldCharType="begin" w:fldLock="1"/>
      </w:r>
      <w:r w:rsidRPr="006076FC">
        <w:rPr>
          <w:lang w:val="en-GB"/>
        </w:rPr>
        <w:instrText>ADDIN CSL_CITATION {"citationItems":[{"id":"ITEM-1","itemData":{"DOI":"10.1108/IJWHM-01-2015-0005","ISSN":"1753-8351","author":[{"dropping-particle":"","family":"Mainsbridge","given":"Casey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Management","id":"ITEM-1","issue":"2","issued":{"date-parts":[["2016","6","13"]]},"note":"Detailed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mendeley":{"formattedCitation":"[10]","plainTextFormattedCitation":"[10]","previouslyFormattedCitation":"[10]"},"properties":{"noteIndex":0},"schema":"https://github.com/citation-style-language/schema/raw/master/csl-citation.json"}</w:instrText>
      </w:r>
      <w:r w:rsidRPr="006076FC">
        <w:rPr>
          <w:lang w:val="en-GB"/>
        </w:rPr>
        <w:fldChar w:fldCharType="separate"/>
      </w:r>
      <w:r w:rsidRPr="006076FC">
        <w:rPr>
          <w:noProof/>
          <w:lang w:val="en-GB"/>
        </w:rPr>
        <w:t>[10]</w:t>
      </w:r>
      <w:r w:rsidRPr="006076FC">
        <w:rPr>
          <w:lang w:val="en-GB"/>
        </w:rPr>
        <w:fldChar w:fldCharType="end"/>
      </w:r>
      <w:r w:rsidRPr="006076FC">
        <w:rPr>
          <w:lang w:val="en-GB"/>
        </w:rPr>
        <w:t xml:space="preserve">, increased energy expenditure </w:t>
      </w:r>
      <w:r w:rsidRPr="006076FC">
        <w:rPr>
          <w:lang w:val="en-GB"/>
        </w:rPr>
        <w:fldChar w:fldCharType="begin" w:fldLock="1"/>
      </w:r>
      <w:r w:rsidRPr="006076FC">
        <w:rPr>
          <w:lang w:val="en-GB"/>
        </w:rPr>
        <w:instrText>ADDIN CSL_CITATION {"citationItems":[{"id":"ITEM-1","itemData":{"DOI":"10.3233/WOR-131644","ISBN":"1875-9270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-1","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[11]","plainTextFormattedCitation":"[11]","previouslyFormattedCitation":"[11]"},"properties":{"noteIndex":0},"schema":"https://github.com/citation-style-language/schema/raw/master/csl-citation.json"}</w:instrText>
      </w:r>
      <w:r w:rsidRPr="006076FC">
        <w:rPr>
          <w:lang w:val="en-GB"/>
        </w:rPr>
        <w:fldChar w:fldCharType="separate"/>
      </w:r>
      <w:r w:rsidRPr="006076FC">
        <w:rPr>
          <w:noProof/>
          <w:lang w:val="en-GB"/>
        </w:rPr>
        <w:t>[11]</w:t>
      </w:r>
      <w:r w:rsidRPr="006076FC">
        <w:rPr>
          <w:lang w:val="en-GB"/>
        </w:rPr>
        <w:fldChar w:fldCharType="end"/>
      </w:r>
      <w:r w:rsidRPr="006076FC">
        <w:rPr>
          <w:lang w:val="en-GB"/>
        </w:rPr>
        <w:t xml:space="preserve">, and reductions in mean arterial pressure </w:t>
      </w:r>
      <w:r w:rsidRPr="006076FC">
        <w:rPr>
          <w:lang w:val="en-GB"/>
        </w:rPr>
        <w:fldChar w:fldCharType="begin" w:fldLock="1"/>
      </w:r>
      <w:r w:rsidRPr="006076FC">
        <w:rPr>
          <w:lang w:val="en-GB"/>
        </w:rPr>
        <w:instrText>ADDIN CSL_CITATION {"citationItems":[{"id":"ITEM-1","itemData":{"DOI":"10.1097/JOM.0000000000000243","ISBN":"0000000000000","ISSN":"1536-5948","PMID":"25376414","abstract":"OBJECTIVE: To evaluate the effect of a workplace health intervention designed to reduce prolonged occupational sitting on the mean arterial pressure (MAP) of desk-based employees. METHODS: This randomized controlled trial involved an experimental group who received an e-health intervention and a control group who did not. The 13-week intervention passively prompted participants to stand and engage in short bouts of office-based physical activity by interrupting prolonged occupational sitting time periodically throughout the workday. Mean arterial pressure was measured at pretest and posttest. RESULTS: Between pretest and posttest the experimental group significantly reduced their MAP, whereas MAP in the control group did not. CONCLUSIONS: A workplace e-health intervention designed to reduce prolonged occupational sitting was effective in decreasing MAP in desk-based employees.","author":[{"dropping-particle":"","family":"Mainsbridge","given":"Casey P","non-dropping-particle":"","parse-names":false,"suffix":""},{"dropping-particle":"","family":"Cooley","given":"Paul D","non-dropping-particle":"","parse-names":false,"suffix":""},{"dropping-particle":"","family":"Fraser","given":"Sharon P","non-dropping-particle":"","parse-names":false,"suffix":""},{"dropping-particle":"","family":"Pedersen","given":"Scott J","non-dropping-particle":"","parse-names":false,"suffix":""}],"container-title":"Journal of occupational and environmental medicine","id":"ITEM-1","issue":"11","issued":{"date-parts":[["2014"]]},"note":"METHODS\nexperimental group with exertime v.s control group \n13 week intervention\neducational session given prior to starting intervention \nMAP measured pre and post \n\nRESULTS\nexperimental group sig. decreased MAP pre v. post\n\n\nIn terms of\nthe duration of breaks from sitting, the e-health software prompted\nparticipants in the experimental group to engage in activity for 7.99± 4.44 minutes per day by performing short-burst physical activities\n6.28 ± 3.59 times per workday. The average time for each bout of NEPA was 1.34 ± 0.74 minutes.","page":"1189-94","title":"The effect of an e-health intervention designed to reduce prolonged occupational sitting on mean arterial pressure","type":"article-journal","volume":"56"},"uris":["http://www.mendeley.com/documents/?uuid=dc275069-0fec-4e29-bb4e-2afcf027fc94"]},{"id":"ITEM-2","itemData":{"DOI":"10.1097/JOM.0000000000001377","ISBN":"0000000000","ISSN":"15365948","abstract":"Objective: To evaluate the blood pressure (BP) effects of a yearlong e-health solution designed to interrupt prolonged occupational sitting time. Methods: BP data of 228 desk-based employees (45.1 ±10.5 years) were analyzed at baseline, 3, 6, 9, and 12 months. Results: Systolic BP significantly reduced from baseline for the first 9 months (1.0 to 3.4 mmHg; P &lt; 0.01) while diastolic and mean arterial pressure decreased for the full 12-months (4 to 5 mmHg for diastolic pressure and 3.6 to 4.2 mmHg for MAP; all P &lt; 0.01). Participants used the e-health solution 5.5 ± 2.0 times/day in the first 3 months which reduced to 4.2 ± 2.5 times/day by the end of the study (P &lt; 0.05). Conclusions: An e-health solution designed to increase non-exercise physical activity by interrupting sitting time in the workplace is feasible and produced long-term reductions in blood pressure.","author":[{"dropping-particle":"","family":"Mainsbridge","given":"Casey","non-dropping-particle":"","parse-names":false,"suffix":""},{"dropping-particle":"","family":"Ahuja","given":"Kiran","non-dropping-particle":"","parse-names":false,"suffix":""},{"dropping-particle":"","family":"Williams","given":"Andrew","non-dropping-particle":"","parse-names":false,"suffix":""},{"dropping-particle":"","family":"Bird","given":"Marie Louise","non-dropping-particle":"","parse-names":false,"suffix":""},{"dropping-particle":"","family":"Cooley","given":"Dean","non-dropping-particle":"","parse-names":false,"suffix":""},{"dropping-particle":"","family":"Pedersen","given":"Scott John","non-dropping-particle":"","parse-names":false,"suffix":""}],"container-title":"Journal of Occupational and Environmental Medicine","id":"ITEM-2","issue":"9","issued":{"date-parts":[["2018"]]},"page":"769-774","title":"Blood pressure response to interrupting workplace sitting time with non-exercise physical activity results of a 12-month cohort study","type":"article-journal","volume":"60"},"uris":["http://www.mendeley.com/documents/?uuid=79ccb53c-d53b-469a-9cc5-8ffeb0f809ce"]}],"mendeley":{"formattedCitation":"[9,15]","plainTextFormattedCitation":"[9,15]","previouslyFormattedCitation":"[9,15]"},"properties":{"noteIndex":0},"schema":"https://github.com/citation-style-language/schema/raw/master/csl-citation.json"}</w:instrText>
      </w:r>
      <w:r w:rsidRPr="006076FC">
        <w:rPr>
          <w:lang w:val="en-GB"/>
        </w:rPr>
        <w:fldChar w:fldCharType="separate"/>
      </w:r>
      <w:r w:rsidRPr="006076FC">
        <w:rPr>
          <w:noProof/>
          <w:lang w:val="en-GB"/>
        </w:rPr>
        <w:t>[9,15]</w:t>
      </w:r>
      <w:r w:rsidRPr="006076FC">
        <w:rPr>
          <w:lang w:val="en-GB"/>
        </w:rPr>
        <w:fldChar w:fldCharType="end"/>
      </w:r>
      <w:r w:rsidRPr="006076FC">
        <w:rPr>
          <w:lang w:val="en-GB"/>
        </w:rPr>
        <w:t xml:space="preserve">. Whilst this approach therefore shows promise to improve workers’ health, these previous studies featured suboptimal study designs, relying on self-reported measures of health and energy expenditure </w:t>
      </w:r>
      <w:r w:rsidRPr="006076FC">
        <w:rPr>
          <w:lang w:val="en-GB"/>
        </w:rPr>
        <w:fldChar w:fldCharType="begin" w:fldLock="1"/>
      </w:r>
      <w:r w:rsidRPr="006076FC">
        <w:rPr>
          <w:lang w:val="en-GB"/>
        </w:rPr>
        <w:instrText>ADDIN CSL_CITATION {"citationItems":[{"id":"ITEM-1","itemData":{"DOI":"10.1108/IJWHM-01-2015-0005","ISSN":"1753-8351","author":[{"dropping-particle":"","family":"Mainsbridge","given":"Casey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Management","id":"ITEM-1","issue":"2","issued":{"date-parts":[["2016","6","13"]]},"note":"Detailed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sitting","type":"article-journal","volume":"9"},"uris":["http://www.mendeley.com/documents/?uuid=32631e9e-6bf3-420b-b955-3a9fdb164f42"]},{"id":"ITEM-2","itemData":{"DOI":"10.3233/WOR-131644","ISBN":"1875-9270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-2","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[10,11]","plainTextFormattedCitation":"[10,11]","previouslyFormattedCitation":"[10,11]"},"properties":{"noteIndex":0},"schema":"https://github.com/citation-style-language/schema/raw/master/csl-citation.json"}</w:instrText>
      </w:r>
      <w:r w:rsidRPr="006076FC">
        <w:rPr>
          <w:lang w:val="en-GB"/>
        </w:rPr>
        <w:fldChar w:fldCharType="separate"/>
      </w:r>
      <w:r w:rsidRPr="006076FC">
        <w:rPr>
          <w:noProof/>
          <w:lang w:val="en-GB"/>
        </w:rPr>
        <w:t>[10,11]</w:t>
      </w:r>
      <w:r w:rsidRPr="006076FC">
        <w:rPr>
          <w:lang w:val="en-GB"/>
        </w:rPr>
        <w:fldChar w:fldCharType="end"/>
      </w:r>
      <w:r w:rsidRPr="006076FC">
        <w:rPr>
          <w:lang w:val="en-GB"/>
        </w:rPr>
        <w:t xml:space="preserve"> and lacking a control group </w:t>
      </w:r>
      <w:r w:rsidRPr="006076FC">
        <w:rPr>
          <w:lang w:val="en-GB"/>
        </w:rPr>
        <w:fldChar w:fldCharType="begin" w:fldLock="1"/>
      </w:r>
      <w:r w:rsidRPr="006076FC">
        <w:rPr>
          <w:lang w:val="en-GB"/>
        </w:rPr>
        <w:instrText>ADDIN CSL_CITATION {"citationItems":[{"id":"ITEM-1","itemData":{"DOI":"10.1097/JOM.0000000000001377","ISBN":"0000000000","ISSN":"15365948","abstract":"Objective: To evaluate the blood pressure (BP) effects of a yearlong e-health solution designed to interrupt prolonged occupational sitting time. Methods: BP data of 228 desk-based employees (45.1 ±10.5 years) were analyzed at baseline, 3, 6, 9, and 12 months. Results: Systolic BP significantly reduced from baseline for the first 9 months (1.0 to 3.4 mmHg; P &lt; 0.01) while diastolic and mean arterial pressure decreased for the full 12-months (4 to 5 mmHg for diastolic pressure and 3.6 to 4.2 mmHg for MAP; all P &lt; 0.01). Participants used the e-health solution 5.5 ± 2.0 times/day in the first 3 months which reduced to 4.2 ± 2.5 times/day by the end of the study (P &lt; 0.05). Conclusions: An e-health solution designed to increase non-exercise physical activity by interrupting sitting time in the workplace is feasible and produced long-term reductions in blood pressure.","author":[{"dropping-particle":"","family":"Mainsbridge","given":"Casey","non-dropping-particle":"","parse-names":false,"suffix":""},{"dropping-particle":"","family":"Ahuja","given":"Kiran","non-dropping-particle":"","parse-names":false,"suffix":""},{"dropping-particle":"","family":"Williams","given":"Andrew","non-dropping-particle":"","parse-names":false,"suffix":""},{"dropping-particle":"","family":"Bird","given":"Marie Louise","non-dropping-particle":"","parse-names":false,"suffix":""},{"dropping-particle":"","family":"Cooley","given":"Dean","non-dropping-particle":"","parse-names":false,"suffix":""},{"dropping-particle":"","family":"Pedersen","given":"Scott John","non-dropping-particle":"","parse-names":false,"suffix":""}],"container-title":"Journal of Occupational and Environmental Medicine","id":"ITEM-1","issue":"9","issued":{"date-parts":[["2018"]]},"page":"769-774","title":"Blood pressure response to interrupting workplace sitting time with non-exercise physical activity results of a 12-month cohort study","type":"article-journal","volume":"60"},"uris":["http://www.mendeley.com/documents/?uuid=79ccb53c-d53b-469a-9cc5-8ffeb0f809ce"]},{"id":"ITEM-2","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Management","id":"ITEM-2","issue":"2","issued":{"date-parts":[["2016","6","13"]]},"note":"Detailed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mendeley":{"formattedCitation":"[10,15]","plainTextFormattedCitation":"[10,15]","previouslyFormattedCitation":"[10,15]"},"properties":{"noteIndex":0},"schema":"https://github.com/citation-style-language/schema/raw/master/csl-citation.json"}</w:instrText>
      </w:r>
      <w:r w:rsidRPr="006076FC">
        <w:rPr>
          <w:lang w:val="en-GB"/>
        </w:rPr>
        <w:fldChar w:fldCharType="separate"/>
      </w:r>
      <w:r w:rsidRPr="006076FC">
        <w:rPr>
          <w:noProof/>
          <w:lang w:val="en-GB"/>
        </w:rPr>
        <w:t>[10,15]</w:t>
      </w:r>
      <w:r w:rsidRPr="006076FC">
        <w:rPr>
          <w:lang w:val="en-GB"/>
        </w:rPr>
        <w:fldChar w:fldCharType="end"/>
      </w:r>
      <w:r w:rsidRPr="006076FC">
        <w:rPr>
          <w:lang w:val="en-GB"/>
        </w:rPr>
        <w:t xml:space="preserve">. There is therefore a need to explore the effect of using </w:t>
      </w:r>
      <w:bookmarkStart w:id="0" w:name="_Hlk43803247"/>
      <w:r w:rsidRPr="006076FC">
        <w:rPr>
          <w:lang w:val="en-GB"/>
        </w:rPr>
        <w:t>e-health intervention</w:t>
      </w:r>
      <w:bookmarkEnd w:id="0"/>
      <w:r w:rsidRPr="006076FC">
        <w:rPr>
          <w:lang w:val="en-GB"/>
        </w:rPr>
        <w:t>s on markers of health and work performance using rigorous study designs. Understanding the possible implications on health and work performance, alongside acceptability and feasibility data, will provide important information regarding the efficacy of using an e-health intervention as a low-cost workplace intervention to reduce prolonged sitting. The secondary aims of this study were therefore to describe preliminary changes in sitting, standing and stepping time, markers of vascular function, cerebrovascular function, mood and work productivity after using an e-health intervention.</w:t>
      </w:r>
    </w:p>
    <w:p w14:paraId="253D7107" w14:textId="1E57D2CF" w:rsidR="00563CFC" w:rsidRPr="006076FC" w:rsidRDefault="008B2AB1" w:rsidP="008B2AB1">
      <w:pPr>
        <w:pStyle w:val="MDPI21heading1"/>
        <w:rPr>
          <w:lang w:val="en-GB"/>
        </w:rPr>
      </w:pPr>
      <w:r w:rsidRPr="006076FC">
        <w:rPr>
          <w:lang w:val="en-GB" w:eastAsia="zh-CN"/>
        </w:rPr>
        <w:t xml:space="preserve">2. </w:t>
      </w:r>
      <w:r w:rsidR="00563CFC" w:rsidRPr="006076FC">
        <w:rPr>
          <w:lang w:val="en-GB"/>
        </w:rPr>
        <w:t>Materials and Methods</w:t>
      </w:r>
    </w:p>
    <w:p w14:paraId="4125DDCE" w14:textId="2A3EFFE7" w:rsidR="00563CFC" w:rsidRPr="006076FC" w:rsidRDefault="008B2AB1" w:rsidP="008B2AB1">
      <w:pPr>
        <w:pStyle w:val="MDPI22heading2"/>
        <w:rPr>
          <w:lang w:val="en-GB"/>
        </w:rPr>
      </w:pPr>
      <w:r w:rsidRPr="006076FC">
        <w:rPr>
          <w:lang w:val="en-GB"/>
        </w:rPr>
        <w:t xml:space="preserve">2.1. </w:t>
      </w:r>
      <w:r w:rsidR="00563CFC" w:rsidRPr="006076FC">
        <w:rPr>
          <w:lang w:val="en-GB"/>
        </w:rPr>
        <w:t>Participants</w:t>
      </w:r>
    </w:p>
    <w:p w14:paraId="64BAED84" w14:textId="66C38AC5" w:rsidR="00563CFC" w:rsidRPr="006076FC" w:rsidRDefault="00563CFC" w:rsidP="008B2AB1">
      <w:pPr>
        <w:pStyle w:val="MDPI31text"/>
        <w:rPr>
          <w:lang w:val="en-GB"/>
        </w:rPr>
      </w:pPr>
      <w:r w:rsidRPr="006076FC">
        <w:rPr>
          <w:lang w:val="en-GB"/>
        </w:rPr>
        <w:t xml:space="preserve">Office-based workers from one university (Liverpool John </w:t>
      </w:r>
      <w:proofErr w:type="spellStart"/>
      <w:r w:rsidRPr="006076FC">
        <w:rPr>
          <w:lang w:val="en-GB"/>
        </w:rPr>
        <w:t>Moores</w:t>
      </w:r>
      <w:proofErr w:type="spellEnd"/>
      <w:r w:rsidRPr="006076FC">
        <w:rPr>
          <w:lang w:val="en-GB"/>
        </w:rPr>
        <w:t xml:space="preserve"> University, Liverpool, UK) were recruited. Departmental managers were contacted to gain consent for employee recruitment (</w:t>
      </w:r>
      <w:r w:rsidR="001C5864" w:rsidRPr="006076FC">
        <w:rPr>
          <w:lang w:val="en-GB"/>
        </w:rPr>
        <w:t xml:space="preserve">n = </w:t>
      </w:r>
      <w:r w:rsidRPr="006076FC">
        <w:rPr>
          <w:lang w:val="en-GB"/>
        </w:rPr>
        <w:t xml:space="preserve">49) and participation in </w:t>
      </w:r>
      <w:r w:rsidR="00EB69B6">
        <w:rPr>
          <w:lang w:val="en-GB"/>
        </w:rPr>
        <w:t>this</w:t>
      </w:r>
      <w:r w:rsidR="00EB69B6" w:rsidRPr="006076FC">
        <w:rPr>
          <w:lang w:val="en-GB"/>
        </w:rPr>
        <w:t xml:space="preserve"> </w:t>
      </w:r>
      <w:r w:rsidRPr="006076FC">
        <w:rPr>
          <w:lang w:val="en-GB"/>
        </w:rPr>
        <w:t>study, of which 17 approved. Staff within these departments were contacted via email with a study overview and those who expressed an interest received a participant information sheet and were screened for exclusion criteria including: part-time employment, aged &gt;65 years, use of cardiometabolic medication, smoker, BMI &gt;</w:t>
      </w:r>
      <w:r w:rsidR="001C5864" w:rsidRPr="006076FC">
        <w:rPr>
          <w:lang w:val="en-GB"/>
        </w:rPr>
        <w:t xml:space="preserve"> </w:t>
      </w:r>
      <w:r w:rsidRPr="006076FC">
        <w:rPr>
          <w:lang w:val="en-GB"/>
        </w:rPr>
        <w:t>35 or &lt;18 kg∙m</w:t>
      </w:r>
      <w:r w:rsidR="001C5864" w:rsidRPr="006076FC">
        <w:rPr>
          <w:vertAlign w:val="superscript"/>
          <w:lang w:val="en-GB"/>
        </w:rPr>
        <w:t>−</w:t>
      </w:r>
      <w:r w:rsidRPr="006076FC">
        <w:rPr>
          <w:vertAlign w:val="superscript"/>
          <w:lang w:val="en-GB"/>
        </w:rPr>
        <w:t>2</w:t>
      </w:r>
      <w:r w:rsidRPr="006076FC">
        <w:rPr>
          <w:lang w:val="en-GB"/>
        </w:rPr>
        <w:t xml:space="preserve">, use of hormone-based contraception, pregnancy and diagnosis of cerebrovascular, cardiovascular or metabolic disease, or a mental health condition. Following this, 18 healthy office workers (7 male) were enrolled into </w:t>
      </w:r>
      <w:r w:rsidR="00EB69B6">
        <w:rPr>
          <w:lang w:val="en-GB"/>
        </w:rPr>
        <w:t>this</w:t>
      </w:r>
      <w:r w:rsidR="00EB69B6" w:rsidRPr="006076FC">
        <w:rPr>
          <w:lang w:val="en-GB"/>
        </w:rPr>
        <w:t xml:space="preserve"> </w:t>
      </w:r>
      <w:r w:rsidRPr="006076FC">
        <w:rPr>
          <w:lang w:val="en-GB"/>
        </w:rPr>
        <w:lastRenderedPageBreak/>
        <w:t xml:space="preserve">study and written informed consent was obtained prior to inclusion. Participants were given a voucher for £100 for their participation in </w:t>
      </w:r>
      <w:r w:rsidR="00EB69B6">
        <w:rPr>
          <w:lang w:val="en-GB"/>
        </w:rPr>
        <w:t>this</w:t>
      </w:r>
      <w:r w:rsidR="00EB69B6" w:rsidRPr="006076FC">
        <w:rPr>
          <w:lang w:val="en-GB"/>
        </w:rPr>
        <w:t xml:space="preserve"> </w:t>
      </w:r>
      <w:r w:rsidRPr="006076FC">
        <w:rPr>
          <w:lang w:val="en-GB"/>
        </w:rPr>
        <w:t>study.</w:t>
      </w:r>
    </w:p>
    <w:p w14:paraId="7236DE4E" w14:textId="4DEC1D4E" w:rsidR="00563CFC" w:rsidRPr="006076FC" w:rsidRDefault="008B2AB1" w:rsidP="008B2AB1">
      <w:pPr>
        <w:pStyle w:val="MDPI22heading2"/>
        <w:rPr>
          <w:lang w:val="en-GB"/>
        </w:rPr>
      </w:pPr>
      <w:r w:rsidRPr="006076FC">
        <w:rPr>
          <w:lang w:val="en-GB"/>
        </w:rPr>
        <w:t xml:space="preserve">2.2. </w:t>
      </w:r>
      <w:r w:rsidR="00563CFC" w:rsidRPr="006076FC">
        <w:rPr>
          <w:lang w:val="en-GB"/>
        </w:rPr>
        <w:t>Study Design and Procedures</w:t>
      </w:r>
    </w:p>
    <w:p w14:paraId="3DFB521E" w14:textId="663EEBB3" w:rsidR="00563CFC" w:rsidRPr="006076FC" w:rsidRDefault="00563CFC" w:rsidP="008B2AB1">
      <w:pPr>
        <w:pStyle w:val="MDPI31text"/>
        <w:rPr>
          <w:lang w:val="en-GB"/>
        </w:rPr>
      </w:pPr>
      <w:r w:rsidRPr="006076FC">
        <w:rPr>
          <w:lang w:val="en-GB"/>
        </w:rPr>
        <w:t xml:space="preserve">Study procedures were approved by the Liverpool John </w:t>
      </w:r>
      <w:proofErr w:type="spellStart"/>
      <w:r w:rsidRPr="006076FC">
        <w:rPr>
          <w:lang w:val="en-GB"/>
        </w:rPr>
        <w:t>Moores</w:t>
      </w:r>
      <w:proofErr w:type="spellEnd"/>
      <w:r w:rsidRPr="006076FC">
        <w:rPr>
          <w:lang w:val="en-GB"/>
        </w:rPr>
        <w:t xml:space="preserve"> University Ethics Committee (17/SPS/034) and adhered to the Declaration of Helsinki. </w:t>
      </w:r>
      <w:r w:rsidR="00EB69B6">
        <w:rPr>
          <w:lang w:val="en-GB"/>
        </w:rPr>
        <w:t>This</w:t>
      </w:r>
      <w:r w:rsidR="00EB69B6" w:rsidRPr="006076FC">
        <w:rPr>
          <w:lang w:val="en-GB"/>
        </w:rPr>
        <w:t xml:space="preserve"> </w:t>
      </w:r>
      <w:r w:rsidRPr="006076FC">
        <w:rPr>
          <w:lang w:val="en-GB"/>
        </w:rPr>
        <w:t xml:space="preserve">study was conducted between September 2017 to May 2018. </w:t>
      </w:r>
      <w:r w:rsidR="00EB69B6">
        <w:rPr>
          <w:lang w:val="en-GB"/>
        </w:rPr>
        <w:t>This</w:t>
      </w:r>
      <w:r w:rsidR="00EB69B6" w:rsidRPr="006076FC">
        <w:rPr>
          <w:lang w:val="en-GB"/>
        </w:rPr>
        <w:t xml:space="preserve"> </w:t>
      </w:r>
      <w:r w:rsidRPr="006076FC">
        <w:rPr>
          <w:lang w:val="en-GB"/>
        </w:rPr>
        <w:t xml:space="preserve">study was a randomised crossover trial design, consisting of two trials: Intervention and Control. Each trial lasted </w:t>
      </w:r>
      <w:r w:rsidR="00756DBF">
        <w:rPr>
          <w:lang w:val="en-GB"/>
        </w:rPr>
        <w:t>8 week</w:t>
      </w:r>
      <w:r w:rsidRPr="006076FC">
        <w:rPr>
          <w:lang w:val="en-GB"/>
        </w:rPr>
        <w:t xml:space="preserve">s, in line with previous research using this e-health intervention </w:t>
      </w:r>
      <w:r w:rsidRPr="006076FC">
        <w:rPr>
          <w:lang w:val="en-GB"/>
        </w:rPr>
        <w:fldChar w:fldCharType="begin" w:fldLock="1"/>
      </w:r>
      <w:r w:rsidRPr="006076FC">
        <w:rPr>
          <w:lang w:val="en-GB"/>
        </w:rPr>
        <w:instrText>ADDIN CSL_CITATION {"citationItems":[{"id":"ITEM-1","itemData":{"DOI":"10.13189/ujph.2013.010308","abstract":"Desk-based worksites are increasingly the focus of workplace health and wellbeing interventions. These interventions often utilize an educational session prior to participants engaging, yet limited studies have specifically examined the effect education has on compliance. The purpose of this study was to investigate the effect pre-intervention participant education had on the odds of compliance to a passive e-health software program designed to increase non-exercise activity thermogenesis throughout the workday. Participants in the experimental group (n=46) were exposed to multifaceted pre-intervention participant education one day prior to initiating the e-health software intervention for an eight-week study period. The control group (n=33) also received the intervention for eight weeks, however these participants received no education prior to initiation. The e-health software had a self-report progress recording function, which recorded all logged movement entries to gain frequency counts of per day usage. The experimental group logged more active days, more movements per day and was significantly more compliant to the e-health software (OR=1.87, 95% CI = 1.56-2.24). A pre-intervention participant education session, coupled with a passive e-health software program, was an effective mechanism for decreasing prolonged employee sedentary periods and increasing movement throughout the workday.","author":[{"dropping-particle":"","family":"Smith","given":"Lachlan","non-dropping-particle":"","parse-names":false,"suffix":""},{"dropping-particle":"","family":"Pedersen","given":"Scott","non-dropping-particle":"","parse-names":false,"suffix":""},{"dropping-particle":"","family":"Cooley","given":"Dean","non-dropping-particle":"","parse-names":false,"suffix":""}],"container-title":"Universal Journal of Public Health","id":"ITEM-1","issue":"3","issued":{"date-parts":[["2013","1","17"]]},"note":"Exerperimental grop recieved pre intervetnion education one da before exertime software was installed .\nEducation session involved threat awareness associated with prolonged sitting, coping strategies for how to perform PA breaks \n\nResuts:\nexperimental group logged more movement per day\n\neducation plus software was more effective","page":"97-102","title":"The effect of education on compliance to a workplace health and wellbeing intervention: Closing the loop","type":"article-journal","volume":"1"},"uris":["http://www.mendeley.com/documents/?uuid=fedb525d-91ca-40a4-afe2-fa5f98a168c9"]}],"mendeley":{"formattedCitation":"[16]","plainTextFormattedCitation":"[16]","previouslyFormattedCitation":"[16]"},"properties":{"noteIndex":0},"schema":"https://github.com/citation-style-language/schema/raw/master/csl-citation.json"}</w:instrText>
      </w:r>
      <w:r w:rsidRPr="006076FC">
        <w:rPr>
          <w:lang w:val="en-GB"/>
        </w:rPr>
        <w:fldChar w:fldCharType="separate"/>
      </w:r>
      <w:r w:rsidRPr="006076FC">
        <w:rPr>
          <w:noProof/>
          <w:lang w:val="en-GB"/>
        </w:rPr>
        <w:t>[16]</w:t>
      </w:r>
      <w:r w:rsidRPr="006076FC">
        <w:rPr>
          <w:lang w:val="en-GB"/>
        </w:rPr>
        <w:fldChar w:fldCharType="end"/>
      </w:r>
      <w:r w:rsidRPr="006076FC">
        <w:rPr>
          <w:lang w:val="en-GB"/>
        </w:rPr>
        <w:t xml:space="preserve"> and feasibility studies exploring interventions to reduce workplace sitting </w:t>
      </w:r>
      <w:r w:rsidRPr="006076FC">
        <w:rPr>
          <w:lang w:val="en-GB"/>
        </w:rPr>
        <w:fldChar w:fldCharType="begin" w:fldLock="1"/>
      </w:r>
      <w:r w:rsidRPr="006076FC">
        <w:rPr>
          <w:lang w:val="en-GB"/>
        </w:rPr>
        <w:instrText>ADDIN CSL_CITATION {"citationItems":[{"id":"ITEM-1","itemData":{"DOI":"10.1186/s12889-015-2469-8","ISSN":"1471-2458","PMID":"26584856","abstract":"BACKGROUND Excessive sitting time is a risk factor for cardiovascular disease mortality and morbidity independent of physical activity. This aim of this study was to evaluate the impact of a sit-stand workstation on sitting time, and vascular, metabolic and musculoskeletal outcomes in office workers, and to investigate workstation acceptability and feasibility. METHODS A two-arm, parallel-group, individually randomised controlled trial was conducted in one organisation. Participants were asymptomatic full-time office workers aged ≥18 years. Each participant in the intervention arm had a sit-stand workstation installed on their workplace desk for 8 weeks. Participants in the control arm received no intervention. The primary outcome was workplace sitting time, assessed at 0, 4 and 8 weeks by an ecological momentary assessment diary. Secondary behavioural, cardiometabolic and musculoskeletal outcomes were assessed. Acceptability and feasibility were assessed via questionnaire and interview. ANCOVA and magnitude-based inferences examined intervention effects relative to controls at 4 and 8 weeks. Participants and researchers were not blind to group allocation. RESULTS Forty-seven participants were randomised (intervention n = 26; control n = 21). Relative to the control group at 8 weeks, the intervention group had a beneficial decrease in sitting time (-80.2 min/8-h workday (95 % CI = -129.0, -31.4); p = 0.002), increase in standing time (72.9 min/8-h workday (21.2, 124.6); p = 0.007) and decrease in total cholesterol (-0.40 mmol/L (-0.79, -0.003); p = 0.049). No harmful changes in musculoskeletal discomfort/pain were observed relative to controls, and beneficial changes in flow-mediated dilation and diastolic blood pressure were observed. Most participants self-reported that the workstation was easy to use and their work-related productivity did not decrease when using the device. Factors that negatively influenced workstation use were workstation design, the social environment, work tasks and habits. CONCLUSION Short-term use of a feasible sit-stand workstation reduced daily sitting time and led to beneficial improvements in cardiometabolic risk parameters in asymptomatic office workers. These findings imply that if the observed use of the sit-stand workstations continued over a longer duration, sit-stand workstations may have important ramifications for the prevention and reduction of cardiometabolic risk in a large proportion of the working population. …","author":[{"dropping-particle":"","family":"Graves","given":"Lee E F","non-dropping-particle":"","parse-names":false,"suffix":""},{"dropping-particle":"","family":"Murphy","given":"Rebecca C","non-dropping-particle":"","parse-names":false,"suffix":""},{"dropping-particle":"","family":"Shepherd","given":"Sam O.","non-dropping-particle":"","parse-names":false,"suffix":""},{"dropping-particle":"","family":"Cabot","given":"Josephine","non-dropping-particle":"","parse-names":false,"suffix":""},{"dropping-particle":"","family":"Hopkins","given":"Nicola D.","non-dropping-particle":"","parse-names":false,"suffix":""}],"container-title":"BMC public health","id":"ITEM-1","issue":"1","issued":{"date-parts":[["2015","11","19"]]},"note":"8 weeks sit-stand desks\n\nResults:\ntotal choleseterol reduced\nnot sig, but improvemnt in brachial FMD and diastolic BP obsereved","page":"1145","publisher":"BMC Public Health","title":"Evaluation of sit-stand workstations in an office setting: a randomised controlled trial","type":"article-journal","volume":"15"},"uris":["http://www.mendeley.com/documents/?uuid=29549656-9c3f-4daf-8eee-84a2eedf13b9"]},{"id":"ITEM-2","itemData":{"DOI":"10.1186/s12889-019-6615-6","ISSN":"14712458","abstract":"Background: Call agents spend ~ 90% of their working day seated, which may negatively impact health, productivity, and wellbeing. This study aimed to explore the acceptability and feasibility of a multi-component workplace intervention targeting increased activity and decreased prolonged sitting in the contact centre setting prior to a full-scale effectiveness trial. Methods: An 8-week non-randomised pre-post feasibility study was conducted. Using a mixed methods approach, focus groups and interviews were thematically analysed to explore the acceptability and feasibility of key study phases, and provide context to agents' process evaluation and survey responses. The multi-component intervention, conducted in a single call centre, included height-adjustable workstations, emails, education and training sessions, and support from team leaders and a workplace champion. Results: Six (of 20) team leaders were recruited, with 17 of 84 call agents (78% female, 39.3 ± 11.9 years) completing baseline assessments and 13 completing follow-up. High workload influenced recruitment. Call agents perceived assessments as acceptable, though strategies are needed to enhance fidelity. Education sessions, height-adjustable workstations and emails were perceived as the most effective components; however, height-adjustable hot-desks were not perceived as feasible in this setting. Conclusions: This study has identified unique, pragmatic considerations for conducting a multi-level, multi-component PA and SB intervention and associated evaluation in highly sedentary call agents in the challenging contact centre setting. The intervention was largely perceived positively, with call agents and team leaders describing numerous perceived positive effects on behavioural, health and work-related outcomes. Findings will be of value to researchers attempting to intervene in contact centres and will be used by the current authors to design a subsequent trial.","author":[{"dropping-particle":"","family":"Morris","given":"Abigail S.","non-dropping-particle":"","parse-names":false,"suffix":""},{"dropping-particle":"","family":"Murphy","given":"Rebecca C.","non-dropping-particle":"","parse-names":false,"suffix":""},{"dropping-particle":"","family":"Shepherd","given":"Sam O.","non-dropping-particle":"","parse-names":false,"suffix":""},{"dropping-particle":"","family":"Healy","given":"Genevieve N.","non-dropping-particle":"","parse-names":false,"suffix":""},{"dropping-particle":"","family":"Edwardson","given":"Charlotte L.","non-dropping-particle":"","parse-names":false,"suffix":""},{"dropping-particle":"","family":"Graves","given":"Lee E.F.","non-dropping-particle":"","parse-names":false,"suffix":""}],"container-title":"BMC Public Health","id":"ITEM-2","issue":"1","issued":{"date-parts":[["2019"]]},"page":"1-17","publisher":"BMC Public Health","title":"A multi-component intervention to sit less and move more in a contact centre setting: A feasibility study","type":"article-journal","volume":"19"},"uris":["http://www.mendeley.com/documents/?uuid=e0409062-0a82-418f-94b1-77edced743af"]}],"mendeley":{"formattedCitation":"[17,18]","plainTextFormattedCitation":"[17,18]","previouslyFormattedCitation":"[17,18]"},"properties":{"noteIndex":0},"schema":"https://github.com/citation-style-language/schema/raw/master/csl-citation.json"}</w:instrText>
      </w:r>
      <w:r w:rsidRPr="006076FC">
        <w:rPr>
          <w:lang w:val="en-GB"/>
        </w:rPr>
        <w:fldChar w:fldCharType="separate"/>
      </w:r>
      <w:r w:rsidRPr="006076FC">
        <w:rPr>
          <w:noProof/>
          <w:lang w:val="en-GB"/>
        </w:rPr>
        <w:t>[17,18]</w:t>
      </w:r>
      <w:r w:rsidRPr="006076FC">
        <w:rPr>
          <w:lang w:val="en-GB"/>
        </w:rPr>
        <w:fldChar w:fldCharType="end"/>
      </w:r>
      <w:r w:rsidRPr="006076FC">
        <w:rPr>
          <w:lang w:val="en-GB"/>
        </w:rPr>
        <w:t xml:space="preserve">. Trials were separated by a </w:t>
      </w:r>
      <w:proofErr w:type="gramStart"/>
      <w:r w:rsidRPr="006076FC">
        <w:rPr>
          <w:lang w:val="en-GB"/>
        </w:rPr>
        <w:t>6</w:t>
      </w:r>
      <w:r w:rsidR="009B532D">
        <w:rPr>
          <w:lang w:val="en-GB"/>
        </w:rPr>
        <w:t xml:space="preserve"> </w:t>
      </w:r>
      <w:r w:rsidRPr="006076FC">
        <w:rPr>
          <w:lang w:val="en-GB"/>
        </w:rPr>
        <w:t>week</w:t>
      </w:r>
      <w:proofErr w:type="gramEnd"/>
      <w:r w:rsidRPr="006076FC">
        <w:rPr>
          <w:lang w:val="en-GB"/>
        </w:rPr>
        <w:t xml:space="preserve"> wash-out period. Participants were randomly assigned the order they completed trials by the principal researcher using computer-generated random numbers. During the Intervention trial participants used the e-health software to break up their workplace sitting, whilst in the Control trial participants did not have access to the software and were asked to maintain their normal workplace activity patterns. Participants and researchers were not blinded to group allocation. One week prior to commencing each trial (PRE), participants attended the laboratories at Liverpool John </w:t>
      </w:r>
      <w:proofErr w:type="spellStart"/>
      <w:r w:rsidRPr="006076FC">
        <w:rPr>
          <w:lang w:val="en-GB"/>
        </w:rPr>
        <w:t>Moores</w:t>
      </w:r>
      <w:proofErr w:type="spellEnd"/>
      <w:r w:rsidRPr="006076FC">
        <w:rPr>
          <w:lang w:val="en-GB"/>
        </w:rPr>
        <w:t xml:space="preserve"> University to complete measurements of vascular function, cerebrovascular function, mood and work productivity. Participants were then fitted with an activity monitor to measure their sitting, standing and stepping time, which was worn continuously for the next seven consecutive days. Immediately following this, the </w:t>
      </w:r>
      <w:proofErr w:type="gramStart"/>
      <w:r w:rsidR="00756DBF">
        <w:rPr>
          <w:lang w:val="en-GB"/>
        </w:rPr>
        <w:t>8 week</w:t>
      </w:r>
      <w:proofErr w:type="gramEnd"/>
      <w:r w:rsidRPr="006076FC">
        <w:rPr>
          <w:lang w:val="en-GB"/>
        </w:rPr>
        <w:t xml:space="preserve"> trial began. Sitting, standing and stepping time were assessed again during the final week of the trial (</w:t>
      </w:r>
      <w:r w:rsidR="00E154E5">
        <w:rPr>
          <w:lang w:val="en-GB"/>
        </w:rPr>
        <w:t>w</w:t>
      </w:r>
      <w:r w:rsidR="00E154E5" w:rsidRPr="006076FC">
        <w:rPr>
          <w:lang w:val="en-GB"/>
        </w:rPr>
        <w:t xml:space="preserve">eek </w:t>
      </w:r>
      <w:r w:rsidRPr="006076FC">
        <w:rPr>
          <w:lang w:val="en-GB"/>
        </w:rPr>
        <w:t xml:space="preserve">8). All other measures were then repeated directly after the </w:t>
      </w:r>
      <w:proofErr w:type="gramStart"/>
      <w:r w:rsidR="00756DBF">
        <w:rPr>
          <w:lang w:val="en-GB"/>
        </w:rPr>
        <w:t>8 week</w:t>
      </w:r>
      <w:proofErr w:type="gramEnd"/>
      <w:r w:rsidRPr="006076FC">
        <w:rPr>
          <w:lang w:val="en-GB"/>
        </w:rPr>
        <w:t xml:space="preserve"> trial (POST) (Figure 1).</w:t>
      </w:r>
    </w:p>
    <w:p w14:paraId="67CAF9AD" w14:textId="77777777" w:rsidR="00563CFC" w:rsidRPr="006076FC" w:rsidRDefault="00563CFC" w:rsidP="000D0FB1">
      <w:pPr>
        <w:pStyle w:val="MDPI52figure"/>
        <w:adjustRightInd w:val="0"/>
        <w:snapToGrid w:val="0"/>
        <w:spacing w:before="240"/>
        <w:rPr>
          <w:lang w:val="en-GB"/>
        </w:rPr>
      </w:pPr>
      <w:r w:rsidRPr="006076FC">
        <w:rPr>
          <w:noProof/>
          <w:lang w:val="en-GB" w:eastAsia="zh-CN" w:bidi="ar-SA"/>
        </w:rPr>
        <w:drawing>
          <wp:inline distT="0" distB="0" distL="0" distR="0" wp14:anchorId="247848ED" wp14:editId="4FE72858">
            <wp:extent cx="5563235" cy="2560320"/>
            <wp:effectExtent l="0" t="0" r="0" b="0"/>
            <wp:docPr id="6"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3235" cy="2560320"/>
                    </a:xfrm>
                    <a:prstGeom prst="rect">
                      <a:avLst/>
                    </a:prstGeom>
                    <a:noFill/>
                    <a:ln>
                      <a:noFill/>
                    </a:ln>
                  </pic:spPr>
                </pic:pic>
              </a:graphicData>
            </a:graphic>
          </wp:inline>
        </w:drawing>
      </w:r>
    </w:p>
    <w:p w14:paraId="4E98C17B" w14:textId="0E1A4295" w:rsidR="00563CFC" w:rsidRPr="006076FC" w:rsidRDefault="008B2AB1" w:rsidP="008B2AB1">
      <w:pPr>
        <w:pStyle w:val="MDPI51figurecaption"/>
        <w:jc w:val="center"/>
        <w:rPr>
          <w:lang w:val="en-GB"/>
        </w:rPr>
      </w:pPr>
      <w:r w:rsidRPr="006076FC">
        <w:rPr>
          <w:b/>
          <w:bCs/>
          <w:lang w:val="en-GB"/>
        </w:rPr>
        <w:t xml:space="preserve">Figure 1. </w:t>
      </w:r>
      <w:r w:rsidR="00563CFC" w:rsidRPr="006076FC">
        <w:rPr>
          <w:lang w:val="en-GB"/>
        </w:rPr>
        <w:t>Study design.</w:t>
      </w:r>
    </w:p>
    <w:p w14:paraId="554371E3" w14:textId="70910B62" w:rsidR="00563CFC" w:rsidRPr="006076FC" w:rsidRDefault="008B2AB1" w:rsidP="008B2AB1">
      <w:pPr>
        <w:pStyle w:val="MDPI22heading2"/>
        <w:rPr>
          <w:lang w:val="en-GB"/>
        </w:rPr>
      </w:pPr>
      <w:r w:rsidRPr="006076FC">
        <w:rPr>
          <w:lang w:val="en-GB"/>
        </w:rPr>
        <w:t xml:space="preserve">2.3. </w:t>
      </w:r>
      <w:r w:rsidR="00563CFC" w:rsidRPr="006076FC">
        <w:rPr>
          <w:lang w:val="en-GB"/>
        </w:rPr>
        <w:t>e-Health Intervention</w:t>
      </w:r>
    </w:p>
    <w:p w14:paraId="1774F905" w14:textId="70046747" w:rsidR="00563CFC" w:rsidRPr="006076FC" w:rsidRDefault="00563CFC" w:rsidP="008B2AB1">
      <w:pPr>
        <w:pStyle w:val="MDPI31text"/>
        <w:rPr>
          <w:color w:val="auto"/>
          <w:lang w:val="en-GB" w:eastAsia="en-US"/>
        </w:rPr>
      </w:pPr>
      <w:r w:rsidRPr="006076FC">
        <w:rPr>
          <w:lang w:val="en-GB"/>
        </w:rPr>
        <w:t xml:space="preserve">The e-health computer-based software, </w:t>
      </w:r>
      <w:proofErr w:type="spellStart"/>
      <w:r w:rsidRPr="006076FC">
        <w:rPr>
          <w:lang w:val="en-GB"/>
        </w:rPr>
        <w:t>Exertime</w:t>
      </w:r>
      <w:proofErr w:type="spellEnd"/>
      <w:r w:rsidRPr="006076FC">
        <w:rPr>
          <w:lang w:val="en-GB"/>
        </w:rPr>
        <w:t xml:space="preserve">, was remotely installed onto the participant’s work computer the morning after the baseline activity monitoring period. </w:t>
      </w:r>
      <w:proofErr w:type="spellStart"/>
      <w:r w:rsidRPr="006076FC">
        <w:rPr>
          <w:lang w:val="en-GB"/>
        </w:rPr>
        <w:t>Exertime</w:t>
      </w:r>
      <w:proofErr w:type="spellEnd"/>
      <w:r w:rsidRPr="006076FC">
        <w:rPr>
          <w:lang w:val="en-GB"/>
        </w:rPr>
        <w:t xml:space="preserve"> is designed to prompt employees to interrupt prolonged sitting with brief bouts of PA during work hours </w:t>
      </w:r>
      <w:r w:rsidRPr="006076FC">
        <w:rPr>
          <w:lang w:val="en-GB"/>
        </w:rPr>
        <w:fldChar w:fldCharType="begin" w:fldLock="1"/>
      </w:r>
      <w:r w:rsidRPr="006076FC">
        <w:rPr>
          <w:lang w:val="en-GB"/>
        </w:rPr>
        <w:instrText>ADDIN CSL_CITATION {"citationItems":[{"id":"ITEM-1","itemData":{"DOI":"10.1108/IJWHM-01-2015-0005","ISSN":"1753-8351","author":[{"dropping-particle":"","family":"Mainsbridge","given":"Casey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Management","id":"ITEM-1","issue":"2","issued":{"date-parts":[["2016","6","13"]]},"note":"Detailed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sitting","type":"article-journal","volume":"9"},"uris":["http://www.mendeley.com/documents/?uuid=32631e9e-6bf3-420b-b955-3a9fdb164f42"]},{"id":"ITEM-2","itemData":{"DOI":"10.3233/WOR-131644","ISBN":"1875-9270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-2","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[10,11]","plainTextFormattedCitation":"[10,11]","previouslyFormattedCitation":"[10,11]"},"properties":{"noteIndex":0},"schema":"https://github.com/citation-style-language/schema/raw/master/csl-citation.json"}</w:instrText>
      </w:r>
      <w:r w:rsidRPr="006076FC">
        <w:rPr>
          <w:lang w:val="en-GB"/>
        </w:rPr>
        <w:fldChar w:fldCharType="separate"/>
      </w:r>
      <w:r w:rsidRPr="006076FC">
        <w:rPr>
          <w:noProof/>
          <w:lang w:val="en-GB"/>
        </w:rPr>
        <w:t>[10,11]</w:t>
      </w:r>
      <w:r w:rsidRPr="006076FC">
        <w:rPr>
          <w:lang w:val="en-GB"/>
        </w:rPr>
        <w:fldChar w:fldCharType="end"/>
      </w:r>
      <w:r w:rsidRPr="006076FC">
        <w:rPr>
          <w:lang w:val="en-GB"/>
        </w:rPr>
        <w:t xml:space="preserve"> and is based on the habit formation theory </w:t>
      </w:r>
      <w:r w:rsidRPr="006076FC">
        <w:rPr>
          <w:lang w:val="en-GB"/>
        </w:rPr>
        <w:fldChar w:fldCharType="begin" w:fldLock="1"/>
      </w:r>
      <w:r w:rsidRPr="006076FC">
        <w:rPr>
          <w:lang w:val="en-GB"/>
        </w:rPr>
        <w:instrText>ADDIN CSL_CITATION {"citationItems":[{"id":"ITEM-1","itemData":{"DOI":"10.3399/bjgp12X659466","ISSN":"09601643","PMID":"23211256","author":[{"dropping-particle":"","family":"Gardner","given":"Benjamin","non-dropping-particle":"","parse-names":false,"suffix":""},{"dropping-particle":"","family":"Lally","given":"Phillippa","non-dropping-particle":"","parse-names":false,"suffix":""},{"dropping-particle":"","family":"Wardle","given":"Jane","non-dropping-particle":"","parse-names":false,"suffix":""}],"container-title":"British Journal of General Practice","id":"ITEM-1","issue":"605","issued":{"date-parts":[["2012"]]},"page":"664-666","title":"Making health habitual: The psychology of 'habit-formation' and general practice","type":"article-journal","volume":"62"},"uris":["http://www.mendeley.com/documents/?uuid=12a53298-0818-4ebc-a098-4e7352f77a31"]},{"id":"ITEM-2","itemData":{"DOI":"10.3233/WOR-131644","ISBN":"1875-9270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-2","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[11,19]","plainTextFormattedCitation":"[11,19]"},"properties":{"noteIndex":0},"schema":"https://github.com/citation-style-language/schema/raw/master/csl-citation.json"}</w:instrText>
      </w:r>
      <w:r w:rsidRPr="006076FC">
        <w:rPr>
          <w:lang w:val="en-GB"/>
        </w:rPr>
        <w:fldChar w:fldCharType="separate"/>
      </w:r>
      <w:r w:rsidRPr="006076FC">
        <w:rPr>
          <w:noProof/>
          <w:lang w:val="en-GB"/>
        </w:rPr>
        <w:t>[11,19]</w:t>
      </w:r>
      <w:r w:rsidRPr="006076FC">
        <w:rPr>
          <w:lang w:val="en-GB"/>
        </w:rPr>
        <w:fldChar w:fldCharType="end"/>
      </w:r>
      <w:r w:rsidRPr="006076FC">
        <w:rPr>
          <w:lang w:val="en-GB"/>
        </w:rPr>
        <w:t>. The software provides more than 60 office-based PA options</w:t>
      </w:r>
      <w:r w:rsidR="00534699">
        <w:rPr>
          <w:lang w:val="en-GB"/>
        </w:rPr>
        <w:t>.</w:t>
      </w:r>
      <w:r w:rsidRPr="006076FC">
        <w:rPr>
          <w:lang w:val="en-GB"/>
        </w:rPr>
        <w:t xml:space="preserve"> </w:t>
      </w:r>
      <w:r w:rsidR="00534699">
        <w:rPr>
          <w:lang w:val="en-GB"/>
        </w:rPr>
        <w:t>H</w:t>
      </w:r>
      <w:r w:rsidRPr="006076FC">
        <w:rPr>
          <w:lang w:val="en-GB"/>
        </w:rPr>
        <w:t>owever</w:t>
      </w:r>
      <w:r w:rsidR="00534699">
        <w:rPr>
          <w:lang w:val="en-GB"/>
        </w:rPr>
        <w:t>,</w:t>
      </w:r>
      <w:r w:rsidRPr="006076FC">
        <w:rPr>
          <w:lang w:val="en-GB"/>
        </w:rPr>
        <w:t xml:space="preserve"> since previous findings indicate beneficial cardiovascular effects from breaking up sitting with acute walking breaks </w:t>
      </w:r>
      <w:r w:rsidRPr="006076FC">
        <w:rPr>
          <w:lang w:val="en-GB"/>
        </w:rPr>
        <w:fldChar w:fldCharType="begin" w:fldLock="1"/>
      </w:r>
      <w:r w:rsidRPr="006076FC">
        <w:rPr>
          <w:lang w:val="en-GB"/>
        </w:rPr>
        <w:instrText>ADDIN CSL_CITATION {"citationItems":[{"id":"ITEM-1","itemData":{"DOI":"10.1152/japplphysiol.00310.2018","ISSN":"8750-7587","PMID":"29878870","abstract":"Decreased cerebrovascular blood flow and function are associated with lower cognitive functioning and increased risk of neurodegenerative diseases. Prolonged sitting impairs peripheral blood flow and function, but its effects on the cerebrovasculature are unknown. This study explored the effect of uninterrupted sitting and breaking up sitting time on cerebrovascular blood flow and function of healthy desk workers. Fifteen participants (10 male, 35.8{plus minus}10.2 years, BMI: 25.5{plus minus}3.2 kg∙m-2) completed, on separate days, three 4-hr conditions in a randomised order: a) uninterrupted sitting (SIT), b) sitting with 2-min light intensity walking breaks every 30-min (2WALK) or c) sitting with 8-min light intensity walking breaks every 2-hrs (8WALK). At baseline and 4-hrs, middle cerebral artery blood flow velocity (MCAv), carbon dioxide reactivity (CVR) of the MCA and carotid artery were measured using transcranial Doppler (TCD) and duplex ultrasound respectively. Cerebral autoregulation (CA) was assessed with TCD using a squat-stand protocol and analysed to generate values of gain and phase in the very low, low, and high frequencies. There was a significant decline in SIT MCAv (-3.2{plus minus}1.2 cm.s-1) compared to 2WALK (0.6{plus minus}1.5 cm.s-1, p=0.02), but not between SIT and 8WALK (-1.2{plus minus}1.0 cm.s-1, p=0.14). For CA, the change in 2WALK very low frequency phase (4.47{plus minus}4.07 degrees) was significantly greater than SIT (-3.38{plus minus}2.82 degrees, p=0.02). There was no significant change in MCA or carotid artery CVR (p&amp;gt;0.05). Results indicate that prolonged, uninterrupted sitting in healthy desk workers reduces cerebral blood flow, however this is offset when frequent, short-duration walking breaks are incorporated.","author":[{"dropping-particle":"","family":"Carter","given":"Sophie E","non-dropping-particle":"","parse-names":false,"suffix":""},{"dropping-particle":"","family":"Draijer","given":"Richard","non-dropping-particle":"","parse-names":false,"suffix":""},{"dropping-particle":"","family":"Holder","given":"Sophie M","non-dropping-particle":"","parse-names":false,"suffix":""},{"dropping-particle":"","family":"Brown","given":"Louise","non-dropping-particle":"","parse-names":false,"suffix":""},{"dropping-particle":"","family":"Thijssen","given":"Dick H J","non-dropping-particle":"","parse-names":false,"suffix":""},{"dropping-particle":"","family":"Hopkins","given":"Nicola D","non-dropping-particle":"","parse-names":false,"suffix":""}],"container-title":"Journal of Applied Physiology","id":"ITEM-1","issue":"3","issued":{"date-parts":[["2018","9","7"]]},"page":"790-798","title":"Regular walking breaks prevent the decline in cerebral blood flow associated with prolonged sitting","type":"article-journal","volume":"125"},"uris":["http://www.mendeley.com/documents/?uuid=b5fb4ac7-80e4-4811-bda2-94adc6355a88"]},{"id":"ITEM-2","itemData":{"DOI":"10.1249/MSS.0000000000000479","ISBN":"0000000000000","ISSN":"1530-0315","PMID":"25137367","abstract":"UNLABELLED Sitting time (ST) is associated with cardiovascular disease risk factors, whereas breaking ST has been reported to be beneficial for reducing cardiovascular risk. PURPOSE The objective of this study is to examine the effects of breaking ST on superficial femoral artery (SFA) endothelial function. HYPOTHESES 1) Prolonged sitting would induce endothelial dysfunction and changes in shear forces, and 2) breaking ST with brief periods of activity would prevent attenuation in endothelial function. METHODS Twelve nonobese men (24.2 ± 4.2 yr) participated in two randomized 3-h sitting trials. In the sitting (SIT) trial, subjects were seated on a firmly cushioned chair for 3 h without moving their lower extremities. In the breaking ST trial (ACT), subjects sat similar to the SIT trial but walked on a treadmill for 5 min at 2 mph at 30 min, 1 h 30 min, and 2 h 30 min during the sitting interval. SFA flow-mediated dilation (FMD) was assessed at baseline, 1 h, 2 h, and 3 h in each trial. Statistical analyses were performed using dependent variables SFA FMD and shear rates. Significance was set at P ≤ 0.05. RESULTS In the SIT trial, there was a significant decline in SFA FMD from baseline to 3 h (baseline, 4.72% ± 3.78%; 1 h, 0.52% ± 0.85%; 2 h, 1.66% ± 1.11%; 3 h, 2.2% ± 2.15; P &lt; 0.05 by ANOVA) accompanied by a decline in mean shear rate and antegrade shear rate but no difference in shear rate (area under the curve). By two-way repeated-measures ANOVA, ACT prevented the sitting-induced decline in FMD (baseline, 4.5% ± 2.3%; 1 h, 5.04% ± 2.85%; 2 h, 5.28% ± 5.05%; 3 h, 6.9% ± 4.5%) along with no decline in shear rates. CONCLUSION Three hours of sitting resulted in a significant impairment in shear rate and SFA FMD. When light activity breaks were introduced hourly during sitting, the decline in FMD was prevented.","author":[{"dropping-particle":"","family":"Thosar","given":"Saurabh S.","non-dropping-particle":"","parse-names":false,"suffix":""},{"dropping-particle":"","family":"Bielko","given":"Sylvanna L","non-dropping-particle":"","parse-names":false,"suffix":""},{"dropping-particle":"","family":"Mather","given":"Kieren J","non-dropping-particle":"","parse-names":false,"suffix":""},{"dropping-particle":"","family":"Johnston","given":"Jeanne D","non-dropping-particle":"","parse-names":false,"suffix":""},{"dropping-particle":"","family":"Wallace","given":"Janet P","non-dropping-particle":"","parse-names":false,"suffix":""}],"container-title":"Medicine and science in sports and exercise","id":"ITEM-2","issue":"4","issued":{"date-parts":[["2015","4"]]},"note":"Method:\nSit 3 hours v 5 min walk every hour (30, 1,30 and 2,30)\nNot permitted to move legs while seated\nSuperfical femoral FMD at pre, 1,2,3 hrs\n\nResults:\nSitting: FMD redued over 3 hours; antegrade SR decreased;mean SR decreases, no sig decrease in retrograde or peak SR\nSit v Walk: FMD sig reduced at 1,2and 3hr\n\nBreaks prevented the attenuation of FMD with sitting\nPotential mechanims: lower shear rates, increases blood viscosity, increase MSNA","page":"843-9","title":"Effect of prolonged sitting and breaks in sitting time on endothelial function","type":"article-journal","volume":"47"},"uris":["http://www.mendeley.com/documents/?uuid=f85bf6e4-a00c-46a4-b968-78a7312ac983"]}],"mendeley":{"formattedCitation":"[20,21]","plainTextFormattedCitation":"[20,21]","previouslyFormattedCitation":"[19,20]"},"properties":{"noteIndex":0},"schema":"https://github.com/citation-style-language/schema/raw/master/csl-citation.json"}</w:instrText>
      </w:r>
      <w:r w:rsidRPr="006076FC">
        <w:rPr>
          <w:lang w:val="en-GB"/>
        </w:rPr>
        <w:fldChar w:fldCharType="separate"/>
      </w:r>
      <w:r w:rsidRPr="006076FC">
        <w:rPr>
          <w:noProof/>
          <w:lang w:val="en-GB"/>
        </w:rPr>
        <w:t>[20,21]</w:t>
      </w:r>
      <w:r w:rsidRPr="006076FC">
        <w:rPr>
          <w:lang w:val="en-GB"/>
        </w:rPr>
        <w:fldChar w:fldCharType="end"/>
      </w:r>
      <w:r w:rsidRPr="006076FC">
        <w:rPr>
          <w:lang w:val="en-GB"/>
        </w:rPr>
        <w:t xml:space="preserve">, activity selection was limited to walking. To promote uptake of the software, on the morning that the software was remotely installed, participants were emailed an educational e-booklet about the importance of reducing their sitting time and instructions on how to initialise the software. Educational information has been used previously with the software </w:t>
      </w:r>
      <w:r w:rsidRPr="006076FC">
        <w:rPr>
          <w:lang w:val="en-GB"/>
        </w:rPr>
        <w:fldChar w:fldCharType="begin" w:fldLock="1"/>
      </w:r>
      <w:r w:rsidRPr="006076FC">
        <w:rPr>
          <w:lang w:val="en-GB"/>
        </w:rPr>
        <w:instrText>ADDIN CSL_CITATION {"citationItems":[{"id":"ITEM-1","itemData":{"DOI":"10.1097/JOM.0000000000000243","ISBN":"0000000000000","ISSN":"1536-5948","PMID":"25376414","abstract":"OBJECTIVE: To evaluate the effect of a workplace health intervention designed to reduce prolonged occupational sitting on the mean arterial pressure (MAP) of desk-based employees. METHODS: This randomized controlled trial involved an experimental group who received an e-health intervention and a control group who did not. The 13-week intervention passively prompted participants to stand and engage in short bouts of office-based physical activity by interrupting prolonged occupational sitting time periodically throughout the workday. Mean arterial pressure was measured at pretest and posttest. RESULTS: Between pretest and posttest the experimental group significantly reduced their MAP, whereas MAP in the control group did not. CONCLUSIONS: A workplace e-health intervention designed to reduce prolonged occupational sitting was effective in decreasing MAP in desk-based employees.","author":[{"dropping-particle":"","family":"Mainsbridge","given":"Casey P","non-dropping-particle":"","parse-names":false,"suffix":""},{"dropping-particle":"","family":"Cooley","given":"Paul D","non-dropping-particle":"","parse-names":false,"suffix":""},{"dropping-particle":"","family":"Fraser","given":"Sharon P","non-dropping-particle":"","parse-names":false,"suffix":""},{"dropping-particle":"","family":"Pedersen","given":"Scott J","non-dropping-particle":"","parse-names":false,"suffix":""}],"container-title":"Journal of occupational and environmental medicine","id":"ITEM-1","issue":"11","issued":{"date-parts":[["2014"]]},"note":"METHODS\nexperimental group with exertime v.s control group \n13 week intervention\neducational session given prior to starting intervention \nMAP measured pre and post \n\nRESULTS\nexperimental group sig. decreased MAP pre v. post\n\n\nIn terms of\nthe duration of breaks from sitting, the e-health software prompted\nparticipants in the experimental group to engage in activity for 7.99± 4.44 minutes per day by performing short-burst physical activities\n6.28 ± 3.59 times per workday. The average time for each bout of NEPA was 1.34 ± 0.74 minutes.","page":"1189-94","title":"The effect of an e-health intervention designed to reduce prolonged occupational sitting on mean arterial pressure","type":"article-journal","volume":"56"},"uris":["http://www.mendeley.com/documents/?uuid=dc275069-0fec-4e29-bb4e-2afcf027fc94"]},{"id":"ITEM-2","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Management","id":"ITEM-2","issue":"2","issued":{"date-parts":[["2016","6","13"]]},"note":"Detailed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sitting","type":"article-journal","volume":"9"},"uris":["http://www.mendeley.com/documents/?uuid=32631e9e-6bf3-420b-b955-3a9fdb164f42"]},{"id":"ITEM-3","itemData":{"DOI":"10.3233/WOR-131644","ISBN":"1875-9270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-3","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[9–11]","plainTextFormattedCitation":"[9–11]","previouslyFormattedCitation":"[9–11]"},"properties":{"noteIndex":0},"schema":"https://github.com/citation-style-language/schema/raw/master/csl-citation.json"}</w:instrText>
      </w:r>
      <w:r w:rsidRPr="006076FC">
        <w:rPr>
          <w:lang w:val="en-GB"/>
        </w:rPr>
        <w:fldChar w:fldCharType="separate"/>
      </w:r>
      <w:r w:rsidRPr="006076FC">
        <w:rPr>
          <w:noProof/>
          <w:lang w:val="en-GB"/>
        </w:rPr>
        <w:t>[9–11]</w:t>
      </w:r>
      <w:r w:rsidRPr="006076FC">
        <w:rPr>
          <w:lang w:val="en-GB"/>
        </w:rPr>
        <w:fldChar w:fldCharType="end"/>
      </w:r>
      <w:r w:rsidRPr="006076FC">
        <w:rPr>
          <w:lang w:val="en-GB"/>
        </w:rPr>
        <w:t xml:space="preserve"> and increased its effectiveness in reducing prolonged sitting </w:t>
      </w:r>
      <w:r w:rsidRPr="006076FC">
        <w:rPr>
          <w:lang w:val="en-GB"/>
        </w:rPr>
        <w:fldChar w:fldCharType="begin" w:fldLock="1"/>
      </w:r>
      <w:r w:rsidRPr="006076FC">
        <w:rPr>
          <w:lang w:val="en-GB"/>
        </w:rPr>
        <w:instrText>ADDIN CSL_CITATION {"citationItems":[{"id":"ITEM-1","itemData":{"DOI":"10.13189/ujph.2013.010308","abstract":"Desk-based worksites are increasingly the focus of workplace health and wellbeing interventions. These interventions often utilize an educational session prior to participants engaging, yet limited studies have specifically examined the effect education has on compliance. The purpose of this study was to investigate the effect pre-intervention participant education had on the odds of compliance to a passive e-health software program designed to increase non-exercise activity thermogenesis throughout the workday. Participants in the experimental group (n=46) were exposed to multifaceted pre-intervention participant education one day prior to initiating the e-health software intervention for an eight-week study period. The control group (n=33) also received the intervention for eight weeks, however these participants received no education prior to initiation. The e-health software had a self-report progress recording function, which recorded all logged movement entries to gain frequency counts of per day usage. The experimental group logged more active days, more movements per day and was significantly more compliant to the e-health software (OR=1.87, 95% CI = 1.56-2.24). A pre-intervention participant education session, coupled with a passive e-health software program, was an effective mechanism for decreasing prolonged employee sedentary periods and increasing movement throughout the workday.","author":[{"dropping-particle":"","family":"Smith","given":"Lachlan","non-dropping-particle":"","parse-names":false,"suffix":""},{"dropping-particle":"","family":"Pedersen","given":"Scott","non-dropping-particle":"","parse-names":false,"suffix":""},{"dropping-particle":"","family":"Cooley","given":"Dean","non-dropping-particle":"","parse-names":false,"suffix":""}],"container-title":"Universal Journal of Public Health","id":"ITEM-1","issue":"3","issued":{"date-parts":[["2013","1","17"]]},"note":"Exerperimental grop recieved pre intervetnion education one da before exertime software was installed .\nEducation session involved threat awareness associated with prolonged sitting, coping strategies for how to perform PA breaks \n\nResuts:\nexperimental group logged more movement per day\n\neducation plus software was more effective","page":"97-102","title":"The effect of education on compliance to a workplace health and wellbeing intervention: Closing the loop","type":"article-journal","volume":"1"},"uris":["http://www.mendeley.com/documents/?uuid=fedb525d-91ca-40a4-afe2-fa5f98a168c9"]}],"mendeley":{"formattedCitation":"[16]","plainTextFormattedCitation":"[16]","previouslyFormattedCitation":"[16]"},"properties":{"noteIndex":0},"schema":"https://github.com/citation-style-language/schema/raw/master/csl-citation.json"}</w:instrText>
      </w:r>
      <w:r w:rsidRPr="006076FC">
        <w:rPr>
          <w:lang w:val="en-GB"/>
        </w:rPr>
        <w:fldChar w:fldCharType="separate"/>
      </w:r>
      <w:r w:rsidRPr="006076FC">
        <w:rPr>
          <w:noProof/>
          <w:lang w:val="en-GB"/>
        </w:rPr>
        <w:t>[16]</w:t>
      </w:r>
      <w:r w:rsidRPr="006076FC">
        <w:rPr>
          <w:lang w:val="en-GB"/>
        </w:rPr>
        <w:fldChar w:fldCharType="end"/>
      </w:r>
      <w:r w:rsidRPr="006076FC">
        <w:rPr>
          <w:lang w:val="en-GB"/>
        </w:rPr>
        <w:t>.</w:t>
      </w:r>
    </w:p>
    <w:p w14:paraId="7BE1951B" w14:textId="031190CB" w:rsidR="00563CFC" w:rsidRPr="006076FC" w:rsidRDefault="00563CFC" w:rsidP="008B2AB1">
      <w:pPr>
        <w:pStyle w:val="MDPI31text"/>
        <w:rPr>
          <w:lang w:val="en-GB"/>
        </w:rPr>
      </w:pPr>
      <w:r w:rsidRPr="006076FC">
        <w:rPr>
          <w:lang w:val="en-GB"/>
        </w:rPr>
        <w:t>Once installed, the software was automatically initiated every 45</w:t>
      </w:r>
      <w:r w:rsidR="00080A01">
        <w:rPr>
          <w:lang w:val="en-GB"/>
        </w:rPr>
        <w:t xml:space="preserve"> min</w:t>
      </w:r>
      <w:r w:rsidRPr="006076FC">
        <w:rPr>
          <w:lang w:val="en-GB"/>
        </w:rPr>
        <w:t xml:space="preserve"> as a prompt bubble appearing on the bottom right hand side of the participant’s computer screen, indicating it was time </w:t>
      </w:r>
      <w:r w:rsidRPr="006076FC">
        <w:rPr>
          <w:lang w:val="en-GB"/>
        </w:rPr>
        <w:lastRenderedPageBreak/>
        <w:t xml:space="preserve">to take a break from sitting (Figure 2). The prompt frequency was based on previous studies using this intervention </w:t>
      </w:r>
      <w:r w:rsidRPr="006076FC">
        <w:rPr>
          <w:lang w:val="en-GB"/>
        </w:rPr>
        <w:fldChar w:fldCharType="begin" w:fldLock="1"/>
      </w:r>
      <w:r w:rsidRPr="006076FC">
        <w:rPr>
          <w:lang w:val="en-GB"/>
        </w:rPr>
        <w:instrText>ADDIN CSL_CITATION {"citationItems":[{"id":"ITEM-1","itemData":{"DOI":"10.1108/IJWHM-01-2015-0005","ISSN":"1753-8351","author":[{"dropping-particle":"","family":"Mainsbridge","given":"Casey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Management","id":"ITEM-1","issue":"2","issued":{"date-parts":[["2016","6","13"]]},"note":"Detailed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sitting","type":"article-journal","volume":"9"},"uris":["http://www.mendeley.com/documents/?uuid=32631e9e-6bf3-420b-b955-3a9fdb164f42"]},{"id":"ITEM-2","itemData":{"DOI":"10.3233/WOR-131644","ISBN":"1875-9270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-2","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[10,11]","plainTextFormattedCitation":"[10,11]","previouslyFormattedCitation":"[10,11]"},"properties":{"noteIndex":0},"schema":"https://github.com/citation-style-language/schema/raw/master/csl-citation.json"}</w:instrText>
      </w:r>
      <w:r w:rsidRPr="006076FC">
        <w:rPr>
          <w:lang w:val="en-GB"/>
        </w:rPr>
        <w:fldChar w:fldCharType="separate"/>
      </w:r>
      <w:r w:rsidRPr="006076FC">
        <w:rPr>
          <w:noProof/>
          <w:lang w:val="en-GB"/>
        </w:rPr>
        <w:t>[10,11]</w:t>
      </w:r>
      <w:r w:rsidRPr="006076FC">
        <w:rPr>
          <w:lang w:val="en-GB"/>
        </w:rPr>
        <w:fldChar w:fldCharType="end"/>
      </w:r>
      <w:r w:rsidRPr="006076FC">
        <w:rPr>
          <w:lang w:val="en-GB"/>
        </w:rPr>
        <w:t>. Participants could choose to either engage with or postpone the prompt. If engage was selected, the software displayed across the whole computer screen and could not be shut down, forcing the participants to click onto the software before being able to regain control of their computer screen. If postpone was selected, participants could temporarily delay the prompt for either 5, 10 or 15</w:t>
      </w:r>
      <w:r w:rsidR="00080A01">
        <w:rPr>
          <w:lang w:val="en-GB"/>
        </w:rPr>
        <w:t xml:space="preserve"> </w:t>
      </w:r>
      <w:r w:rsidRPr="006076FC">
        <w:rPr>
          <w:lang w:val="en-GB"/>
        </w:rPr>
        <w:t>min, for a maximum time of 15</w:t>
      </w:r>
      <w:r w:rsidR="00080A01">
        <w:rPr>
          <w:lang w:val="en-GB"/>
        </w:rPr>
        <w:t xml:space="preserve"> </w:t>
      </w:r>
      <w:r w:rsidRPr="006076FC">
        <w:rPr>
          <w:lang w:val="en-GB"/>
        </w:rPr>
        <w:t>min, after which the software was automatically activated. This function accounted for occasions where participants needed important access to their computer, such as a phone conversation or meeting. Participants were required to click the walking option to signify the beginning of their break and simultaneously initiate a timer. The break duration was self-selected</w:t>
      </w:r>
      <w:r w:rsidR="00E01D94">
        <w:rPr>
          <w:lang w:val="en-GB"/>
        </w:rPr>
        <w:t>.</w:t>
      </w:r>
      <w:r w:rsidRPr="006076FC">
        <w:rPr>
          <w:lang w:val="en-GB"/>
        </w:rPr>
        <w:t xml:space="preserve"> </w:t>
      </w:r>
      <w:r w:rsidR="00E01D94">
        <w:rPr>
          <w:lang w:val="en-GB"/>
        </w:rPr>
        <w:t>H</w:t>
      </w:r>
      <w:r w:rsidRPr="006076FC">
        <w:rPr>
          <w:lang w:val="en-GB"/>
        </w:rPr>
        <w:t>owever</w:t>
      </w:r>
      <w:r w:rsidR="00E01D94">
        <w:rPr>
          <w:lang w:val="en-GB"/>
        </w:rPr>
        <w:t>,</w:t>
      </w:r>
      <w:r w:rsidRPr="006076FC">
        <w:rPr>
          <w:lang w:val="en-GB"/>
        </w:rPr>
        <w:t xml:space="preserve"> participants were advised via a message box presented on the screen to take a 2</w:t>
      </w:r>
      <w:r w:rsidR="00080A01">
        <w:rPr>
          <w:lang w:val="en-GB"/>
        </w:rPr>
        <w:t xml:space="preserve"> </w:t>
      </w:r>
      <w:r w:rsidRPr="006076FC">
        <w:rPr>
          <w:lang w:val="en-GB"/>
        </w:rPr>
        <w:t xml:space="preserve">min walking break. To end the break, the participant clicked to stop the timer, automatically logging the break duration in the software. The </w:t>
      </w:r>
      <w:proofErr w:type="spellStart"/>
      <w:r w:rsidRPr="006076FC">
        <w:rPr>
          <w:lang w:val="en-GB"/>
        </w:rPr>
        <w:t>Exertime</w:t>
      </w:r>
      <w:proofErr w:type="spellEnd"/>
      <w:r w:rsidRPr="006076FC">
        <w:rPr>
          <w:lang w:val="en-GB"/>
        </w:rPr>
        <w:t xml:space="preserve"> sequence then terminated and participants regained control over their computer screen. If a participant left their desk without the initiation of a prompt and did not lock their computer, the 45</w:t>
      </w:r>
      <w:r w:rsidR="00080A01">
        <w:rPr>
          <w:lang w:val="en-GB"/>
        </w:rPr>
        <w:t xml:space="preserve"> </w:t>
      </w:r>
      <w:r w:rsidRPr="006076FC">
        <w:rPr>
          <w:lang w:val="en-GB"/>
        </w:rPr>
        <w:t>min prompt timer was still active. The software could therefore activate without the participant being present. On these occasions, when participants returned to their desk, they could manually log the duration of time they had been active.</w:t>
      </w:r>
    </w:p>
    <w:p w14:paraId="1822193C" w14:textId="77777777" w:rsidR="00563CFC" w:rsidRPr="006076FC" w:rsidRDefault="00563CFC" w:rsidP="000D0FB1">
      <w:pPr>
        <w:pStyle w:val="MDPI52figure"/>
        <w:adjustRightInd w:val="0"/>
        <w:snapToGrid w:val="0"/>
        <w:spacing w:before="240"/>
        <w:rPr>
          <w:lang w:val="en-GB"/>
        </w:rPr>
      </w:pPr>
      <w:r w:rsidRPr="006076FC">
        <w:rPr>
          <w:noProof/>
          <w:snapToGrid/>
          <w:lang w:val="en-GB" w:eastAsia="zh-CN" w:bidi="ar-SA"/>
        </w:rPr>
        <w:drawing>
          <wp:inline distT="0" distB="0" distL="0" distR="0" wp14:anchorId="6D9B3D95" wp14:editId="7796637A">
            <wp:extent cx="5607050" cy="2007235"/>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07050" cy="2007235"/>
                    </a:xfrm>
                    <a:prstGeom prst="rect">
                      <a:avLst/>
                    </a:prstGeom>
                    <a:noFill/>
                    <a:ln>
                      <a:noFill/>
                    </a:ln>
                  </pic:spPr>
                </pic:pic>
              </a:graphicData>
            </a:graphic>
          </wp:inline>
        </w:drawing>
      </w:r>
    </w:p>
    <w:p w14:paraId="6F2EBFFA" w14:textId="53EC68B4" w:rsidR="00563CFC" w:rsidRPr="006076FC" w:rsidRDefault="008B2AB1" w:rsidP="008B2AB1">
      <w:pPr>
        <w:pStyle w:val="MDPI51figurecaption"/>
        <w:rPr>
          <w:lang w:val="en-GB"/>
        </w:rPr>
      </w:pPr>
      <w:r w:rsidRPr="006076FC">
        <w:rPr>
          <w:b/>
          <w:bCs/>
          <w:lang w:val="en-GB"/>
        </w:rPr>
        <w:t xml:space="preserve">Figure 2. </w:t>
      </w:r>
      <w:r w:rsidR="00563CFC" w:rsidRPr="006076FC">
        <w:rPr>
          <w:lang w:val="en-GB"/>
        </w:rPr>
        <w:t>(</w:t>
      </w:r>
      <w:r w:rsidR="00563CFC" w:rsidRPr="006076FC">
        <w:rPr>
          <w:b/>
          <w:lang w:val="en-GB"/>
        </w:rPr>
        <w:t>a</w:t>
      </w:r>
      <w:r w:rsidR="00563CFC" w:rsidRPr="006076FC">
        <w:rPr>
          <w:lang w:val="en-GB"/>
        </w:rPr>
        <w:t>) Screenshot of the prompt at the bottom of the computer screen. (</w:t>
      </w:r>
      <w:r w:rsidR="00563CFC" w:rsidRPr="006076FC">
        <w:rPr>
          <w:b/>
          <w:lang w:val="en-GB"/>
        </w:rPr>
        <w:t>b</w:t>
      </w:r>
      <w:r w:rsidR="00563CFC" w:rsidRPr="006076FC">
        <w:rPr>
          <w:lang w:val="en-GB"/>
        </w:rPr>
        <w:t>) Close</w:t>
      </w:r>
      <w:r w:rsidR="00315C0E">
        <w:rPr>
          <w:lang w:val="en-GB"/>
        </w:rPr>
        <w:t xml:space="preserve"> </w:t>
      </w:r>
      <w:r w:rsidR="00563CFC" w:rsidRPr="006076FC">
        <w:rPr>
          <w:lang w:val="en-GB"/>
        </w:rPr>
        <w:t>up of the prompt.</w:t>
      </w:r>
    </w:p>
    <w:p w14:paraId="6F87C7F6" w14:textId="2F799AA2" w:rsidR="00563CFC" w:rsidRPr="006076FC" w:rsidRDefault="00563CFC" w:rsidP="008B2AB1">
      <w:pPr>
        <w:pStyle w:val="MDPI31text"/>
        <w:rPr>
          <w:highlight w:val="yellow"/>
          <w:lang w:val="en-GB"/>
        </w:rPr>
      </w:pPr>
      <w:r w:rsidRPr="006076FC">
        <w:rPr>
          <w:lang w:val="en-GB"/>
        </w:rPr>
        <w:t xml:space="preserve">During the </w:t>
      </w:r>
      <w:proofErr w:type="gramStart"/>
      <w:r w:rsidR="00756DBF">
        <w:rPr>
          <w:lang w:val="en-GB"/>
        </w:rPr>
        <w:t>8 week</w:t>
      </w:r>
      <w:proofErr w:type="gramEnd"/>
      <w:r w:rsidRPr="006076FC">
        <w:rPr>
          <w:lang w:val="en-GB"/>
        </w:rPr>
        <w:t xml:space="preserve"> trial, use of the software was monitored by the principal researcher using the online portal for software administrators. If a participant was not logging activities, they were contacted via email by the principal researcher to check the software was working correctly (this occurred on one occasion due to computer updates deactivating the software). To increase motivation to engage with the software, participants received a weekly email from the principal researcher </w:t>
      </w:r>
      <w:r w:rsidRPr="006076FC">
        <w:rPr>
          <w:lang w:val="en-GB"/>
        </w:rPr>
        <w:fldChar w:fldCharType="begin" w:fldLock="1"/>
      </w:r>
      <w:r w:rsidRPr="006076FC">
        <w:rPr>
          <w:lang w:val="en-GB"/>
        </w:rPr>
        <w:instrText>ADDIN CSL_CITATION {"citationItems":[{"id":"ITEM-1","itemData":{"DOI":"10.1155/2013/128376","ISSN":"1687-9813","PMID":"23690798","abstract":"There is a plethora of workplace physical activity interventions designed to increase purposeful movement, yet few are designed to alleviate prolonged occupational sitting time. A pilot study was conducted to test the feasibility of a workplace e-health intervention based on a passive approach to increase nonpurposeful movement as a means of reducing sitting time. The study was trialled in a professional workplace with forty-six participants (33 females and 13 males) for a period of twenty-six weeks. Participants in the first thirteen weeks received a passive prompt every 45 minutes on their computer screen reminding them to stand and engage in nonpurposeful activity throughout their workday. After thirteen weeks, the prompt was disabled, and participants were then free to voluntary engage the software. Results demonstrated that when employees were exposed to a passive prompt, as opposed to an active prompt, they were five times more likely to fully adhere to completing a movement break every hour of the workday. Based on this pilot study, we suggest that the notion that people are willing to participate in a coercive workplace e-health intervention is promising, and there is a need for further investigation.","author":[{"dropping-particle":"","family":"Cooley","given":"Dean","non-dropping-particle":"","parse-names":false,"suffix":""},{"dropping-particle":"","family":"Pedersen","given":"Scott","non-dropping-particle":"","parse-names":false,"suffix":""}],"container-title":"Journal of environmental and public health","id":"ITEM-1","issued":{"date-parts":[["2013","1"]]},"note":"INTRO\nResearch shows short burts of PA results in reduction of CVD risk factors \nPrompts- can easily be ignored by user\n\nMETHOD\nDIfference between passive-based and active-based prompts \ne-health software program designed to passively prompt employees to break sitting\n13 weeks of passive prompt= user not allowed to ignore as pc screen was deactivated\nthen 13 weeks of active prompt= user had to voluntary used software \n\nRESULTS\nPassive prompt resulted in sig higher compliance than active prompt","page":"128376","title":"A pilot study of increasing nonpurposeful movement breaks at work as a means of reducing prolonged sitting","type":"article-journal","volume":"2013"},"uris":["http://www.mendeley.com/documents/?uuid=9678a5ba-61d8-4b36-a3b1-991c64af9cb8"]},{"id":"ITEM-2","itemData":{"DOI":"10.1097/JOM.0000000000000243","ISBN":"0000000000000","ISSN":"1536-5948","PMID":"25376414","abstract":"OBJECTIVE: To evaluate the effect of a workplace health intervention designed to reduce prolonged occupational sitting on the mean arterial pressure (MAP) of desk-based employees. METHODS: This randomized controlled trial involved an experimental group who received an e-health intervention and a control group who did not. The 13-week intervention passively prompted participants to stand and engage in short bouts of office-based physical activity by interrupting prolonged occupational sitting time periodically throughout the workday. Mean arterial pressure was measured at pretest and posttest. RESULTS: Between pretest and posttest the experimental group significantly reduced their MAP, whereas MAP in the control group did not. CONCLUSIONS: A workplace e-health intervention designed to reduce prolonged occupational sitting was effective in decreasing MAP in desk-based employees.","author":[{"dropping-particle":"","family":"Mainsbridge","given":"Casey P","non-dropping-particle":"","parse-names":false,"suffix":""},{"dropping-particle":"","family":"Cooley","given":"Paul D","non-dropping-particle":"","parse-names":false,"suffix":""},{"dropping-particle":"","family":"Fraser","given":"Sharon P","non-dropping-particle":"","parse-names":false,"suffix":""},{"dropping-particle":"","family":"Pedersen","given":"Scott J","non-dropping-particle":"","parse-names":false,"suffix":""}],"container-title":"Journal of occupational and environmental medicine","id":"ITEM-2","issue":"11","issued":{"date-parts":[["2014"]]},"note":"METHODS\nexperimental group with exertime v.s control group \n13 week intervention\neducational session given prior to starting intervention \nMAP measured pre and post \n\nRESULTS\nexperimental group sig. decreased MAP pre v. post\n\n\nIn terms of\nthe duration of breaks from sitting, the e-health software prompted\nparticipants in the experimental group to engage in activity for 7.99± 4.44 minutes per day by performing short-burst physical activities\n6.28 ± 3.59 times per workday. The average time for each bout of NEPA was 1.34 ± 0.74 minutes.","page":"1189-94","title":"The effect of an e-health intervention designed to reduce prolonged occupational sitting on mean arterial pressure","type":"article-journal","volume":"56"},"uris":["http://www.mendeley.com/documents/?uuid=dc275069-0fec-4e29-bb4e-2afcf027fc94"]}],"mendeley":{"formattedCitation":"[9,22]","plainTextFormattedCitation":"[9,22]","previouslyFormattedCitation":"[9,21]"},"properties":{"noteIndex":0},"schema":"https://github.com/citation-style-language/schema/raw/master/csl-citation.json"}</w:instrText>
      </w:r>
      <w:r w:rsidRPr="006076FC">
        <w:rPr>
          <w:lang w:val="en-GB"/>
        </w:rPr>
        <w:fldChar w:fldCharType="separate"/>
      </w:r>
      <w:r w:rsidRPr="006076FC">
        <w:rPr>
          <w:noProof/>
          <w:lang w:val="en-GB"/>
        </w:rPr>
        <w:t>[9,22]</w:t>
      </w:r>
      <w:r w:rsidRPr="006076FC">
        <w:rPr>
          <w:lang w:val="en-GB"/>
        </w:rPr>
        <w:fldChar w:fldCharType="end"/>
      </w:r>
      <w:r w:rsidRPr="006076FC">
        <w:rPr>
          <w:lang w:val="en-GB"/>
        </w:rPr>
        <w:t>. The email detailed the number of breaks and activity minutes they had logged in the previous week and provided a suggestion as to how they could break up their sitting with walking breaks (for example, ‘Going for a coffee break? Rather than sit with a colleague have a walking coffee break’). These suggestions varied each week but were the same for all participants throughout the intervention.</w:t>
      </w:r>
    </w:p>
    <w:p w14:paraId="470F292B" w14:textId="2B8B09E1" w:rsidR="00563CFC" w:rsidRPr="006076FC" w:rsidRDefault="00563CFC" w:rsidP="008B2AB1">
      <w:pPr>
        <w:pStyle w:val="MDPI23heading3"/>
        <w:rPr>
          <w:color w:val="auto"/>
          <w:lang w:val="en-GB" w:eastAsia="en-US"/>
        </w:rPr>
      </w:pPr>
      <w:r w:rsidRPr="006076FC">
        <w:rPr>
          <w:lang w:val="en-GB"/>
        </w:rPr>
        <w:t>e-Health Software Data Analysis</w:t>
      </w:r>
    </w:p>
    <w:p w14:paraId="2BAB39C1" w14:textId="1E82D691" w:rsidR="00563CFC" w:rsidRPr="006076FC" w:rsidRDefault="00563CFC" w:rsidP="008B2AB1">
      <w:pPr>
        <w:pStyle w:val="MDPI31text"/>
        <w:rPr>
          <w:lang w:val="en-GB"/>
        </w:rPr>
      </w:pPr>
      <w:r w:rsidRPr="006076FC">
        <w:rPr>
          <w:lang w:val="en-GB"/>
        </w:rPr>
        <w:t xml:space="preserve">Software usage data were recorded and accessible using the online administrator portal. For each participant, the date, time and duration of each break logged over the </w:t>
      </w:r>
      <w:proofErr w:type="gramStart"/>
      <w:r w:rsidR="00756DBF">
        <w:rPr>
          <w:lang w:val="en-GB"/>
        </w:rPr>
        <w:t>8 week</w:t>
      </w:r>
      <w:proofErr w:type="gramEnd"/>
      <w:r w:rsidRPr="006076FC">
        <w:rPr>
          <w:lang w:val="en-GB"/>
        </w:rPr>
        <w:t xml:space="preserve"> trial were downloaded and weekly averages for the number of breaks taken and the duration of each break calculated. The software usage data are based on the participants’ self-report activity and cannot be used to objectively verify participants’ fidelity to the intervention component. Consequently, to assess compliance to the breaks, objective monitoring data (</w:t>
      </w:r>
      <w:proofErr w:type="spellStart"/>
      <w:r w:rsidRPr="006076FC">
        <w:rPr>
          <w:lang w:val="en-GB"/>
        </w:rPr>
        <w:t>activPAL</w:t>
      </w:r>
      <w:proofErr w:type="spellEnd"/>
      <w:r w:rsidRPr="006076FC">
        <w:rPr>
          <w:lang w:val="en-GB"/>
        </w:rPr>
        <w:t>) from the final week (</w:t>
      </w:r>
      <w:r w:rsidR="00E154E5">
        <w:rPr>
          <w:lang w:val="en-GB"/>
        </w:rPr>
        <w:t>w</w:t>
      </w:r>
      <w:r w:rsidR="00E154E5" w:rsidRPr="006076FC">
        <w:rPr>
          <w:lang w:val="en-GB"/>
        </w:rPr>
        <w:t xml:space="preserve">eek </w:t>
      </w:r>
      <w:r w:rsidRPr="006076FC">
        <w:rPr>
          <w:lang w:val="en-GB"/>
        </w:rPr>
        <w:t>8) of the Intervention trial were compared to software usage data from the same time period. Software usage data were time</w:t>
      </w:r>
      <w:r w:rsidR="00A673AC">
        <w:rPr>
          <w:lang w:val="en-GB"/>
        </w:rPr>
        <w:t xml:space="preserve"> </w:t>
      </w:r>
      <w:r w:rsidRPr="006076FC">
        <w:rPr>
          <w:lang w:val="en-GB"/>
        </w:rPr>
        <w:t xml:space="preserve">matched to the </w:t>
      </w:r>
      <w:proofErr w:type="spellStart"/>
      <w:r w:rsidRPr="006076FC">
        <w:rPr>
          <w:lang w:val="en-GB"/>
        </w:rPr>
        <w:t>activPAL</w:t>
      </w:r>
      <w:proofErr w:type="spellEnd"/>
      <w:r w:rsidRPr="006076FC">
        <w:rPr>
          <w:lang w:val="en-GB"/>
        </w:rPr>
        <w:t xml:space="preserve"> data files and each time a break was logged in the </w:t>
      </w:r>
      <w:r w:rsidRPr="006076FC">
        <w:rPr>
          <w:lang w:val="en-GB"/>
        </w:rPr>
        <w:lastRenderedPageBreak/>
        <w:t xml:space="preserve">software, it was checked for a simultaneous break in the </w:t>
      </w:r>
      <w:proofErr w:type="spellStart"/>
      <w:r w:rsidRPr="006076FC">
        <w:rPr>
          <w:lang w:val="en-GB"/>
        </w:rPr>
        <w:t>activPAL</w:t>
      </w:r>
      <w:proofErr w:type="spellEnd"/>
      <w:r w:rsidRPr="006076FC">
        <w:rPr>
          <w:lang w:val="en-GB"/>
        </w:rPr>
        <w:t xml:space="preserve"> data file, allowing the compliance to software use (%) to be determined. The ‘sedentary to upright’ and ‘upright to sedentary’ data output from </w:t>
      </w:r>
      <w:proofErr w:type="spellStart"/>
      <w:r w:rsidRPr="006076FC">
        <w:rPr>
          <w:lang w:val="en-GB"/>
        </w:rPr>
        <w:t>activPAL</w:t>
      </w:r>
      <w:proofErr w:type="spellEnd"/>
      <w:r w:rsidRPr="006076FC">
        <w:rPr>
          <w:lang w:val="en-GB"/>
        </w:rPr>
        <w:t xml:space="preserve"> file indicates when a participant has transitioned from a sitting to standing posture or from a standing to sitting posture and therefore defined the start and end time of each break</w:t>
      </w:r>
      <w:r w:rsidR="00D22B54">
        <w:rPr>
          <w:lang w:val="en-GB"/>
        </w:rPr>
        <w:t>,</w:t>
      </w:r>
      <w:r w:rsidRPr="006076FC">
        <w:rPr>
          <w:lang w:val="en-GB"/>
        </w:rPr>
        <w:t xml:space="preserve"> respectively. If it was confirmed that a participant had taken a break, the accuracy of the logged break duration was verified by summing the epochs between these transitions to calculate the total </w:t>
      </w:r>
      <w:proofErr w:type="spellStart"/>
      <w:r w:rsidRPr="006076FC">
        <w:rPr>
          <w:lang w:val="en-GB"/>
        </w:rPr>
        <w:t>activPAL</w:t>
      </w:r>
      <w:proofErr w:type="spellEnd"/>
      <w:r w:rsidRPr="006076FC">
        <w:rPr>
          <w:lang w:val="en-GB"/>
        </w:rPr>
        <w:t xml:space="preserve"> break duration. If there were no </w:t>
      </w:r>
      <w:proofErr w:type="spellStart"/>
      <w:r w:rsidRPr="006076FC">
        <w:rPr>
          <w:lang w:val="en-GB"/>
        </w:rPr>
        <w:t>activPAL</w:t>
      </w:r>
      <w:proofErr w:type="spellEnd"/>
      <w:r w:rsidRPr="006076FC">
        <w:rPr>
          <w:lang w:val="en-GB"/>
        </w:rPr>
        <w:t xml:space="preserve"> transitions recorded during a logged software break, it was identified as a missed break. Participants were not aware their monitor data were being compared to their software usage data.</w:t>
      </w:r>
    </w:p>
    <w:p w14:paraId="62D36080" w14:textId="0779AF80" w:rsidR="00563CFC" w:rsidRPr="006076FC" w:rsidRDefault="008B2AB1" w:rsidP="008B2AB1">
      <w:pPr>
        <w:pStyle w:val="MDPI22heading2"/>
        <w:rPr>
          <w:color w:val="auto"/>
          <w:lang w:val="en-GB" w:eastAsia="en-US"/>
        </w:rPr>
      </w:pPr>
      <w:r w:rsidRPr="006076FC">
        <w:rPr>
          <w:lang w:val="en-GB"/>
        </w:rPr>
        <w:t xml:space="preserve">2.4. </w:t>
      </w:r>
      <w:r w:rsidR="00563CFC" w:rsidRPr="006076FC">
        <w:rPr>
          <w:lang w:val="en-GB"/>
        </w:rPr>
        <w:t>Primary Outcomes: Acceptability and Feasibility</w:t>
      </w:r>
    </w:p>
    <w:p w14:paraId="622A01F6" w14:textId="1C6E3A3E" w:rsidR="00563CFC" w:rsidRPr="006076FC" w:rsidRDefault="00563CFC" w:rsidP="008B2AB1">
      <w:pPr>
        <w:pStyle w:val="MDPI31text"/>
        <w:rPr>
          <w:lang w:val="en-GB"/>
        </w:rPr>
      </w:pPr>
      <w:r w:rsidRPr="006076FC">
        <w:rPr>
          <w:lang w:val="en-GB"/>
        </w:rPr>
        <w:t xml:space="preserve">Recruitment, eligibility and retention rates were recorded to assess the trial feasibility in addition to completion rates for the outcome measures. Calculations for recruitment (participants expressing interest in the study/participants enrolled × 100), eligibility (participants eligible/participants assessed for eligibility criteria × 100), and retention (participants completed the study/participants enrolled × 100) rates were performed, in addition to completion rates for all outcome measures (participants providing full outcome data/participants completing </w:t>
      </w:r>
      <w:r w:rsidR="00B42F49">
        <w:rPr>
          <w:lang w:val="en-GB"/>
        </w:rPr>
        <w:t>this</w:t>
      </w:r>
      <w:r w:rsidR="00B42F49" w:rsidRPr="006076FC">
        <w:rPr>
          <w:lang w:val="en-GB"/>
        </w:rPr>
        <w:t xml:space="preserve"> </w:t>
      </w:r>
      <w:r w:rsidRPr="006076FC">
        <w:rPr>
          <w:lang w:val="en-GB"/>
        </w:rPr>
        <w:t xml:space="preserve">study × 100). Participants were invited to attend a semi-structured interview following completion of the Intervention trial to elicit in-depth insights into the acceptability of the software. Discussion areas included participant experiences and perspectives of using the software, motivations for participation, frequency of breaks, reasons for using the delay function, perceived impact on health, mood and productivity outcomes, and factors influencing maintained use of the software during and beyond completion of the trial. A member of the research team experienced in qualitative research but not involved in intervention delivery (AM), randomisation or data collection developed the interview schedule, which was reviewed by members of the research team (SC, LG, NH). </w:t>
      </w:r>
      <w:r w:rsidRPr="006076FC">
        <w:rPr>
          <w:shd w:val="clear" w:color="auto" w:fill="FFFFFF"/>
          <w:lang w:val="en-GB"/>
        </w:rPr>
        <w:t>T</w:t>
      </w:r>
      <w:r w:rsidRPr="006076FC">
        <w:rPr>
          <w:lang w:val="en-GB"/>
        </w:rPr>
        <w:t>he protocol for delivery was standardised by using a</w:t>
      </w:r>
      <w:r w:rsidRPr="006076FC">
        <w:rPr>
          <w:shd w:val="clear" w:color="auto" w:fill="FFFFFF"/>
          <w:lang w:val="en-GB"/>
        </w:rPr>
        <w:t xml:space="preserve"> semi-structured schedule to maintain a level of commonality across the interviews </w:t>
      </w:r>
      <w:r w:rsidRPr="006076FC">
        <w:rPr>
          <w:lang w:val="en-GB"/>
        </w:rPr>
        <w:fldChar w:fldCharType="begin" w:fldLock="1"/>
      </w:r>
      <w:r w:rsidRPr="006076FC">
        <w:rPr>
          <w:shd w:val="clear" w:color="auto" w:fill="FFFFFF"/>
          <w:lang w:val="en-GB"/>
        </w:rPr>
        <w:instrText>ADDIN CSL_CITATION {"citationItems":[{"id":"ITEM-1","itemData":{"DOI":"10.4135/9781849209625.n8","abstract":"Running focus group practicalities","author":[{"dropping-particle":"","family":"Krueger","given":"RA","non-dropping-particle":"","parse-names":false,"suffix":""},{"dropping-particle":"","family":"Casey","given":"MA","non-dropping-particle":"","parse-names":false,"suffix":""}],"container-title":"Social Analysis Selected Tools and Techniques","id":"ITEM-1","issued":{"date-parts":[["2002"]]},"title":"Designing and conducting focus group interviews","type":"chapter"},"uris":["http://www.mendeley.com/documents/?uuid=59ef2932-33ae-4f42-9abf-a34ba3855b6e"]}],"mendeley":{"formattedCitation":"[23]","plainTextFormattedCitation":"[23]","previouslyFormattedCitation":"[22]"},"properties":{"noteIndex":0},"schema":"https://github.com/citation-style-language/schema/raw/master/csl-citation.json"}</w:instrText>
      </w:r>
      <w:r w:rsidRPr="006076FC">
        <w:rPr>
          <w:lang w:val="en-GB"/>
        </w:rPr>
        <w:fldChar w:fldCharType="separate"/>
      </w:r>
      <w:r w:rsidRPr="006076FC">
        <w:rPr>
          <w:noProof/>
          <w:shd w:val="clear" w:color="auto" w:fill="FFFFFF"/>
          <w:lang w:val="en-GB"/>
        </w:rPr>
        <w:t>[23]</w:t>
      </w:r>
      <w:r w:rsidRPr="006076FC">
        <w:rPr>
          <w:lang w:val="en-GB"/>
        </w:rPr>
        <w:fldChar w:fldCharType="end"/>
      </w:r>
      <w:r w:rsidRPr="006076FC">
        <w:rPr>
          <w:shd w:val="clear" w:color="auto" w:fill="FFFFFF"/>
          <w:lang w:val="en-GB"/>
        </w:rPr>
        <w:t xml:space="preserve">, while allowing flexibility in the order and sequence of questions to promote participants to respond openly and freely, using probes where appropriate to elicit depth from responses </w:t>
      </w:r>
      <w:r w:rsidRPr="006076FC">
        <w:rPr>
          <w:lang w:val="en-GB"/>
        </w:rPr>
        <w:fldChar w:fldCharType="begin" w:fldLock="1"/>
      </w:r>
      <w:r w:rsidRPr="006076FC">
        <w:rPr>
          <w:shd w:val="clear" w:color="auto" w:fill="FFFFFF"/>
          <w:lang w:val="en-GB"/>
        </w:rPr>
        <w:instrText>ADDIN CSL_CITATION {"citationItems":[{"id":"ITEM-1","itemData":{"DOI":"10.1111/1467-9566.ep11347023","ISSN":"0141-9889","abstract":"Kitzinger J. The methodology of focus groups: the importance of interactions between research participants. Sociology of Health and Illness 1994;16;103-21.","author":[{"dropping-particle":"","family":"Kitzinger","given":"Jenny","non-dropping-particle":"","parse-names":false,"suffix":""}],"container-title":"Sociology of Health and Illness","id":"ITEM-1","issue":"1","issued":{"date-parts":[["1994","1"]]},"page":"103-121","title":"The methodology of focus groups: The importance of interaction between research participants","type":"article-journal","volume":"16"},"uris":["http://www.mendeley.com/documents/?uuid=2a046066-8b7d-482f-abe5-04ebe553f018"]}],"mendeley":{"formattedCitation":"[24]","plainTextFormattedCitation":"[24]","previouslyFormattedCitation":"[23]"},"properties":{"noteIndex":0},"schema":"https://github.com/citation-style-language/schema/raw/master/csl-citation.json"}</w:instrText>
      </w:r>
      <w:r w:rsidRPr="006076FC">
        <w:rPr>
          <w:lang w:val="en-GB"/>
        </w:rPr>
        <w:fldChar w:fldCharType="separate"/>
      </w:r>
      <w:r w:rsidRPr="006076FC">
        <w:rPr>
          <w:noProof/>
          <w:shd w:val="clear" w:color="auto" w:fill="FFFFFF"/>
          <w:lang w:val="en-GB"/>
        </w:rPr>
        <w:t>[24]</w:t>
      </w:r>
      <w:r w:rsidRPr="006076FC">
        <w:rPr>
          <w:lang w:val="en-GB"/>
        </w:rPr>
        <w:fldChar w:fldCharType="end"/>
      </w:r>
      <w:r w:rsidRPr="006076FC">
        <w:rPr>
          <w:shd w:val="clear" w:color="auto" w:fill="FFFFFF"/>
          <w:lang w:val="en-GB"/>
        </w:rPr>
        <w:t xml:space="preserve">. On the spot member checking was used to establish interpretation and meaning during interviews. Each interview was </w:t>
      </w:r>
      <w:r w:rsidRPr="006076FC">
        <w:rPr>
          <w:lang w:val="en-GB"/>
        </w:rPr>
        <w:t>audio recorded, transcribed verbatim and anonymised during this process. Seven participants (</w:t>
      </w:r>
      <w:r w:rsidR="001C5864" w:rsidRPr="006076FC">
        <w:rPr>
          <w:lang w:val="en-GB"/>
        </w:rPr>
        <w:t xml:space="preserve">n = </w:t>
      </w:r>
      <w:r w:rsidRPr="006076FC">
        <w:rPr>
          <w:lang w:val="en-GB"/>
        </w:rPr>
        <w:t>4 female) responded and took part, with the mean interview duration 27.9</w:t>
      </w:r>
      <w:r w:rsidR="001C5864" w:rsidRPr="006076FC">
        <w:rPr>
          <w:lang w:val="en-GB"/>
        </w:rPr>
        <w:t xml:space="preserve"> ± </w:t>
      </w:r>
      <w:r w:rsidRPr="006076FC">
        <w:rPr>
          <w:lang w:val="en-GB"/>
        </w:rPr>
        <w:t xml:space="preserve">7.4 </w:t>
      </w:r>
      <w:r w:rsidR="001C5864" w:rsidRPr="006076FC">
        <w:rPr>
          <w:lang w:val="en-GB"/>
        </w:rPr>
        <w:t>min</w:t>
      </w:r>
      <w:r w:rsidRPr="006076FC">
        <w:rPr>
          <w:lang w:val="en-GB"/>
        </w:rPr>
        <w:t>.</w:t>
      </w:r>
    </w:p>
    <w:p w14:paraId="009A370D" w14:textId="1AC8622D" w:rsidR="00563CFC" w:rsidRPr="006076FC" w:rsidRDefault="008B2AB1" w:rsidP="008B2AB1">
      <w:pPr>
        <w:pStyle w:val="MDPI22heading2"/>
        <w:rPr>
          <w:lang w:val="en-GB"/>
        </w:rPr>
      </w:pPr>
      <w:r w:rsidRPr="006076FC">
        <w:rPr>
          <w:lang w:val="en-GB"/>
        </w:rPr>
        <w:t xml:space="preserve">2.5. </w:t>
      </w:r>
      <w:r w:rsidR="00563CFC" w:rsidRPr="006076FC">
        <w:rPr>
          <w:lang w:val="en-GB"/>
        </w:rPr>
        <w:t>Secondary Outcomes: Sitting, Standing and Stepping Time</w:t>
      </w:r>
    </w:p>
    <w:p w14:paraId="373EAACA" w14:textId="624E7F50" w:rsidR="00563CFC" w:rsidRPr="006076FC" w:rsidRDefault="00563CFC" w:rsidP="008B2AB1">
      <w:pPr>
        <w:pStyle w:val="MDPI31text"/>
        <w:rPr>
          <w:lang w:val="en-GB"/>
        </w:rPr>
      </w:pPr>
      <w:r w:rsidRPr="006076FC">
        <w:rPr>
          <w:lang w:val="en-GB"/>
        </w:rPr>
        <w:t xml:space="preserve">For each assessment period, participants’ time spent sitting, standing and stepping were monitored continuously over five weekdays and two weekend days </w:t>
      </w:r>
      <w:r w:rsidRPr="006076FC">
        <w:rPr>
          <w:lang w:val="en-GB"/>
        </w:rPr>
        <w:fldChar w:fldCharType="begin" w:fldLock="1"/>
      </w:r>
      <w:r w:rsidRPr="006076FC">
        <w:rPr>
          <w:lang w:val="en-GB"/>
        </w:rPr>
        <w:instrText>ADDIN CSL_CITATION {"citationItems":[{"id":"ITEM-1","itemData":{"DOI":"10.1016/j.jshs.2016.02.002","ISBN":"2095-2546","ISSN":"20952546","abstract":"Research indicates that high levels of sedentary behaviour (sitting or lying with low energy expenditure) are adversely associated with health. A key factor in improving our understanding of the impact of sedentary behaviour (and patterns of sedentary time accumulation) on health is the use of objective measurement tools that collect date and time-stamped activity information. One such tool is the activPAL monitor. This thigh-worn device uses accelerometer-derived information about thigh position to determine the start and end of each period spent sitting/lying, standing and stepping, as well as stepping speed, step counts and postural transitions. The activPAL is increasingly being used within field-based research for its ability to measure sitting/lying via posture. We summarise key issues to consider when using the activPAL in physical activity and sedentary behaviour field-based research with adult populations. It is intended that the findings and discussion points be informative for researchers who are currently using activPAL monitors or are intending to use them. Pre-data collection decisions, monitor preparation and distribution, data collection considerations, and manual and automated data processing possibilities are presented using examples from current literature and experiences from two research groups from the UK and Australia.","author":[{"dropping-particle":"","family":"Edwardson","given":"Charlotte L.","non-dropping-particle":"","parse-names":false,"suffix":""},{"dropping-particle":"","family":"Winkler","given":"Elisabeth A.H.","non-dropping-particle":"","parse-names":false,"suffix":""},{"dropping-particle":"","family":"Bodicoat","given":"Danielle H.","non-dropping-particle":"","parse-names":false,"suffix":""},{"dropping-particle":"","family":"Yates","given":"Tom","non-dropping-particle":"","parse-names":false,"suffix":""},{"dropping-particle":"","family":"Davies","given":"Melanie J.","non-dropping-particle":"","parse-names":false,"suffix":""},{"dropping-particle":"","family":"Dunstan","given":"David W.","non-dropping-particle":"","parse-names":false,"suffix":""},{"dropping-particle":"","family":"Healy","given":"Genevieve N.","non-dropping-particle":"","parse-names":false,"suffix":""}],"container-title":"Journal of Sport and Health Science","id":"ITEM-1","issue":"May","issued":{"date-parts":[["2016"]]},"page":"13-24","publisher":"Elsevier B.V.","title":"Considerations when using the activPAL monitor in field based research with adult populations","type":"article-journal"},"uris":["http://www.mendeley.com/documents/?uuid=26e2acb7-b5d0-4b02-b335-5adca565d39f"]}],"mendeley":{"formattedCitation":"[25]","plainTextFormattedCitation":"[25]","previouslyFormattedCitation":"[24]"},"properties":{"noteIndex":0},"schema":"https://github.com/citation-style-language/schema/raw/master/csl-citation.json"}</w:instrText>
      </w:r>
      <w:r w:rsidRPr="006076FC">
        <w:rPr>
          <w:lang w:val="en-GB"/>
        </w:rPr>
        <w:fldChar w:fldCharType="separate"/>
      </w:r>
      <w:r w:rsidRPr="006076FC">
        <w:rPr>
          <w:noProof/>
          <w:lang w:val="en-GB"/>
        </w:rPr>
        <w:t>[25]</w:t>
      </w:r>
      <w:r w:rsidRPr="006076FC">
        <w:rPr>
          <w:lang w:val="en-GB"/>
        </w:rPr>
        <w:fldChar w:fldCharType="end"/>
      </w:r>
      <w:r w:rsidRPr="006076FC">
        <w:rPr>
          <w:lang w:val="en-GB"/>
        </w:rPr>
        <w:t>. To delineate between work hours and leisure time behaviours, and to identify sleep, participants recorded the time they started and finished work and the time they woke up and went to bed each day in a logbook.</w:t>
      </w:r>
    </w:p>
    <w:p w14:paraId="5A45C262" w14:textId="2C629B86" w:rsidR="00563CFC" w:rsidRPr="006076FC" w:rsidRDefault="00563CFC" w:rsidP="008B2AB1">
      <w:pPr>
        <w:pStyle w:val="MDPI31text"/>
        <w:rPr>
          <w:lang w:val="en-GB"/>
        </w:rPr>
      </w:pPr>
      <w:r w:rsidRPr="006076FC">
        <w:rPr>
          <w:lang w:val="en-GB"/>
        </w:rPr>
        <w:t xml:space="preserve">Sitting, standing and stepping time were assessed using a tri-axial </w:t>
      </w:r>
      <w:proofErr w:type="spellStart"/>
      <w:r w:rsidRPr="006076FC">
        <w:rPr>
          <w:lang w:val="en-GB"/>
        </w:rPr>
        <w:t>activPAL</w:t>
      </w:r>
      <w:proofErr w:type="spellEnd"/>
      <w:r w:rsidRPr="006076FC">
        <w:rPr>
          <w:lang w:val="en-GB"/>
        </w:rPr>
        <w:t xml:space="preserve"> monitor (PAL Technologies, Glasgow, UK) </w:t>
      </w:r>
      <w:r w:rsidRPr="006076FC">
        <w:rPr>
          <w:lang w:val="en-GB"/>
        </w:rPr>
        <w:fldChar w:fldCharType="begin" w:fldLock="1"/>
      </w:r>
      <w:r w:rsidRPr="006076FC">
        <w:rPr>
          <w:lang w:val="en-GB"/>
        </w:rPr>
        <w:instrText>ADDIN CSL_CITATION {"citationItems":[{"id":"ITEM-1","itemData":{"DOI":"10.1136/bjsm.2006.030262","ISBN":"0306-3674","ISSN":"0306-3674","PMID":"16980531","abstract":"BACKGROUND Accurate measurement of physical activity patterns can be used to identify sedentary behaviour and may facilitate interventions aimed at reducing inactivity. OBJECTIVE To evaluate the activPAL physical activity monitor as a measure of posture and motion in everyday activities using observational analysis as the criterion standard. METHODS Wearing three activPAL monitors, 10 healthy participants performed a range of randomly assigned everyday tasks incorporating walking, standing and sitting. Each trial was captured on a digital camera and the recordings were synchronised with the activPAL. The time spent in different postures was visually classified and this was compared with the activPAL output. RESULTS Intraclass correlation coefficients (ICC 2,1) for interdevice reliability ranged from 0.79 to 0.99. Using the Bland and Altman method, the mean percentage difference between the activPAL monitor and observation for total time spent sitting was 0.19% (limits of agreement -0.68% to 1.06%) and for total time spent upright was -0.27% (limits of agreement -1.38% to 0.84%). The mean difference for total time spent standing was 1.4% (limits of agreement -6.2% to 9.1%) and for total time spent walking was -2.0% (limits of agreement -16.1% to 12.1%). A second-by-second analysis between observer and monitor found an overall agreement of 95.9%. CONCLUSION The activPAL activity monitor is a valid and reliable measure of posture and motion during everyday physical activities.","author":[{"dropping-particle":"","family":"Grant","given":"P M","non-dropping-particle":"","parse-names":false,"suffix":""},{"dropping-particle":"","family":"Ryan","given":"C G","non-dropping-particle":"","parse-names":false,"suffix":""},{"dropping-particle":"","family":"Tigbe","given":"W W","non-dropping-particle":"","parse-names":false,"suffix":""},{"dropping-particle":"","family":"Granat","given":"M H","non-dropping-particle":"","parse-names":false,"suffix":""}],"container-title":"British journal of sports medicine","id":"ITEM-1","issue":"12","issued":{"date-parts":[["2006"]]},"note":"Validatation of activPAL\n\ncompared wearing device to syncrhonised video recording during sittg, standing, walking and activites of daily liviinh. \n\nrelaiabilty a ICC&amp;gt;0.97\nsit to stand transistions matched the video recording \ntime spent in each activity only differed by 0.3%","page":"992-997","title":"The validation of a novel activity monitor in the measurement of posture and motion during everyday activities","type":"article-journal","volume":"40"},"uris":["http://www.mendeley.com/documents/?uuid=e101dea4-9392-4411-be13-e06f5abf2619"]},{"id":"ITEM-2","itemData":{"DOI":"10.1136/bjsm.2006.027276","ISBN":"0306-3674","ISSN":"1473-0480","PMID":"16825270","abstract":"BACKGROUND The accurate measurement of physical activity is crucial to understanding the relationship between physical activity and disease prevention and treatment. OBJECTIVE The primary purpose of this study was to investigate the validity and reliability of the activPAL physical activity monitor in measuring step number and cadence. METHODS The ability of the activPAL monitor to measure step number and cadence in 20 healthy adults (age 34.5+/-6.9 years; BMI 26.8+/-4.8 (mean+/-SD)) was evaluated against video observation. Concurrently, the accuracy of two commonly used pedometers, the Yamax Digi-Walker SW-200 and the Omron HJ-109-E, was compared to observation for measuring step number. Participants walked on a treadmill at five different speeds (0.90, 1.12, 1.33, 1.56, and 1.78 m/s) and outdoors at three self selected speeds (slow, normal, and fast). RESULTS At all speeds, inter device reliability was excellent for the activPAL (ICC (2,1)&gt; or =0.99) for both step number and cadence. The absolute percentage error for the activPAL was &lt;1.11% for step number and cadence regardless of walking speed. The accuracy of the pedometers was adversely affected by slow walking speeds. CONCLUSION The activPAL monitor is a valid and reliable measure of walking in healthy adults. Its accuracy is not influenced by walking speed. The activPAL may be a useful device in sports medicine.","author":[{"dropping-particle":"","family":"Ryan","given":"Cormac G","non-dropping-particle":"","parse-names":false,"suffix":""},{"dropping-particle":"","family":"Grant","given":"P M","non-dropping-particle":"","parse-names":false,"suffix":""},{"dropping-particle":"","family":"Tigbe","given":"W W","non-dropping-particle":"","parse-names":false,"suffix":""},{"dropping-particle":"","family":"Granat","given":"M H","non-dropping-particle":"","parse-names":false,"suffix":""}],"container-title":"British journal of sports medicine","id":"ITEM-2","issue":"9","issued":{"date-parts":[["2006","9"]]},"note":"ONe of first papers using acitvPAL","page":"779-84","title":"The validity and reliability of a novel activity monitor as a measure of walking","type":"article-journal","volume":"40"},"uris":["http://www.mendeley.com/documents/?uuid=5b4ececa-815a-4c02-a8ac-dde490e9c73c"]}],"mendeley":{"formattedCitation":"[26,27]","plainTextFormattedCitation":"[26,27]","previouslyFormattedCitation":"[25,26]"},"properties":{"noteIndex":0},"schema":"https://github.com/citation-style-language/schema/raw/master/csl-citation.json"}</w:instrText>
      </w:r>
      <w:r w:rsidRPr="006076FC">
        <w:rPr>
          <w:lang w:val="en-GB"/>
        </w:rPr>
        <w:fldChar w:fldCharType="separate"/>
      </w:r>
      <w:r w:rsidRPr="006076FC">
        <w:rPr>
          <w:noProof/>
          <w:lang w:val="en-GB"/>
        </w:rPr>
        <w:t>[26,27]</w:t>
      </w:r>
      <w:r w:rsidRPr="006076FC">
        <w:rPr>
          <w:lang w:val="en-GB"/>
        </w:rPr>
        <w:fldChar w:fldCharType="end"/>
      </w:r>
      <w:r w:rsidRPr="006076FC">
        <w:rPr>
          <w:lang w:val="en-GB"/>
        </w:rPr>
        <w:t xml:space="preserve">. The </w:t>
      </w:r>
      <w:proofErr w:type="spellStart"/>
      <w:r w:rsidRPr="006076FC">
        <w:rPr>
          <w:lang w:val="en-GB"/>
        </w:rPr>
        <w:t>activPAL</w:t>
      </w:r>
      <w:proofErr w:type="spellEnd"/>
      <w:r w:rsidRPr="006076FC">
        <w:rPr>
          <w:lang w:val="en-GB"/>
        </w:rPr>
        <w:t xml:space="preserve"> was initialised at a sampling frequency of 20 Hz, waterproofed using a small flexible sleeve (PAL Technologies) and then secured onto the anterior mid-line of participants’ right upper thigh by the principal researcher using a waterproof medical grade adhesive dressing (Tegaderm, Bracknell, UK). Data were downloaded from the monitor using </w:t>
      </w:r>
      <w:proofErr w:type="spellStart"/>
      <w:r w:rsidRPr="006076FC">
        <w:rPr>
          <w:lang w:val="en-GB"/>
        </w:rPr>
        <w:t>activPAL</w:t>
      </w:r>
      <w:proofErr w:type="spellEnd"/>
      <w:r w:rsidRPr="006076FC">
        <w:rPr>
          <w:lang w:val="en-GB"/>
        </w:rPr>
        <w:t xml:space="preserve"> software (version 7.2.32) and saved in 15 </w:t>
      </w:r>
      <w:r w:rsidR="001C5864" w:rsidRPr="006076FC">
        <w:rPr>
          <w:lang w:val="en-GB"/>
        </w:rPr>
        <w:t>s epochs across 24</w:t>
      </w:r>
      <w:r w:rsidR="00963C03">
        <w:rPr>
          <w:lang w:val="en-GB"/>
        </w:rPr>
        <w:t xml:space="preserve"> h </w:t>
      </w:r>
      <w:r w:rsidRPr="006076FC">
        <w:rPr>
          <w:lang w:val="en-GB"/>
        </w:rPr>
        <w:t xml:space="preserve">periods. Data for a day were invalid if the monitor </w:t>
      </w:r>
      <w:r w:rsidR="001C5864" w:rsidRPr="006076FC">
        <w:rPr>
          <w:lang w:val="en-GB"/>
        </w:rPr>
        <w:t>was worn &lt;10</w:t>
      </w:r>
      <w:r w:rsidR="003C41DD">
        <w:rPr>
          <w:lang w:val="en-GB"/>
        </w:rPr>
        <w:t xml:space="preserve"> </w:t>
      </w:r>
      <w:r w:rsidR="001C5864" w:rsidRPr="006076FC">
        <w:rPr>
          <w:lang w:val="en-GB"/>
        </w:rPr>
        <w:t>h, had &lt;</w:t>
      </w:r>
      <w:r w:rsidRPr="006076FC">
        <w:rPr>
          <w:lang w:val="en-GB"/>
        </w:rPr>
        <w:t>500 steps recorded or a</w:t>
      </w:r>
      <w:r w:rsidR="001C5864" w:rsidRPr="006076FC">
        <w:rPr>
          <w:lang w:val="en-GB"/>
        </w:rPr>
        <w:t>ny one activity accounted for ≥</w:t>
      </w:r>
      <w:r w:rsidRPr="006076FC">
        <w:rPr>
          <w:lang w:val="en-GB"/>
        </w:rPr>
        <w:t xml:space="preserve">95% of waking wear time </w:t>
      </w:r>
      <w:r w:rsidRPr="006076FC">
        <w:rPr>
          <w:lang w:val="en-GB"/>
        </w:rPr>
        <w:fldChar w:fldCharType="begin" w:fldLock="1"/>
      </w:r>
      <w:r w:rsidRPr="006076FC">
        <w:rPr>
          <w:lang w:val="en-GB"/>
        </w:rPr>
        <w:instrText>ADDIN CSL_CITATION {"citationItems":[{"id":"ITEM-1","itemData":{"DOI":"10.1088/0967-3334/37/10/1653","ISSN":"13616579","abstract":"© 2016 Institute of Physics and Engineering in Medicine. The activPAL monitor, often worn 24 h d -1 , provides accurate classification of sitting/reclining posture. Without validated automated methods, diaries-burdensome to participants and researchers-are commonly used to ensure measures of sedentary behaviour exclude sleep and monitor non-wear. We developed, for use with 24 h wear protocols in adults, an automated approach to classify activity bouts recorded in activPAL 'Events' files as 'sleep'/non-wear (or not) and on a valid day (or not). The approach excludes long periods without posture change/movement, adjacent low-active periods, and days with minimal movement and wear based on a simple algorithm. The algorithm was developed in one population (STAND study; overweight/obese adults 18-40 years) then evaluated in AusDiab 2011/12 participants (n = 741, 44% men, aged  &gt; 35 years, mean ± SD 58.5 ± 10.4 years) who wore the activPAL3 ™  (7 d, 24 h d -1  protocol). Algorithm agreement with a monitor-corrected diary method (usual practice) was tested in terms of the classification of each second as waking wear (Kappa; κ) and the average daily waking wear time, on valid days. The algorithm showed 'almost perfect' agreement (κ  &gt;  0.8) for 88% of participants, with a median kappa of 0.94. Agreement varied significantly (p  &lt;  0.05, two-tailed) by age (worsens with age) but not by gender. On average, estimated wear time was approximately 0.5 h d -1  higher than by the diary method, with 95% limits of agreement of approximately this amount ±2 h d -1 . In free-living data from Australian adults, a simple algorithm developed in a different population showed 'almost perfect' agreement with the diary method for most individuals (88%). For several purposes (e.g. with wear standardisation), adopting a low burden, automated approach would be expected to have little impact on data quality. The accuracy for total waking wear time was less and algorithm thresholds may require adjustments for older populations.","author":[{"dropping-particle":"","family":"Winkler","given":"Elisabeth A.H.","non-dropping-particle":"","parse-names":false,"suffix":""},{"dropping-particle":"","family":"Bodicoat","given":"Danielle H.","non-dropping-particle":"","parse-names":false,"suffix":""},{"dropping-particle":"","family":"Healy","given":"Genevieve N.","non-dropping-particle":"","parse-names":false,"suffix":""},{"dropping-particle":"","family":"Bakrania","given":"Kishan","non-dropping-particle":"","parse-names":false,"suffix":""},{"dropping-particle":"","family":"Yates","given":"Thomas","non-dropping-particle":"","parse-names":false,"suffix":""},{"dropping-particle":"","family":"Owen","given":"Neville","non-dropping-particle":"","parse-names":false,"suffix":""},{"dropping-particle":"","family":"Dunstan","given":"David W.","non-dropping-particle":"","parse-names":false,"suffix":""},{"dropping-particle":"","family":"Edwardson","given":"Charlotte L.","non-dropping-particle":"","parse-names":false,"suffix":""}],"container-title":"Physiological Measurement","id":"ITEM-1","issue":"10","issued":{"date-parts":[["2016"]]},"page":"1653-1668","publisher":"IOP Publishing","title":"Identifying adults' valid waking wear time by automated estimation in activPAL data collected with a 24 h wear protocol","type":"article-journal","volume":"37"},"uris":["http://www.mendeley.com/documents/?uuid=e7f17644-a292-4a5c-98e5-fdef5ea2f092"]}],"mendeley":{"formattedCitation":"[28]","plainTextFormattedCitation":"[28]","previouslyFormattedCitation":"[27]"},"properties":{"noteIndex":0},"schema":"https://github.com/citation-style-language/schema/raw/master/csl-citation.json"}</w:instrText>
      </w:r>
      <w:r w:rsidRPr="006076FC">
        <w:rPr>
          <w:lang w:val="en-GB"/>
        </w:rPr>
        <w:fldChar w:fldCharType="separate"/>
      </w:r>
      <w:r w:rsidRPr="006076FC">
        <w:rPr>
          <w:noProof/>
          <w:lang w:val="en-GB"/>
        </w:rPr>
        <w:t>[28]</w:t>
      </w:r>
      <w:r w:rsidRPr="006076FC">
        <w:rPr>
          <w:lang w:val="en-GB"/>
        </w:rPr>
        <w:fldChar w:fldCharType="end"/>
      </w:r>
      <w:r w:rsidRPr="006076FC">
        <w:rPr>
          <w:lang w:val="en-GB"/>
        </w:rPr>
        <w:t xml:space="preserve">. Visual inspection of the </w:t>
      </w:r>
      <w:proofErr w:type="spellStart"/>
      <w:r w:rsidRPr="006076FC">
        <w:rPr>
          <w:lang w:val="en-GB"/>
        </w:rPr>
        <w:t>activPAL</w:t>
      </w:r>
      <w:proofErr w:type="spellEnd"/>
      <w:r w:rsidRPr="006076FC">
        <w:rPr>
          <w:lang w:val="en-GB"/>
        </w:rPr>
        <w:t xml:space="preserve"> event file outputs corroborated if self-report wake-up and bedtimes were accurate. For inclusion, it was also required that the monitor was worn for &gt;90% of work time and that participants had valid data for all measurement time points (PRE and POST) for both trials. Daily sitting, standing and stepping time, total step count and the number of sit-to-stand transitions were calculated for work hours. Additional analyses were performed using a validated algorithm </w:t>
      </w:r>
      <w:r w:rsidRPr="006076FC">
        <w:rPr>
          <w:lang w:val="en-GB"/>
        </w:rPr>
        <w:fldChar w:fldCharType="begin" w:fldLock="1"/>
      </w:r>
      <w:r w:rsidRPr="006076FC">
        <w:rPr>
          <w:lang w:val="en-GB"/>
        </w:rPr>
        <w:instrText>ADDIN CSL_CITATION {"citationItems":[{"id":"ITEM-1","itemData":{"DOI":"10.1088/0967-3334/37/10/1653","ISSN":"13616579","abstract":"© 2016 Institute of Physics and Engineering in Medicine. The activPAL monitor, often worn 24 h d -1 , provides accurate classification of sitting/reclining posture. Without validated automated methods, diaries-burdensome to participants and researchers-are commonly used to ensure measures of sedentary behaviour exclude sleep and monitor non-wear. We developed, for use with 24 h wear protocols in adults, an automated approach to classify activity bouts recorded in activPAL 'Events' files as 'sleep'/non-wear (or not) and on a valid day (or not). The approach excludes long periods without posture change/movement, adjacent low-active periods, and days with minimal movement and wear based on a simple algorithm. The algorithm was developed in one population (STAND study; overweight/obese adults 18-40 years) then evaluated in AusDiab 2011/12 participants (n = 741, 44% men, aged  &gt; 35 years, mean ± SD 58.5 ± 10.4 years) who wore the activPAL3 ™  (7 d, 24 h d -1  protocol). Algorithm agreement with a monitor-corrected diary method (usual practice) was tested in terms of the classification of each second as waking wear (Kappa; κ) and the average daily waking wear time, on valid days. The algorithm showed 'almost perfect' agreement (κ  &gt;  0.8) for 88% of participants, with a median kappa of 0.94. Agreement varied significantly (p  &lt;  0.05, two-tailed) by age (worsens with age) but not by gender. On average, estimated wear time was approximately 0.5 h d -1  higher than by the diary method, with 95% limits of agreement of approximately this amount ±2 h d -1 . In free-living data from Australian adults, a simple algorithm developed in a different population showed 'almost perfect' agreement with the diary method for most individuals (88%). For several purposes (e.g. with wear standardisation), adopting a low burden, automated approach would be expected to have little impact on data quality. The accuracy for total waking wear time was less and algorithm thresholds may require adjustments for older populations.","author":[{"dropping-particle":"","family":"Winkler","given":"Elisabeth A.H.","non-dropping-particle":"","parse-names":false,"suffix":""},{"dropping-particle":"","family":"Bodicoat","given":"Danielle H.","non-dropping-particle":"","parse-names":false,"suffix":""},{"dropping-particle":"","family":"Healy","given":"Genevieve N.","non-dropping-particle":"","parse-names":false,"suffix":""},{"dropping-particle":"","family":"Bakrania","given":"Kishan","non-dropping-particle":"","parse-names":false,"suffix":""},{"dropping-particle":"","family":"Yates","given":"Thomas","non-dropping-particle":"","parse-names":false,"suffix":""},{"dropping-particle":"","family":"Owen","given":"Neville","non-dropping-particle":"","parse-names":false,"suffix":""},{"dropping-particle":"","family":"Dunstan","given":"David W.","non-dropping-particle":"","parse-names":false,"suffix":""},{"dropping-particle":"","family":"Edwardson","given":"Charlotte L.","non-dropping-particle":"","parse-names":false,"suffix":""}],"container-title":"Physiological Measurement","id":"ITEM-1","issue":"10","issued":{"date-parts":[["2016"]]},"page":"1653-1668","publisher":"IOP Publishing","title":"Identifying adults' valid waking wear time by automated estimation in activPAL data collected with a 24 h wear protocol","type":"article-journal","volume":"37"},"uris":["http://www.mendeley.com/documents/?uuid=e7f17644-a292-4a5c-98e5-fdef5ea2f092"]}],"mendeley":{"formattedCitation":"[28]","plainTextFormattedCitation":"[28]","previouslyFormattedCitation":"[27]"},"properties":{"noteIndex":0},"schema":"https://github.com/citation-style-language/schema/raw/master/csl-citation.json"}</w:instrText>
      </w:r>
      <w:r w:rsidRPr="006076FC">
        <w:rPr>
          <w:lang w:val="en-GB"/>
        </w:rPr>
        <w:fldChar w:fldCharType="separate"/>
      </w:r>
      <w:r w:rsidRPr="006076FC">
        <w:rPr>
          <w:noProof/>
          <w:lang w:val="en-GB"/>
        </w:rPr>
        <w:t>[28]</w:t>
      </w:r>
      <w:r w:rsidRPr="006076FC">
        <w:rPr>
          <w:lang w:val="en-GB"/>
        </w:rPr>
        <w:fldChar w:fldCharType="end"/>
      </w:r>
      <w:r w:rsidRPr="006076FC">
        <w:rPr>
          <w:lang w:val="en-GB"/>
        </w:rPr>
        <w:t xml:space="preserve"> to further examine the effect of the e-health intervention by determining the number and total duration of sitting (0</w:t>
      </w:r>
      <w:r w:rsidR="001C5864" w:rsidRPr="006076FC">
        <w:rPr>
          <w:lang w:val="en-GB"/>
        </w:rPr>
        <w:t>–</w:t>
      </w:r>
      <w:r w:rsidRPr="006076FC">
        <w:rPr>
          <w:lang w:val="en-GB"/>
        </w:rPr>
        <w:t>30, 30</w:t>
      </w:r>
      <w:r w:rsidR="001C5864" w:rsidRPr="006076FC">
        <w:rPr>
          <w:lang w:val="en-GB"/>
        </w:rPr>
        <w:t>–60, 60+ min</w:t>
      </w:r>
      <w:r w:rsidRPr="006076FC">
        <w:rPr>
          <w:lang w:val="en-GB"/>
        </w:rPr>
        <w:t>), standing (0</w:t>
      </w:r>
      <w:r w:rsidR="001C5864" w:rsidRPr="006076FC">
        <w:rPr>
          <w:lang w:val="en-GB"/>
        </w:rPr>
        <w:t xml:space="preserve">–30, 30+ </w:t>
      </w:r>
      <w:r w:rsidR="001C5864" w:rsidRPr="006076FC">
        <w:rPr>
          <w:lang w:val="en-GB"/>
        </w:rPr>
        <w:lastRenderedPageBreak/>
        <w:t>min</w:t>
      </w:r>
      <w:r w:rsidRPr="006076FC">
        <w:rPr>
          <w:lang w:val="en-GB"/>
        </w:rPr>
        <w:t>), stepping (0</w:t>
      </w:r>
      <w:r w:rsidR="001C5864" w:rsidRPr="006076FC">
        <w:rPr>
          <w:lang w:val="en-GB"/>
        </w:rPr>
        <w:t>–</w:t>
      </w:r>
      <w:r w:rsidRPr="006076FC">
        <w:rPr>
          <w:lang w:val="en-GB"/>
        </w:rPr>
        <w:t xml:space="preserve">30 </w:t>
      </w:r>
      <w:r w:rsidR="001C5864" w:rsidRPr="006076FC">
        <w:rPr>
          <w:lang w:val="en-GB"/>
        </w:rPr>
        <w:t>min</w:t>
      </w:r>
      <w:r w:rsidRPr="006076FC">
        <w:rPr>
          <w:lang w:val="en-GB"/>
        </w:rPr>
        <w:t>) and moderate-to-vigorous (MVPA) stepping (0</w:t>
      </w:r>
      <w:r w:rsidR="001C5864" w:rsidRPr="006076FC">
        <w:rPr>
          <w:lang w:val="en-GB"/>
        </w:rPr>
        <w:t>–10, 10+ min</w:t>
      </w:r>
      <w:r w:rsidRPr="006076FC">
        <w:rPr>
          <w:lang w:val="en-GB"/>
        </w:rPr>
        <w:t>) bouts during work hours. To account for variation in work time,</w:t>
      </w:r>
      <w:r w:rsidR="001C5864" w:rsidRPr="006076FC">
        <w:rPr>
          <w:lang w:val="en-GB"/>
        </w:rPr>
        <w:t xml:space="preserve"> data were normalised to an 8</w:t>
      </w:r>
      <w:r w:rsidR="00963C03">
        <w:rPr>
          <w:lang w:val="en-GB"/>
        </w:rPr>
        <w:t xml:space="preserve"> h </w:t>
      </w:r>
      <w:r w:rsidRPr="006076FC">
        <w:rPr>
          <w:lang w:val="en-GB"/>
        </w:rPr>
        <w:t>workday, as used previously</w:t>
      </w:r>
      <w:r w:rsidRPr="006076FC">
        <w:rPr>
          <w:i/>
          <w:iCs/>
          <w:lang w:val="en-GB"/>
        </w:rPr>
        <w:t xml:space="preserve"> </w:t>
      </w:r>
      <w:r w:rsidRPr="006076FC">
        <w:rPr>
          <w:lang w:val="en-GB"/>
        </w:rPr>
        <w:fldChar w:fldCharType="begin" w:fldLock="1"/>
      </w:r>
      <w:r w:rsidRPr="006076FC">
        <w:rPr>
          <w:i/>
          <w:iCs/>
          <w:lang w:val="en-GB"/>
        </w:rPr>
        <w:instrText>ADDIN CSL_CITATION {"citationItems":[{"id":"ITEM-1","itemData":{"DOI":"10.1249/MSS.0000000000000972","ISBN":"0000000000000","ISSN":"0195-9131","PMID":"27187098","abstract":"PURPOSE: To evaluate, compared to usual practice, the initial and long-term effectiveness of a workplace intervention targeting reducing sitting on activity outcomes. METHODS: Office worksites (≥1km apart) from a single organization in Victoria, Australia were cluster randomized to intervention (n=7) or control (n=7). Participants were 231 desk-based office workers (5 to 39 participants per worksite) working at least 0.6 full time equivalent. The workplace-delivered intervention addressed organizational, physical environment, and individual behavioural change to reduce sitting time. Assessments occurred at baseline, three-, and 12-months, with the primary outcome participants' objectively measured (activPAL3 device) workplace sitting time (mins/8-h workday). Secondary activity outcomes were: workplace time spent standing, stepping (light, moderate-vigorous and total) and in prolonged (≥30min) sitting bouts (h/8-h workday); usual duration of workplace sitting bouts; and, overall sitting, standing and stepping time (mins/16-h day). Analysis was by linear mixed models, accounting for repeated measures and clustering and adjusting for baseline values and potential confounders. RESULTS: At baseline, on average, participants (68% women; mean±SD age = 45.6±9.4 years) sat, stood and stepped for 78.8±9.5%, 14.3±8.2%, and 6.9±2.9% of work hours respectively. Workplace sitting time was significantly reduced in the intervention group compared to the controls at three months (-99.1 [95% CI -116.3 to -81.8] min/8-h workday) and 12 months (-45.4 [-64.6 to -26.2] min/8-h workday). Significant intervention effects (all favoring intervention) were observed for standing, prolonged sitting, and usual sitting bout duration at work, as well as overall sitting and standing time, with no significant nor meaningful effects observed for stepping. CONCLUSIONS: This workplace-delivered multicomponent intervention was successful at reducing workplace and overall daily sitting time in both the short- and long- term.","author":[{"dropping-particle":"","family":"Healy","given":"Genevieve N.","non-dropping-particle":"","parse-names":false,"suffix":""},{"dropping-particle":"","family":"Eakin","given":"ELIZABETH G.","non-dropping-particle":"","parse-names":false,"suffix":""},{"dropping-particle":"","family":"Owen","given":"NEVILLE","non-dropping-particle":"","parse-names":false,"suffix":""},{"dropping-particle":"","family":"Lamontagne","given":"ANTHONY D.","non-dropping-particle":"","parse-names":false,"suffix":""},{"dropping-particle":"","family":"Moodie","given":"MARJ","non-dropping-particle":"","parse-names":false,"suffix":""},{"dropping-particle":"","family":"Winkler","given":"ELISABETH A. H.","non-dropping-particle":"","parse-names":false,"suffix":""},{"dropping-particle":"","family":"Fjeldsoe","given":"BRIANNA S.","non-dropping-particle":"","parse-names":false,"suffix":""},{"dropping-particle":"","family":"Wiesner","given":"GLEN","non-dropping-particle":"","parse-names":false,"suffix":""},{"dropping-particle":"","family":"Willenberg","given":"LISA","non-dropping-particle":"","parse-names":false,"suffix":""},{"dropping-particle":"","family":"Dunstan","given":"DAVID W.","non-dropping-particle":"","parse-names":false,"suffix":""}],"container-title":"Medicine &amp; Science in Sports &amp; Exercise","id":"ITEM-1","issue":"9","issued":{"date-parts":[["2016","9"]]},"note":"INTRO\ninterventions that addess mutiple levels of influence have tended to show greater reductions in sitting than single component interventions. \nHowever some studies have methodological limitations\n\nMETHODS\nOrganisational, individual and environmental level strategies \n\nRESUTS\nIntervention sat less and stood more vs. controls at 3 and 6 months in the workplace and across the waking day.\nEffects were stronger at 3 months than at 12 months\n\nDISCUSSION\nlarge shits in sitting time can be achieved with a mlticomponet approach, which included strong buy-in from the organisation","page":"1787-1797","title":"A Cluster Randomized Controlled Trial to Reduce Office Workers’ Sitting Time","type":"article-journal","volume":"48"},"uris":["http://www.mendeley.com/documents/?uuid=6cbb7f64-f5e0-4c7a-b9a8-cd45818a6325"]},{"id":"ITEM-2","itemData":{"DOI":"10.1136/bmj.k3870","ISSN":"17561833","PMID":"30305278","abstract":"Objectives To evaluate the impact of a multicomponent intervention (Stand More AT (SMArT) Work) designed to reduce sitting time on short (three months), medium (six months), and longer term (12 months) changes in occupational, daily, and prolonged sitting, standing, and physical activity, and physical, psychological, and work related health. Design Cluster two arm randomised controlled trial. Setting National Health Service trust, England. Participants 37 office clusters (146 participants) of desk based workers: 19 clusters (77 participants) were randomised to the intervention and 18 (69 participants) to control. Interventions The intervention group received a height adjustable workstation, a brief seminar with supporting leaflet, workstation instructions with sitting and standing targets, feedback on sitting and physical activity at three time points, posters, action planning and goal setting booklet, self monitoring and prompt tool, and coaching sessions (month 1 and every three months thereafter). The control group continued with usual practice. Main outcome measures The primary outcome was occupational sitting time (thigh worn accelerometer). Secondary outcomes were objectively measured daily sitting, prolonged sitting (≥30 minutes), and standing time, physical activity, musculoskeletal problems, self reported work related health (job performance, job satisfaction, work engagement, occupational fatigue, sickness presenteeism, and sickness absenteeism), cognitive function, and self reported psychological measures (mood and affective states, quality of life) assessed at 3, 6, and 12 months. Data were analysed using generalised estimating equation models, accounting for clustering. Results A significant difference between groups (in favour of the intervention group) was found in occupational sitting time at 12 months (-83.28 min/workday, 95% confidence interval-116.57 to-49.98, P=0.001). Differences between groups (in favour of the intervention group compared with control) were observed for occupational sitting time at three months (-50.62 min/workday,-78.71 to-22.54, P&lt;0.001) and six months (-64.40 min/workday,-97.31 to-31.50, P&lt;0.001) and daily sitting time at six months (-59.32 min/day,-88.40 to-30.25, P&lt;0.001) and 12 months (-82.39 min/day,-114.54 to-50.26, P=0.001). Group differences (in favour of the intervention group compared with control) were found for prolonged sitting time, standing time, job performance, work engagement, occupational fatig…","author":[{"dropping-particle":"","family":"Edwardson","given":"Charlotte L.","non-dropping-particle":"","parse-names":false,"suffix":""},{"dropping-particle":"","family":"Yates","given":"Tom","non-dropping-particle":"","parse-names":false,"suffix":""},{"dropping-particle":"","family":"Biddle","given":"Stuart J.H.","non-dropping-particle":"","parse-names":false,"suffix":""},{"dropping-particle":"","family":"Davies","given":"Melanie J.","non-dropping-particle":"","parse-names":false,"suffix":""},{"dropping-particle":"","family":"Dunstan","given":"David W.","non-dropping-particle":"","parse-names":false,"suffix":""},{"dropping-particle":"","family":"Esliger","given":"Dale W.","non-dropping-particle":"","parse-names":false,"suffix":""},{"dropping-particle":"","family":"Gray","given":"Laura J.","non-dropping-particle":"","parse-names":false,"suffix":""},{"dropping-particle":"","family":"Jackson","given":"Benjamin","non-dropping-particle":"","parse-names":false,"suffix":""},{"dropping-particle":"","family":"O'Connell","given":"Sophie E.","non-dropping-particle":"","parse-names":false,"suffix":""},{"dropping-particle":"","family":"Waheed","given":"Ghazala","non-dropping-particle":"","parse-names":false,"suffix":""},{"dropping-particle":"","family":"Munir","given":"Fehmidah","non-dropping-particle":"","parse-names":false,"suffix":""}],"container-title":"BMJ (Online)","id":"ITEM-2","issued":{"date-parts":[["2018"]]},"title":"Effectiveness of the stand more at (SMArT) work intervention: Cluster randomised controlled trial","type":"article-journal","volume":"363"},"uris":["http://www.mendeley.com/documents/?uuid=6c8f5b5e-5d49-410f-bf87-a6716b1751a1"]}],"mendeley":{"formattedCitation":"[29,30]","plainTextFormattedCitation":"[29,30]","previouslyFormattedCitation":"[28,29]"},"properties":{"noteIndex":0},"schema":"https://github.com/citation-style-language/schema/raw/master/csl-citation.json"}</w:instrText>
      </w:r>
      <w:r w:rsidRPr="006076FC">
        <w:rPr>
          <w:lang w:val="en-GB"/>
        </w:rPr>
        <w:fldChar w:fldCharType="separate"/>
      </w:r>
      <w:r w:rsidRPr="006076FC">
        <w:rPr>
          <w:noProof/>
          <w:lang w:val="en-GB"/>
        </w:rPr>
        <w:t>[29,30]</w:t>
      </w:r>
      <w:r w:rsidRPr="006076FC">
        <w:rPr>
          <w:lang w:val="en-GB"/>
        </w:rPr>
        <w:fldChar w:fldCharType="end"/>
      </w:r>
      <w:r w:rsidRPr="006076FC">
        <w:rPr>
          <w:lang w:val="en-GB"/>
        </w:rPr>
        <w:t>.</w:t>
      </w:r>
    </w:p>
    <w:p w14:paraId="413F1FEA" w14:textId="663FBD0D" w:rsidR="00563CFC" w:rsidRPr="006076FC" w:rsidRDefault="008B2AB1" w:rsidP="008B2AB1">
      <w:pPr>
        <w:pStyle w:val="MDPI22heading2"/>
        <w:rPr>
          <w:lang w:val="en-GB"/>
        </w:rPr>
      </w:pPr>
      <w:r w:rsidRPr="006076FC">
        <w:rPr>
          <w:lang w:val="en-GB"/>
        </w:rPr>
        <w:t xml:space="preserve">2.6. </w:t>
      </w:r>
      <w:r w:rsidR="00563CFC" w:rsidRPr="006076FC">
        <w:rPr>
          <w:lang w:val="en-GB"/>
        </w:rPr>
        <w:t>Secondary Outcomes: Vascular Function, Cerebrovascular Function, Mood and Work Productivity</w:t>
      </w:r>
    </w:p>
    <w:p w14:paraId="2DB82695" w14:textId="3B5D32F2" w:rsidR="00563CFC" w:rsidRPr="006076FC" w:rsidRDefault="00563CFC" w:rsidP="008B2AB1">
      <w:pPr>
        <w:pStyle w:val="MDPI31text"/>
        <w:rPr>
          <w:lang w:val="en-GB"/>
        </w:rPr>
      </w:pPr>
      <w:r w:rsidRPr="006076FC">
        <w:rPr>
          <w:lang w:val="en-GB"/>
        </w:rPr>
        <w:t>Prior to each laboratory visit, participants were instructed to av</w:t>
      </w:r>
      <w:r w:rsidR="001C5864" w:rsidRPr="006076FC">
        <w:rPr>
          <w:lang w:val="en-GB"/>
        </w:rPr>
        <w:t>oid strenuous exercise for 24</w:t>
      </w:r>
      <w:r w:rsidR="003C41DD">
        <w:rPr>
          <w:lang w:val="en-GB"/>
        </w:rPr>
        <w:t xml:space="preserve"> </w:t>
      </w:r>
      <w:r w:rsidR="001C5864" w:rsidRPr="006076FC">
        <w:rPr>
          <w:lang w:val="en-GB"/>
        </w:rPr>
        <w:t>h</w:t>
      </w:r>
      <w:r w:rsidRPr="006076FC">
        <w:rPr>
          <w:lang w:val="en-GB"/>
        </w:rPr>
        <w:t>, abstain from alcohol and caffeine, and complete an overnight fast. Women were assessed in the follicular phase of the menstrual cycle (days 1</w:t>
      </w:r>
      <w:r w:rsidR="001C5864" w:rsidRPr="006076FC">
        <w:rPr>
          <w:lang w:val="en-GB"/>
        </w:rPr>
        <w:t>–</w:t>
      </w:r>
      <w:r w:rsidRPr="006076FC">
        <w:rPr>
          <w:lang w:val="en-GB"/>
        </w:rPr>
        <w:t>7). Anthropometric measures of stature and body mass were acquired at the start of each visit. After a 20</w:t>
      </w:r>
      <w:r w:rsidR="00080A01">
        <w:rPr>
          <w:lang w:val="en-GB"/>
        </w:rPr>
        <w:t xml:space="preserve"> </w:t>
      </w:r>
      <w:r w:rsidRPr="006076FC">
        <w:rPr>
          <w:lang w:val="en-GB"/>
        </w:rPr>
        <w:t>min supine rest, measures of vascular function and cerebrovascular function were obtained. Participants were then given a 15</w:t>
      </w:r>
      <w:r w:rsidR="00080A01">
        <w:rPr>
          <w:lang w:val="en-GB"/>
        </w:rPr>
        <w:t xml:space="preserve"> </w:t>
      </w:r>
      <w:r w:rsidRPr="006076FC">
        <w:rPr>
          <w:lang w:val="en-GB"/>
        </w:rPr>
        <w:t>min break and a standardised snack to consume. Following this, participants completed mood and work performance questionnaires.</w:t>
      </w:r>
    </w:p>
    <w:p w14:paraId="0CACDC0D" w14:textId="5EE08A4A" w:rsidR="00563CFC" w:rsidRPr="006076FC" w:rsidRDefault="008B2AB1" w:rsidP="008B2AB1">
      <w:pPr>
        <w:pStyle w:val="MDPI23heading3"/>
        <w:rPr>
          <w:lang w:val="en-GB"/>
        </w:rPr>
      </w:pPr>
      <w:r w:rsidRPr="006076FC">
        <w:rPr>
          <w:lang w:val="en-GB"/>
        </w:rPr>
        <w:t xml:space="preserve">2.6.1. </w:t>
      </w:r>
      <w:r w:rsidR="00563CFC" w:rsidRPr="006076FC">
        <w:rPr>
          <w:lang w:val="en-GB"/>
        </w:rPr>
        <w:t>Anthropometry: Stature and Body Mass</w:t>
      </w:r>
    </w:p>
    <w:p w14:paraId="5E82A1DB" w14:textId="77777777" w:rsidR="00563CFC" w:rsidRPr="006076FC" w:rsidRDefault="00563CFC" w:rsidP="008B2AB1">
      <w:pPr>
        <w:pStyle w:val="MDPI31text"/>
        <w:rPr>
          <w:lang w:val="en-GB"/>
        </w:rPr>
      </w:pPr>
      <w:r w:rsidRPr="006076FC">
        <w:rPr>
          <w:lang w:val="en-GB"/>
        </w:rPr>
        <w:t>Stature was measured to the nearest 0.1 cm using a portable stadiometer (SECA, Hamburg, Germany). In minimal clothing and without shoes, body mass was measured to the nearest 0.1 kg using an electronic scale (SECA 799, Hamburg, Germany). BMI was subsequently calculated (mass/stature</w:t>
      </w:r>
      <w:r w:rsidRPr="006076FC">
        <w:rPr>
          <w:vertAlign w:val="superscript"/>
          <w:lang w:val="en-GB"/>
        </w:rPr>
        <w:t>2</w:t>
      </w:r>
      <w:r w:rsidRPr="006076FC">
        <w:rPr>
          <w:lang w:val="en-GB"/>
        </w:rPr>
        <w:t>).</w:t>
      </w:r>
    </w:p>
    <w:p w14:paraId="5488452B" w14:textId="5FE16EB2" w:rsidR="00563CFC" w:rsidRPr="006076FC" w:rsidRDefault="008B2AB1" w:rsidP="008B2AB1">
      <w:pPr>
        <w:pStyle w:val="MDPI23heading3"/>
        <w:rPr>
          <w:lang w:val="en-GB"/>
        </w:rPr>
      </w:pPr>
      <w:r w:rsidRPr="006076FC">
        <w:rPr>
          <w:lang w:val="en-GB"/>
        </w:rPr>
        <w:t xml:space="preserve">2.6.2. </w:t>
      </w:r>
      <w:r w:rsidR="00563CFC" w:rsidRPr="006076FC">
        <w:rPr>
          <w:lang w:val="en-GB"/>
        </w:rPr>
        <w:t>Vascular Function</w:t>
      </w:r>
    </w:p>
    <w:p w14:paraId="0AD27112" w14:textId="506E736B" w:rsidR="00563CFC" w:rsidRPr="006076FC" w:rsidRDefault="00563CFC" w:rsidP="008B2AB1">
      <w:pPr>
        <w:pStyle w:val="MDPI31text"/>
        <w:rPr>
          <w:rFonts w:ascii="Times New Roman" w:hAnsi="Times New Roman"/>
          <w:sz w:val="24"/>
          <w:szCs w:val="24"/>
          <w:lang w:val="en-GB"/>
        </w:rPr>
      </w:pPr>
      <w:r w:rsidRPr="006076FC">
        <w:rPr>
          <w:lang w:val="en-GB"/>
        </w:rPr>
        <w:t>Resting heart rate (HR), systolic blood pressure (SBP) and diastolic blood pressure (DBP) and mean arterial pressure (MAP) were measured at the left brachial artery (</w:t>
      </w:r>
      <w:proofErr w:type="spellStart"/>
      <w:r w:rsidRPr="006076FC">
        <w:rPr>
          <w:lang w:val="en-GB"/>
        </w:rPr>
        <w:t>Carescape</w:t>
      </w:r>
      <w:proofErr w:type="spellEnd"/>
      <w:r w:rsidRPr="006076FC">
        <w:rPr>
          <w:lang w:val="en-GB"/>
        </w:rPr>
        <w:t xml:space="preserve"> V100, </w:t>
      </w:r>
      <w:proofErr w:type="spellStart"/>
      <w:r w:rsidRPr="006076FC">
        <w:rPr>
          <w:lang w:val="en-GB"/>
        </w:rPr>
        <w:t>Dinamap</w:t>
      </w:r>
      <w:proofErr w:type="spellEnd"/>
      <w:r w:rsidRPr="006076FC">
        <w:rPr>
          <w:lang w:val="en-GB"/>
        </w:rPr>
        <w:t xml:space="preserve">, GE Healthcare, UK). Brachial and superficial femoral artery vascular function were assessed simultaneously using the non-invasive flow-mediated dilation (FMD) technique, </w:t>
      </w:r>
      <w:bookmarkStart w:id="1" w:name="_Hlk26538870"/>
      <w:r w:rsidRPr="006076FC">
        <w:rPr>
          <w:lang w:val="en-GB"/>
        </w:rPr>
        <w:t xml:space="preserve">which is a predictor of cardiovascular disease risk </w:t>
      </w:r>
      <w:r w:rsidRPr="006076FC">
        <w:rPr>
          <w:lang w:val="en-GB"/>
        </w:rPr>
        <w:fldChar w:fldCharType="begin" w:fldLock="1"/>
      </w:r>
      <w:r w:rsidRPr="006076FC">
        <w:rPr>
          <w:lang w:val="en-GB"/>
        </w:rPr>
        <w:instrText>ADDIN CSL_CITATION {"citationItems":[{"id":"ITEM-1","itemData":{"DOI":"10.1007/s10554-010-9616-1","ISBN":"1569-5794","ISSN":"15695794","PMID":"20339920","abstract":"BACKGROUND: We conducted a meta-analysis of observational studies which examined the association between flow-mediated dilatation (FMD) of brachial artery, a noninvasive measure of endothelial function, and future cardiovascular events. METHODS: Electronic databases were searched using a predefined search strategy. Data was independently abstracted on study characteristics, study quality, and outcomes by two reviewers. The multivariate relative risks, adjusted for confounding factors, were calculated from individual studies and then pooled using random-effects models. Statistical heterogeneity was evaluated using I2 statistics. Subgroup analyses and meta-regression analyses were conducted to assess the robustness of the meta-analysis. Publication bias was examined with funnel plot analysis and Egger's test. RESULTS: Four population-based cohort studies and ten convenience-cohort studies, involving 5,547 participants, were included in the meta-analysis. The pooled relative risks of cardiovascular events per 1% increase in brachial FMD, adjusted for confounding risk factors, was 0.87 (95% CI, 0.83- 0.91). The significant associations between brachial FMD and cardiovascular events were consistent among all subgroups evaluated, suggesting the robustness of the meta-analysis. However, the presence of heterogeneity in study quality, the remaining confounding factors, and publication bias in the available literature prevent a definitive evaluation of the additional predictive value of brachial FMD beyond traditional cardiovascular risk factors. CONCLUSIONS: The meta-analysis of heterogeneous studies with moderate methodological quality suggested that impairment of brachial FMD is significantly associated with future cardiovascular events. Further prospective randomized trials are warranted to confirm the efficacy of the usage of brachial FMD in the management of cardiovascular diseases.","author":[{"dropping-particle":"","family":"Inaba","given":"Yoichi","non-dropping-particle":"","parse-names":false,"suffix":""},{"dropping-particle":"","family":"Chen","given":"Jennifer A.","non-dropping-particle":"","parse-names":false,"suffix":""},{"dropping-particle":"","family":"Bergmann","given":"Steven R.","non-dropping-particle":"","parse-names":false,"suffix":""}],"container-title":"International Journal of Cardiovascular Imaging","id":"ITEM-1","issue":"6","issued":{"date-parts":[["2010"]]},"page":"631-640","title":"Prediction of future cardiovascular outcomes by flow-mediated vasodilatation of brachial artery: A meta-analysis","type":"article-journal","volume":"26"},"uris":["http://www.mendeley.com/documents/?uuid=12aaf167-99b9-4ffd-9883-6cc33645de47"]}],"mendeley":{"formattedCitation":"[31]","plainTextFormattedCitation":"[31]","previouslyFormattedCitation":"[30]"},"properties":{"noteIndex":0},"schema":"https://github.com/citation-style-language/schema/raw/master/csl-citation.json"}</w:instrText>
      </w:r>
      <w:r w:rsidRPr="006076FC">
        <w:rPr>
          <w:lang w:val="en-GB"/>
        </w:rPr>
        <w:fldChar w:fldCharType="separate"/>
      </w:r>
      <w:r w:rsidRPr="006076FC">
        <w:rPr>
          <w:noProof/>
          <w:lang w:val="en-GB"/>
        </w:rPr>
        <w:t>[31]</w:t>
      </w:r>
      <w:r w:rsidRPr="006076FC">
        <w:rPr>
          <w:lang w:val="en-GB"/>
        </w:rPr>
        <w:fldChar w:fldCharType="end"/>
      </w:r>
      <w:bookmarkEnd w:id="1"/>
      <w:r w:rsidRPr="006076FC">
        <w:rPr>
          <w:lang w:val="en-GB"/>
        </w:rPr>
        <w:t>. Assessments were conducted using high</w:t>
      </w:r>
      <w:r w:rsidR="00F20704">
        <w:rPr>
          <w:lang w:val="en-GB"/>
        </w:rPr>
        <w:t>-</w:t>
      </w:r>
      <w:r w:rsidRPr="006076FC">
        <w:rPr>
          <w:lang w:val="en-GB"/>
        </w:rPr>
        <w:t xml:space="preserve">resolution ultrasound (u-smart t3300; </w:t>
      </w:r>
      <w:proofErr w:type="spellStart"/>
      <w:r w:rsidRPr="006076FC">
        <w:rPr>
          <w:lang w:val="en-GB"/>
        </w:rPr>
        <w:t>Terason</w:t>
      </w:r>
      <w:proofErr w:type="spellEnd"/>
      <w:r w:rsidRPr="006076FC">
        <w:rPr>
          <w:lang w:val="en-GB"/>
        </w:rPr>
        <w:t>, Burlington, MA</w:t>
      </w:r>
      <w:r w:rsidR="001C5864" w:rsidRPr="006076FC">
        <w:rPr>
          <w:lang w:val="en-GB"/>
        </w:rPr>
        <w:t>, USA</w:t>
      </w:r>
      <w:r w:rsidRPr="006076FC">
        <w:rPr>
          <w:lang w:val="en-GB"/>
        </w:rPr>
        <w:t xml:space="preserve">) according to the published guidelines </w:t>
      </w:r>
      <w:r w:rsidRPr="006076FC">
        <w:rPr>
          <w:lang w:val="en-GB"/>
        </w:rPr>
        <w:fldChar w:fldCharType="begin" w:fldLock="1"/>
      </w:r>
      <w:r w:rsidRPr="006076FC">
        <w:rPr>
          <w:lang w:val="en-GB"/>
        </w:rPr>
        <w:instrText>ADDIN CSL_CITATION {"citationItems":[{"id":"ITEM-1","itemData":{"DOI":"10.1093/eurheartj/ehz350","ISSN":"0195-668X","abstract":"Endothelial dysfunction is involved in the development of atherosclerosis, which precedes asymptomatic structural vascular alterations as well as clinical manifestations of cardiovascular disease (CVD). Endothelial function can be assessed non-invasively using the flow-mediated dilation (FMD) technique. Flow-mediated dilation represents an endothelium-dependent, largely nitric oxide (NO)-mediated dilatation of conduit arteries in response to an imposed increase in blood flow and shear stress. Flow-mediated dilation is affected by cardiovascular (CV) risk factors, relates to coronary artery endothelial function, and independently predicts CVD outcome. Accordingly, FMD is a tool for examining the pathophysiology of CVD and possibly identifying subjects at increased risk for future CV events. Moreover, it has merit in examining the acute and long-term impact of physiological and pharmacological interventions in humans. Despite concerns about its reproducibility, the available evidence shows that highly reliable FMD measurements can be achieved when specialized laboratories follow standardized protocols. For this purpose, updated expert consensus guidelines for the performance of FMD are presented, which are based on critical appraisal of novel technical approaches, development of analysis software, and studies exploring the physiological principles underlying the technique. Uniformity in FMD performance will (i) improve comparability between studies, (ii) contribute to construction of reference values, and (iii) offer an easy accessible and early marker of atherosclerosis that could complement clinical symptoms of structural arterial disease and facilitate early diagnosis and prediction of CVD outcomes.","author":[{"dropping-particle":"","family":"Thijssen","given":"Dick H J","non-dropping-particle":"","parse-names":false,"suffix":""},{"dropping-particle":"","family":"Bruno","given":"Rosa Maria","non-dropping-particle":"","parse-names":false,"suffix":""},{"dropping-particle":"","family":"Mil","given":"Anke C C M","non-dropping-particle":"van","parse-names":false,"suffix":""},{"dropping-particle":"","family":"Holder","given":"Sophie M","non-dropping-particle":"","parse-names":false,"suffix":""},{"dropping-particle":"","family":"Faita","given":"Francesco","non-dropping-particle":"","parse-names":false,"suffix":""},{"dropping-particle":"","family":"Greyling","given":"Arno","non-dropping-particle":"","parse-names":false,"suffix":""},{"dropping-particle":"","family":"Zock","given":"Peter L","non-dropping-particle":"","parse-names":false,"suffix":""},{"dropping-particle":"","family":"Taddei","given":"Stefano","non-dropping-particle":"","parse-names":false,"suffix":""},{"dropping-particle":"","family":"Deanfield","given":"John E","non-dropping-particle":"","parse-names":false,"suffix":""},{"dropping-particle":"","family":"Luscher","given":"Thomas","non-dropping-particle":"","parse-names":false,"suffix":""},{"dropping-particle":"","family":"Green","given":"Daniel J","non-dropping-particle":"","parse-names":false,"suffix":""},{"dropping-particle":"","family":"Ghiadoni","given":"Lorenzo","non-dropping-particle":"","parse-names":false,"suffix":""}],"container-title":"European Heart Journal","id":"ITEM-1","issue":"30","issued":{"date-parts":[["2019"]]},"page":"2534-2547","title":"Expert consensus and evidence-based recommendations for the assessment of flow-mediated dilation in humans","type":"article-journal","volume":"40"},"uris":["http://www.mendeley.com/documents/?uuid=c10f13b6-1c65-4a31-827c-9b05e090a855"]}],"mendeley":{"formattedCitation":"[32]","plainTextFormattedCitation":"[32]","previouslyFormattedCitation":"[31]"},"properties":{"noteIndex":0},"schema":"https://github.com/citation-style-language/schema/raw/master/csl-citation.json"}</w:instrText>
      </w:r>
      <w:r w:rsidRPr="006076FC">
        <w:rPr>
          <w:lang w:val="en-GB"/>
        </w:rPr>
        <w:fldChar w:fldCharType="separate"/>
      </w:r>
      <w:r w:rsidRPr="006076FC">
        <w:rPr>
          <w:noProof/>
          <w:lang w:val="en-GB"/>
        </w:rPr>
        <w:t>[32]</w:t>
      </w:r>
      <w:r w:rsidRPr="006076FC">
        <w:rPr>
          <w:lang w:val="en-GB"/>
        </w:rPr>
        <w:fldChar w:fldCharType="end"/>
      </w:r>
      <w:r w:rsidRPr="006076FC">
        <w:rPr>
          <w:lang w:val="en-GB"/>
        </w:rPr>
        <w:t xml:space="preserve"> and are described in detailed elsewhere </w:t>
      </w:r>
      <w:r w:rsidRPr="006076FC">
        <w:rPr>
          <w:lang w:val="en-GB"/>
        </w:rPr>
        <w:fldChar w:fldCharType="begin" w:fldLock="1"/>
      </w:r>
      <w:r w:rsidRPr="006076FC">
        <w:rPr>
          <w:lang w:val="en-GB"/>
        </w:rPr>
        <w:instrText>ADDIN CSL_CITATION {"citationItems":[{"id":"ITEM-1","itemData":{"DOI":"10.14814/phy2.14190","ISSN":"2051-817X","author":[{"dropping-particle":"","family":"Carter","given":"Sophie E.","non-dropping-particle":"","parse-names":false,"suffix":""},{"dropping-particle":"","family":"Draijer","given":"Richard","non-dropping-particle":"","parse-names":false,"suffix":""},{"dropping-particle":"","family":"Holder","given":"Sophie M.","non-dropping-particle":"","parse-names":false,"suffix":""},{"dropping-particle":"","family":"Brown","given":"Louise","non-dropping-particle":"","parse-names":false,"suffix":""},{"dropping-particle":"","family":"Thijssen","given":"Dick H. J.","non-dropping-particle":"","parse-names":false,"suffix":""},{"dropping-particle":"","family":"Hopkins","given":"Nicola D.","non-dropping-particle":"","parse-names":false,"suffix":""}],"container-title":"Physiological Reports","id":"ITEM-1","issue":"16","issued":{"date-parts":[["2019"]]},"page":"1-11","title":"Effect of different walking break strategies on superficial femoral artery endothelial function","type":"article-journal","volume":"7"},"uris":["http://www.mendeley.com/documents/?uuid=adf41841-cf84-4f12-9a43-bfe0127e4b57"]}],"mendeley":{"formattedCitation":"[33]","plainTextFormattedCitation":"[33]","previouslyFormattedCitation":"[32]"},"properties":{"noteIndex":0},"schema":"https://github.com/citation-style-language/schema/raw/master/csl-citation.json"}</w:instrText>
      </w:r>
      <w:r w:rsidRPr="006076FC">
        <w:rPr>
          <w:lang w:val="en-GB"/>
        </w:rPr>
        <w:fldChar w:fldCharType="separate"/>
      </w:r>
      <w:r w:rsidRPr="006076FC">
        <w:rPr>
          <w:noProof/>
          <w:lang w:val="en-GB"/>
        </w:rPr>
        <w:t>[33]</w:t>
      </w:r>
      <w:r w:rsidRPr="006076FC">
        <w:rPr>
          <w:lang w:val="en-GB"/>
        </w:rPr>
        <w:fldChar w:fldCharType="end"/>
      </w:r>
      <w:r w:rsidRPr="006076FC">
        <w:rPr>
          <w:lang w:val="en-GB"/>
        </w:rPr>
        <w:t xml:space="preserve">. Briefly, </w:t>
      </w:r>
      <w:r w:rsidRPr="006076FC">
        <w:rPr>
          <w:rStyle w:val="normaltextrun"/>
          <w:shd w:val="clear" w:color="auto" w:fill="FFFFFF"/>
          <w:lang w:val="en-GB"/>
        </w:rPr>
        <w:t>after a 1</w:t>
      </w:r>
      <w:r w:rsidR="00080A01">
        <w:rPr>
          <w:rStyle w:val="normaltextrun"/>
          <w:shd w:val="clear" w:color="auto" w:fill="FFFFFF"/>
          <w:lang w:val="en-GB"/>
        </w:rPr>
        <w:t xml:space="preserve"> min</w:t>
      </w:r>
      <w:r w:rsidRPr="006076FC">
        <w:rPr>
          <w:rStyle w:val="normaltextrun"/>
          <w:shd w:val="clear" w:color="auto" w:fill="FFFFFF"/>
          <w:lang w:val="en-GB"/>
        </w:rPr>
        <w:t xml:space="preserve"> of baseline, occlusion cuffs, connected to a rapid inflator (D.E. </w:t>
      </w:r>
      <w:proofErr w:type="spellStart"/>
      <w:r w:rsidRPr="006076FC">
        <w:rPr>
          <w:rStyle w:val="normaltextrun"/>
          <w:shd w:val="clear" w:color="auto" w:fill="FFFFFF"/>
          <w:lang w:val="en-GB"/>
        </w:rPr>
        <w:t>Hokanson</w:t>
      </w:r>
      <w:proofErr w:type="spellEnd"/>
      <w:r w:rsidRPr="006076FC">
        <w:rPr>
          <w:rStyle w:val="normaltextrun"/>
          <w:shd w:val="clear" w:color="auto" w:fill="FFFFFF"/>
          <w:lang w:val="en-GB"/>
        </w:rPr>
        <w:t>, Bellevue, WA</w:t>
      </w:r>
      <w:r w:rsidR="001C5864" w:rsidRPr="006076FC">
        <w:rPr>
          <w:lang w:val="en-GB"/>
        </w:rPr>
        <w:t>, USA</w:t>
      </w:r>
      <w:r w:rsidRPr="006076FC">
        <w:rPr>
          <w:rStyle w:val="normaltextrun"/>
          <w:shd w:val="clear" w:color="auto" w:fill="FFFFFF"/>
          <w:lang w:val="en-GB"/>
        </w:rPr>
        <w:t>), were inflated to 220 mmHg for 5</w:t>
      </w:r>
      <w:r w:rsidR="00080A01">
        <w:rPr>
          <w:rStyle w:val="normaltextrun"/>
          <w:shd w:val="clear" w:color="auto" w:fill="FFFFFF"/>
          <w:lang w:val="en-GB"/>
        </w:rPr>
        <w:t xml:space="preserve"> min</w:t>
      </w:r>
      <w:r w:rsidRPr="006076FC">
        <w:rPr>
          <w:rStyle w:val="normaltextrun"/>
          <w:shd w:val="clear" w:color="auto" w:fill="FFFFFF"/>
          <w:lang w:val="en-GB"/>
        </w:rPr>
        <w:t xml:space="preserve">. </w:t>
      </w:r>
      <w:r w:rsidRPr="006076FC">
        <w:rPr>
          <w:lang w:val="en-GB"/>
        </w:rPr>
        <w:t>FMD was calculated as the absolute and percentage change in artery diameter from baseline to peak during the 3</w:t>
      </w:r>
      <w:r w:rsidR="00080A01">
        <w:rPr>
          <w:lang w:val="en-GB"/>
        </w:rPr>
        <w:t xml:space="preserve"> min</w:t>
      </w:r>
      <w:r w:rsidRPr="006076FC">
        <w:rPr>
          <w:lang w:val="en-GB"/>
        </w:rPr>
        <w:t xml:space="preserve"> after cuff deflation. Data analysis was performed using custom</w:t>
      </w:r>
      <w:r w:rsidR="001C5864" w:rsidRPr="006076FC">
        <w:rPr>
          <w:lang w:val="en-GB"/>
        </w:rPr>
        <w:t>-</w:t>
      </w:r>
      <w:r w:rsidRPr="006076FC">
        <w:rPr>
          <w:lang w:val="en-GB"/>
        </w:rPr>
        <w:t>designed automatic edge</w:t>
      </w:r>
      <w:r w:rsidR="001C5864" w:rsidRPr="006076FC">
        <w:rPr>
          <w:lang w:val="en-GB"/>
        </w:rPr>
        <w:t>-</w:t>
      </w:r>
      <w:r w:rsidRPr="006076FC">
        <w:rPr>
          <w:lang w:val="en-GB"/>
        </w:rPr>
        <w:t>detection and wall</w:t>
      </w:r>
      <w:r w:rsidR="001C5864" w:rsidRPr="006076FC">
        <w:rPr>
          <w:lang w:val="en-GB"/>
        </w:rPr>
        <w:t>-</w:t>
      </w:r>
      <w:r w:rsidRPr="006076FC">
        <w:rPr>
          <w:lang w:val="en-GB"/>
        </w:rPr>
        <w:t xml:space="preserve">tracking software, as described in detail elsewhere </w:t>
      </w:r>
      <w:r w:rsidRPr="006076FC">
        <w:rPr>
          <w:lang w:val="en-GB"/>
        </w:rPr>
        <w:fldChar w:fldCharType="begin" w:fldLock="1"/>
      </w:r>
      <w:r w:rsidRPr="006076FC">
        <w:rPr>
          <w:lang w:val="en-GB"/>
        </w:rPr>
        <w:instrText>ADDIN CSL_CITATION {"citationItems":[{"id":"ITEM-1","itemData":{"DOI":"10.1161/HYPERTENSIONAHA.107.101014","ISBN":"1524-4563 (Electronic)\\r0194-911X (Linking)","ISSN":"0194911X","PMID":"18086954","abstract":"Flow-mediated dilatation (FMD) is widely used to describe conduit artery endothelial function. The traditional approaches to FMD calculation assess diameter change at arbitrary time points after occluding cuff deflation. The aim of this study was to examine the time course of brachial artery FMD after a 5-minute period of forearm ischemia in 12 young, 12 fitness matched older and 12 older untrained subjects. Edge-detection and wall tracking of high resolution B-mode arterial ultrasound images, combined with synchronized Doppler waveform envelope analysis, were used to calculate brachial artery diameter, blood flow, and shear rate continuously across the cardiac cycle after forearm ischemia. FMD was significantly higher in young healthy subjects (7.8+/-3.2%) compared with sedentary older subjects (5.2+/-2.8%, P&lt;0.05) but not trained older subjects (6.4+/-2.3%). Time to peak diameter differed between young (50+/-11 seconds) and both older groups (trained; 80+/-21, P&lt;0.001; sedentary: 83+/-36 seconds, P&lt;0.001). A large proportion (&gt;42%) of true peak diameters fell outside the time frames typically used to assess FMD in the literature. When calculated according to the commonly used approach, ie, 60 s after cuff deflation, FMD was significantly lower compared with true peak FMD in all groups (P&lt;0.001), and no differences were evident between the groups. The time course of FMD differs significantly between young and older subjects. Studies assuming that peak dilation occurs at an arbitrary time point, or within limited time windows, may draw misleading conclusions regarding differences between groups. More sophisticated approaches to measurement of FMD are required if it is to be considered a valid biomarker of vascular disease.","author":[{"dropping-particle":"","family":"Black","given":"Mark A","non-dropping-particle":"","parse-names":false,"suffix":""},{"dropping-particle":"","family":"Cable","given":"N. Timothy","non-dropping-particle":"","parse-names":false,"suffix":""},{"dropping-particle":"","family":"Thijssen","given":"D. H J","non-dropping-particle":"","parse-names":false,"suffix":""},{"dropping-particle":"","family":"Green","given":"Daniel J.","non-dropping-particle":"","parse-names":false,"suffix":""}],"container-title":"Hypertension","id":"ITEM-1","issue":"2","issued":{"date-parts":[["2008"]]},"page":"203-210","title":"Importance of measuring the time course of flow-mediated dilatation in humans","type":"article-journal","volume":"51"},"uris":["http://www.mendeley.com/documents/?uuid=dbfc472b-8922-490a-9d81-226ee53f4f88"]}],"mendeley":{"formattedCitation":"[34]","plainTextFormattedCitation":"[34]","previouslyFormattedCitation":"[33]"},"properties":{"noteIndex":0},"schema":"https://github.com/citation-style-language/schema/raw/master/csl-citation.json"}</w:instrText>
      </w:r>
      <w:r w:rsidRPr="006076FC">
        <w:rPr>
          <w:lang w:val="en-GB"/>
        </w:rPr>
        <w:fldChar w:fldCharType="separate"/>
      </w:r>
      <w:r w:rsidRPr="006076FC">
        <w:rPr>
          <w:noProof/>
          <w:lang w:val="en-GB"/>
        </w:rPr>
        <w:t>[34]</w:t>
      </w:r>
      <w:r w:rsidRPr="006076FC">
        <w:rPr>
          <w:lang w:val="en-GB"/>
        </w:rPr>
        <w:fldChar w:fldCharType="end"/>
      </w:r>
      <w:r w:rsidRPr="006076FC">
        <w:rPr>
          <w:lang w:val="en-GB"/>
        </w:rPr>
        <w:t>.</w:t>
      </w:r>
    </w:p>
    <w:p w14:paraId="464868F9" w14:textId="58D3A5EC" w:rsidR="00563CFC" w:rsidRPr="006076FC" w:rsidRDefault="008B2AB1" w:rsidP="008B2AB1">
      <w:pPr>
        <w:pStyle w:val="MDPI23heading3"/>
        <w:rPr>
          <w:lang w:val="en-GB"/>
        </w:rPr>
      </w:pPr>
      <w:r w:rsidRPr="006076FC">
        <w:rPr>
          <w:lang w:val="en-GB"/>
        </w:rPr>
        <w:t xml:space="preserve">2.6.3. </w:t>
      </w:r>
      <w:r w:rsidR="00563CFC" w:rsidRPr="006076FC">
        <w:rPr>
          <w:lang w:val="en-GB"/>
        </w:rPr>
        <w:t>Cerebrovascular Function</w:t>
      </w:r>
    </w:p>
    <w:p w14:paraId="62F00374" w14:textId="12695D98" w:rsidR="00563CFC" w:rsidRPr="00E50D6C" w:rsidRDefault="00563CFC" w:rsidP="008B2AB1">
      <w:pPr>
        <w:pStyle w:val="MDPI31text"/>
        <w:rPr>
          <w:lang w:val="en-GB"/>
        </w:rPr>
      </w:pPr>
      <w:r w:rsidRPr="006076FC">
        <w:rPr>
          <w:lang w:val="en-GB"/>
        </w:rPr>
        <w:t xml:space="preserve">Cerebrovascular function describes the regulatory mechanisms that maintain constant cerebral perfusion </w:t>
      </w:r>
      <w:r w:rsidRPr="006076FC">
        <w:rPr>
          <w:lang w:val="en-GB"/>
        </w:rPr>
        <w:fldChar w:fldCharType="begin" w:fldLock="1"/>
      </w:r>
      <w:r w:rsidRPr="006076FC">
        <w:rPr>
          <w:lang w:val="en-GB"/>
        </w:rPr>
        <w:instrText>ADDIN CSL_CITATION {"citationItems":[{"id":"ITEM-1","itemData":{"DOI":"10.1113/jphysiol.2013.268953","ISSN":"00223751","author":[{"dropping-particle":"","family":"Willie","given":"Christopher K.","non-dropping-particle":"","parse-names":false,"suffix":""},{"dropping-particle":"","family":"Tzeng","given":"Yu-Chieh","non-dropping-particle":"","parse-names":false,"suffix":""},{"dropping-particle":"","family":"Fisher","given":"Joseph A.","non-dropping-particle":"","parse-names":false,"suffix":""},{"dropping-particle":"","family":"Ainslie","given":"Philip N.","non-dropping-particle":"","parse-names":false,"suffix":""}],"container-title":"The Journal of Physiology","id":"ITEM-1","issue":"5","issued":{"date-parts":[["2014"]]},"page":"841-859","title":"Integrative regulation of human brain blood flow","type":"article-journal","volume":"592"},"uris":["http://www.mendeley.com/documents/?uuid=dc9070a1-7bf2-4645-a811-063e60bd75d8"]}],"mendeley":{"formattedCitation":"[35]","plainTextFormattedCitation":"[35]","previouslyFormattedCitation":"[34]"},"properties":{"noteIndex":0},"schema":"https://github.com/citation-style-language/schema/raw/master/csl-citation.json"}</w:instrText>
      </w:r>
      <w:r w:rsidRPr="006076FC">
        <w:rPr>
          <w:lang w:val="en-GB"/>
        </w:rPr>
        <w:fldChar w:fldCharType="separate"/>
      </w:r>
      <w:r w:rsidRPr="006076FC">
        <w:rPr>
          <w:noProof/>
          <w:lang w:val="en-GB"/>
        </w:rPr>
        <w:t>[35]</w:t>
      </w:r>
      <w:r w:rsidRPr="006076FC">
        <w:rPr>
          <w:lang w:val="en-GB"/>
        </w:rPr>
        <w:fldChar w:fldCharType="end"/>
      </w:r>
      <w:r w:rsidRPr="006076FC">
        <w:rPr>
          <w:lang w:val="en-GB"/>
        </w:rPr>
        <w:t xml:space="preserve">. Acute impairments negatively influence cognitive functioning </w:t>
      </w:r>
      <w:r w:rsidRPr="006076FC">
        <w:rPr>
          <w:lang w:val="en-GB"/>
        </w:rPr>
        <w:fldChar w:fldCharType="begin" w:fldLock="1"/>
      </w:r>
      <w:r w:rsidRPr="006076FC">
        <w:rPr>
          <w:lang w:val="en-GB"/>
        </w:rPr>
        <w:instrText>ADDIN CSL_CITATION {"citationItems":[{"id":"ITEM-1","itemData":{"DOI":"10.1093/brain/124.6.1208","ISBN":"0006-8950 (Print)\\r0006-8950 (Linking)","ISSN":"0006-8950","PMID":"11353736","abstract":"We used the setting of clinically indicated internal carotid artery balloon test occlusions in 44 patients with inoperable carotid cavernous aneurysms or head and neck tumours to examine real-time changes in higher cerebral function that correlate with specific levels of cerebral blood flow. By making detailed haemodynamic and neurobehavioural measurements during the 30 min the carotid artery was occluded, we were able to quantify higher cerebral function patterns in relation to absolute cerebral blood flow (CBF) levels. We found that once the carotid artery was occluded, patients whose CBF averaged 47 ml/100 g/min (no different from baseline) maintained consistent performance on a sustained attention task; those whose CBF dropped to an average 37 ml/100 g/min had a reversible deterioration of sustained attention, and those whose CBF fell to 27 ml/100 g/min had impaired sustained attention that persisted until the carotid occlusion was reversed. The relevance of these results to the pathological state of clinical stroke is discussed with respect to the haemodynamic and physiological mechanisms that may determine how brain function is lost and regained in the setting of acute cerebral hypoperfusion.","author":[{"dropping-particle":"","family":"Marshall","given":"R S","non-dropping-particle":"","parse-names":false,"suffix":""},{"dropping-particle":"","family":"Lazar","given":"R M","non-dropping-particle":"","parse-names":false,"suffix":""},{"dropping-particle":"","family":"Pile-Spellman","given":"J","non-dropping-particle":"","parse-names":false,"suffix":""},{"dropping-particle":"","family":"Young","given":"W L","non-dropping-particle":"","parse-names":false,"suffix":""},{"dropping-particle":"","family":"Duong","given":"D H","non-dropping-particle":"","parse-names":false,"suffix":""},{"dropping-particle":"","family":"Joshi","given":"S","non-dropping-particle":"","parse-names":false,"suffix":""},{"dropping-particle":"","family":"Ostapkovich","given":"N","non-dropping-particle":"","parse-names":false,"suffix":""}],"container-title":"Brain","id":"ITEM-1","issue":"6","issued":{"date-parts":[["2001"]]},"page":"1208-1217","title":"Recovery of brain function during induced cerebral hypoperfusion","type":"article-journal","volume":"124"},"uris":["http://www.mendeley.com/documents/?uuid=8bf6a742-befe-4164-9651-a35211bea6a2"]}],"mendeley":{"formattedCitation":"[36]","plainTextFormattedCitation":"[36]","previouslyFormattedCitation":"[35]"},"properties":{"noteIndex":0},"schema":"https://github.com/citation-style-language/schema/raw/master/csl-citation.json"}</w:instrText>
      </w:r>
      <w:r w:rsidRPr="006076FC">
        <w:rPr>
          <w:lang w:val="en-GB"/>
        </w:rPr>
        <w:fldChar w:fldCharType="separate"/>
      </w:r>
      <w:r w:rsidRPr="006076FC">
        <w:rPr>
          <w:noProof/>
          <w:lang w:val="en-GB"/>
        </w:rPr>
        <w:t>[36]</w:t>
      </w:r>
      <w:r w:rsidRPr="006076FC">
        <w:rPr>
          <w:lang w:val="en-GB"/>
        </w:rPr>
        <w:fldChar w:fldCharType="end"/>
      </w:r>
      <w:r w:rsidRPr="006076FC">
        <w:rPr>
          <w:lang w:val="en-GB"/>
        </w:rPr>
        <w:t xml:space="preserve">, whilst chronic alterations are associated with neurodegenerative disease risk </w:t>
      </w:r>
      <w:r w:rsidRPr="006076FC">
        <w:rPr>
          <w:lang w:val="en-GB"/>
        </w:rPr>
        <w:fldChar w:fldCharType="begin" w:fldLock="1"/>
      </w:r>
      <w:r w:rsidRPr="006076FC">
        <w:rPr>
          <w:lang w:val="en-GB"/>
        </w:rPr>
        <w:instrText>ADDIN CSL_CITATION {"citationItems":[{"id":"ITEM-1","itemData":{"DOI":"10.1161/CIRCULATIONAHA.117.027448","ISBN":"0031107044","ISSN":"15244539","PMID":"28588075","abstract":"Background -Cerebral hypoperfusion has previously been associated with mild cognitive impairment and dementia in various cross-sectional studies, but whether hypoperfusion precedes neurodegeneration is unknown. We prospectively determined the association of cerebral perfusion with subsequent cognitive decline and development of dementia. Methods -Between 2005 and 2012, we measured cerebral blood flow by 2D phase-contrast magnetic resonance imaging (MRI) in non-demented participants of the population-based Rotterdam Study. We determined the association of cerebral perfusion (mL/100mL/minute) with risk of dementia (until 2015) using a Cox model, adjusting for age, sex, demographics, cardiovascular risk factors and APOE genotype. We repeated analyses for Alzheimer's disease, and accounting for stroke. We used linear regression to determine change in cognitive performance during two consecutive examination rounds in relation to perfusion. Finally, we investigated whether associations were modified by baseline severity of white matter hyperintensities (WMH). Results -Of 4759 participants (median age 61.3 years, 55.2% women) with a median follow-up of 6.9 years, 123 participants developed dementia (97 Alzheimer's disease). Lower cerebral perfusion was associated with higher risk of dementia (adjusted HR,95%CI, per standard deviation decrease: 1.31,1.07-1.61), similar for Alzheimer's disease only, and unaltered by accounting for stroke. Risk of dementia with hypoperfusion was higher with increasing severity of WMH (with severe WMH -HR 1.54,1.11-2.14). At cognitive re-examination after on average 5.7 years, lower baseline perfusion was associated with accelerated decline in cognition (global cognition: β=-0.029, p=0.003), which was similar after excluding those with incident dementia, and again most profound in individuals with higher volume of WMH (p-value for interaction=0.019). Conclusions -Cerebral hypoperfusion is associated with accelerated cognitive decline and an increased risk of dementia in the general population.","author":[{"dropping-particle":"","family":"Wolters","given":"Frank J.","non-dropping-particle":"","parse-names":false,"suffix":""},{"dropping-particle":"","family":"Zonneveld","given":"Hazel I.","non-dropping-particle":"","parse-names":false,"suffix":""},{"dropping-particle":"","family":"Hofman","given":"Albert","non-dropping-particle":"","parse-names":false,"suffix":""},{"dropping-particle":"","family":"Lugt","given":"Aad","non-dropping-particle":"Van Der","parse-names":false,"suffix":""},{"dropping-particle":"","family":"Koudstaal","given":"Peter J.","non-dropping-particle":"","parse-names":false,"suffix":""},{"dropping-particle":"","family":"Vernooij","given":"Meike W.","non-dropping-particle":"","parse-names":false,"suffix":""},{"dropping-particle":"","family":"Ikram","given":"M. Arfan","non-dropping-particle":"","parse-names":false,"suffix":""}],"container-title":"Circulation","id":"ITEM-1","issue":"8","issued":{"date-parts":[["2017"]]},"page":"719-728","title":"Cerebral perfusion and the risk of dementia: A population-based study","type":"article-journal","volume":"136"},"uris":["http://www.mendeley.com/documents/?uuid=054cf471-3107-49ff-902a-976bde84a0bc"]},{"id":"ITEM-2","itemData":{"DOI":"10.3233/JAD-2012-111628.","ISBN":"1875-8908 (Electronic)\\r1387-2877 (Linking)","ISSN":"1875-8908","PMID":"22460326","abstract":"Cerebrovascular dysfunction plays a role not only in vascular causes of cognitive impairment but also in Alzheimer's disease (AD). We hypothesized that cerebral autoregulation is impaired in patients with AD compared to subjects with mild cognitive impairment (MCI) and controls. Dynamic cerebral autoregulation (dCA) was investigated in 17 AD patients, 19 MCI subjects, and 20 controls (C). Groups were matched for age, gender, and level of education. Electrocardiogram and non-invasive finger arterial blood pressure were measured and transcranial doppler ultrasonography was used to measure cerebral blood flow velocity in right and left middle cerebral artery (MCA). Cerebrovascular resistance index (CVRi) was also computed. dCA in supine position was quantified based on spontaneous blood pressure variations by computation of the linear transfer function between arterial blood pressure and MCA cerebral blood flow velocity. dCA gain and phase were evaluated for different frequency bands. Results were also evaluated using a 3-parameter windkessel model (WKM). CVRi was significantly higher in AD (2.9 ± 0.2) compared to both MCI (2.3 ± 0.1, p = 0.02) and C (2.1 ± 0.1 mmHgs/cm, p = 0.002). Five MCI patients who converted to AD during the course of the study also had higher CVRi compared to non-converters (2.8 ± 0.6 versus 2.1 ± 0.5 mmHgs/cm, p &lt; 0.05). No significant differences in dCA gain and phase were found. In terms of the WKM approach, in the order C</w:instrText>
      </w:r>
      <w:r w:rsidRPr="006076FC">
        <w:rPr>
          <w:rFonts w:ascii="Times New Roman" w:hAnsi="Times New Roman"/>
          <w:lang w:val="en-GB"/>
        </w:rPr>
        <w:instrText>→</w:instrText>
      </w:r>
      <w:r w:rsidRPr="006076FC">
        <w:rPr>
          <w:lang w:val="en-GB"/>
        </w:rPr>
        <w:instrText>MCI</w:instrText>
      </w:r>
      <w:r w:rsidRPr="006076FC">
        <w:rPr>
          <w:rFonts w:ascii="Times New Roman" w:hAnsi="Times New Roman"/>
          <w:lang w:val="en-GB"/>
        </w:rPr>
        <w:instrText>→</w:instrText>
      </w:r>
      <w:r w:rsidRPr="006076FC">
        <w:rPr>
          <w:lang w:val="en-GB"/>
        </w:rPr>
        <w:instrText>AD groups showed about equal arterial resistance and peripheral compliance, but increased peripheral vasculature resistance (26 ± 2 versus 36 ± 3 mmHgs/ml in C resp. AD, p = 0.004). In conclusion, AD patients compared to MCI patients and controls have increased CVRi, whereas dCA parameters do not seem to differentiate AD patients. For MCI patients, CVRi might have predictive value in developing AD.","author":[{"dropping-particle":"","family":"Gommer","given":"Erik D","non-dropping-particle":"","parse-names":false,"suffix":""},{"dropping-particle":"","family":"Martens","given":"Esther G H J","non-dropping-particle":"","parse-names":false,"suffix":""},{"dropping-particle":"","family":"Aalten","given":"Pauline","non-dropping-particle":"","parse-names":false,"suffix":""},{"dropping-particle":"","family":"Shijaku","given":"Eri","non-dropping-particle":"","parse-names":false,"suffix":""},{"dropping-particle":"","family":"Verhey","given":"Frans R J","non-dropping-particle":"","parse-names":false,"suffix":""},{"dropping-particle":"","family":"Mess","given":"Werner H","non-dropping-particle":"","parse-names":false,"suffix":""},{"dropping-particle":"","family":"Ramakers","given":"Inez H G B","non-dropping-particle":"","parse-names":false,"suffix":""},{"dropping-particle":"","family":"Reulen","given":"Jos P H","non-dropping-particle":"","parse-names":false,"suffix":""}],"container-title":"Journal of Alzheimer's disease","id":"ITEM-2","issue":"4","issued":{"date-parts":[["2012"]]},"note":"Cerebrovascular resistance index was higher in AD than controls.. this means......????","page":"805-13","title":"Dynamic cerebral autoregulation in subjects with Alzheimer's disease, mild cognitive impairment, and controls: Evidence for increased peripheral vascular resistance with possible predictive value","type":"article-journal","volume":"30"},"uris":["http://www.mendeley.com/documents/?uuid=840f787b-0f84-4159-88f7-2fe1a3c413cc"]}],"mendeley":{"formattedCitation":"[37,38]","plainTextFormattedCitation":"[37,38]","previouslyFormattedCitation":"[36,37]"},"properties":{"noteIndex":0},"schema":"https://github.com/citation-style-language/schema/raw/master/csl-citation.json"}</w:instrText>
      </w:r>
      <w:r w:rsidRPr="006076FC">
        <w:rPr>
          <w:lang w:val="en-GB"/>
        </w:rPr>
        <w:fldChar w:fldCharType="separate"/>
      </w:r>
      <w:r w:rsidRPr="006076FC">
        <w:rPr>
          <w:noProof/>
          <w:lang w:val="en-GB"/>
        </w:rPr>
        <w:t>[37,38]</w:t>
      </w:r>
      <w:r w:rsidRPr="006076FC">
        <w:rPr>
          <w:lang w:val="en-GB"/>
        </w:rPr>
        <w:fldChar w:fldCharType="end"/>
      </w:r>
      <w:r w:rsidRPr="006076FC">
        <w:rPr>
          <w:lang w:val="en-GB"/>
        </w:rPr>
        <w:t xml:space="preserve">. Cerebrovascular function was </w:t>
      </w:r>
      <w:r w:rsidRPr="00E50D6C">
        <w:rPr>
          <w:lang w:val="en-GB"/>
        </w:rPr>
        <w:t>assessed via resting cerebral blood flow (CBF), cerebral autoregulation (CA), cerebrovascular carbon dioxide (CO</w:t>
      </w:r>
      <w:r w:rsidRPr="00E50D6C">
        <w:rPr>
          <w:vertAlign w:val="subscript"/>
          <w:lang w:val="en-GB"/>
        </w:rPr>
        <w:t>2</w:t>
      </w:r>
      <w:r w:rsidRPr="00E50D6C">
        <w:rPr>
          <w:lang w:val="en-GB"/>
        </w:rPr>
        <w:t xml:space="preserve">) reactivity (CVR) and neurovascular coupling (NVC) </w:t>
      </w:r>
      <w:r w:rsidRPr="00E50D6C">
        <w:rPr>
          <w:lang w:val="en-GB"/>
        </w:rPr>
        <w:fldChar w:fldCharType="begin" w:fldLock="1"/>
      </w:r>
      <w:r w:rsidRPr="00E50D6C">
        <w:rPr>
          <w:lang w:val="en-GB"/>
        </w:rPr>
        <w:instrText>ADDIN CSL_CITATION {"citationItems":[{"id":"ITEM-1","itemData":{"DOI":"10.1016/j.jneumeth.2011.01.011","ISBN":"1872-678X","ISSN":"1872-678X","PMID":"21276818","abstract":"There is considerable utility in the use of transcranial Doppler ultrasound (TCD) to assess cerebrovascular function. The brain is unique in its high energy and oxygen demand but limited capacity for energy storage that necessitates an effective means of regional blood delivery. The relative low cost, ease-of-use, non-invasiveness, and excellent temporal resolution of TCD make it an ideal tool for the examination of cerebrovascular function in both research and clinical settings. TCD is an efficient tool to access blood velocities within the cerebral vessels, cerebral autoregulation, cerebrovascular reactivity to CO(2), and neurovascular coupling, in both physiological states and in pathological conditions such as stroke and head trauma. In this review, we provide: (1) an overview of TCD methodology with respect to other techniques; (2) a methodological synopsis of the cerebrovascular exam using TCD; (3) an overview of the physiological mechanisms involved in regulation of the cerebral blood flow; (4) the utility of TCD for assessment of cerebrovascular pathology; and (5) recommendations for the assessment of four critical and complimentary aspects of cerebrovascular function: intra-cranial blood flow velocity, cerebral autoregulation, cerebral reactivity, and neurovascular coupling. The integration of these regulatory mechanisms from an integrated systems perspective is discussed, and future research directions are explored.","author":[{"dropping-particle":"","family":"Willie","given":"C. K.","non-dropping-particle":"","parse-names":false,"suffix":""},{"dropping-particle":"","family":"Colino","given":"F. L.","non-dropping-particle":"","parse-names":false,"suffix":""},{"dropping-particle":"","family":"Bailey","given":"D. M.","non-dropping-particle":"","parse-names":false,"suffix":""},{"dropping-particle":"","family":"Tzeng","given":"Y. C.","non-dropping-particle":"","parse-names":false,"suffix":""},{"dropping-particle":"","family":"Binsted","given":"G.","non-dropping-particle":"","parse-names":false,"suffix":""},{"dropping-particle":"","family":"Jones","given":"L. W.","non-dropping-particle":"","parse-names":false,"suffix":""},{"dropping-particle":"","family":"Haykowsky","given":"M. J.","non-dropping-particle":"","parse-names":false,"suffix":""},{"dropping-particle":"","family":"Bellapart","given":"J.","non-dropping-particle":"","parse-names":false,"suffix":""},{"dropping-particle":"","family":"Ogoh","given":"S.","non-dropping-particle":"","parse-names":false,"suffix":""},{"dropping-particle":"","family":"Smith","given":"K. J.","non-dropping-particle":"","parse-names":false,"suffix":""},{"dropping-particle":"","family":"Smirl","given":"J. D.","non-dropping-particle":"","parse-names":false,"suffix":""},{"dropping-particle":"","family":"Day","given":"T. A.","non-dropping-particle":"","parse-names":false,"suffix":""},{"dropping-particle":"","family":"Lucas","given":"S. J.","non-dropping-particle":"","parse-names":false,"suffix":""},{"dropping-particle":"","family":"Eller","given":"L. K.","non-dropping-particle":"","parse-names":false,"suffix":""},{"dropping-particle":"","family":"Ainslie","given":"P. N.","non-dropping-particle":"","parse-names":false,"suffix":""}],"container-title":"Journal of neuroscience methods","id":"ITEM-1","issue":"2","issued":{"date-parts":[["2011","3","30"]]},"note":"GOOD PAPER FOR TCD PRINCIPLES AND ASSESSMENT OF AUTOREGULATION\n\n2- emphasiss that TCD measures velcity and not flow\nTCD measures global rather than local flow \n\n3- explains clearly why TCD measures blood flow velocity and not flow","page":"221-37","title":"Utility of transcranial Doppler ultrasound for the integrative assessment of cerebrovascular function","type":"article-journal","volume":"196"},"uris":["http://www.mendeley.com/documents/?uuid=89673c5e-7869-44bb-86b8-24f181208234"]}],"mendeley":{"formattedCitation":"[39]","plainTextFormattedCitation":"[39]","previouslyFormattedCitation":"[38]"},"properties":{"noteIndex":0},"schema":"https://github.com/citation-style-language/schema/raw/master/csl-citation.json"}</w:instrText>
      </w:r>
      <w:r w:rsidRPr="00E50D6C">
        <w:rPr>
          <w:lang w:val="en-GB"/>
        </w:rPr>
        <w:fldChar w:fldCharType="separate"/>
      </w:r>
      <w:r w:rsidRPr="00E50D6C">
        <w:rPr>
          <w:noProof/>
          <w:lang w:val="en-GB"/>
        </w:rPr>
        <w:t>[39]</w:t>
      </w:r>
      <w:r w:rsidRPr="00E50D6C">
        <w:rPr>
          <w:lang w:val="en-GB"/>
        </w:rPr>
        <w:fldChar w:fldCharType="end"/>
      </w:r>
      <w:r w:rsidRPr="00E50D6C">
        <w:rPr>
          <w:lang w:val="en-GB"/>
        </w:rPr>
        <w:t xml:space="preserve">. Briefly, assessments were obtained at the temporal window using continuous bilateral transcranial Doppler ultrasound (TCD) (ST3, Spencer Technologies, Redmond, WA) and are described in detail elsewhere </w:t>
      </w:r>
      <w:r w:rsidRPr="00E50D6C">
        <w:rPr>
          <w:lang w:val="en-GB"/>
        </w:rPr>
        <w:fldChar w:fldCharType="begin" w:fldLock="1"/>
      </w:r>
      <w:r w:rsidRPr="00E50D6C">
        <w:rPr>
          <w:lang w:val="en-GB"/>
        </w:rPr>
        <w:instrText>ADDIN CSL_CITATION {"citationItems":[{"id":"ITEM-1","itemData":{"DOI":"10.1152/japplphysiol.00310.2018","ISSN":"8750-7587","PMID":"29878870","abstract":"Decreased cerebrovascular blood flow and function are associated with lower cognitive functioning and increased risk of neurodegenerative diseases. Prolonged sitting impairs peripheral blood flow and function, but its effects on the cerebrovasculature are unknown. This study explored the effect of uninterrupted sitting and breaking up sitting time on cerebrovascular blood flow and function of healthy desk workers. Fifteen participants (10 male, 35.8{plus minus}10.2 years, BMI: 25.5{plus minus}3.2 kg∙m-2) completed, on separate days, three 4-hr conditions in a randomised order: a) uninterrupted sitting (SIT), b) sitting with 2-min light intensity walking breaks every 30-min (2WALK) or c) sitting with 8-min light intensity walking breaks every 2-hrs (8WALK). At baseline and 4-hrs, middle cerebral artery blood flow velocity (MCAv), carbon dioxide reactivity (CVR) of the MCA and carotid artery were measured using transcranial Doppler (TCD) and duplex ultrasound respectively. Cerebral autoregulation (CA) was assessed with TCD using a squat-stand protocol and analysed to generate values of gain and phase in the very low, low, and high frequencies. There was a significant decline in SIT MCAv (-3.2{plus minus}1.2 cm.s-1) compared to 2WALK (0.6{plus minus}1.5 cm.s-1, p=0.02), but not between SIT and 8WALK (-1.2{plus minus}1.0 cm.s-1, p=0.14). For CA, the change in 2WALK very low frequency phase (4.47{plus minus}4.07 degrees) was significantly greater than SIT (-3.38{plus minus}2.82 degrees, p=0.02). There was no significant change in MCA or carotid artery CVR (p&amp;gt;0.05). Results indicate that prolonged, uninterrupted sitting in healthy desk workers reduces cerebral blood flow, however this is offset when frequent, short-duration walking breaks are incorporated.","author":[{"dropping-particle":"","family":"Carter","given":"Sophie E","non-dropping-particle":"","parse-names":false,"suffix":""},{"dropping-particle":"","family":"Draijer","given":"Richard","non-dropping-particle":"","parse-names":false,"suffix":""},{"dropping-particle":"","family":"Holder","given":"Sophie M","non-dropping-particle":"","parse-names":false,"suffix":""},{"dropping-particle":"","family":"Brown","given":"Louise","non-dropping-particle":"","parse-names":false,"suffix":""},{"dropping-particle":"","family":"Thijssen","given":"Dick H J","non-dropping-particle":"","parse-names":false,"suffix":""},{"dropping-particle":"","family":"Hopkins","given":"Nicola D","non-dropping-particle":"","parse-names":false,"suffix":""}],"container-title":"Journal of Applied Physiology","id":"ITEM-1","issue":"3","issued":{"date-parts":[["2018","9","7"]]},"page":"790-798","title":"Regular walking breaks prevent the decline in cerebral blood flow associated with prolonged sitting","type":"article-journal","volume":"125"},"uris":["http://www.mendeley.com/documents/?uuid=b5fb4ac7-80e4-4811-bda2-94adc6355a88"]}],"mendeley":{"formattedCitation":"[20]","plainTextFormattedCitation":"[20]","previouslyFormattedCitation":"[19]"},"properties":{"noteIndex":0},"schema":"https://github.com/citation-style-language/schema/raw/master/csl-citation.json"}</w:instrText>
      </w:r>
      <w:r w:rsidRPr="00E50D6C">
        <w:rPr>
          <w:lang w:val="en-GB"/>
        </w:rPr>
        <w:fldChar w:fldCharType="separate"/>
      </w:r>
      <w:r w:rsidRPr="00E50D6C">
        <w:rPr>
          <w:noProof/>
          <w:lang w:val="en-GB"/>
        </w:rPr>
        <w:t>[20]</w:t>
      </w:r>
      <w:r w:rsidRPr="00E50D6C">
        <w:rPr>
          <w:lang w:val="en-GB"/>
        </w:rPr>
        <w:fldChar w:fldCharType="end"/>
      </w:r>
      <w:r w:rsidRPr="00E50D6C">
        <w:rPr>
          <w:lang w:val="en-GB"/>
        </w:rPr>
        <w:t>.</w:t>
      </w:r>
    </w:p>
    <w:p w14:paraId="2CC161AB" w14:textId="384EBB78" w:rsidR="00563CFC" w:rsidRPr="00E50D6C" w:rsidRDefault="00563CFC" w:rsidP="008B2AB1">
      <w:pPr>
        <w:pStyle w:val="MDPI31text"/>
        <w:rPr>
          <w:lang w:val="en-GB"/>
        </w:rPr>
      </w:pPr>
      <w:r w:rsidRPr="00E50D6C">
        <w:rPr>
          <w:i/>
          <w:lang w:val="en-GB"/>
        </w:rPr>
        <w:t>Resting Cerebral Blood Flow.</w:t>
      </w:r>
      <w:r w:rsidRPr="00E50D6C">
        <w:rPr>
          <w:lang w:val="en-GB"/>
        </w:rPr>
        <w:t xml:space="preserve"> Supine middle cerebral artery blood flow velocity (</w:t>
      </w:r>
      <w:proofErr w:type="spellStart"/>
      <w:r w:rsidRPr="00E50D6C">
        <w:rPr>
          <w:lang w:val="en-GB"/>
        </w:rPr>
        <w:t>MCAv</w:t>
      </w:r>
      <w:proofErr w:type="spellEnd"/>
      <w:r w:rsidRPr="00E50D6C">
        <w:rPr>
          <w:lang w:val="en-GB"/>
        </w:rPr>
        <w:t>) and posterior cerebral artery blood flow velocity (</w:t>
      </w:r>
      <w:proofErr w:type="spellStart"/>
      <w:r w:rsidRPr="00E50D6C">
        <w:rPr>
          <w:lang w:val="en-GB"/>
        </w:rPr>
        <w:t>PCAv</w:t>
      </w:r>
      <w:proofErr w:type="spellEnd"/>
      <w:r w:rsidRPr="00E50D6C">
        <w:rPr>
          <w:lang w:val="en-GB"/>
        </w:rPr>
        <w:t>) were acquired as a 5</w:t>
      </w:r>
      <w:r w:rsidR="00080A01" w:rsidRPr="00E50D6C">
        <w:rPr>
          <w:lang w:val="en-GB"/>
        </w:rPr>
        <w:t xml:space="preserve"> min</w:t>
      </w:r>
      <w:r w:rsidRPr="00E50D6C">
        <w:rPr>
          <w:lang w:val="en-GB"/>
        </w:rPr>
        <w:t xml:space="preserve"> average. The MCA accounts for 70–80% of the brain’s total perfusion, supplying the frontal, temporal and parietal brain regions whilst the PCA perfuses the occipital lobe </w:t>
      </w:r>
      <w:r w:rsidRPr="00E50D6C">
        <w:rPr>
          <w:lang w:val="en-GB"/>
        </w:rPr>
        <w:fldChar w:fldCharType="begin" w:fldLock="1"/>
      </w:r>
      <w:r w:rsidRPr="00E50D6C">
        <w:rPr>
          <w:lang w:val="en-GB"/>
        </w:rPr>
        <w:instrText>ADDIN CSL_CITATION {"citationItems":[{"id":"ITEM-1","itemData":{"DOI":"10.1016/j.jneumeth.2011.01.011","ISBN":"1872-678X","ISSN":"1872-678X","PMID":"21276818","abstract":"There is considerable utility in the use of transcranial Doppler ultrasound (TCD) to assess cerebrovascular function. The brain is unique in its high energy and oxygen demand but limited capacity for energy storage that necessitates an effective means of regional blood delivery. The relative low cost, ease-of-use, non-invasiveness, and excellent temporal resolution of TCD make it an ideal tool for the examination of cerebrovascular function in both research and clinical settings. TCD is an efficient tool to access blood velocities within the cerebral vessels, cerebral autoregulation, cerebrovascular reactivity to CO(2), and neurovascular coupling, in both physiological states and in pathological conditions such as stroke and head trauma. In this review, we provide: (1) an overview of TCD methodology with respect to other techniques; (2) a methodological synopsis of the cerebrovascular exam using TCD; (3) an overview of the physiological mechanisms involved in regulation of the cerebral blood flow; (4) the utility of TCD for assessment of cerebrovascular pathology; and (5) recommendations for the assessment of four critical and complimentary aspects of cerebrovascular function: intra-cranial blood flow velocity, cerebral autoregulation, cerebral reactivity, and neurovascular coupling. The integration of these regulatory mechanisms from an integrated systems perspective is discussed, and future research directions are explored.","author":[{"dropping-particle":"","family":"Willie","given":"C. K.","non-dropping-particle":"","parse-names":false,"suffix":""},{"dropping-particle":"","family":"Colino","given":"F. L.","non-dropping-particle":"","parse-names":false,"suffix":""},{"dropping-particle":"","family":"Bailey","given":"D. M.","non-dropping-particle":"","parse-names":false,"suffix":""},{"dropping-particle":"","family":"Tzeng","given":"Y. C.","non-dropping-particle":"","parse-names":false,"suffix":""},{"dropping-particle":"","family":"Binsted","given":"G.","non-dropping-particle":"","parse-names":false,"suffix":""},{"dropping-particle":"","family":"Jones","given":"L. W.","non-dropping-particle":"","parse-names":false,"suffix":""},{"dropping-particle":"","family":"Haykowsky","given":"M. J.","non-dropping-particle":"","parse-names":false,"suffix":""},{"dropping-particle":"","family":"Bellapart","given":"J.","non-dropping-particle":"","parse-names":false,"suffix":""},{"dropping-particle":"","family":"Ogoh","given":"S.","non-dropping-particle":"","parse-names":false,"suffix":""},{"dropping-particle":"","family":"Smith","given":"K. J.","non-dropping-particle":"","parse-names":false,"suffix":""},{"dropping-particle":"","family":"Smirl","given":"J. D.","non-dropping-particle":"","parse-names":false,"suffix":""},{"dropping-particle":"","family":"Day","given":"T. A.","non-dropping-particle":"","parse-names":false,"suffix":""},{"dropping-particle":"","family":"Lucas","given":"S. J.","non-dropping-particle":"","parse-names":false,"suffix":""},{"dropping-particle":"","family":"Eller","given":"L. K.","non-dropping-particle":"","parse-names":false,"suffix":""},{"dropping-particle":"","family":"Ainslie","given":"P. N.","non-dropping-particle":"","parse-names":false,"suffix":""}],"container-title":"Journal of neuroscience methods","id":"ITEM-1","issue":"2","issued":{"date-parts":[["2011","3","30"]]},"note":"GOOD PAPER FOR TCD PRINCIPLES AND ASSESSMENT OF AUTOREGULATION\n\n2- emphasiss that TCD measures velcity and not flow\nTCD measures global rather than local flow \n\n3- explains clearly why TCD measures blood flow velocity and not flow","page":"221-37","title":"Utility of transcranial Doppler ultrasound for the integrative assessment of cerebrovascular function","type":"article-journal","volume":"196"},"uris":["http://www.mendeley.com/documents/?uuid=89673c5e-7869-44bb-86b8-24f181208234"]}],"mendeley":{"formattedCitation":"[39]","plainTextFormattedCitation":"[39]","previouslyFormattedCitation":"[38]"},"properties":{"noteIndex":0},"schema":"https://github.com/citation-style-language/schema/raw/master/csl-citation.json"}</w:instrText>
      </w:r>
      <w:r w:rsidRPr="00E50D6C">
        <w:rPr>
          <w:lang w:val="en-GB"/>
        </w:rPr>
        <w:fldChar w:fldCharType="separate"/>
      </w:r>
      <w:r w:rsidRPr="00E50D6C">
        <w:rPr>
          <w:noProof/>
          <w:lang w:val="en-GB"/>
        </w:rPr>
        <w:t>[39]</w:t>
      </w:r>
      <w:r w:rsidRPr="00E50D6C">
        <w:rPr>
          <w:lang w:val="en-GB"/>
        </w:rPr>
        <w:fldChar w:fldCharType="end"/>
      </w:r>
      <w:r w:rsidRPr="00E50D6C">
        <w:rPr>
          <w:lang w:val="en-GB"/>
        </w:rPr>
        <w:t>.</w:t>
      </w:r>
    </w:p>
    <w:p w14:paraId="11CC9F83" w14:textId="48635A06" w:rsidR="00563CFC" w:rsidRPr="00E50D6C" w:rsidRDefault="00563CFC" w:rsidP="008B2AB1">
      <w:pPr>
        <w:pStyle w:val="MDPI31text"/>
        <w:rPr>
          <w:lang w:val="en-GB"/>
        </w:rPr>
      </w:pPr>
      <w:r w:rsidRPr="00E50D6C">
        <w:rPr>
          <w:i/>
          <w:lang w:val="en-GB"/>
        </w:rPr>
        <w:t>Cerebrovascular CO</w:t>
      </w:r>
      <w:r w:rsidRPr="00E50D6C">
        <w:rPr>
          <w:vertAlign w:val="subscript"/>
          <w:lang w:val="en-GB"/>
        </w:rPr>
        <w:t>2</w:t>
      </w:r>
      <w:r w:rsidRPr="00E50D6C">
        <w:rPr>
          <w:i/>
          <w:lang w:val="en-GB"/>
        </w:rPr>
        <w:t xml:space="preserve"> Reactivity.</w:t>
      </w:r>
      <w:r w:rsidRPr="00E50D6C">
        <w:rPr>
          <w:lang w:val="en-GB"/>
        </w:rPr>
        <w:t xml:space="preserve"> Maintenance of adequate CBF is influenced by the brain’s ability </w:t>
      </w:r>
      <w:r w:rsidRPr="00E50D6C">
        <w:rPr>
          <w:lang w:val="en-GB"/>
        </w:rPr>
        <w:t>to alter blood flow in response to changes in partial pressure of arterial CO</w:t>
      </w:r>
      <w:r w:rsidRPr="00E50D6C">
        <w:rPr>
          <w:vertAlign w:val="subscript"/>
          <w:lang w:val="en-GB"/>
        </w:rPr>
        <w:t>2</w:t>
      </w:r>
      <w:r w:rsidRPr="00E50D6C">
        <w:rPr>
          <w:lang w:val="en-GB"/>
        </w:rPr>
        <w:t xml:space="preserve">, termed CVR </w:t>
      </w:r>
      <w:r w:rsidRPr="00E50D6C">
        <w:rPr>
          <w:lang w:val="en-GB"/>
        </w:rPr>
        <w:fldChar w:fldCharType="begin" w:fldLock="1"/>
      </w:r>
      <w:r w:rsidRPr="00E50D6C">
        <w:rPr>
          <w:lang w:val="en-GB"/>
        </w:rPr>
        <w:instrText>ADDIN CSL_CITATION {"citationItems":[{"id":"ITEM-1","itemData":{"DOI":"10.1113/jphysiol.2013.268953","ISSN":"00223751","author":[{"dropping-particle":"","family":"Willie","given":"Christopher K.","non-dropping-particle":"","parse-names":false,"suffix":""},{"dropping-particle":"","family":"Tzeng","given":"Yu-Chieh","non-dropping-particle":"","parse-names":false,"suffix":""},{"dropping-particle":"","family":"Fisher","given":"Joseph A.","non-dropping-particle":"","parse-names":false,"suffix":""},{"dropping-particle":"","family":"Ainslie","given":"Philip N.","non-dropping-particle":"","parse-names":false,"suffix":""}],"container-title":"The Journal of Physiology","id":"ITEM-1","issue":"5","issued":{"date-parts":[["2014"]]},"page":"841-859","title":"Integrative regulation of human brain blood flow","type":"article-journal","volume":"592"},"uris":["http://www.mendeley.com/documents/?uuid=dc9070a1-7bf2-4645-a811-063e60bd75d8"]}],"mendeley":{"formattedCitation":"[35]","plainTextFormattedCitation":"[35]","previouslyFormattedCitation":"[34]"},"properties":{"noteIndex":0},"schema":"https://github.com/citation-style-language/schema/raw/master/csl-citation.json"}</w:instrText>
      </w:r>
      <w:r w:rsidRPr="00E50D6C">
        <w:rPr>
          <w:lang w:val="en-GB"/>
        </w:rPr>
        <w:fldChar w:fldCharType="separate"/>
      </w:r>
      <w:r w:rsidRPr="00E50D6C">
        <w:rPr>
          <w:noProof/>
          <w:lang w:val="en-GB"/>
        </w:rPr>
        <w:t>[35]</w:t>
      </w:r>
      <w:r w:rsidRPr="00E50D6C">
        <w:rPr>
          <w:lang w:val="en-GB"/>
        </w:rPr>
        <w:fldChar w:fldCharType="end"/>
      </w:r>
      <w:r w:rsidRPr="00E50D6C">
        <w:rPr>
          <w:lang w:val="en-GB"/>
        </w:rPr>
        <w:t xml:space="preserve">. Testing procedures have been described in detail elsewhere </w:t>
      </w:r>
      <w:r w:rsidRPr="00E50D6C">
        <w:rPr>
          <w:lang w:val="en-GB"/>
        </w:rPr>
        <w:fldChar w:fldCharType="begin" w:fldLock="1"/>
      </w:r>
      <w:r w:rsidRPr="00E50D6C">
        <w:rPr>
          <w:lang w:val="en-GB"/>
        </w:rPr>
        <w:instrText>ADDIN CSL_CITATION {"citationItems":[{"id":"ITEM-1","itemData":{"DOI":"10.1152/japplphysiol.00310.2018","ISSN":"8750-7587","PMID":"29878870","abstract":"Decreased cerebrovascular blood flow and function are associated with lower cognitive functioning and increased risk of neurodegenerative diseases. Prolonged sitting impairs peripheral blood flow and function, but its effects on the cerebrovasculature are unknown. This study explored the effect of uninterrupted sitting and breaking up sitting time on cerebrovascular blood flow and function of healthy desk workers. Fifteen participants (10 male, 35.8{plus minus}10.2 years, BMI: 25.5{plus minus}3.2 kg∙m-2) completed, on separate days, three 4-hr conditions in a randomised order: a) uninterrupted sitting (SIT), b) sitting with 2-min light intensity walking breaks every 30-min (2WALK) or c) sitting with 8-min light intensity walking breaks every 2-hrs (8WALK). At baseline and 4-hrs, middle cerebral artery blood flow velocity (MCAv), carbon dioxide reactivity (CVR) of the MCA and carotid artery were measured using transcranial Doppler (TCD) and duplex ultrasound respectively. Cerebral autoregulation (CA) was assessed with TCD using a squat-stand protocol and analysed to generate values of gain and phase in the very low, low, and high frequencies. There was a significant decline in SIT MCAv (-3.2{plus minus}1.2 cm.s-1) compared to 2WALK (0.6{plus minus}1.5 cm.s-1, p=0.02), but not between SIT and 8WALK (-1.2{plus minus}1.0 cm.s-1, p=0.14). For CA, the change in 2WALK very low frequency phase (4.47{plus minus}4.07 degrees) was significantly greater than SIT (-3.38{plus minus}2.82 degrees, p=0.02). There was no significant change in MCA or carotid artery CVR (p&amp;gt;0.05). Results indicate that prolonged, uninterrupted sitting in healthy desk workers reduces cerebral blood flow, however this is offset when frequent, short-duration walking breaks are incorporated.","author":[{"dropping-particle":"","family":"Carter","given":"Sophie E","non-dropping-particle":"","parse-names":false,"suffix":""},{"dropping-particle":"","family":"Draijer","given":"Richard","non-dropping-particle":"","parse-names":false,"suffix":""},{"dropping-particle":"","family":"Holder","given":"Sophie M","non-dropping-particle":"","parse-names":false,"suffix":""},{"dropping-particle":"","family":"Brown","given":"Louise","non-dropping-particle":"","parse-names":false,"suffix":""},{"dropping-particle":"","family":"Thijssen","given":"Dick H J","non-dropping-particle":"","parse-names":false,"suffix":""},{"dropping-particle":"","family":"Hopkins","given":"Nicola D","non-dropping-particle":"","parse-names":false,"suffix":""}],"container-title":"Journal of Applied Physiology","id":"ITEM-1","issue":"3","issued":{"date-parts":[["2018","9","7"]]},"page":"790-798","title":"Regular walking breaks prevent the decline in cerebral blood flow associated with prolonged sitting","type":"article-journal","volume":"125"},"uris":["http://www.mendeley.com/documents/?uuid=b5fb4ac7-80e4-4811-bda2-94adc6355a88"]}],"mendeley":{"formattedCitation":"[20]","plainTextFormattedCitation":"[20]","previouslyFormattedCitation":"[19]"},"properties":{"noteIndex":0},"schema":"https://github.com/citation-style-language/schema/raw/master/csl-citation.json"}</w:instrText>
      </w:r>
      <w:r w:rsidRPr="00E50D6C">
        <w:rPr>
          <w:lang w:val="en-GB"/>
        </w:rPr>
        <w:fldChar w:fldCharType="separate"/>
      </w:r>
      <w:r w:rsidRPr="00E50D6C">
        <w:rPr>
          <w:noProof/>
          <w:lang w:val="en-GB"/>
        </w:rPr>
        <w:t>[20]</w:t>
      </w:r>
      <w:r w:rsidRPr="00E50D6C">
        <w:rPr>
          <w:lang w:val="en-GB"/>
        </w:rPr>
        <w:fldChar w:fldCharType="end"/>
      </w:r>
      <w:r w:rsidRPr="00E50D6C">
        <w:rPr>
          <w:lang w:val="en-GB"/>
        </w:rPr>
        <w:t>, but briefly, after a 1</w:t>
      </w:r>
      <w:r w:rsidR="00080A01" w:rsidRPr="00E50D6C">
        <w:rPr>
          <w:lang w:val="en-GB"/>
        </w:rPr>
        <w:t xml:space="preserve"> min</w:t>
      </w:r>
      <w:r w:rsidRPr="00E50D6C">
        <w:rPr>
          <w:lang w:val="en-GB"/>
        </w:rPr>
        <w:t xml:space="preserve"> baseline, participants voluntarily hyperventilated until the pressure of end tidal CO</w:t>
      </w:r>
      <w:r w:rsidRPr="00E50D6C">
        <w:rPr>
          <w:vertAlign w:val="subscript"/>
          <w:lang w:val="en-GB"/>
        </w:rPr>
        <w:t>2</w:t>
      </w:r>
      <w:r w:rsidRPr="00E50D6C">
        <w:rPr>
          <w:lang w:val="en-GB"/>
        </w:rPr>
        <w:t xml:space="preserve"> (PETCO</w:t>
      </w:r>
      <w:r w:rsidRPr="00E50D6C">
        <w:rPr>
          <w:vertAlign w:val="subscript"/>
          <w:lang w:val="en-GB"/>
        </w:rPr>
        <w:t>2</w:t>
      </w:r>
      <w:r w:rsidRPr="00E50D6C">
        <w:rPr>
          <w:lang w:val="en-GB"/>
        </w:rPr>
        <w:t>) was reduced to 20 mmHg. Participants then returned their respiratory rate to normal and inhaled a 5% CO</w:t>
      </w:r>
      <w:r w:rsidRPr="00E50D6C">
        <w:rPr>
          <w:vertAlign w:val="subscript"/>
          <w:lang w:val="en-GB"/>
        </w:rPr>
        <w:t>2</w:t>
      </w:r>
      <w:r w:rsidRPr="00E50D6C">
        <w:rPr>
          <w:lang w:val="en-GB"/>
        </w:rPr>
        <w:t xml:space="preserve"> mixture for 3</w:t>
      </w:r>
      <w:r w:rsidR="00080A01" w:rsidRPr="00E50D6C">
        <w:rPr>
          <w:lang w:val="en-GB"/>
        </w:rPr>
        <w:t xml:space="preserve"> min</w:t>
      </w:r>
      <w:r w:rsidRPr="00E50D6C">
        <w:rPr>
          <w:lang w:val="en-GB"/>
        </w:rPr>
        <w:t xml:space="preserve">. Simultaneously, to assess extracranial artery reactivity, arterial diameter and blood flow of the left common carotid artery (CCA) were measured. Absolute and relative </w:t>
      </w:r>
      <w:proofErr w:type="spellStart"/>
      <w:r w:rsidRPr="00E50D6C">
        <w:rPr>
          <w:lang w:val="en-GB"/>
        </w:rPr>
        <w:t>MCAv</w:t>
      </w:r>
      <w:proofErr w:type="spellEnd"/>
      <w:r w:rsidR="007B1931" w:rsidRPr="00E50D6C">
        <w:rPr>
          <w:lang w:val="en-GB"/>
        </w:rPr>
        <w:t xml:space="preserve"> and</w:t>
      </w:r>
      <w:r w:rsidRPr="00E50D6C">
        <w:rPr>
          <w:lang w:val="en-GB"/>
        </w:rPr>
        <w:t xml:space="preserve"> CCA </w:t>
      </w:r>
      <w:r w:rsidRPr="00E50D6C">
        <w:rPr>
          <w:lang w:val="en-GB"/>
        </w:rPr>
        <w:lastRenderedPageBreak/>
        <w:t>diameter</w:t>
      </w:r>
      <w:r w:rsidR="007B1931" w:rsidRPr="00E50D6C">
        <w:rPr>
          <w:lang w:val="en-GB"/>
        </w:rPr>
        <w:t>,</w:t>
      </w:r>
      <w:r w:rsidRPr="00E50D6C">
        <w:rPr>
          <w:lang w:val="en-GB"/>
        </w:rPr>
        <w:t xml:space="preserve"> and CCA blood flow reactivity to </w:t>
      </w:r>
      <w:r w:rsidRPr="00E50D6C">
        <w:rPr>
          <w:lang w:val="en-GB"/>
        </w:rPr>
        <w:t>the changes in CO</w:t>
      </w:r>
      <w:r w:rsidRPr="00E50D6C">
        <w:rPr>
          <w:vertAlign w:val="subscript"/>
          <w:lang w:val="en-GB"/>
        </w:rPr>
        <w:t>2</w:t>
      </w:r>
      <w:r w:rsidRPr="00E50D6C">
        <w:rPr>
          <w:lang w:val="en-GB"/>
        </w:rPr>
        <w:t xml:space="preserve"> were calculated as previously described </w:t>
      </w:r>
      <w:r w:rsidRPr="00E50D6C">
        <w:rPr>
          <w:lang w:val="en-GB"/>
        </w:rPr>
        <w:fldChar w:fldCharType="begin" w:fldLock="1"/>
      </w:r>
      <w:r w:rsidRPr="00E50D6C">
        <w:rPr>
          <w:lang w:val="en-GB"/>
        </w:rPr>
        <w:instrText>ADDIN CSL_CITATION {"citationItems":[{"id":"ITEM-1","itemData":{"DOI":"10.1016/j.resp.2013.05.036","ISBN":"1878-1519","ISSN":"15699048","PMID":"23774143","abstract":"The potential differences in cerebrovascular responses between the anterior and posterior circulations to changes in CO2 are unclear in humans. Using transcranial Doppler ultrasound, we compared the CO2 reactivity of the (1) BA and PCA and (2) MCA and PCA during hyperoxic rebreathing in supine position. The reactivity in the BA and PCA was similar in both absolute (1.27??0.5 and 1.27??0.6cm/s/Torr; P=0.992) and relative (3.98??1.3 and 3.66??1.5%/Torr CO2; P=0.581) measures, suggesting that the PCA is an adequate surrogate measure of reactivity for the BA. The MCA reactivity was greater than the PCA in absolute (2.09??0.7 and 1.22??0.5cm/s/Torr CO2; P&lt;0.001), but not relative measures (3.25??1.0 and 3.56??1.6%/Torr CO2; P=0.629). Our findings (a) confirm regional differences in the absolute reactivity in the human brain and (b) suggest that in cerebrovascular studies investigating functions mediated by posterior brain structures (e.g., control of breathing), the posterior vasculature should also be insonated. ?? 2013.","author":[{"dropping-particle":"","family":"Skow","given":"Rachel J.","non-dropping-particle":"","parse-names":false,"suffix":""},{"dropping-particle":"","family":"MacKay","given":"Christina M.","non-dropping-particle":"","parse-names":false,"suffix":""},{"dropping-particle":"","family":"Tymko","given":"Michael M.","non-dropping-particle":"","parse-names":false,"suffix":""},{"dropping-particle":"","family":"Willie","given":"Christopher K.","non-dropping-particle":"","parse-names":false,"suffix":""},{"dropping-particle":"","family":"Smith","given":"Kurt J.","non-dropping-particle":"","parse-names":false,"suffix":""},{"dropping-particle":"","family":"Ainslie","given":"Philip N.","non-dropping-particle":"","parse-names":false,"suffix":""},{"dropping-particle":"","family":"Day","given":"Trevor A.","non-dropping-particle":"","parse-names":false,"suffix":""}],"container-title":"Respiratory Physiology and Neurobiology","id":"ITEM-1","issue":"1","issued":{"date-parts":[["2013"]]},"note":"INTRO\nGood justification of why MCA vessel is used for TCD\n\nExplains analysis and methods of testing well\n\nRESULTS\nFound differences in the reactivity of the MCA, PCA and BA arteries","page":"76-86","title":"Differential cerebrovascular CO2 reactivity in anterior and posterior cerebral circulations","type":"article-journal","volume":"189"},"uris":["http://www.mendeley.com/documents/?uuid=97917e31-1055-4590-a9c3-801cf62a49b5"]},{"id":"ITEM-2","itemData":{"DOI":"10.1152/japplphysiol.00310.2018","ISSN":"8750-7587","PMID":"29878870","abstract":"Decreased cerebrovascular blood flow and function are associated with lower cognitive functioning and increased risk of neurodegenerative diseases. Prolonged sitting impairs peripheral blood flow and function, but its effects on the cerebrovasculature are unknown. This study explored the effect of uninterrupted sitting and breaking up sitting time on cerebrovascular blood flow and function of healthy desk workers. Fifteen participants (10 male, 35.8{plus minus}10.2 years, BMI: 25.5{plus minus}3.2 kg∙m-2) completed, on separate days, three 4-hr conditions in a randomised order: a) uninterrupted sitting (SIT), b) sitting with 2-min light intensity walking breaks every 30-min (2WALK) or c) sitting with 8-min light intensity walking breaks every 2-hrs (8WALK). At baseline and 4-hrs, middle cerebral artery blood flow velocity (MCAv), carbon dioxide reactivity (CVR) of the MCA and carotid artery were measured using transcranial Doppler (TCD) and duplex ultrasound respectively. Cerebral autoregulation (CA) was assessed with TCD using a squat-stand protocol and analysed to generate values of gain and phase in the very low, low, and high frequencies. There was a significant decline in SIT MCAv (-3.2{plus minus}1.2 cm.s-1) compared to 2WALK (0.6{plus minus}1.5 cm.s-1, p=0.02), but not between SIT and 8WALK (-1.2{plus minus}1.0 cm.s-1, p=0.14). For CA, the change in 2WALK very low frequency phase (4.47{plus minus}4.07 degrees) was significantly greater than SIT (-3.38{plus minus}2.82 degrees, p=0.02). There was no significant change in MCA or carotid artery CVR (p&amp;gt;0.05). Results indicate that prolonged, uninterrupted sitting in healthy desk workers reduces cerebral blood flow, however this is offset when frequent, short-duration walking breaks are incorporated.","author":[{"dropping-particle":"","family":"Carter","given":"Sophie E","non-dropping-particle":"","parse-names":false,"suffix":""},{"dropping-particle":"","family":"Draijer","given":"Richard","non-dropping-particle":"","parse-names":false,"suffix":""},{"dropping-particle":"","family":"Holder","given":"Sophie M","non-dropping-particle":"","parse-names":false,"suffix":""},{"dropping-particle":"","family":"Brown","given":"Louise","non-dropping-particle":"","parse-names":false,"suffix":""},{"dropping-particle":"","family":"Thijssen","given":"Dick H J","non-dropping-particle":"","parse-names":false,"suffix":""},{"dropping-particle":"","family":"Hopkins","given":"Nicola D","non-dropping-particle":"","parse-names":false,"suffix":""}],"container-title":"Journal of Applied Physiology","id":"ITEM-2","issue":"3","issued":{"date-parts":[["2018","9","7"]]},"page":"790-798","title":"Regular walking breaks prevent the decline in cerebral blood flow associated with prolonged sitting","type":"article-journal","volume":"125"},"uris":["http://www.mendeley.com/documents/?uuid=b5fb4ac7-80e4-4811-bda2-94adc6355a88"]}],"mendeley":{"formattedCitation":"[20,40]","plainTextFormattedCitation":"[20,40]","previouslyFormattedCitation":"[19,39]"},"properties":{"noteIndex":0},"schema":"https://github.com/citation-style-language/schema/raw/master/csl-citation.json"}</w:instrText>
      </w:r>
      <w:r w:rsidRPr="00E50D6C">
        <w:rPr>
          <w:lang w:val="en-GB"/>
        </w:rPr>
        <w:fldChar w:fldCharType="separate"/>
      </w:r>
      <w:r w:rsidRPr="00E50D6C">
        <w:rPr>
          <w:noProof/>
          <w:lang w:val="en-GB"/>
        </w:rPr>
        <w:t>[20,40]</w:t>
      </w:r>
      <w:r w:rsidRPr="00E50D6C">
        <w:rPr>
          <w:lang w:val="en-GB"/>
        </w:rPr>
        <w:fldChar w:fldCharType="end"/>
      </w:r>
      <w:r w:rsidRPr="00E50D6C">
        <w:rPr>
          <w:lang w:val="en-GB"/>
        </w:rPr>
        <w:t>.</w:t>
      </w:r>
    </w:p>
    <w:p w14:paraId="72101584" w14:textId="2D198F37" w:rsidR="00563CFC" w:rsidRPr="00E50D6C" w:rsidRDefault="00563CFC" w:rsidP="008B2AB1">
      <w:pPr>
        <w:pStyle w:val="MDPI31text"/>
        <w:rPr>
          <w:lang w:val="en-GB"/>
        </w:rPr>
      </w:pPr>
      <w:r w:rsidRPr="00E50D6C">
        <w:rPr>
          <w:i/>
          <w:lang w:val="en-GB"/>
        </w:rPr>
        <w:t xml:space="preserve">Cerebral Autoregulation. </w:t>
      </w:r>
      <w:r w:rsidRPr="00E50D6C">
        <w:rPr>
          <w:lang w:val="en-GB"/>
        </w:rPr>
        <w:t>CA maintains adequate CBF over a range of</w:t>
      </w:r>
      <w:r w:rsidRPr="00E50D6C">
        <w:rPr>
          <w:i/>
          <w:lang w:val="en-GB"/>
        </w:rPr>
        <w:t xml:space="preserve"> </w:t>
      </w:r>
      <w:r w:rsidRPr="00E50D6C">
        <w:rPr>
          <w:lang w:val="en-GB"/>
        </w:rPr>
        <w:t xml:space="preserve">perfusion pressures </w:t>
      </w:r>
      <w:r w:rsidRPr="00E50D6C">
        <w:rPr>
          <w:lang w:val="en-GB"/>
        </w:rPr>
        <w:fldChar w:fldCharType="begin" w:fldLock="1"/>
      </w:r>
      <w:r w:rsidRPr="00E50D6C">
        <w:rPr>
          <w:lang w:val="en-GB"/>
        </w:rPr>
        <w:instrText>ADDIN CSL_CITATION {"citationItems":[{"id":"ITEM-1","itemData":{"DOI":"10.1113/jphysiol.2013.268953","ISSN":"00223751","author":[{"dropping-particle":"","family":"Willie","given":"Christopher K.","non-dropping-particle":"","parse-names":false,"suffix":""},{"dropping-particle":"","family":"Tzeng","given":"Yu-Chieh","non-dropping-particle":"","parse-names":false,"suffix":""},{"dropping-particle":"","family":"Fisher","given":"Joseph A.","non-dropping-particle":"","parse-names":false,"suffix":""},{"dropping-particle":"","family":"Ainslie","given":"Philip N.","non-dropping-particle":"","parse-names":false,"suffix":""}],"container-title":"The Journal of Physiology","id":"ITEM-1","issue":"5","issued":{"date-parts":[["2014"]]},"page":"841-859","title":"Integrative regulation of human brain blood flow","type":"article-journal","volume":"592"},"uris":["http://www.mendeley.com/documents/?uuid=dc9070a1-7bf2-4645-a811-063e60bd75d8"]}],"mendeley":{"formattedCitation":"[35]","plainTextFormattedCitation":"[35]","previouslyFormattedCitation":"[34]"},"properties":{"noteIndex":0},"schema":"https://github.com/citation-style-language/schema/raw/master/csl-citation.json"}</w:instrText>
      </w:r>
      <w:r w:rsidRPr="00E50D6C">
        <w:rPr>
          <w:lang w:val="en-GB"/>
        </w:rPr>
        <w:fldChar w:fldCharType="separate"/>
      </w:r>
      <w:r w:rsidRPr="00E50D6C">
        <w:rPr>
          <w:noProof/>
          <w:lang w:val="en-GB"/>
        </w:rPr>
        <w:t>[35]</w:t>
      </w:r>
      <w:r w:rsidRPr="00E50D6C">
        <w:rPr>
          <w:lang w:val="en-GB"/>
        </w:rPr>
        <w:fldChar w:fldCharType="end"/>
      </w:r>
      <w:r w:rsidRPr="00E50D6C">
        <w:rPr>
          <w:lang w:val="en-GB"/>
        </w:rPr>
        <w:t>. Participants completed two 5</w:t>
      </w:r>
      <w:r w:rsidR="00080A01" w:rsidRPr="00E50D6C">
        <w:rPr>
          <w:lang w:val="en-GB"/>
        </w:rPr>
        <w:t xml:space="preserve"> min</w:t>
      </w:r>
      <w:r w:rsidRPr="00E50D6C">
        <w:rPr>
          <w:lang w:val="en-GB"/>
        </w:rPr>
        <w:t xml:space="preserve"> squat-stand tests to induce oscillations in BP </w:t>
      </w:r>
      <w:r w:rsidRPr="00E50D6C">
        <w:rPr>
          <w:lang w:val="en-GB"/>
        </w:rPr>
        <w:fldChar w:fldCharType="begin" w:fldLock="1"/>
      </w:r>
      <w:r w:rsidRPr="00E50D6C">
        <w:rPr>
          <w:lang w:val="en-GB"/>
        </w:rPr>
        <w:instrText>ADDIN CSL_CITATION {"citationItems":[{"id":"ITEM-1","itemData":{"DOI":"10.1152/japplphysiol.90822.2008","ISBN":"8750-7587 (Print)\\r0161-7567 (Linking)","ISSN":"8750-7587","PMID":"18974368","abstract":"Transfer function analysis of spontaneous oscillations in blood pressure (BP) and cerebral blood flow (CBF) can quantify the dynamic relationship between BP and CBF. However, such oscillation amplitudes are often small and of questionable clinical significance, vary substantially, and cannot be controlled. At the very low frequencies (&lt;0.07 Hz), coherence between BP and CBF often is low (&lt;0.50) and their causal relationship is debated. Eight healthy subjects performed repeated squat-stand maneuvers to induce large oscillations in BP at frequencies of 0.025 and 0.05 Hz (very low frequency) and 0.1 Hz (low frequency), respectively. BP (Finapres), CBF velocity (CBFV; transcranial Doppler), and end-tidal CO(2) (capnography) were monitored. Spectral analysis was used to quantify oscillations in BP and CBFV and to estimate transfer function phase, gain, and coherence. Compared with spontaneous oscillations, induced oscillations had higher coherence [mean 0.8 (SD 0.11); &gt;0.5 in all subjects at all frequencies] and lower variability in phase estimates. However, gain estimates remained unchanged. Under both conditions, the \"high-pass filter\" characteristics of dynamic autoregulation were observed. In conclusion, using repeated squat-stand maneuvers, we were able to study dynamic cerebral autoregulation in the low frequencies under conditions of hemodynamically strong and causally related oscillations in BP and CBFV. This not only enhances the confidence of transfer function analysis as indicated by high coherence and improved phase estimation but also strengthens the clinical relevance of this method as induced oscillations in BP and CBFV mimic those associated with postural changes in daily life.","author":[{"dropping-particle":"","family":"Claassen","given":"Jurgen A H R","non-dropping-particle":"","parse-names":false,"suffix":""},{"dropping-particle":"","family":"Levine","given":"Benjamin D","non-dropping-particle":"","parse-names":false,"suffix":""},{"dropping-particle":"","family":"Zhang","given":"Rong","non-dropping-particle":"","parse-names":false,"suffix":""}],"container-title":"Journal of applied physiology","id":"ITEM-1","issue":"1","issued":{"date-parts":[["2009"]]},"note":"Method \nParticipants were coached into performing\nthese maneuvers at a frequency of 0.025 Hz (20-s squat followed by 20 s standing up), 0.05 Hz (10-s squat, 10-s stand), and 0.1 Hz (5-s squat, 5-s stand) for 5 min each, separated by 10 min of recovery between the maneuvers. D\n\nResults/Discussion- describes transfer function analysis process","page":"153-160","title":"Dynamic cerebral autoregulation during repeated squat-stand maneuvers","type":"article-journal","volume":"106"},"uris":["http://www.mendeley.com/documents/?uuid=cd0d61b3-471b-406d-9e08-a7b8a1e48d24"]}],"mendeley":{"formattedCitation":"[41]","plainTextFormattedCitation":"[41]","previouslyFormattedCitation":"[40]"},"properties":{"noteIndex":0},"schema":"https://github.com/citation-style-language/schema/raw/master/csl-citation.json"}</w:instrText>
      </w:r>
      <w:r w:rsidRPr="00E50D6C">
        <w:rPr>
          <w:lang w:val="en-GB"/>
        </w:rPr>
        <w:fldChar w:fldCharType="separate"/>
      </w:r>
      <w:r w:rsidRPr="00E50D6C">
        <w:rPr>
          <w:noProof/>
          <w:lang w:val="en-GB"/>
        </w:rPr>
        <w:t>[41]</w:t>
      </w:r>
      <w:r w:rsidRPr="00E50D6C">
        <w:rPr>
          <w:lang w:val="en-GB"/>
        </w:rPr>
        <w:fldChar w:fldCharType="end"/>
      </w:r>
      <w:r w:rsidRPr="00E50D6C">
        <w:rPr>
          <w:lang w:val="en-GB"/>
        </w:rPr>
        <w:t>. Tests involved repeated cycles of 5</w:t>
      </w:r>
      <w:r w:rsidR="00F20704" w:rsidRPr="00E50D6C">
        <w:rPr>
          <w:lang w:val="en-GB"/>
        </w:rPr>
        <w:t xml:space="preserve"> s </w:t>
      </w:r>
      <w:r w:rsidRPr="00E50D6C">
        <w:rPr>
          <w:lang w:val="en-GB"/>
        </w:rPr>
        <w:t>of standing and 5</w:t>
      </w:r>
      <w:r w:rsidR="00F20704" w:rsidRPr="00E50D6C">
        <w:rPr>
          <w:lang w:val="en-GB"/>
        </w:rPr>
        <w:t xml:space="preserve"> s </w:t>
      </w:r>
      <w:r w:rsidRPr="00E50D6C">
        <w:rPr>
          <w:lang w:val="en-GB"/>
        </w:rPr>
        <w:t>of squatting (low frequency, 0.1 Hz) and 10</w:t>
      </w:r>
      <w:r w:rsidR="00F20704" w:rsidRPr="00E50D6C">
        <w:rPr>
          <w:lang w:val="en-GB"/>
        </w:rPr>
        <w:t xml:space="preserve"> s </w:t>
      </w:r>
      <w:r w:rsidRPr="00E50D6C">
        <w:rPr>
          <w:lang w:val="en-GB"/>
        </w:rPr>
        <w:t>of standing and 10</w:t>
      </w:r>
      <w:r w:rsidR="00F20704" w:rsidRPr="00E50D6C">
        <w:rPr>
          <w:lang w:val="en-GB"/>
        </w:rPr>
        <w:t xml:space="preserve"> s </w:t>
      </w:r>
      <w:r w:rsidRPr="00E50D6C">
        <w:rPr>
          <w:lang w:val="en-GB"/>
        </w:rPr>
        <w:t>of squatting (very low frequency, 0.05 Hz), separated with a 5</w:t>
      </w:r>
      <w:r w:rsidR="00080A01" w:rsidRPr="00E50D6C">
        <w:rPr>
          <w:lang w:val="en-GB"/>
        </w:rPr>
        <w:t xml:space="preserve"> min</w:t>
      </w:r>
      <w:r w:rsidRPr="00E50D6C">
        <w:rPr>
          <w:lang w:val="en-GB"/>
        </w:rPr>
        <w:t xml:space="preserve"> rest. Data were processed and analysed in accordance with standardised transfer function analysis (TFA) guidelines to produce values of gain, phase and coherence </w:t>
      </w:r>
      <w:r w:rsidRPr="00E50D6C">
        <w:rPr>
          <w:lang w:val="en-GB"/>
        </w:rPr>
        <w:fldChar w:fldCharType="begin" w:fldLock="1"/>
      </w:r>
      <w:r w:rsidRPr="00E50D6C">
        <w:rPr>
          <w:lang w:val="en-GB"/>
        </w:rPr>
        <w:instrText>ADDIN CSL_CITATION {"citationItems":[{"id":"ITEM-1","itemData":{"DOI":"10.1177/0271678X15626425","ISSN":"1559-7016","PMID":"26782760","abstract":"Cerebral autoregulation is the intrinsic ability of the brain to maintain adequate cerebral perfusion in the presence of blood pressure changes. A large number of methods to assess the quality of cerebral autoregulation have been proposed over the last 30 years. However, no single method has been universally accepted as a gold standard. Therefore, the choice of which method to employ to quantify cerebral autoregulation remains a matter of personal choice. Nevertheless, given the concept that cerebral autoregulation represents the dynamic relationship between blood pressure (stimulus or input) and cerebral blood flow (response or output), transfer function analysis became the most popular approach adopted in studies based on spontaneous fluctuations of blood pressure. Despite its sound theoretical background, the literature shows considerable variation in implementation of transfer function analysis in practice, which has limited comparisons between studies and hindered progress towards clinical application. Therefore, the purpose of the present white paper is to improve standardisation of parameters and settings adopted for application of transfer function analysis in studies of dynamic cerebral autoregulation. The development of these recommendations was initiated by (but not confined to) theCerebral Autoregulation Research Network(CARNet -www.car-net.org).","author":[{"dropping-particle":"","family":"Claassen","given":"Jurgen A H R","non-dropping-particle":"","parse-names":false,"suffix":""},{"dropping-particle":"","family":"Meel-van den Abeelen","given":"Aisha S S","non-dropping-particle":"","parse-names":false,"suffix":""},{"dropping-particle":"","family":"Simpson","given":"David M","non-dropping-particle":"","parse-names":false,"suffix":""},{"dropping-particle":"","family":"Panerai","given":"Ronney B","non-dropping-particle":"","parse-names":false,"suffix":""},{"dropping-particle":"","family":"International Cerebral Autoregulation Research Network (CARNet)","given":"","non-dropping-particle":"","parse-names":false,"suffix":""}],"container-title":"Journal of cerebral blood flow and metabolism","id":"ITEM-1","issue":"4","issued":{"date-parts":[["2016","4"]]},"page":"665-80","title":"Transfer function analysis of dynamic cerebral autoregulation: A white paper from the International Cerebral Autoregulation Research Network","type":"article-journal","volume":"36"},"uris":["http://www.mendeley.com/documents/?uuid=5daa6100-0c20-4c33-912b-52c7656c62bd"]}],"mendeley":{"formattedCitation":"[42]","plainTextFormattedCitation":"[42]","previouslyFormattedCitation":"[41]"},"properties":{"noteIndex":0},"schema":"https://github.com/citation-style-language/schema/raw/master/csl-citation.json"}</w:instrText>
      </w:r>
      <w:r w:rsidRPr="00E50D6C">
        <w:rPr>
          <w:lang w:val="en-GB"/>
        </w:rPr>
        <w:fldChar w:fldCharType="separate"/>
      </w:r>
      <w:r w:rsidRPr="00E50D6C">
        <w:rPr>
          <w:noProof/>
          <w:lang w:val="en-GB"/>
        </w:rPr>
        <w:t>[42]</w:t>
      </w:r>
      <w:r w:rsidRPr="00E50D6C">
        <w:rPr>
          <w:lang w:val="en-GB"/>
        </w:rPr>
        <w:fldChar w:fldCharType="end"/>
      </w:r>
      <w:r w:rsidRPr="00E50D6C">
        <w:rPr>
          <w:lang w:val="en-GB"/>
        </w:rPr>
        <w:t xml:space="preserve">. These parameters are described in detail elsewhere </w:t>
      </w:r>
      <w:r w:rsidRPr="00E50D6C">
        <w:rPr>
          <w:lang w:val="en-GB"/>
        </w:rPr>
        <w:fldChar w:fldCharType="begin" w:fldLock="1"/>
      </w:r>
      <w:r w:rsidRPr="00E50D6C">
        <w:rPr>
          <w:lang w:val="en-GB"/>
        </w:rPr>
        <w:instrText>ADDIN CSL_CITATION {"citationItems":[{"id":"ITEM-1","itemData":{"DOI":"10.1152/japplphysiol.00310.2018","ISSN":"8750-7587","PMID":"29878870","abstract":"Decreased cerebrovascular blood flow and function are associated with lower cognitive functioning and increased risk of neurodegenerative diseases. Prolonged sitting impairs peripheral blood flow and function, but its effects on the cerebrovasculature are unknown. This study explored the effect of uninterrupted sitting and breaking up sitting time on cerebrovascular blood flow and function of healthy desk workers. Fifteen participants (10 male, 35.8{plus minus}10.2 years, BMI: 25.5{plus minus}3.2 kg∙m-2) completed, on separate days, three 4-hr conditions in a randomised order: a) uninterrupted sitting (SIT), b) sitting with 2-min light intensity walking breaks every 30-min (2WALK) or c) sitting with 8-min light intensity walking breaks every 2-hrs (8WALK). At baseline and 4-hrs, middle cerebral artery blood flow velocity (MCAv), carbon dioxide reactivity (CVR) of the MCA and carotid artery were measured using transcranial Doppler (TCD) and duplex ultrasound respectively. Cerebral autoregulation (CA) was assessed with TCD using a squat-stand protocol and analysed to generate values of gain and phase in the very low, low, and high frequencies. There was a significant decline in SIT MCAv (-3.2{plus minus}1.2 cm.s-1) compared to 2WALK (0.6{plus minus}1.5 cm.s-1, p=0.02), but not between SIT and 8WALK (-1.2{plus minus}1.0 cm.s-1, p=0.14). For CA, the change in 2WALK very low frequency phase (4.47{plus minus}4.07 degrees) was significantly greater than SIT (-3.38{plus minus}2.82 degrees, p=0.02). There was no significant change in MCA or carotid artery CVR (p&amp;gt;0.05). Results indicate that prolonged, uninterrupted sitting in healthy desk workers reduces cerebral blood flow, however this is offset when frequent, short-duration walking breaks are incorporated.","author":[{"dropping-particle":"","family":"Carter","given":"Sophie E","non-dropping-particle":"","parse-names":false,"suffix":""},{"dropping-particle":"","family":"Draijer","given":"Richard","non-dropping-particle":"","parse-names":false,"suffix":""},{"dropping-particle":"","family":"Holder","given":"Sophie M","non-dropping-particle":"","parse-names":false,"suffix":""},{"dropping-particle":"","family":"Brown","given":"Louise","non-dropping-particle":"","parse-names":false,"suffix":""},{"dropping-particle":"","family":"Thijssen","given":"Dick H J","non-dropping-particle":"","parse-names":false,"suffix":""},{"dropping-particle":"","family":"Hopkins","given":"Nicola D","non-dropping-particle":"","parse-names":false,"suffix":""}],"container-title":"Journal of Applied Physiology","id":"ITEM-1","issue":"3","issued":{"date-parts":[["2018","9","7"]]},"page":"790-798","title":"Regular walking breaks prevent the decline in cerebral blood flow associated with prolonged sitting","type":"article-journal","volume":"125"},"uris":["http://www.mendeley.com/documents/?uuid=b5fb4ac7-80e4-4811-bda2-94adc6355a88"]}],"mendeley":{"formattedCitation":"[20]","plainTextFormattedCitation":"[20]","previouslyFormattedCitation":"[19]"},"properties":{"noteIndex":0},"schema":"https://github.com/citation-style-language/schema/raw/master/csl-citation.json"}</w:instrText>
      </w:r>
      <w:r w:rsidRPr="00E50D6C">
        <w:rPr>
          <w:lang w:val="en-GB"/>
        </w:rPr>
        <w:fldChar w:fldCharType="separate"/>
      </w:r>
      <w:r w:rsidRPr="00E50D6C">
        <w:rPr>
          <w:noProof/>
          <w:lang w:val="en-GB"/>
        </w:rPr>
        <w:t>[20]</w:t>
      </w:r>
      <w:r w:rsidRPr="00E50D6C">
        <w:rPr>
          <w:lang w:val="en-GB"/>
        </w:rPr>
        <w:fldChar w:fldCharType="end"/>
      </w:r>
      <w:r w:rsidRPr="00E50D6C">
        <w:rPr>
          <w:lang w:val="en-GB"/>
        </w:rPr>
        <w:t>.</w:t>
      </w:r>
    </w:p>
    <w:p w14:paraId="6E165A3E" w14:textId="77777777" w:rsidR="00563CFC" w:rsidRPr="006076FC" w:rsidRDefault="00563CFC" w:rsidP="008B2AB1">
      <w:pPr>
        <w:pStyle w:val="MDPI31text"/>
        <w:rPr>
          <w:i/>
          <w:lang w:val="en-GB"/>
        </w:rPr>
      </w:pPr>
      <w:r w:rsidRPr="00E50D6C">
        <w:rPr>
          <w:i/>
          <w:lang w:val="en-GB"/>
        </w:rPr>
        <w:t xml:space="preserve">Neurovascular Coupling. </w:t>
      </w:r>
      <w:r w:rsidRPr="00E50D6C">
        <w:rPr>
          <w:lang w:val="en-GB"/>
        </w:rPr>
        <w:t xml:space="preserve">NVC measures temporal and regional CBF responses to neural activity </w:t>
      </w:r>
      <w:r w:rsidRPr="00E50D6C">
        <w:rPr>
          <w:lang w:val="en-GB"/>
        </w:rPr>
        <w:fldChar w:fldCharType="begin" w:fldLock="1"/>
      </w:r>
      <w:r w:rsidRPr="00E50D6C">
        <w:rPr>
          <w:lang w:val="en-GB"/>
        </w:rPr>
        <w:instrText>ADDIN CSL_CITATION {"citationItems":[{"id":"ITEM-1","itemData":{"DOI":"10.1177/0271678X15617954","ISBN":"10.1177/0271678X15617954","ISSN":"1559-7016","PMID":"26661243","abstract":"Neurovascular coupling reflects the close temporal and regional linkage between neural activity and cerebral blood flow. Although providing mechanistic insight, our understanding of neurovascular coupling is largely limited to non-physiologicalex vivopreparations and non-human models using sedatives/anesthetics with confounding cerebrovascular implications. Herein, with particular focus on humans, we review the present mechanistic understanding of neurovascular coupling and highlight current approaches to assess these responses and the application in health and disease. Moreover, we present new guidelines for standardizing the assessment of neurovascular coupling in humans. To improve the reliability of measurement and related interpretation, the utility of new automated software for neurovascular coupling is demonstrated, which provides the capacity for coalescing repetitive trials and time intervals into single contours and extracting numerous metrics (e.g., conductance and pulsatility, critical closing pressure, etc.) according to patterns of interest (e.g., peak/minimum response, time of response, etc.). This versatile software also permits the normalization of neurovascular coupling metrics to dynamic changes in arterial blood gases, potentially influencing the hyperemic response. It is hoped that these guidelines, combined with the newly developed and openly available software, will help to propel the understanding of neurovascular coupling in humans and also lead to improved clinical management of this critical physiological function.","author":[{"dropping-particle":"","family":"Phillips","given":"Aaron A","non-dropping-particle":"","parse-names":false,"suffix":""},{"dropping-particle":"","family":"Chan","given":"Franco Hn","non-dropping-particle":"","parse-names":false,"suffix":""},{"dropping-particle":"","family":"Zheng","given":"Mei Mu Zi","non-dropping-particle":"","parse-names":false,"suffix":""},{"dropping-particle":"V","family":"Krassioukov","given":"A","non-dropping-particle":"","parse-names":false,"suffix":""},{"dropping-particle":"","family":"Ainslie","given":"Philip N","non-dropping-particle":"","parse-names":false,"suffix":""}],"container-title":"Journal of cerebral blood flow and metabolism","id":"ITEM-1","issue":"4","issued":{"date-parts":[["2016","4"]]},"note":"Good mechanisitic descrition of NVC","page":"647-64","title":"Neurovascular coupling in humans: Physiology, methodological advances and clinical implications","type":"article-journal","volume":"36"},"uris":["http://www.mendeley.com/documents/?uuid=73bd090b-83b3-405f-aeca-84a7a2a081e2"]}],"mendeley":{"formattedCitation":"[43]","plainTextFormattedCitation":"[43]","previouslyFormattedCitation":"[42]"},"properties":{"noteIndex":0},"schema":"https://github.com/citation-style-language/schema/raw/master/csl-citation.json"}</w:instrText>
      </w:r>
      <w:r w:rsidRPr="00E50D6C">
        <w:rPr>
          <w:lang w:val="en-GB"/>
        </w:rPr>
        <w:fldChar w:fldCharType="separate"/>
      </w:r>
      <w:r w:rsidRPr="00E50D6C">
        <w:rPr>
          <w:noProof/>
          <w:lang w:val="en-GB"/>
        </w:rPr>
        <w:t>[43]</w:t>
      </w:r>
      <w:r w:rsidRPr="00E50D6C">
        <w:rPr>
          <w:lang w:val="en-GB"/>
        </w:rPr>
        <w:fldChar w:fldCharType="end"/>
      </w:r>
      <w:r w:rsidRPr="00E50D6C">
        <w:rPr>
          <w:lang w:val="en-GB"/>
        </w:rPr>
        <w:t xml:space="preserve"> and is a significant determinant of cognitive performance </w:t>
      </w:r>
      <w:r w:rsidRPr="00E50D6C">
        <w:rPr>
          <w:lang w:val="en-GB"/>
        </w:rPr>
        <w:fldChar w:fldCharType="begin" w:fldLock="1"/>
      </w:r>
      <w:r w:rsidRPr="00E50D6C">
        <w:rPr>
          <w:lang w:val="en-GB"/>
        </w:rPr>
        <w:instrText>ADDIN CSL_CITATION {"citationItems":[{"id":"ITEM-1","itemData":{"DOI":"10.1038/nrcardio.2010.161","ISSN":"1759-5002","abstract":"Longer lifespans have been accompanied by an increasing number of older people suffering from impaired cognitive function (dementia) including Alzheimer's disease (AD) and vascular dementia (VaD). Some studies have suggested that hypertension in old age correlates with the pathogenesis of dementia. Since hypertension is potentially reversible, a number of randomized trials have examined whether antihypertensive treatment may help to prevent dementia. We review five studies, all using subjects aged 60 years or older, which investigated different antihypertensive pharmacological treatments and found conflicting results regarding impact on dementia. At the same time, other studies have suggested that hypotension in older people, especially those with low diastolic blood pressure, are also at higher risk for developing dementia. Four studies are reviewed here, but none is able to determine unequivocally if hypotension is a cause or a consequence of dementia in old age. © Cambridge University Press 2011.","author":[{"dropping-particle":"","family":"Novak","given":"Vera","non-dropping-particle":"","parse-names":false,"suffix":""},{"dropping-particle":"","family":"Hajjar","given":"Ihab","non-dropping-particle":"","parse-names":false,"suffix":""}],"container-title":"Nature Reviews Cardiology","id":"ITEM-1","issue":"12","issued":{"date-parts":[["2010","12","26"]]},"page":"686-698","title":"The relationship between blood pressure and cognitive function","type":"article-journal","volume":"7"},"uris":["http://www.mendeley.com/documents/?uuid=ec01cc7f-4bf3-4b3c-bc79-66124da0491f"]}],"mendeley":{"formattedCitation":"[44]","plainTextFormattedCitation":"[44]","previouslyFormattedCitation":"[43]"},"properties":{"noteIndex":0},"schema":"https://github.com/citation-style-language/schema/raw/master/csl-citation.json"}</w:instrText>
      </w:r>
      <w:r w:rsidRPr="00E50D6C">
        <w:rPr>
          <w:lang w:val="en-GB"/>
        </w:rPr>
        <w:fldChar w:fldCharType="separate"/>
      </w:r>
      <w:r w:rsidRPr="00E50D6C">
        <w:rPr>
          <w:noProof/>
          <w:lang w:val="en-GB"/>
        </w:rPr>
        <w:t>[44]</w:t>
      </w:r>
      <w:r w:rsidRPr="00E50D6C">
        <w:rPr>
          <w:lang w:val="en-GB"/>
        </w:rPr>
        <w:fldChar w:fldCharType="end"/>
      </w:r>
      <w:r w:rsidRPr="00E50D6C">
        <w:rPr>
          <w:lang w:val="en-GB"/>
        </w:rPr>
        <w:t>. Participants completed a visual stimulation task in accordance with published guidelines involving repeated</w:t>
      </w:r>
      <w:r w:rsidRPr="006076FC">
        <w:rPr>
          <w:lang w:val="en-GB"/>
        </w:rPr>
        <w:t xml:space="preserve"> cycles of eyes-open whilst viewing a visual stimulation screen, followed by eyes shut </w:t>
      </w:r>
      <w:r w:rsidRPr="006076FC">
        <w:rPr>
          <w:lang w:val="en-GB"/>
        </w:rPr>
        <w:fldChar w:fldCharType="begin" w:fldLock="1"/>
      </w:r>
      <w:r w:rsidRPr="006076FC">
        <w:rPr>
          <w:lang w:val="en-GB"/>
        </w:rPr>
        <w:instrText>ADDIN CSL_CITATION {"citationItems":[{"id":"ITEM-1","itemData":{"DOI":"10.1177/0271678X15617954","ISBN":"10.1177/0271678X15617954","ISSN":"1559-7016","PMID":"26661243","abstract":"Neurovascular coupling reflects the close temporal and regional linkage between neural activity and cerebral blood flow. Although providing mechanistic insight, our understanding of neurovascular coupling is largely limited to non-physiologicalex vivopreparations and non-human models using sedatives/anesthetics with confounding cerebrovascular implications. Herein, with particular focus on humans, we review the present mechanistic understanding of neurovascular coupling and highlight current approaches to assess these responses and the application in health and disease. Moreover, we present new guidelines for standardizing the assessment of neurovascular coupling in humans. To improve the reliability of measurement and related interpretation, the utility of new automated software for neurovascular coupling is demonstrated, which provides the capacity for coalescing repetitive trials and time intervals into single contours and extracting numerous metrics (e.g., conductance and pulsatility, critical closing pressure, etc.) according to patterns of interest (e.g., peak/minimum response, time of response, etc.). This versatile software also permits the normalization of neurovascular coupling metrics to dynamic changes in arterial blood gases, potentially influencing the hyperemic response. It is hoped that these guidelines, combined with the newly developed and openly available software, will help to propel the understanding of neurovascular coupling in humans and also lead to improved clinical management of this critical physiological function.","author":[{"dropping-particle":"","family":"Phillips","given":"Aaron A","non-dropping-particle":"","parse-names":false,"suffix":""},{"dropping-particle":"","family":"Chan","given":"Franco Hn","non-dropping-particle":"","parse-names":false,"suffix":""},{"dropping-particle":"","family":"Zheng","given":"Mei Mu Zi","non-dropping-particle":"","parse-names":false,"suffix":""},{"dropping-particle":"V","family":"Krassioukov","given":"A","non-dropping-particle":"","parse-names":false,"suffix":""},{"dropping-particle":"","family":"Ainslie","given":"Philip N","non-dropping-particle":"","parse-names":false,"suffix":""}],"container-title":"Journal of cerebral blood flow and metabolism","id":"ITEM-1","issue":"4","issued":{"date-parts":[["2016","4"]]},"note":"Good mechanisitic descrition of NVC","page":"647-64","title":"Neurovascular coupling in humans: Physiology, methodological advances and clinical implications","type":"article-journal","volume":"36"},"uris":["http://www.mendeley.com/documents/?uuid=73bd090b-83b3-405f-aeca-84a7a2a081e2"]}],"mendeley":{"formattedCitation":"[43]","plainTextFormattedCitation":"[43]","previouslyFormattedCitation":"[42]"},"properties":{"noteIndex":0},"schema":"https://github.com/citation-style-language/schema/raw/master/csl-citation.json"}</w:instrText>
      </w:r>
      <w:r w:rsidRPr="006076FC">
        <w:rPr>
          <w:lang w:val="en-GB"/>
        </w:rPr>
        <w:fldChar w:fldCharType="separate"/>
      </w:r>
      <w:r w:rsidRPr="006076FC">
        <w:rPr>
          <w:noProof/>
          <w:lang w:val="en-GB"/>
        </w:rPr>
        <w:t>[43]</w:t>
      </w:r>
      <w:r w:rsidRPr="006076FC">
        <w:rPr>
          <w:lang w:val="en-GB"/>
        </w:rPr>
        <w:fldChar w:fldCharType="end"/>
      </w:r>
      <w:r w:rsidRPr="006076FC">
        <w:rPr>
          <w:lang w:val="en-GB"/>
        </w:rPr>
        <w:t xml:space="preserve">. Data were analysed using automated software following recommended guidelines </w:t>
      </w:r>
      <w:r w:rsidRPr="006076FC">
        <w:rPr>
          <w:lang w:val="en-GB"/>
        </w:rPr>
        <w:fldChar w:fldCharType="begin" w:fldLock="1"/>
      </w:r>
      <w:r w:rsidRPr="006076FC">
        <w:rPr>
          <w:lang w:val="en-GB"/>
        </w:rPr>
        <w:instrText>ADDIN CSL_CITATION {"citationItems":[{"id":"ITEM-1","itemData":{"DOI":"10.1177/0271678X15617954","ISBN":"10.1177/0271678X15617954","ISSN":"1559-7016","PMID":"26661243","abstract":"Neurovascular coupling reflects the close temporal and regional linkage between neural activity and cerebral blood flow. Although providing mechanistic insight, our understanding of neurovascular coupling is largely limited to non-physiologicalex vivopreparations and non-human models using sedatives/anesthetics with confounding cerebrovascular implications. Herein, with particular focus on humans, we review the present mechanistic understanding of neurovascular coupling and highlight current approaches to assess these responses and the application in health and disease. Moreover, we present new guidelines for standardizing the assessment of neurovascular coupling in humans. To improve the reliability of measurement and related interpretation, the utility of new automated software for neurovascular coupling is demonstrated, which provides the capacity for coalescing repetitive trials and time intervals into single contours and extracting numerous metrics (e.g., conductance and pulsatility, critical closing pressure, etc.) according to patterns of interest (e.g., peak/minimum response, time of response, etc.). This versatile software also permits the normalization of neurovascular coupling metrics to dynamic changes in arterial blood gases, potentially influencing the hyperemic response. It is hoped that these guidelines, combined with the newly developed and openly available software, will help to propel the understanding of neurovascular coupling in humans and also lead to improved clinical management of this critical physiological function.","author":[{"dropping-particle":"","family":"Phillips","given":"Aaron A","non-dropping-particle":"","parse-names":false,"suffix":""},{"dropping-particle":"","family":"Chan","given":"Franco Hn","non-dropping-particle":"","parse-names":false,"suffix":""},{"dropping-particle":"","family":"Zheng","given":"Mei Mu Zi","non-dropping-particle":"","parse-names":false,"suffix":""},{"dropping-particle":"V","family":"Krassioukov","given":"A","non-dropping-particle":"","parse-names":false,"suffix":""},{"dropping-particle":"","family":"Ainslie","given":"Philip N","non-dropping-particle":"","parse-names":false,"suffix":""}],"container-title":"Journal of cerebral blood flow and metabolism","id":"ITEM-1","issue":"4","issued":{"date-parts":[["2016","4"]]},"note":"Good mechanisitic descrition of NVC","page":"647-64","title":"Neurovascular coupling in humans: Physiology, methodological advances and clinical implications","type":"article-journal","volume":"36"},"uris":["http://www.mendeley.com/documents/?uuid=73bd090b-83b3-405f-aeca-84a7a2a081e2"]}],"mendeley":{"formattedCitation":"[43]","plainTextFormattedCitation":"[43]","previouslyFormattedCitation":"[42]"},"properties":{"noteIndex":0},"schema":"https://github.com/citation-style-language/schema/raw/master/csl-citation.json"}</w:instrText>
      </w:r>
      <w:r w:rsidRPr="006076FC">
        <w:rPr>
          <w:lang w:val="en-GB"/>
        </w:rPr>
        <w:fldChar w:fldCharType="separate"/>
      </w:r>
      <w:r w:rsidRPr="006076FC">
        <w:rPr>
          <w:noProof/>
          <w:lang w:val="en-GB"/>
        </w:rPr>
        <w:t>[43]</w:t>
      </w:r>
      <w:r w:rsidRPr="006076FC">
        <w:rPr>
          <w:lang w:val="en-GB"/>
        </w:rPr>
        <w:fldChar w:fldCharType="end"/>
      </w:r>
      <w:r w:rsidRPr="006076FC">
        <w:rPr>
          <w:lang w:val="en-GB"/>
        </w:rPr>
        <w:t xml:space="preserve">. The absolute and percentage change in </w:t>
      </w:r>
      <w:proofErr w:type="spellStart"/>
      <w:r w:rsidRPr="006076FC">
        <w:rPr>
          <w:lang w:val="en-GB"/>
        </w:rPr>
        <w:t>PCAv</w:t>
      </w:r>
      <w:proofErr w:type="spellEnd"/>
      <w:r w:rsidRPr="006076FC">
        <w:rPr>
          <w:lang w:val="en-GB"/>
        </w:rPr>
        <w:t xml:space="preserve"> and </w:t>
      </w:r>
      <w:proofErr w:type="spellStart"/>
      <w:r w:rsidRPr="006076FC">
        <w:rPr>
          <w:lang w:val="en-GB"/>
        </w:rPr>
        <w:t>MCAv</w:t>
      </w:r>
      <w:proofErr w:type="spellEnd"/>
      <w:r w:rsidRPr="006076FC">
        <w:rPr>
          <w:lang w:val="en-GB"/>
        </w:rPr>
        <w:t xml:space="preserve"> from pre-visual stimulation were used to quantify the NVC response.</w:t>
      </w:r>
    </w:p>
    <w:p w14:paraId="6A90EEF0" w14:textId="66002015" w:rsidR="00563CFC" w:rsidRPr="006076FC" w:rsidRDefault="008B2AB1" w:rsidP="008B2AB1">
      <w:pPr>
        <w:pStyle w:val="MDPI23heading3"/>
        <w:rPr>
          <w:lang w:val="en-GB"/>
        </w:rPr>
      </w:pPr>
      <w:r w:rsidRPr="006076FC">
        <w:rPr>
          <w:lang w:val="en-GB"/>
        </w:rPr>
        <w:t xml:space="preserve">2.6.4. </w:t>
      </w:r>
      <w:r w:rsidR="00563CFC" w:rsidRPr="006076FC">
        <w:rPr>
          <w:lang w:val="en-GB"/>
        </w:rPr>
        <w:t>Mood</w:t>
      </w:r>
    </w:p>
    <w:p w14:paraId="552B551D" w14:textId="7E9F150D" w:rsidR="00563CFC" w:rsidRPr="006076FC" w:rsidRDefault="00563CFC" w:rsidP="008B2AB1">
      <w:pPr>
        <w:pStyle w:val="MDPI31text"/>
        <w:rPr>
          <w:lang w:val="en-GB"/>
        </w:rPr>
      </w:pPr>
      <w:r w:rsidRPr="006076FC">
        <w:rPr>
          <w:lang w:val="en-GB"/>
        </w:rPr>
        <w:t>Mood was assessed using The Positive and Negative Affect Schedule (PANAS;</w:t>
      </w:r>
      <w:r w:rsidRPr="006076FC">
        <w:rPr>
          <w:lang w:val="en-GB"/>
        </w:rPr>
        <w:fldChar w:fldCharType="begin" w:fldLock="1"/>
      </w:r>
      <w:r w:rsidRPr="006076FC">
        <w:rPr>
          <w:lang w:val="en-GB"/>
        </w:rPr>
        <w:instrText>ADDIN CSL_CITATION {"citationItems":[{"id":"ITEM-1","itemData":{"DOI":"10.1037/0022-3514.54.6.1063","ISBN":"0022-3514\\n1939-1315","ISSN":"0022-3514","PMID":"3397865","abstract":"In recent studies of the structure of affect, positive and negative affect have consistently emerged as two dominant and relatively independent dimensions. A number of mood scales have been created to measure these factors; however, many existing measures are inadequate, showing low reliability or poor convergent or discriminant validity. To fill the need for reliable and valid Positive Affect and Negative Affect scales that are also brief and easy to administer, we developed two 10-item mood scales that comprise the Positive and Negative Affect Schedule (PANAS). The scales are shown to be highly internally consistent, largely uncorrelated, and stable at appropriate levels over a 2-month time period. Normative data and factorial and external evidence of convergent and discriminant validity for the scales are also presented.","author":[{"dropping-particle":"","family":"Watson","given":"David","non-dropping-particle":"","parse-names":false,"suffix":""},{"dropping-particle":"","family":"Clark","given":"Lee Anna","non-dropping-particle":"","parse-names":false,"suffix":""},{"dropping-particle":"","family":"Tellegen","given":"Auke","non-dropping-particle":"","parse-names":false,"suffix":""}],"container-title":"Journal of Personality and Social Psychology","id":"ITEM-1","issue":"6","issued":{"date-parts":[["1988"]]},"page":"1063-1070","title":"Development and validation of brief measures of positive and negative affect: The PANAS scales","type":"article-journal","volume":"54"},"uris":["http://www.mendeley.com/documents/?uuid=3ef3b294-906b-42b6-b955-7d36e48136c3"]}],"mendeley":{"formattedCitation":"[45]","manualFormatting":" Watson et al., 1988)","plainTextFormattedCitation":"[45]","previouslyFormattedCitation":"[44]"},"properties":{"noteIndex":0},"schema":"https://github.com/citation-style-language/schema/raw/master/csl-citation.json"}</w:instrText>
      </w:r>
      <w:r w:rsidRPr="006076FC">
        <w:rPr>
          <w:lang w:val="en-GB"/>
        </w:rPr>
        <w:fldChar w:fldCharType="separate"/>
      </w:r>
      <w:r w:rsidR="00E50D6C">
        <w:rPr>
          <w:noProof/>
          <w:lang w:val="en-GB"/>
        </w:rPr>
        <w:t xml:space="preserve"> </w:t>
      </w:r>
      <w:r w:rsidR="00AF5EEA">
        <w:rPr>
          <w:noProof/>
          <w:lang w:val="en-GB"/>
        </w:rPr>
        <w:t>[</w:t>
      </w:r>
      <w:r w:rsidR="002F7C00">
        <w:rPr>
          <w:noProof/>
          <w:lang w:val="en-GB"/>
        </w:rPr>
        <w:t>45</w:t>
      </w:r>
      <w:r w:rsidR="00AF5EEA">
        <w:rPr>
          <w:noProof/>
          <w:lang w:val="en-GB"/>
        </w:rPr>
        <w:t>]</w:t>
      </w:r>
      <w:r w:rsidRPr="006076FC">
        <w:rPr>
          <w:noProof/>
          <w:lang w:val="en-GB"/>
        </w:rPr>
        <w:t>)</w:t>
      </w:r>
      <w:r w:rsidRPr="006076FC">
        <w:rPr>
          <w:lang w:val="en-GB"/>
        </w:rPr>
        <w:fldChar w:fldCharType="end"/>
      </w:r>
      <w:r w:rsidRPr="006076FC">
        <w:rPr>
          <w:lang w:val="en-GB"/>
        </w:rPr>
        <w:t>. Participants were asked to respond using a 5-item Likert scale ranging from 1 (very slightly or not all all) to 5 (extremely) based on their mood over the past few days the extent to which they felt 10 positive and 10 negative states. Values were totalled to give separate positive and negative affect scores ranging from 10</w:t>
      </w:r>
      <w:r w:rsidR="004226D1">
        <w:rPr>
          <w:lang w:val="en-GB"/>
        </w:rPr>
        <w:t xml:space="preserve"> to </w:t>
      </w:r>
      <w:r w:rsidRPr="006076FC">
        <w:rPr>
          <w:lang w:val="en-GB"/>
        </w:rPr>
        <w:t>50.</w:t>
      </w:r>
    </w:p>
    <w:p w14:paraId="7A6D10E6" w14:textId="7714A0F7" w:rsidR="00563CFC" w:rsidRPr="006076FC" w:rsidRDefault="008B2AB1" w:rsidP="008B2AB1">
      <w:pPr>
        <w:pStyle w:val="MDPI23heading3"/>
        <w:rPr>
          <w:lang w:val="en-GB"/>
        </w:rPr>
      </w:pPr>
      <w:r w:rsidRPr="006076FC">
        <w:rPr>
          <w:lang w:val="en-GB"/>
        </w:rPr>
        <w:t xml:space="preserve">2.6.5. </w:t>
      </w:r>
      <w:r w:rsidR="00563CFC" w:rsidRPr="006076FC">
        <w:rPr>
          <w:lang w:val="en-GB"/>
        </w:rPr>
        <w:t>Work Performance: Health and Work Questionnaire</w:t>
      </w:r>
    </w:p>
    <w:p w14:paraId="452E3FD1" w14:textId="00469F62" w:rsidR="00563CFC" w:rsidRPr="00E50D6C" w:rsidRDefault="00563CFC" w:rsidP="008B2AB1">
      <w:pPr>
        <w:pStyle w:val="MDPI31text"/>
        <w:rPr>
          <w:lang w:val="en-GB"/>
        </w:rPr>
      </w:pPr>
      <w:r w:rsidRPr="006076FC">
        <w:rPr>
          <w:lang w:val="en-GB"/>
        </w:rPr>
        <w:t xml:space="preserve">Participants completed the Health and Work Questionnaire (HWQ; </w:t>
      </w:r>
      <w:r w:rsidR="00A31A69">
        <w:rPr>
          <w:lang w:val="en-GB"/>
        </w:rPr>
        <w:t>[</w:t>
      </w:r>
      <w:r w:rsidR="002F7C00">
        <w:rPr>
          <w:lang w:val="en-GB"/>
        </w:rPr>
        <w:t>4</w:t>
      </w:r>
      <w:r w:rsidR="004F4F3A">
        <w:rPr>
          <w:lang w:val="en-GB"/>
        </w:rPr>
        <w:t>6</w:t>
      </w:r>
      <w:r w:rsidR="00A31A69">
        <w:rPr>
          <w:lang w:val="en-GB"/>
        </w:rPr>
        <w:t>])</w:t>
      </w:r>
      <w:r w:rsidR="00A31A69" w:rsidRPr="006076FC" w:rsidDel="00A31A69">
        <w:rPr>
          <w:lang w:val="en-GB"/>
        </w:rPr>
        <w:t xml:space="preserve"> </w:t>
      </w:r>
      <w:r w:rsidRPr="006076FC">
        <w:rPr>
          <w:lang w:val="en-GB"/>
        </w:rPr>
        <w:t>which is formed of 24 questions which then create subscales for: work productivity, concentration/focus, work satisfaction, non-work satisfaction, supervisor relations, impatience/irritability and stress. Participants were required to rate each item in the questionnaire on a ten</w:t>
      </w:r>
      <w:r w:rsidRPr="00E50D6C">
        <w:rPr>
          <w:lang w:val="en-GB"/>
        </w:rPr>
        <w:t xml:space="preserve">-point scale, with the end points of the scale tailored to each specific question. Subscale scores were then derived by averaging items within a subscale. The HWQ significantly correlates to objective work performance </w:t>
      </w:r>
      <w:r w:rsidR="002F7C00" w:rsidRPr="00E50D6C">
        <w:rPr>
          <w:lang w:val="en-GB"/>
        </w:rPr>
        <w:t>[4</w:t>
      </w:r>
      <w:r w:rsidR="004F4F3A" w:rsidRPr="00E50D6C">
        <w:rPr>
          <w:lang w:val="en-GB"/>
        </w:rPr>
        <w:t>6</w:t>
      </w:r>
      <w:r w:rsidR="002F7C00" w:rsidRPr="00E50D6C">
        <w:rPr>
          <w:lang w:val="en-GB"/>
        </w:rPr>
        <w:t>]</w:t>
      </w:r>
      <w:r w:rsidR="004F4F3A" w:rsidRPr="00E50D6C">
        <w:rPr>
          <w:lang w:val="en-GB"/>
        </w:rPr>
        <w:t xml:space="preserve">. </w:t>
      </w:r>
    </w:p>
    <w:p w14:paraId="1A52FCEF" w14:textId="697F5F07" w:rsidR="00563CFC" w:rsidRPr="00E50D6C" w:rsidRDefault="008B2AB1" w:rsidP="008B2AB1">
      <w:pPr>
        <w:pStyle w:val="MDPI22heading2"/>
        <w:rPr>
          <w:lang w:val="en-GB"/>
        </w:rPr>
      </w:pPr>
      <w:r w:rsidRPr="00E50D6C">
        <w:rPr>
          <w:lang w:val="en-GB"/>
        </w:rPr>
        <w:t xml:space="preserve">2.7. </w:t>
      </w:r>
      <w:r w:rsidR="00563CFC" w:rsidRPr="00E50D6C">
        <w:rPr>
          <w:lang w:val="en-GB"/>
        </w:rPr>
        <w:t>Qualitative Analyses</w:t>
      </w:r>
    </w:p>
    <w:p w14:paraId="7CBE25A7" w14:textId="7300D5BE" w:rsidR="00563CFC" w:rsidRPr="006076FC" w:rsidRDefault="00563CFC" w:rsidP="008B2AB1">
      <w:pPr>
        <w:pStyle w:val="MDPI31text"/>
        <w:rPr>
          <w:lang w:val="en-GB"/>
        </w:rPr>
      </w:pPr>
      <w:r w:rsidRPr="00E50D6C">
        <w:rPr>
          <w:lang w:val="en-GB"/>
        </w:rPr>
        <w:t xml:space="preserve">Interview data were analysed using a thematic approach, which allowed the flexibility to identify themes across the complete data set in relation to the acceptability of the software </w:t>
      </w:r>
      <w:r w:rsidRPr="00E50D6C">
        <w:rPr>
          <w:lang w:val="en-GB"/>
        </w:rPr>
        <w:fldChar w:fldCharType="begin" w:fldLock="1"/>
      </w:r>
      <w:r w:rsidRPr="00E50D6C">
        <w:rPr>
          <w:lang w:val="en-GB"/>
        </w:rPr>
        <w:instrText>ADDIN CSL_CITATION {"citationItems":[{"id":"ITEM-1","itemData":{"DOI":"10.1191/1478088706qp063oa","ISSN":"14780887","abstract":"Thematic analysis is a poorly demarcated, rarely acknowledged, yet widely used qualitative analytic method within psychology. In this paper, we argue that it offers an accessible and theoretically flexible approach to analysing qualitative data. We outline what thematic analysis is, locating it in relation to other qualitative analytic methods that search for themes or patterns, and in relation to different epistemological and ontological positions. We then provide clear guidelines to those wanting to start thematic analysis, or conduct it in a more deliberate and rigorous way, and consider potential pitfalls in conducting thematic analysis. Finally, we outline the disadvantages and advantages of thematic analysis. We conclude by advocating thematic analysis as a useful and flexible method for qualitative research in and beyond psychology. © 2006 Edward Arnold (Publishers) Ltd.","author":[{"dropping-particle":"","family":"Braun","given":"Virginia","non-dropping-particle":"","parse-names":false,"suffix":""},{"dropping-particle":"","family":"Clarke","given":"Victoria","non-dropping-particle":"","parse-names":false,"suffix":""}],"container-title":"Qualitative Research in Psychology","id":"ITEM-1","issue":"2","issued":{"date-parts":[["2006"]]},"page":"77-101","title":"Using thematic analysis in psychology","type":"article-journal","volume":"3"},"uris":["http://www.mendeley.com/documents/?uuid=79885571-cdad-478c-b816-6b5ddf8657b5"]},{"id":"ITEM-2","itemData":{"DOI":"10.3402/qhw.v9.26152","ISSN":"17482631","PMID":"25326092","author":[{"dropping-particle":"","family":"Braun","given":"Virginia","non-dropping-particle":"","parse-names":false,"suffix":""},{"dropping-particle":"","family":"Clarke","given":"Victoria","non-dropping-particle":"","parse-names":false,"suffix":""}],"container-title":"International Journal of Qualitative Studies on Health and Well-being","id":"ITEM-2","issued":{"date-parts":[["2014"]]},"page":"9-10","title":"What can \"thematic analysis\" offer health and wellbeing researchers?","type":"article-journal","volume":"9"},"uris":["http://www.mendeley.com/documents/?uuid=f5613525-c4f7-4004-a186-fa707075f955"]}],"mendeley":{"formattedCitation":"[47,48]","plainTextFormattedCitation":"[47,48]","previouslyFormattedCitation":"[46,47]"},"properties":{"noteIndex":0},"schema":"https://github.com/citation-style-language/schema/raw/master/csl-citation.json"}</w:instrText>
      </w:r>
      <w:r w:rsidRPr="00E50D6C">
        <w:rPr>
          <w:lang w:val="en-GB"/>
        </w:rPr>
        <w:fldChar w:fldCharType="separate"/>
      </w:r>
      <w:r w:rsidRPr="00E50D6C">
        <w:rPr>
          <w:noProof/>
          <w:lang w:val="en-GB"/>
        </w:rPr>
        <w:t>[47,48]</w:t>
      </w:r>
      <w:r w:rsidRPr="00E50D6C">
        <w:rPr>
          <w:lang w:val="en-GB"/>
        </w:rPr>
        <w:fldChar w:fldCharType="end"/>
      </w:r>
      <w:r w:rsidRPr="00E50D6C">
        <w:rPr>
          <w:lang w:val="en-GB"/>
        </w:rPr>
        <w:t xml:space="preserve">. Analysis began concurrently with data collection through a reflective commentary, which contained initial thoughts and emerging patterns in the early stages of analysis </w:t>
      </w:r>
      <w:r w:rsidRPr="00E50D6C">
        <w:rPr>
          <w:lang w:val="en-GB"/>
        </w:rPr>
        <w:fldChar w:fldCharType="begin" w:fldLock="1"/>
      </w:r>
      <w:r w:rsidRPr="00E50D6C">
        <w:rPr>
          <w:lang w:val="en-GB"/>
        </w:rPr>
        <w:instrText>ADDIN CSL_CITATION {"citationItems":[{"id":"ITEM-1","itemData":{"abstract":"To allow transferability, they provide sufficient detail of the context of the fieldwork for a reader to be able to decide whether the prevailing environment is similar to another situation with which he or she is familiar and whether the findings can justifiably be applied to the other setting. The meeting of the dependability criterion is difficult in qualitative work, although researchers should at least strive to enable a future investigator to repeat the study. Finally, to achieve confirmability, researchers must take steps to demonstrate that findings emerge from the data and not their own predispositions. The paper concludes by suggesting that it is the responsibility of research methods teachers to ensure that this or a comparable model for ensuring trustworthiness is followed by students undertaking a qualitative inquiry.","author":[{"dropping-particle":"","family":"Shenton","given":"Andrew K","non-dropping-particle":"","parse-names":false,"suffix":""}],"container-title":"Education for Information","id":"ITEM-1","issued":{"date-parts":[["2004"]]},"page":"63-75","title":"Strategies for ensuring trustworthiness in qualitative research projects","type":"article-journal","volume":"22"},"uris":["http://www.mendeley.com/documents/?uuid=f5972eb2-b836-4551-81f9-589b6ec3914c"]},{"id":"ITEM-2","itemData":{"DOI":"10.1111/nhs.12048","ISSN":"14410745","abstract":"Qualitative content analysis and thematic analysis are two commonly used approaches in data analysis of nursing research, but boundaries between the two have not been clearly specified. In other words, they are being used interchangeably and it seems difficult for the researcher to choose between them. In this respect, this paper describes and discusses the boundaries between qualitative content analysis and thematic analysis and presents implications to improve the consistency between the purpose of related studies and the method of data analyses. This is a discussion paper, comprising an analytical overview and discussion of the definitions, aims, philosophical background, data gathering, and analysis of content analysis and thematic analysis, and addressing their methodological subtleties. It is concluded that in spite of many similarities between the approaches, including cutting across data and searching for patterns and themes, their main difference lies in the opportunity for quantification of data. It means that measuring the frequency of different categories and themes is possible in content analysis with caution as a proxy for significance. © 2013 Wiley Publishing Asia Pty Ltd.","author":[{"dropping-particle":"","family":"Vaismoradi","given":"Mojtaba","non-dropping-particle":"","parse-names":false,"suffix":""},{"dropping-particle":"","family":"Turunen","given":"Hannele","non-dropping-particle":"","parse-names":false,"suffix":""},{"dropping-particle":"","family":"Bondas","given":"Terese","non-dropping-particle":"","parse-names":false,"suffix":""}],"container-title":"Nursing and Health Sciences","id":"ITEM-2","issue":"3","issued":{"date-parts":[["2013"]]},"page":"398-405","title":"Content analysis and thematic analysis: Implications for conducting a qualitative descriptive study","type":"article-journal","volume":"15"},"uris":["http://www.mendeley.com/documents/?uuid=e976074c-907d-4586-8ce2-d329b7780a72"]}],"mendeley":{"formattedCitation":"[49,50]","plainTextFormattedCitation":"[49,50]","previouslyFormattedCitation":"[48,49]"},"properties":{"noteIndex":0},"schema":"https://github.com/citation-style-language/schema/raw/master/csl-citation.json"}</w:instrText>
      </w:r>
      <w:r w:rsidRPr="00E50D6C">
        <w:rPr>
          <w:lang w:val="en-GB"/>
        </w:rPr>
        <w:fldChar w:fldCharType="separate"/>
      </w:r>
      <w:r w:rsidRPr="00E50D6C">
        <w:rPr>
          <w:noProof/>
          <w:lang w:val="en-GB"/>
        </w:rPr>
        <w:t>[49,50]</w:t>
      </w:r>
      <w:r w:rsidRPr="00E50D6C">
        <w:rPr>
          <w:lang w:val="en-GB"/>
        </w:rPr>
        <w:fldChar w:fldCharType="end"/>
      </w:r>
      <w:r w:rsidRPr="00E50D6C">
        <w:rPr>
          <w:lang w:val="en-GB"/>
        </w:rPr>
        <w:t xml:space="preserve">. Transcriptions were read and re-read to familiarise the researcher with the complete data set, and initial codes were generated from a piece of text that related to factors influencing the acceptability of the software to promote breaks from sitting </w:t>
      </w:r>
      <w:r w:rsidRPr="00E50D6C">
        <w:rPr>
          <w:lang w:val="en-GB"/>
        </w:rPr>
        <w:fldChar w:fldCharType="begin" w:fldLock="1"/>
      </w:r>
      <w:r w:rsidRPr="00E50D6C">
        <w:rPr>
          <w:lang w:val="en-GB"/>
        </w:rPr>
        <w:instrText>ADDIN CSL_CITATION {"citationItems":[{"id":"ITEM-1","itemData":{"DOI":"10.1111/nhs.12048","ISSN":"14410745","abstract":"Qualitative content analysis and thematic analysis are two commonly used approaches in data analysis of nursing research, but boundaries between the two have not been clearly specified. In other words, they are being used interchangeably and it seems difficult for the researcher to choose between them. In this respect, this paper describes and discusses the boundaries between qualitative content analysis and thematic analysis and presents implications to improve the consistency between the purpose of related studies and the method of data analyses. This is a discussion paper, comprising an analytical overview and discussion of the definitions, aims, philosophical background, data gathering, and analysis of content analysis and thematic analysis, and addressing their methodological subtleties. It is concluded that in spite of many similarities between the approaches, including cutting across data and searching for patterns and themes, their main difference lies in the opportunity for quantification of data. It means that measuring the frequency of different categories and themes is possible in content analysis with caution as a proxy for significance. © 2013 Wiley Publishing Asia Pty Ltd.","author":[{"dropping-particle":"","family":"Vaismoradi","given":"Mojtaba","non-dropping-particle":"","parse-names":false,"suffix":""},{"dropping-particle":"","family":"Turunen","given":"Hannele","non-dropping-particle":"","parse-names":false,"suffix":""},{"dropping-particle":"","family":"Bondas","given":"Terese","non-dropping-particle":"","parse-names":false,"suffix":""}],"container-title":"Nursing and Health Sciences","id":"ITEM-1","issue":"3","issued":{"date-parts":[["2013"]]},"page":"398-405","title":"Content analysis and thematic analysis: Implications for conducting a qualitative descriptive study","type":"article-journal","volume":"15"},"uris":["http://www.mendeley.com/documents/?uuid=e976074c-907d-4586-8ce2-d329b7780a72"]}],"mendeley":{"formattedCitation":"[50]","plainTextFormattedCitation":"[50]","previouslyFormattedCitation":"[49]"},"properties":{"noteIndex":0},"schema":"https://github.com/citation-style-language/schema/raw/master/csl-citation.json"}</w:instrText>
      </w:r>
      <w:r w:rsidRPr="00E50D6C">
        <w:rPr>
          <w:lang w:val="en-GB"/>
        </w:rPr>
        <w:fldChar w:fldCharType="separate"/>
      </w:r>
      <w:r w:rsidRPr="00E50D6C">
        <w:rPr>
          <w:noProof/>
          <w:lang w:val="en-GB"/>
        </w:rPr>
        <w:t>[50]</w:t>
      </w:r>
      <w:r w:rsidRPr="00E50D6C">
        <w:rPr>
          <w:lang w:val="en-GB"/>
        </w:rPr>
        <w:fldChar w:fldCharType="end"/>
      </w:r>
      <w:r w:rsidRPr="00E50D6C">
        <w:rPr>
          <w:lang w:val="en-GB"/>
        </w:rPr>
        <w:t>, prior to being imported into QSR NVivo software 10 package. During the inductive analysis process, higher-order themes were generated from emerging patterns within the</w:t>
      </w:r>
      <w:r w:rsidRPr="006076FC">
        <w:rPr>
          <w:lang w:val="en-GB"/>
        </w:rPr>
        <w:t xml:space="preserve"> initial coded data. Subthemes associated with higher</w:t>
      </w:r>
      <w:r w:rsidR="00B35330">
        <w:rPr>
          <w:lang w:val="en-GB"/>
        </w:rPr>
        <w:t>-</w:t>
      </w:r>
      <w:r w:rsidRPr="006076FC">
        <w:rPr>
          <w:lang w:val="en-GB"/>
        </w:rPr>
        <w:t>order themes were identified, providing a structure and a rich context. At this stage of analysis, the coding framework was reviewed by</w:t>
      </w:r>
      <w:r w:rsidR="001C5864" w:rsidRPr="006076FC">
        <w:rPr>
          <w:lang w:val="en-GB"/>
        </w:rPr>
        <w:t xml:space="preserve"> </w:t>
      </w:r>
      <w:r w:rsidRPr="006076FC">
        <w:rPr>
          <w:lang w:val="en-GB"/>
        </w:rPr>
        <w:t xml:space="preserve">authors (SC, LG, NH) that allowed refinement of emerging themes </w:t>
      </w:r>
      <w:r w:rsidRPr="006076FC">
        <w:rPr>
          <w:lang w:val="en-GB"/>
        </w:rPr>
        <w:fldChar w:fldCharType="begin" w:fldLock="1"/>
      </w:r>
      <w:r w:rsidRPr="006076FC">
        <w:rPr>
          <w:lang w:val="en-GB"/>
        </w:rPr>
        <w:instrText>ADDIN CSL_CITATION {"citationItems":[{"id":"ITEM-1","itemData":{"DOI":"10.1111/nhs.12048","ISSN":"14410745","abstract":"Qualitative content analysis and thematic analysis are two commonly used approaches in data analysis of nursing research, but boundaries between the two have not been clearly specified. In other words, they are being used interchangeably and it seems difficult for the researcher to choose between them. In this respect, this paper describes and discusses the boundaries between qualitative content analysis and thematic analysis and presents implications to improve the consistency between the purpose of related studies and the method of data analyses. This is a discussion paper, comprising an analytical overview and discussion of the definitions, aims, philosophical background, data gathering, and analysis of content analysis and thematic analysis, and addressing their methodological subtleties. It is concluded that in spite of many similarities between the approaches, including cutting across data and searching for patterns and themes, their main difference lies in the opportunity for quantification of data. It means that measuring the frequency of different categories and themes is possible in content analysis with caution as a proxy for significance. © 2013 Wiley Publishing Asia Pty Ltd.","author":[{"dropping-particle":"","family":"Vaismoradi","given":"Mojtaba","non-dropping-particle":"","parse-names":false,"suffix":""},{"dropping-particle":"","family":"Turunen","given":"Hannele","non-dropping-particle":"","parse-names":false,"suffix":""},{"dropping-particle":"","family":"Bondas","given":"Terese","non-dropping-particle":"","parse-names":false,"suffix":""}],"container-title":"Nursing and Health Sciences","id":"ITEM-1","issue":"3","issued":{"date-parts":[["2013"]]},"page":"398-405","title":"Content analysis and thematic analysis: Implications for conducting a qualitative descriptive study","type":"article-journal","volume":"15"},"uris":["http://www.mendeley.com/documents/?uuid=e976074c-907d-4586-8ce2-d329b7780a72"]}],"mendeley":{"formattedCitation":"[50]","plainTextFormattedCitation":"[50]","previouslyFormattedCitation":"[49]"},"properties":{"noteIndex":0},"schema":"https://github.com/citation-style-language/schema/raw/master/csl-citation.json"}</w:instrText>
      </w:r>
      <w:r w:rsidRPr="006076FC">
        <w:rPr>
          <w:lang w:val="en-GB"/>
        </w:rPr>
        <w:fldChar w:fldCharType="separate"/>
      </w:r>
      <w:r w:rsidRPr="006076FC">
        <w:rPr>
          <w:noProof/>
          <w:lang w:val="en-GB"/>
        </w:rPr>
        <w:t>[50]</w:t>
      </w:r>
      <w:r w:rsidRPr="006076FC">
        <w:rPr>
          <w:lang w:val="en-GB"/>
        </w:rPr>
        <w:fldChar w:fldCharType="end"/>
      </w:r>
      <w:r w:rsidRPr="006076FC">
        <w:rPr>
          <w:lang w:val="en-GB"/>
        </w:rPr>
        <w:t xml:space="preserve">, with this triangulation adding credibility and trustworthiness to the analysis process </w:t>
      </w:r>
      <w:r w:rsidRPr="006076FC">
        <w:rPr>
          <w:lang w:val="en-GB"/>
        </w:rPr>
        <w:fldChar w:fldCharType="begin" w:fldLock="1"/>
      </w:r>
      <w:r w:rsidRPr="006076FC">
        <w:rPr>
          <w:lang w:val="en-GB"/>
        </w:rPr>
        <w:instrText>ADDIN CSL_CITATION {"citationItems":[{"id":"ITEM-1","itemData":{"abstract":"To allow transferability, they provide sufficient detail of the context of the fieldwork for a reader to be able to decide whether the prevailing environment is similar to another situation with which he or she is familiar and whether the findings can justifiably be applied to the other setting. The meeting of the dependability criterion is difficult in qualitative work, although researchers should at least strive to enable a future investigator to repeat the study. Finally, to achieve confirmability, researchers must take steps to demonstrate that findings emerge from the data and not their own predispositions. The paper concludes by suggesting that it is the responsibility of research methods teachers to ensure that this or a comparable model for ensuring trustworthiness is followed by students undertaking a qualitative inquiry.","author":[{"dropping-particle":"","family":"Shenton","given":"Andrew K","non-dropping-particle":"","parse-names":false,"suffix":""}],"container-title":"Education for Information","id":"ITEM-1","issued":{"date-parts":[["2004"]]},"page":"63-75","title":"Strategies for ensuring trustworthiness in qualitative research projects","type":"article-journal","volume":"22"},"uris":["http://www.mendeley.com/documents/?uuid=f5972eb2-b836-4551-81f9-589b6ec3914c"]}],"mendeley":{"formattedCitation":"[49]","plainTextFormattedCitation":"[49]","previouslyFormattedCitation":"[48]"},"properties":{"noteIndex":0},"schema":"https://github.com/citation-style-language/schema/raw/master/csl-citation.json"}</w:instrText>
      </w:r>
      <w:r w:rsidRPr="006076FC">
        <w:rPr>
          <w:lang w:val="en-GB"/>
        </w:rPr>
        <w:fldChar w:fldCharType="separate"/>
      </w:r>
      <w:r w:rsidRPr="006076FC">
        <w:rPr>
          <w:noProof/>
          <w:lang w:val="en-GB"/>
        </w:rPr>
        <w:t>[49]</w:t>
      </w:r>
      <w:r w:rsidRPr="006076FC">
        <w:rPr>
          <w:lang w:val="en-GB"/>
        </w:rPr>
        <w:fldChar w:fldCharType="end"/>
      </w:r>
      <w:r w:rsidRPr="006076FC">
        <w:rPr>
          <w:lang w:val="en-GB"/>
        </w:rPr>
        <w:t>.</w:t>
      </w:r>
    </w:p>
    <w:p w14:paraId="25B766CA" w14:textId="1C7B258B" w:rsidR="00563CFC" w:rsidRPr="006076FC" w:rsidRDefault="008B2AB1" w:rsidP="008B2AB1">
      <w:pPr>
        <w:pStyle w:val="MDPI22heading2"/>
        <w:rPr>
          <w:lang w:val="en-GB"/>
        </w:rPr>
      </w:pPr>
      <w:r w:rsidRPr="006076FC">
        <w:rPr>
          <w:lang w:val="en-GB"/>
        </w:rPr>
        <w:t xml:space="preserve">2.8. </w:t>
      </w:r>
      <w:r w:rsidR="00563CFC" w:rsidRPr="006076FC">
        <w:rPr>
          <w:lang w:val="en-GB"/>
        </w:rPr>
        <w:t>Data Analyses</w:t>
      </w:r>
    </w:p>
    <w:p w14:paraId="07EF1540" w14:textId="709DE783" w:rsidR="00563CFC" w:rsidRPr="006076FC" w:rsidRDefault="00563CFC" w:rsidP="008B2AB1">
      <w:pPr>
        <w:pStyle w:val="MDPI31text"/>
        <w:rPr>
          <w:lang w:val="en-GB"/>
        </w:rPr>
      </w:pPr>
      <w:r w:rsidRPr="006076FC">
        <w:rPr>
          <w:lang w:val="en-GB"/>
        </w:rPr>
        <w:t xml:space="preserve">There is no formal requirement to conduct a sample size calculation for feasibility studies </w:t>
      </w:r>
      <w:r w:rsidRPr="006076FC">
        <w:rPr>
          <w:lang w:val="en-GB"/>
        </w:rPr>
        <w:fldChar w:fldCharType="begin" w:fldLock="1"/>
      </w:r>
      <w:r w:rsidRPr="006076FC">
        <w:rPr>
          <w:lang w:val="en-GB"/>
        </w:rPr>
        <w:instrText>ADDIN CSL_CITATION {"citationItems":[{"id":"ITEM-1","itemData":{"DOI":"10.1186/1471-2288-13-104","ISSN":"14712288","PMID":"23961782","abstract":"Background: There is little published guidance as to the sample size required for a pilot or feasibility trial despite the fact that a sample size justification is a key element in the design of a trial. A sample size justification should give the minimum number of participants needed in order to meet the objectives of the trial. This paper seeks to describe the target sample sizes set for pilot and feasibility randomised controlled trials, currently running within the United Kingdom. Methods. Data were gathered from the United Kingdom Clinical Research Network (UKCRN) database using the search terms 'pilot' and 'feasibility'. From this search 513 studies were assessed for eligibility of which 79 met the inclusion criteria. Where the data summary on the UKCRN Database was incomplete, data were also gathered from: the International Standardised Randomised Controlled Trial Number (ISRCTN) register; the clinicaltrials.gov website and the website of the funders. For 62 of the trials, it was necessary to contact members of the research team by email to ensure completeness. Results: Of the 79 trials analysed, 50 (63.3%) were labelled as pilot trials, 25 (31.6%) feasibility and 14 were described as both pilot and feasibility trials. The majority had two arms (n = 68, 86.1%) and the two most common endpoints were continuous (n = 45, 57.0%) and dichotomous (n = 31, 39.2%). Pilot trials were found to have a smaller sample size per arm (median = 30, range = 8 to 114 participants) than feasibility trials (median = 36, range = 10 to 300 participants). By type of endpoint, across feasibility and pilot trials, the median sample size per arm was 36 (range = 10 to 300 participants) for trials with a dichotomous endpoint and 30 (range = 8 to 114 participants) for trials with a continuous endpoint. Publicly funded pilot trials appear to be larger than industry funded pilot trials: median sample sizes of 33 (range = 15 to 114 participants) and 25 (range = 8 to 100 participants) respectively. Conclusion: All studies should have a sample size justification. Not all studies however need to have a sample size calculation. For pilot and feasibility trials, while a sample size justification is important, a formal sample size calculation may not be appropriate. The results in this paper describe the observed sample sizes in feasibility and pilot randomised controlled trials on the UKCRN Database. © 2013 Billingham et al.; licensee BioMed Central Ltd.","author":[{"dropping-particle":"","family":"Billingham","given":"Sophie Am","non-dropping-particle":"","parse-names":false,"suffix":""},{"dropping-particle":"","family":"Whitehead","given":"Amy L.","non-dropping-particle":"","parse-names":false,"suffix":""},{"dropping-particle":"","family":"Julious","given":"Steven A.","non-dropping-particle":"","parse-names":false,"suffix":""}],"container-title":"BMC Medical Research Methodology","id":"ITEM-1","issue":"1","issued":{"date-parts":[["2013"]]},"page":"1","publisher":"BMC Medical Research Methodology","title":"An audit of sample sizes for pilot and feasibility trials being undertaken in the United Kingdom registered in the United Kingdom Clinical Research Network database","type":"article-journal","volume":"13"},"uris":["http://www.mendeley.com/documents/?uuid=3f1eb8ef-2fc8-4991-b208-b1d523f631b8"]},{"id":"ITEM-2","itemData":{"DOI":"10.1186/1471-2288-10-67","ISSN":"14712288","PMID":"20637084","abstract":"Background. In 2004, a review of pilot studies published in seven major medical journals during 2000-01 recommended that the statistical analysis of such studies should be either mainly descriptive or focus on sample size estimation, while results from hypothesis testing must be interpreted with caution. We revisited these journals to see whether the subsequent recommendations have changed the practice of reporting pilot studies. We also conducted a survey to identify the methodological components in registered research studies which are described as 'pilot' or 'feasibility' studies. We extended this survey to grant-awarding bodies and editors of medical journals to discover their policies regarding the function and reporting of pilot studies. Methods. Papers from 2007-08 in seven medical journals were screened to retrieve published pilot studies. Reports of registered and completed studies on the UK Clinical Research Network (UKCRN) Portfolio database were retrieved and scrutinized. Guidance on the conduct and reporting of pilot studies was retrieved from the websites of three grant giving bodies and seven journal editors were canvassed. Results. 54 pilot or feasibility studies published in 2007-8 were found, of which 26 (48%) were pilot studies of interventions and the remainder feasibility studies. The majority incorporated hypothesis-testing (81%), a control arm (69%) and a randomization procedure (62%). Most (81%) pointed towards the need for further research. Only 8 out of 90 pilot studies identified by the earlier review led to subsequent main studies. Twelve studies which were interventional pilot/feasibility studies and which included testing of some component of the research process were identified through the UKCRN Portfolio database. There was no clear distinction in use of the terms 'pilot' and 'feasibility'. Five journal editors replied to our entreaty. In general they were loathe to publish studies described as 'pilot'. Conclusion. Pilot studies are still poorly reported, with inappropriate emphasis on hypothesis-testing. Authors should be aware of the different requirements of pilot studies, feasibility studies and main studies and report them appropriately. Authors should be explicit as to the purpose of a pilot study. The definitions of feasibility and pilot studies vary and we make proposals here to clarify terminology. © 2010 Arain et al; licensee BioMed Central Ltd.","author":[{"dropping-particle":"","family":"Arain","given":"Mubashir","non-dropping-particle":"","parse-names":false,"suffix":""},{"dropping-particle":"","family":"Campbell","given":"Michael J.","non-dropping-particle":"","parse-names":false,"suffix":""},{"dropping-particle":"","family":"Cooper","given":"Cindy L.","non-dropping-particle":"","parse-names":false,"suffix":""},{"dropping-particle":"","family":"Lancaster","given":"Gillian A.","non-dropping-particle":"","parse-names":false,"suffix":""}],"container-title":"BMC Medical Research Methodology","id":"ITEM-2","issued":{"date-parts":[["2010"]]},"page":"1-7","title":"What is a pilot or feasibility study? A review of current practice and editorial policy","type":"article-journal","volume":"10"},"uris":["http://www.mendeley.com/documents/?uuid=7bca0351-76c1-448b-b895-4d80f9df8e91"]}],"mendeley":{"formattedCitation":"[51,52]","plainTextFormattedCitation":"[51,52]","previouslyFormattedCitation":"[50,51]"},"properties":{"noteIndex":0},"schema":"https://github.com/citation-style-language/schema/raw/master/csl-citation.json"}</w:instrText>
      </w:r>
      <w:r w:rsidRPr="006076FC">
        <w:rPr>
          <w:lang w:val="en-GB"/>
        </w:rPr>
        <w:fldChar w:fldCharType="separate"/>
      </w:r>
      <w:r w:rsidRPr="006076FC">
        <w:rPr>
          <w:noProof/>
          <w:lang w:val="en-GB"/>
        </w:rPr>
        <w:t>[51,52]</w:t>
      </w:r>
      <w:r w:rsidRPr="006076FC">
        <w:rPr>
          <w:lang w:val="en-GB"/>
        </w:rPr>
        <w:fldChar w:fldCharType="end"/>
      </w:r>
      <w:r w:rsidRPr="006076FC">
        <w:rPr>
          <w:lang w:val="en-GB"/>
        </w:rPr>
        <w:t xml:space="preserve">. Null hypothesis testing is not appropriate for pilot and feasibility studies and outcomes should be measured by descriptive statistics </w:t>
      </w:r>
      <w:r w:rsidRPr="006076FC">
        <w:rPr>
          <w:lang w:val="en-GB"/>
        </w:rPr>
        <w:fldChar w:fldCharType="begin" w:fldLock="1"/>
      </w:r>
      <w:r w:rsidRPr="006076FC">
        <w:rPr>
          <w:lang w:val="en-GB"/>
        </w:rPr>
        <w:instrText>ADDIN CSL_CITATION {"citationItems":[{"id":"ITEM-1","itemData":{"DOI":"10.5014/ajot.2013.006270","abstract":"Many factors can affect the successful implementation and validity of intervention studies. A primary purpose of feasibility and pilot studies is to assess the potential for successful implementation of the proposed main intervention studies and to reduce threats to the validity of these studies. This article describes a typology to guide the aims of feasibility and pilot studies designed to support the development of randomized controlled trials and provides an example of the studies underlying the development of one rehabilitation trial. The purpose of most feasibility and pilot studies should be to describe information and evidence related to the successful implementation and validity of a planned main trial. Null hypothesis significance testing is not appropriate for these studies unless the sample size is properly powered. The primary tests of the intervention effectiveness hypotheses should occur in the main study, not in the studies that are serving as feasibility or pilot studies. Tickle-Degnen, L. (2013). Nuts and bolts of conducting feasibility studies. American Journal of Occupational Therapy, 67, 171-176. http://dx.","author":[{"dropping-particle":"","family":"Tickle-Degnen","given":"Linda","non-dropping-particle":"","parse-names":false,"suffix":""}],"container-title":"The Americal Journal of Occupational Therapy","id":"ITEM-1","issued":{"date-parts":[["2013"]]},"page":"171-176","title":"Nuts and bolts of conducting feasibility studies","type":"article-journal","volume":"67"},"uris":["http://www.mendeley.com/documents/?uuid=81777c63-6f33-4024-9318-be6a3148ef6f"]}],"mendeley":{"formattedCitation":"[53]","plainTextFormattedCitation":"[53]","previouslyFormattedCitation":"[52]"},"properties":{"noteIndex":0},"schema":"https://github.com/citation-style-language/schema/raw/master/csl-citation.json"}</w:instrText>
      </w:r>
      <w:r w:rsidRPr="006076FC">
        <w:rPr>
          <w:lang w:val="en-GB"/>
        </w:rPr>
        <w:fldChar w:fldCharType="separate"/>
      </w:r>
      <w:r w:rsidRPr="006076FC">
        <w:rPr>
          <w:noProof/>
          <w:lang w:val="en-GB"/>
        </w:rPr>
        <w:t>[53]</w:t>
      </w:r>
      <w:r w:rsidRPr="006076FC">
        <w:rPr>
          <w:lang w:val="en-GB"/>
        </w:rPr>
        <w:fldChar w:fldCharType="end"/>
      </w:r>
      <w:r w:rsidR="00522CD8">
        <w:rPr>
          <w:lang w:val="en-GB"/>
        </w:rPr>
        <w:t>.</w:t>
      </w:r>
      <w:r w:rsidRPr="006076FC">
        <w:rPr>
          <w:lang w:val="en-GB"/>
        </w:rPr>
        <w:t xml:space="preserve"> </w:t>
      </w:r>
      <w:r w:rsidR="00522CD8">
        <w:rPr>
          <w:lang w:val="en-GB"/>
        </w:rPr>
        <w:t>H</w:t>
      </w:r>
      <w:r w:rsidRPr="006076FC">
        <w:rPr>
          <w:lang w:val="en-GB"/>
        </w:rPr>
        <w:t>owever</w:t>
      </w:r>
      <w:r w:rsidR="00522CD8">
        <w:rPr>
          <w:lang w:val="en-GB"/>
        </w:rPr>
        <w:t>,</w:t>
      </w:r>
      <w:r w:rsidRPr="006076FC">
        <w:rPr>
          <w:lang w:val="en-GB"/>
        </w:rPr>
        <w:t xml:space="preserve"> for exploratory purposes, preliminary trends in the data were explored by calculating effect sizes (Cohen’s </w:t>
      </w:r>
      <w:r w:rsidRPr="006076FC">
        <w:rPr>
          <w:i/>
          <w:iCs/>
          <w:lang w:val="en-GB"/>
        </w:rPr>
        <w:t>d</w:t>
      </w:r>
      <w:r w:rsidRPr="006076FC">
        <w:rPr>
          <w:lang w:val="en-GB"/>
        </w:rPr>
        <w:t xml:space="preserve">) of the between-group differences, achieved by dividing the difference in group means by the standard deviation of the pooled data. These were interpreted as: </w:t>
      </w:r>
      <w:r w:rsidRPr="006076FC">
        <w:rPr>
          <w:i/>
          <w:iCs/>
          <w:lang w:val="en-GB"/>
        </w:rPr>
        <w:t>d</w:t>
      </w:r>
      <w:r w:rsidR="001C5864" w:rsidRPr="006076FC">
        <w:rPr>
          <w:i/>
          <w:iCs/>
          <w:lang w:val="en-GB"/>
        </w:rPr>
        <w:t xml:space="preserve"> </w:t>
      </w:r>
      <w:r w:rsidRPr="006076FC">
        <w:rPr>
          <w:lang w:val="en-GB"/>
        </w:rPr>
        <w:t>=</w:t>
      </w:r>
      <w:r w:rsidR="001C5864" w:rsidRPr="006076FC">
        <w:rPr>
          <w:lang w:val="en-GB"/>
        </w:rPr>
        <w:t xml:space="preserve"> </w:t>
      </w:r>
      <w:r w:rsidRPr="006076FC">
        <w:rPr>
          <w:lang w:val="en-GB"/>
        </w:rPr>
        <w:t xml:space="preserve">0.2 considered small, </w:t>
      </w:r>
      <w:r w:rsidRPr="006076FC">
        <w:rPr>
          <w:i/>
          <w:iCs/>
          <w:lang w:val="en-GB"/>
        </w:rPr>
        <w:t>d</w:t>
      </w:r>
      <w:r w:rsidR="001C5864" w:rsidRPr="006076FC">
        <w:rPr>
          <w:i/>
          <w:iCs/>
          <w:lang w:val="en-GB"/>
        </w:rPr>
        <w:t xml:space="preserve"> </w:t>
      </w:r>
      <w:r w:rsidRPr="006076FC">
        <w:rPr>
          <w:lang w:val="en-GB"/>
        </w:rPr>
        <w:t>=</w:t>
      </w:r>
      <w:r w:rsidR="001C5864" w:rsidRPr="006076FC">
        <w:rPr>
          <w:lang w:val="en-GB"/>
        </w:rPr>
        <w:t xml:space="preserve"> </w:t>
      </w:r>
      <w:r w:rsidRPr="006076FC">
        <w:rPr>
          <w:lang w:val="en-GB"/>
        </w:rPr>
        <w:t xml:space="preserve">0.5 considered medium, and </w:t>
      </w:r>
      <w:r w:rsidRPr="006076FC">
        <w:rPr>
          <w:i/>
          <w:iCs/>
          <w:lang w:val="en-GB"/>
        </w:rPr>
        <w:t>d</w:t>
      </w:r>
      <w:r w:rsidR="001C5864" w:rsidRPr="006076FC">
        <w:rPr>
          <w:i/>
          <w:iCs/>
          <w:lang w:val="en-GB"/>
        </w:rPr>
        <w:t xml:space="preserve"> </w:t>
      </w:r>
      <w:r w:rsidRPr="006076FC">
        <w:rPr>
          <w:lang w:val="en-GB"/>
        </w:rPr>
        <w:t>=</w:t>
      </w:r>
      <w:r w:rsidR="001C5864" w:rsidRPr="006076FC">
        <w:rPr>
          <w:lang w:val="en-GB"/>
        </w:rPr>
        <w:t xml:space="preserve"> </w:t>
      </w:r>
      <w:r w:rsidRPr="006076FC">
        <w:rPr>
          <w:lang w:val="en-GB"/>
        </w:rPr>
        <w:t xml:space="preserve">0.8 considered large </w:t>
      </w:r>
      <w:r w:rsidRPr="006076FC">
        <w:rPr>
          <w:lang w:val="en-GB"/>
        </w:rPr>
        <w:fldChar w:fldCharType="begin" w:fldLock="1"/>
      </w:r>
      <w:r w:rsidRPr="006076FC">
        <w:rPr>
          <w:lang w:val="en-GB"/>
        </w:rPr>
        <w:instrText>ADDIN CSL_CITATION {"citationItems":[{"id":"ITEM-1","itemData":{"ISBN":"0805802835","author":[{"dropping-particle":"","family":"Cohen","given":"J","non-dropping-particle":"","parse-names":false,"suffix":""}],"edition":"2nd","id":"ITEM-1","issued":{"date-parts":[["1988"]]},"publisher":"Hillsdale, NJ: Lawrence Erlbaum Associate","title":"Statistical power analysis for the behavioral sciences","type":"book"},"uris":["http://www.mendeley.com/documents/?uuid=a67196ec-13c7-4bb7-9b1d-049bfc7bfd31"]}],"mendeley":{"formattedCitation":"[54]","plainTextFormattedCitation":"[54]","previouslyFormattedCitation":"[53]"},"properties":{"noteIndex":0},"schema":"https://github.com/citation-style-language/schema/raw/master/csl-citation.json"}</w:instrText>
      </w:r>
      <w:r w:rsidRPr="006076FC">
        <w:rPr>
          <w:lang w:val="en-GB"/>
        </w:rPr>
        <w:fldChar w:fldCharType="separate"/>
      </w:r>
      <w:r w:rsidRPr="006076FC">
        <w:rPr>
          <w:noProof/>
          <w:lang w:val="en-GB"/>
        </w:rPr>
        <w:t>[54]</w:t>
      </w:r>
      <w:r w:rsidRPr="006076FC">
        <w:rPr>
          <w:lang w:val="en-GB"/>
        </w:rPr>
        <w:fldChar w:fldCharType="end"/>
      </w:r>
      <w:r w:rsidRPr="006076FC">
        <w:rPr>
          <w:lang w:val="en-GB"/>
        </w:rPr>
        <w:t>.</w:t>
      </w:r>
    </w:p>
    <w:p w14:paraId="7A0EDEC3" w14:textId="79D413F8" w:rsidR="00563CFC" w:rsidRPr="006076FC" w:rsidRDefault="008B2AB1" w:rsidP="008B2AB1">
      <w:pPr>
        <w:pStyle w:val="MDPI21heading1"/>
        <w:rPr>
          <w:lang w:val="en-GB"/>
        </w:rPr>
      </w:pPr>
      <w:r w:rsidRPr="006076FC">
        <w:rPr>
          <w:lang w:val="en-GB"/>
        </w:rPr>
        <w:lastRenderedPageBreak/>
        <w:t xml:space="preserve">3. </w:t>
      </w:r>
      <w:r w:rsidR="00563CFC" w:rsidRPr="006076FC">
        <w:rPr>
          <w:lang w:val="en-GB"/>
        </w:rPr>
        <w:t>Results</w:t>
      </w:r>
    </w:p>
    <w:p w14:paraId="2784C69E" w14:textId="534EABCA" w:rsidR="00563CFC" w:rsidRPr="006076FC" w:rsidRDefault="008B2AB1" w:rsidP="008B2AB1">
      <w:pPr>
        <w:pStyle w:val="MDPI22heading2"/>
        <w:rPr>
          <w:color w:val="auto"/>
          <w:lang w:val="en-GB" w:eastAsia="en-US"/>
        </w:rPr>
      </w:pPr>
      <w:r w:rsidRPr="006076FC">
        <w:rPr>
          <w:lang w:val="en-GB"/>
        </w:rPr>
        <w:t xml:space="preserve">3.1. </w:t>
      </w:r>
      <w:r w:rsidR="00563CFC" w:rsidRPr="006076FC">
        <w:rPr>
          <w:lang w:val="en-GB"/>
        </w:rPr>
        <w:t>Feasibility</w:t>
      </w:r>
    </w:p>
    <w:p w14:paraId="2BC464E8" w14:textId="37F789A9" w:rsidR="00563CFC" w:rsidRPr="006076FC" w:rsidRDefault="00563CFC" w:rsidP="008B2AB1">
      <w:pPr>
        <w:pStyle w:val="MDPI31text"/>
        <w:rPr>
          <w:lang w:val="en-GB"/>
        </w:rPr>
      </w:pPr>
      <w:r w:rsidRPr="006076FC">
        <w:rPr>
          <w:lang w:val="en-GB"/>
        </w:rPr>
        <w:t xml:space="preserve">Of the 44 participants who expressed interest, 11 declined to take part due to a lack of time to participate or failure to reply to follow-up emails. From the remaining 33 participants, 15 were not eligible, meaning 18 participants were enrolled onto </w:t>
      </w:r>
      <w:r w:rsidR="00B42F49">
        <w:rPr>
          <w:lang w:val="en-GB"/>
        </w:rPr>
        <w:t>this</w:t>
      </w:r>
      <w:r w:rsidR="00B42F49" w:rsidRPr="006076FC">
        <w:rPr>
          <w:lang w:val="en-GB"/>
        </w:rPr>
        <w:t xml:space="preserve"> </w:t>
      </w:r>
      <w:r w:rsidRPr="006076FC">
        <w:rPr>
          <w:lang w:val="en-GB"/>
        </w:rPr>
        <w:t xml:space="preserve">study (eligibility rate = 55%; recruitment rate = 41%). From the originally recruited sample size of 18, 14 participants completed </w:t>
      </w:r>
      <w:r w:rsidR="00B42F49">
        <w:rPr>
          <w:lang w:val="en-GB"/>
        </w:rPr>
        <w:t>this</w:t>
      </w:r>
      <w:r w:rsidR="00B42F49" w:rsidRPr="006076FC">
        <w:rPr>
          <w:lang w:val="en-GB"/>
        </w:rPr>
        <w:t xml:space="preserve"> </w:t>
      </w:r>
      <w:r w:rsidRPr="006076FC">
        <w:rPr>
          <w:lang w:val="en-GB"/>
        </w:rPr>
        <w:t xml:space="preserve">study (retention rate = 78%). Two participants withdrew after initial allocation to the control </w:t>
      </w:r>
      <w:r w:rsidR="007B1931">
        <w:rPr>
          <w:lang w:val="en-GB"/>
        </w:rPr>
        <w:t>trial</w:t>
      </w:r>
      <w:r w:rsidRPr="006076FC">
        <w:rPr>
          <w:lang w:val="en-GB"/>
        </w:rPr>
        <w:t xml:space="preserve">, one due to a change of job and one due to lack of time. Two participants withdrew during the washout period, one due to pregnancy and one due to lack of time (Figure 3). Full descriptive characteristics are shown in Table 1. The 14 participants that completed </w:t>
      </w:r>
      <w:r w:rsidR="00B42F49">
        <w:rPr>
          <w:lang w:val="en-GB"/>
        </w:rPr>
        <w:t>this</w:t>
      </w:r>
      <w:r w:rsidR="00B42F49" w:rsidRPr="006076FC">
        <w:rPr>
          <w:lang w:val="en-GB"/>
        </w:rPr>
        <w:t xml:space="preserve"> </w:t>
      </w:r>
      <w:r w:rsidRPr="006076FC">
        <w:rPr>
          <w:lang w:val="en-GB"/>
        </w:rPr>
        <w:t>study provided 100% of data for sitting, standing and stepping time, vascular function, mood and work productivity. For cerebrovascular function data, signal acquisition was not possible for one participant, meaning 13 (93%) participants provided data for these outcomes. Seven participants completed the semi-structured interviews (50%).</w:t>
      </w:r>
    </w:p>
    <w:p w14:paraId="285FD307" w14:textId="77777777" w:rsidR="00563CFC" w:rsidRPr="006076FC" w:rsidRDefault="00563CFC" w:rsidP="000D0FB1">
      <w:pPr>
        <w:pStyle w:val="MDPI52figure"/>
        <w:adjustRightInd w:val="0"/>
        <w:snapToGrid w:val="0"/>
        <w:spacing w:before="240"/>
        <w:rPr>
          <w:lang w:val="en-GB"/>
        </w:rPr>
      </w:pPr>
      <w:r w:rsidRPr="006076FC">
        <w:rPr>
          <w:noProof/>
          <w:snapToGrid/>
          <w:lang w:val="en-GB" w:eastAsia="zh-CN" w:bidi="ar-SA"/>
        </w:rPr>
        <w:drawing>
          <wp:inline distT="0" distB="0" distL="0" distR="0" wp14:anchorId="5F734451" wp14:editId="6410C126">
            <wp:extent cx="4314190" cy="4709160"/>
            <wp:effectExtent l="0" t="0" r="0" b="0"/>
            <wp:docPr id="11" name="Picture 2" descr="Figure 3- r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3- revis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14190" cy="4709160"/>
                    </a:xfrm>
                    <a:prstGeom prst="rect">
                      <a:avLst/>
                    </a:prstGeom>
                    <a:noFill/>
                    <a:ln>
                      <a:noFill/>
                    </a:ln>
                  </pic:spPr>
                </pic:pic>
              </a:graphicData>
            </a:graphic>
          </wp:inline>
        </w:drawing>
      </w:r>
    </w:p>
    <w:p w14:paraId="7F2F769A" w14:textId="626BEB81" w:rsidR="00563CFC" w:rsidRPr="006076FC" w:rsidRDefault="008B2AB1" w:rsidP="008B2AB1">
      <w:pPr>
        <w:pStyle w:val="MDPI51figurecaption"/>
        <w:jc w:val="center"/>
        <w:rPr>
          <w:lang w:val="en-GB"/>
        </w:rPr>
      </w:pPr>
      <w:r w:rsidRPr="006076FC">
        <w:rPr>
          <w:b/>
          <w:lang w:val="en-GB"/>
        </w:rPr>
        <w:t xml:space="preserve">Figure 3. </w:t>
      </w:r>
      <w:r w:rsidR="00563CFC" w:rsidRPr="006076FC">
        <w:rPr>
          <w:lang w:val="en-GB"/>
        </w:rPr>
        <w:t>Consort flow diagram of enrolment, allocation and assessment.</w:t>
      </w:r>
    </w:p>
    <w:p w14:paraId="35716607" w14:textId="5A63F115" w:rsidR="000D0FB1" w:rsidRPr="006076FC" w:rsidRDefault="000D0FB1">
      <w:pPr>
        <w:spacing w:line="240" w:lineRule="auto"/>
        <w:jc w:val="left"/>
        <w:rPr>
          <w:rFonts w:ascii="Palatino Linotype" w:hAnsi="Palatino Linotype"/>
          <w:b/>
          <w:sz w:val="18"/>
          <w:lang w:val="en-GB" w:bidi="en-US"/>
        </w:rPr>
      </w:pPr>
      <w:r w:rsidRPr="006076FC">
        <w:rPr>
          <w:b/>
          <w:lang w:val="en-GB"/>
        </w:rPr>
        <w:br w:type="page"/>
      </w:r>
    </w:p>
    <w:p w14:paraId="400C2A35" w14:textId="0091B5E2" w:rsidR="00563CFC" w:rsidRPr="006076FC" w:rsidRDefault="008B2AB1" w:rsidP="008B2AB1">
      <w:pPr>
        <w:pStyle w:val="MDPI41tablecaption"/>
        <w:jc w:val="center"/>
        <w:rPr>
          <w:lang w:val="en-GB"/>
        </w:rPr>
      </w:pPr>
      <w:r w:rsidRPr="006076FC">
        <w:rPr>
          <w:b/>
          <w:lang w:val="en-GB"/>
        </w:rPr>
        <w:lastRenderedPageBreak/>
        <w:t xml:space="preserve">Table 1. </w:t>
      </w:r>
      <w:r w:rsidR="00563CFC" w:rsidRPr="006076FC">
        <w:rPr>
          <w:lang w:val="en-GB"/>
        </w:rPr>
        <w:t>Participant descriptive characteristics (</w:t>
      </w:r>
      <w:r w:rsidR="001C5864" w:rsidRPr="006076FC">
        <w:rPr>
          <w:lang w:val="en-GB"/>
        </w:rPr>
        <w:t xml:space="preserve">n = </w:t>
      </w:r>
      <w:r w:rsidR="00563CFC" w:rsidRPr="006076FC">
        <w:rPr>
          <w:lang w:val="en-GB"/>
        </w:rPr>
        <w:t>14, 6 male).</w:t>
      </w:r>
    </w:p>
    <w:tbl>
      <w:tblPr>
        <w:tblW w:w="6198" w:type="dxa"/>
        <w:jc w:val="center"/>
        <w:tblLook w:val="04A0" w:firstRow="1" w:lastRow="0" w:firstColumn="1" w:lastColumn="0" w:noHBand="0" w:noVBand="1"/>
      </w:tblPr>
      <w:tblGrid>
        <w:gridCol w:w="3056"/>
        <w:gridCol w:w="3142"/>
      </w:tblGrid>
      <w:tr w:rsidR="00563CFC" w:rsidRPr="006076FC" w14:paraId="0FFAFD95" w14:textId="77777777" w:rsidTr="008B2AB1">
        <w:trPr>
          <w:jc w:val="center"/>
        </w:trPr>
        <w:tc>
          <w:tcPr>
            <w:tcW w:w="0" w:type="auto"/>
            <w:tcBorders>
              <w:top w:val="single" w:sz="8" w:space="0" w:color="auto"/>
              <w:left w:val="nil"/>
              <w:bottom w:val="single" w:sz="4" w:space="0" w:color="auto"/>
              <w:right w:val="nil"/>
            </w:tcBorders>
            <w:shd w:val="clear" w:color="auto" w:fill="auto"/>
            <w:vAlign w:val="center"/>
          </w:tcPr>
          <w:p w14:paraId="2DBC109E" w14:textId="77777777" w:rsidR="00563CFC" w:rsidRPr="006076FC" w:rsidRDefault="00563CFC" w:rsidP="008B2AB1">
            <w:pPr>
              <w:pStyle w:val="MDPI42tablebody"/>
              <w:autoSpaceDE w:val="0"/>
              <w:autoSpaceDN w:val="0"/>
              <w:spacing w:line="240" w:lineRule="auto"/>
              <w:rPr>
                <w:b/>
                <w:lang w:val="en-GB" w:eastAsia="en-US"/>
              </w:rPr>
            </w:pPr>
          </w:p>
        </w:tc>
        <w:tc>
          <w:tcPr>
            <w:tcW w:w="0" w:type="auto"/>
            <w:tcBorders>
              <w:top w:val="single" w:sz="8" w:space="0" w:color="auto"/>
              <w:left w:val="nil"/>
              <w:bottom w:val="single" w:sz="4" w:space="0" w:color="auto"/>
              <w:right w:val="nil"/>
            </w:tcBorders>
            <w:shd w:val="clear" w:color="auto" w:fill="auto"/>
            <w:vAlign w:val="center"/>
            <w:hideMark/>
          </w:tcPr>
          <w:p w14:paraId="22D63D50" w14:textId="50175DCE" w:rsidR="00563CFC" w:rsidRPr="006076FC" w:rsidRDefault="00563CFC" w:rsidP="008B2AB1">
            <w:pPr>
              <w:pStyle w:val="MDPI42tablebody"/>
              <w:autoSpaceDE w:val="0"/>
              <w:autoSpaceDN w:val="0"/>
              <w:spacing w:line="240" w:lineRule="auto"/>
              <w:rPr>
                <w:b/>
                <w:bCs/>
                <w:lang w:val="en-GB"/>
              </w:rPr>
            </w:pPr>
            <w:r w:rsidRPr="006076FC">
              <w:rPr>
                <w:b/>
                <w:bCs/>
                <w:lang w:val="en-GB"/>
              </w:rPr>
              <w:t>Mean</w:t>
            </w:r>
            <w:r w:rsidR="008B2AB1" w:rsidRPr="006076FC">
              <w:rPr>
                <w:b/>
                <w:bCs/>
                <w:lang w:val="en-GB"/>
              </w:rPr>
              <w:t xml:space="preserve"> </w:t>
            </w:r>
            <w:r w:rsidR="001C5864" w:rsidRPr="006076FC">
              <w:rPr>
                <w:b/>
                <w:bCs/>
                <w:lang w:val="en-GB"/>
              </w:rPr>
              <w:t xml:space="preserve">± </w:t>
            </w:r>
            <w:r w:rsidRPr="006076FC">
              <w:rPr>
                <w:b/>
                <w:bCs/>
                <w:lang w:val="en-GB"/>
              </w:rPr>
              <w:t xml:space="preserve">SD or </w:t>
            </w:r>
            <w:proofErr w:type="gramStart"/>
            <w:r w:rsidRPr="006076FC">
              <w:rPr>
                <w:b/>
                <w:bCs/>
                <w:lang w:val="en-GB"/>
              </w:rPr>
              <w:t>n(</w:t>
            </w:r>
            <w:proofErr w:type="gramEnd"/>
            <w:r w:rsidRPr="006076FC">
              <w:rPr>
                <w:b/>
                <w:bCs/>
                <w:lang w:val="en-GB"/>
              </w:rPr>
              <w:t xml:space="preserve">%) of </w:t>
            </w:r>
            <w:r w:rsidR="008B2AB1" w:rsidRPr="006076FC">
              <w:rPr>
                <w:b/>
                <w:bCs/>
                <w:lang w:val="en-GB"/>
              </w:rPr>
              <w:t>Group</w:t>
            </w:r>
          </w:p>
        </w:tc>
      </w:tr>
      <w:tr w:rsidR="00563CFC" w:rsidRPr="006076FC" w14:paraId="1727FCD4" w14:textId="77777777" w:rsidTr="008B2AB1">
        <w:trPr>
          <w:jc w:val="center"/>
        </w:trPr>
        <w:tc>
          <w:tcPr>
            <w:tcW w:w="0" w:type="auto"/>
            <w:tcBorders>
              <w:top w:val="single" w:sz="4" w:space="0" w:color="auto"/>
              <w:left w:val="nil"/>
              <w:bottom w:val="nil"/>
              <w:right w:val="nil"/>
            </w:tcBorders>
            <w:shd w:val="clear" w:color="auto" w:fill="auto"/>
            <w:vAlign w:val="center"/>
            <w:hideMark/>
          </w:tcPr>
          <w:p w14:paraId="2ADEF69A" w14:textId="77777777" w:rsidR="00563CFC" w:rsidRPr="006076FC" w:rsidRDefault="00563CFC" w:rsidP="008B2AB1">
            <w:pPr>
              <w:pStyle w:val="MDPI42tablebody"/>
              <w:autoSpaceDE w:val="0"/>
              <w:autoSpaceDN w:val="0"/>
              <w:spacing w:line="240" w:lineRule="auto"/>
              <w:rPr>
                <w:lang w:val="en-GB"/>
              </w:rPr>
            </w:pPr>
            <w:r w:rsidRPr="006076FC">
              <w:rPr>
                <w:lang w:val="en-GB"/>
              </w:rPr>
              <w:t xml:space="preserve">Age (years) </w:t>
            </w:r>
          </w:p>
        </w:tc>
        <w:tc>
          <w:tcPr>
            <w:tcW w:w="0" w:type="auto"/>
            <w:tcBorders>
              <w:top w:val="single" w:sz="4" w:space="0" w:color="auto"/>
              <w:left w:val="nil"/>
              <w:bottom w:val="nil"/>
              <w:right w:val="nil"/>
            </w:tcBorders>
            <w:shd w:val="clear" w:color="auto" w:fill="auto"/>
            <w:vAlign w:val="center"/>
            <w:hideMark/>
          </w:tcPr>
          <w:p w14:paraId="46A731A2" w14:textId="1F794340" w:rsidR="00563CFC" w:rsidRPr="006076FC" w:rsidRDefault="00563CFC" w:rsidP="008B2AB1">
            <w:pPr>
              <w:pStyle w:val="MDPI42tablebody"/>
              <w:autoSpaceDE w:val="0"/>
              <w:autoSpaceDN w:val="0"/>
              <w:spacing w:line="240" w:lineRule="auto"/>
              <w:rPr>
                <w:lang w:val="en-GB"/>
              </w:rPr>
            </w:pPr>
            <w:r w:rsidRPr="006076FC">
              <w:rPr>
                <w:lang w:val="en-GB"/>
              </w:rPr>
              <w:t>42.5</w:t>
            </w:r>
            <w:r w:rsidR="001C5864" w:rsidRPr="006076FC">
              <w:rPr>
                <w:lang w:val="en-GB"/>
              </w:rPr>
              <w:t xml:space="preserve"> ± </w:t>
            </w:r>
            <w:r w:rsidRPr="006076FC">
              <w:rPr>
                <w:lang w:val="en-GB"/>
              </w:rPr>
              <w:t>10.0</w:t>
            </w:r>
          </w:p>
        </w:tc>
      </w:tr>
      <w:tr w:rsidR="00563CFC" w:rsidRPr="006076FC" w14:paraId="4AC17117" w14:textId="77777777" w:rsidTr="008B2AB1">
        <w:trPr>
          <w:jc w:val="center"/>
        </w:trPr>
        <w:tc>
          <w:tcPr>
            <w:tcW w:w="0" w:type="auto"/>
            <w:shd w:val="clear" w:color="auto" w:fill="auto"/>
            <w:vAlign w:val="center"/>
            <w:hideMark/>
          </w:tcPr>
          <w:p w14:paraId="741B16D9" w14:textId="77777777" w:rsidR="00563CFC" w:rsidRPr="006076FC" w:rsidRDefault="00563CFC" w:rsidP="008B2AB1">
            <w:pPr>
              <w:pStyle w:val="MDPI42tablebody"/>
              <w:autoSpaceDE w:val="0"/>
              <w:autoSpaceDN w:val="0"/>
              <w:spacing w:line="240" w:lineRule="auto"/>
              <w:rPr>
                <w:lang w:val="en-GB"/>
              </w:rPr>
            </w:pPr>
            <w:r w:rsidRPr="006076FC">
              <w:rPr>
                <w:lang w:val="en-GB"/>
              </w:rPr>
              <w:t>Body Mass (kg)</w:t>
            </w:r>
          </w:p>
        </w:tc>
        <w:tc>
          <w:tcPr>
            <w:tcW w:w="0" w:type="auto"/>
            <w:shd w:val="clear" w:color="auto" w:fill="auto"/>
            <w:vAlign w:val="center"/>
            <w:hideMark/>
          </w:tcPr>
          <w:p w14:paraId="4E4867C3" w14:textId="7CCD1883" w:rsidR="00563CFC" w:rsidRPr="006076FC" w:rsidRDefault="00563CFC" w:rsidP="008B2AB1">
            <w:pPr>
              <w:pStyle w:val="MDPI42tablebody"/>
              <w:autoSpaceDE w:val="0"/>
              <w:autoSpaceDN w:val="0"/>
              <w:spacing w:line="240" w:lineRule="auto"/>
              <w:rPr>
                <w:lang w:val="en-GB"/>
              </w:rPr>
            </w:pPr>
            <w:r w:rsidRPr="006076FC">
              <w:rPr>
                <w:lang w:val="en-GB"/>
              </w:rPr>
              <w:t>76.8</w:t>
            </w:r>
            <w:r w:rsidR="001C5864" w:rsidRPr="006076FC">
              <w:rPr>
                <w:lang w:val="en-GB"/>
              </w:rPr>
              <w:t xml:space="preserve"> ± </w:t>
            </w:r>
            <w:r w:rsidRPr="006076FC">
              <w:rPr>
                <w:lang w:val="en-GB"/>
              </w:rPr>
              <w:t>19.5</w:t>
            </w:r>
          </w:p>
        </w:tc>
      </w:tr>
      <w:tr w:rsidR="00563CFC" w:rsidRPr="006076FC" w14:paraId="0A79FE03" w14:textId="77777777" w:rsidTr="008B2AB1">
        <w:trPr>
          <w:jc w:val="center"/>
        </w:trPr>
        <w:tc>
          <w:tcPr>
            <w:tcW w:w="0" w:type="auto"/>
            <w:shd w:val="clear" w:color="auto" w:fill="auto"/>
            <w:vAlign w:val="center"/>
            <w:hideMark/>
          </w:tcPr>
          <w:p w14:paraId="7A1C639B" w14:textId="77777777" w:rsidR="00563CFC" w:rsidRPr="006076FC" w:rsidRDefault="00563CFC" w:rsidP="008B2AB1">
            <w:pPr>
              <w:pStyle w:val="MDPI42tablebody"/>
              <w:autoSpaceDE w:val="0"/>
              <w:autoSpaceDN w:val="0"/>
              <w:spacing w:line="240" w:lineRule="auto"/>
              <w:rPr>
                <w:lang w:val="en-GB"/>
              </w:rPr>
            </w:pPr>
            <w:r w:rsidRPr="006076FC">
              <w:rPr>
                <w:lang w:val="en-GB"/>
              </w:rPr>
              <w:t>Stature (cm)</w:t>
            </w:r>
          </w:p>
        </w:tc>
        <w:tc>
          <w:tcPr>
            <w:tcW w:w="0" w:type="auto"/>
            <w:shd w:val="clear" w:color="auto" w:fill="auto"/>
            <w:vAlign w:val="center"/>
            <w:hideMark/>
          </w:tcPr>
          <w:p w14:paraId="2E2632DC" w14:textId="1D555660" w:rsidR="00563CFC" w:rsidRPr="006076FC" w:rsidRDefault="00563CFC" w:rsidP="008B2AB1">
            <w:pPr>
              <w:pStyle w:val="MDPI42tablebody"/>
              <w:autoSpaceDE w:val="0"/>
              <w:autoSpaceDN w:val="0"/>
              <w:spacing w:line="240" w:lineRule="auto"/>
              <w:rPr>
                <w:lang w:val="en-GB"/>
              </w:rPr>
            </w:pPr>
            <w:r w:rsidRPr="006076FC">
              <w:rPr>
                <w:lang w:val="en-GB"/>
              </w:rPr>
              <w:t>169.9</w:t>
            </w:r>
            <w:r w:rsidR="001C5864" w:rsidRPr="006076FC">
              <w:rPr>
                <w:lang w:val="en-GB"/>
              </w:rPr>
              <w:t xml:space="preserve"> ± </w:t>
            </w:r>
            <w:r w:rsidRPr="006076FC">
              <w:rPr>
                <w:lang w:val="en-GB"/>
              </w:rPr>
              <w:t>9.5</w:t>
            </w:r>
          </w:p>
        </w:tc>
      </w:tr>
      <w:tr w:rsidR="00563CFC" w:rsidRPr="006076FC" w14:paraId="5FE9E47D" w14:textId="77777777" w:rsidTr="008B2AB1">
        <w:trPr>
          <w:jc w:val="center"/>
        </w:trPr>
        <w:tc>
          <w:tcPr>
            <w:tcW w:w="0" w:type="auto"/>
            <w:shd w:val="clear" w:color="auto" w:fill="auto"/>
            <w:vAlign w:val="center"/>
            <w:hideMark/>
          </w:tcPr>
          <w:p w14:paraId="051275A3" w14:textId="7B3468B5" w:rsidR="00563CFC" w:rsidRPr="006076FC" w:rsidRDefault="00563CFC" w:rsidP="001C5864">
            <w:pPr>
              <w:pStyle w:val="MDPI42tablebody"/>
              <w:autoSpaceDE w:val="0"/>
              <w:autoSpaceDN w:val="0"/>
              <w:spacing w:line="240" w:lineRule="auto"/>
              <w:rPr>
                <w:lang w:val="en-GB"/>
              </w:rPr>
            </w:pPr>
            <w:r w:rsidRPr="006076FC">
              <w:rPr>
                <w:lang w:val="en-GB"/>
              </w:rPr>
              <w:t>Body Mass Index (kg∙m</w:t>
            </w:r>
            <w:r w:rsidR="001C5864" w:rsidRPr="006076FC">
              <w:rPr>
                <w:vertAlign w:val="superscript"/>
                <w:lang w:val="en-GB"/>
              </w:rPr>
              <w:t>−</w:t>
            </w:r>
            <w:r w:rsidRPr="006076FC">
              <w:rPr>
                <w:vertAlign w:val="superscript"/>
                <w:lang w:val="en-GB"/>
              </w:rPr>
              <w:t>2</w:t>
            </w:r>
            <w:r w:rsidRPr="006076FC">
              <w:rPr>
                <w:lang w:val="en-GB"/>
              </w:rPr>
              <w:t>)</w:t>
            </w:r>
          </w:p>
        </w:tc>
        <w:tc>
          <w:tcPr>
            <w:tcW w:w="0" w:type="auto"/>
            <w:shd w:val="clear" w:color="auto" w:fill="auto"/>
            <w:vAlign w:val="center"/>
            <w:hideMark/>
          </w:tcPr>
          <w:p w14:paraId="303798B3" w14:textId="2DF59860" w:rsidR="00563CFC" w:rsidRPr="006076FC" w:rsidRDefault="00563CFC" w:rsidP="008B2AB1">
            <w:pPr>
              <w:pStyle w:val="MDPI42tablebody"/>
              <w:autoSpaceDE w:val="0"/>
              <w:autoSpaceDN w:val="0"/>
              <w:spacing w:line="240" w:lineRule="auto"/>
              <w:rPr>
                <w:lang w:val="en-GB"/>
              </w:rPr>
            </w:pPr>
            <w:r w:rsidRPr="006076FC">
              <w:rPr>
                <w:lang w:val="en-GB"/>
              </w:rPr>
              <w:t>26.3</w:t>
            </w:r>
            <w:r w:rsidR="001C5864" w:rsidRPr="006076FC">
              <w:rPr>
                <w:lang w:val="en-GB"/>
              </w:rPr>
              <w:t xml:space="preserve"> ± </w:t>
            </w:r>
            <w:r w:rsidRPr="006076FC">
              <w:rPr>
                <w:lang w:val="en-GB"/>
              </w:rPr>
              <w:t>4.4</w:t>
            </w:r>
          </w:p>
        </w:tc>
      </w:tr>
      <w:tr w:rsidR="00563CFC" w:rsidRPr="006076FC" w14:paraId="6B0892EC" w14:textId="77777777" w:rsidTr="008B2AB1">
        <w:trPr>
          <w:jc w:val="center"/>
        </w:trPr>
        <w:tc>
          <w:tcPr>
            <w:tcW w:w="0" w:type="auto"/>
            <w:shd w:val="clear" w:color="auto" w:fill="auto"/>
            <w:vAlign w:val="center"/>
            <w:hideMark/>
          </w:tcPr>
          <w:p w14:paraId="2AEF8AF8" w14:textId="77777777" w:rsidR="00563CFC" w:rsidRPr="006076FC" w:rsidRDefault="00563CFC" w:rsidP="008B2AB1">
            <w:pPr>
              <w:pStyle w:val="MDPI42tablebody"/>
              <w:autoSpaceDE w:val="0"/>
              <w:autoSpaceDN w:val="0"/>
              <w:spacing w:line="240" w:lineRule="auto"/>
              <w:rPr>
                <w:lang w:val="en-GB"/>
              </w:rPr>
            </w:pPr>
            <w:r w:rsidRPr="006076FC">
              <w:rPr>
                <w:lang w:val="en-GB"/>
              </w:rPr>
              <w:t>White British</w:t>
            </w:r>
          </w:p>
        </w:tc>
        <w:tc>
          <w:tcPr>
            <w:tcW w:w="0" w:type="auto"/>
            <w:shd w:val="clear" w:color="auto" w:fill="auto"/>
            <w:vAlign w:val="center"/>
            <w:hideMark/>
          </w:tcPr>
          <w:p w14:paraId="42B313BA"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14 (100)</w:t>
            </w:r>
          </w:p>
        </w:tc>
      </w:tr>
      <w:tr w:rsidR="00563CFC" w:rsidRPr="006076FC" w14:paraId="7B92C0E4" w14:textId="77777777" w:rsidTr="008B2AB1">
        <w:trPr>
          <w:jc w:val="center"/>
        </w:trPr>
        <w:tc>
          <w:tcPr>
            <w:tcW w:w="0" w:type="auto"/>
            <w:shd w:val="clear" w:color="auto" w:fill="auto"/>
            <w:vAlign w:val="center"/>
            <w:hideMark/>
          </w:tcPr>
          <w:p w14:paraId="42F94518" w14:textId="77777777" w:rsidR="00563CFC" w:rsidRPr="006076FC" w:rsidRDefault="00563CFC" w:rsidP="008B2AB1">
            <w:pPr>
              <w:pStyle w:val="MDPI42tablebody"/>
              <w:autoSpaceDE w:val="0"/>
              <w:autoSpaceDN w:val="0"/>
              <w:spacing w:line="240" w:lineRule="auto"/>
              <w:rPr>
                <w:lang w:val="en-GB"/>
              </w:rPr>
            </w:pPr>
            <w:r w:rsidRPr="006076FC">
              <w:rPr>
                <w:lang w:val="en-GB"/>
              </w:rPr>
              <w:t>Married</w:t>
            </w:r>
          </w:p>
        </w:tc>
        <w:tc>
          <w:tcPr>
            <w:tcW w:w="0" w:type="auto"/>
            <w:shd w:val="clear" w:color="auto" w:fill="auto"/>
            <w:vAlign w:val="center"/>
            <w:hideMark/>
          </w:tcPr>
          <w:p w14:paraId="6FDC9025"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10 (71)</w:t>
            </w:r>
          </w:p>
        </w:tc>
      </w:tr>
      <w:tr w:rsidR="00563CFC" w:rsidRPr="006076FC" w14:paraId="03C74917" w14:textId="77777777" w:rsidTr="008B2AB1">
        <w:trPr>
          <w:jc w:val="center"/>
        </w:trPr>
        <w:tc>
          <w:tcPr>
            <w:tcW w:w="0" w:type="auto"/>
            <w:shd w:val="clear" w:color="auto" w:fill="auto"/>
            <w:vAlign w:val="center"/>
            <w:hideMark/>
          </w:tcPr>
          <w:p w14:paraId="47FEE8EF" w14:textId="77777777" w:rsidR="00563CFC" w:rsidRPr="006076FC" w:rsidRDefault="00563CFC" w:rsidP="008B2AB1">
            <w:pPr>
              <w:pStyle w:val="MDPI42tablebody"/>
              <w:autoSpaceDE w:val="0"/>
              <w:autoSpaceDN w:val="0"/>
              <w:spacing w:line="240" w:lineRule="auto"/>
              <w:rPr>
                <w:b/>
                <w:bCs/>
                <w:lang w:val="en-GB"/>
              </w:rPr>
            </w:pPr>
            <w:r w:rsidRPr="006076FC">
              <w:rPr>
                <w:b/>
                <w:bCs/>
                <w:lang w:val="en-GB"/>
              </w:rPr>
              <w:t xml:space="preserve">Job Category </w:t>
            </w:r>
          </w:p>
        </w:tc>
        <w:tc>
          <w:tcPr>
            <w:tcW w:w="0" w:type="auto"/>
            <w:shd w:val="clear" w:color="auto" w:fill="auto"/>
            <w:vAlign w:val="center"/>
          </w:tcPr>
          <w:p w14:paraId="193AE747" w14:textId="77777777" w:rsidR="00563CFC" w:rsidRPr="006076FC" w:rsidRDefault="00563CFC" w:rsidP="008B2AB1">
            <w:pPr>
              <w:pStyle w:val="MDPI42tablebody"/>
              <w:autoSpaceDE w:val="0"/>
              <w:autoSpaceDN w:val="0"/>
              <w:spacing w:line="240" w:lineRule="auto"/>
              <w:rPr>
                <w:rFonts w:eastAsia="Calibri"/>
                <w:color w:val="auto"/>
                <w:lang w:val="en-GB"/>
              </w:rPr>
            </w:pPr>
          </w:p>
        </w:tc>
      </w:tr>
      <w:tr w:rsidR="00563CFC" w:rsidRPr="006076FC" w14:paraId="1BD6F167" w14:textId="77777777" w:rsidTr="008B2AB1">
        <w:trPr>
          <w:jc w:val="center"/>
        </w:trPr>
        <w:tc>
          <w:tcPr>
            <w:tcW w:w="0" w:type="auto"/>
            <w:shd w:val="clear" w:color="auto" w:fill="auto"/>
            <w:vAlign w:val="center"/>
          </w:tcPr>
          <w:p w14:paraId="0F4BB6F9" w14:textId="77777777" w:rsidR="00563CFC" w:rsidRPr="006076FC" w:rsidRDefault="00563CFC" w:rsidP="008B2AB1">
            <w:pPr>
              <w:pStyle w:val="MDPI42tablebody"/>
              <w:autoSpaceDE w:val="0"/>
              <w:autoSpaceDN w:val="0"/>
              <w:spacing w:line="240" w:lineRule="auto"/>
              <w:rPr>
                <w:lang w:val="en-GB"/>
              </w:rPr>
            </w:pPr>
            <w:r w:rsidRPr="006076FC">
              <w:rPr>
                <w:lang w:val="en-GB"/>
              </w:rPr>
              <w:t>Clerical</w:t>
            </w:r>
          </w:p>
        </w:tc>
        <w:tc>
          <w:tcPr>
            <w:tcW w:w="0" w:type="auto"/>
            <w:shd w:val="clear" w:color="auto" w:fill="auto"/>
            <w:vAlign w:val="center"/>
          </w:tcPr>
          <w:p w14:paraId="66B72A19"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3 (21)</w:t>
            </w:r>
          </w:p>
        </w:tc>
      </w:tr>
      <w:tr w:rsidR="00563CFC" w:rsidRPr="006076FC" w14:paraId="1A59DF0B" w14:textId="77777777" w:rsidTr="008B2AB1">
        <w:trPr>
          <w:jc w:val="center"/>
        </w:trPr>
        <w:tc>
          <w:tcPr>
            <w:tcW w:w="0" w:type="auto"/>
            <w:shd w:val="clear" w:color="auto" w:fill="auto"/>
            <w:vAlign w:val="center"/>
          </w:tcPr>
          <w:p w14:paraId="1FF7BA9C" w14:textId="77777777" w:rsidR="00563CFC" w:rsidRPr="006076FC" w:rsidRDefault="00563CFC" w:rsidP="008B2AB1">
            <w:pPr>
              <w:pStyle w:val="MDPI42tablebody"/>
              <w:autoSpaceDE w:val="0"/>
              <w:autoSpaceDN w:val="0"/>
              <w:spacing w:line="240" w:lineRule="auto"/>
              <w:rPr>
                <w:lang w:val="en-GB"/>
              </w:rPr>
            </w:pPr>
            <w:r w:rsidRPr="006076FC">
              <w:rPr>
                <w:lang w:val="en-GB"/>
              </w:rPr>
              <w:t>IT Services</w:t>
            </w:r>
          </w:p>
        </w:tc>
        <w:tc>
          <w:tcPr>
            <w:tcW w:w="0" w:type="auto"/>
            <w:shd w:val="clear" w:color="auto" w:fill="auto"/>
            <w:vAlign w:val="center"/>
          </w:tcPr>
          <w:p w14:paraId="7DBEC35E" w14:textId="77777777" w:rsidR="00563CFC" w:rsidRPr="006076FC" w:rsidRDefault="00563CFC" w:rsidP="008B2AB1">
            <w:pPr>
              <w:pStyle w:val="MDPI42tablebody"/>
              <w:autoSpaceDE w:val="0"/>
              <w:autoSpaceDN w:val="0"/>
              <w:spacing w:line="240" w:lineRule="auto"/>
              <w:rPr>
                <w:lang w:val="en-GB"/>
              </w:rPr>
            </w:pPr>
            <w:r w:rsidRPr="006076FC">
              <w:rPr>
                <w:lang w:val="en-GB"/>
              </w:rPr>
              <w:t>4 (29)</w:t>
            </w:r>
          </w:p>
        </w:tc>
      </w:tr>
      <w:tr w:rsidR="00563CFC" w:rsidRPr="006076FC" w14:paraId="7E9B57A0" w14:textId="77777777" w:rsidTr="008B2AB1">
        <w:trPr>
          <w:jc w:val="center"/>
        </w:trPr>
        <w:tc>
          <w:tcPr>
            <w:tcW w:w="0" w:type="auto"/>
            <w:shd w:val="clear" w:color="auto" w:fill="auto"/>
            <w:vAlign w:val="center"/>
          </w:tcPr>
          <w:p w14:paraId="04CE6013" w14:textId="77777777" w:rsidR="00563CFC" w:rsidRPr="006076FC" w:rsidRDefault="00563CFC" w:rsidP="008B2AB1">
            <w:pPr>
              <w:pStyle w:val="MDPI42tablebody"/>
              <w:autoSpaceDE w:val="0"/>
              <w:autoSpaceDN w:val="0"/>
              <w:spacing w:line="240" w:lineRule="auto"/>
              <w:rPr>
                <w:lang w:val="en-GB"/>
              </w:rPr>
            </w:pPr>
            <w:r w:rsidRPr="006076FC">
              <w:rPr>
                <w:lang w:val="en-GB"/>
              </w:rPr>
              <w:t>Research and Development</w:t>
            </w:r>
          </w:p>
        </w:tc>
        <w:tc>
          <w:tcPr>
            <w:tcW w:w="0" w:type="auto"/>
            <w:shd w:val="clear" w:color="auto" w:fill="auto"/>
            <w:vAlign w:val="center"/>
          </w:tcPr>
          <w:p w14:paraId="7C48596B" w14:textId="77777777" w:rsidR="00563CFC" w:rsidRPr="006076FC" w:rsidRDefault="00563CFC" w:rsidP="008B2AB1">
            <w:pPr>
              <w:pStyle w:val="MDPI42tablebody"/>
              <w:autoSpaceDE w:val="0"/>
              <w:autoSpaceDN w:val="0"/>
              <w:spacing w:line="240" w:lineRule="auto"/>
              <w:rPr>
                <w:lang w:val="en-GB"/>
              </w:rPr>
            </w:pPr>
            <w:r w:rsidRPr="006076FC">
              <w:rPr>
                <w:lang w:val="en-GB"/>
              </w:rPr>
              <w:t>2 (14)</w:t>
            </w:r>
          </w:p>
        </w:tc>
      </w:tr>
      <w:tr w:rsidR="00563CFC" w:rsidRPr="006076FC" w14:paraId="7104424B" w14:textId="77777777" w:rsidTr="008B2AB1">
        <w:trPr>
          <w:jc w:val="center"/>
        </w:trPr>
        <w:tc>
          <w:tcPr>
            <w:tcW w:w="0" w:type="auto"/>
            <w:shd w:val="clear" w:color="auto" w:fill="auto"/>
            <w:vAlign w:val="center"/>
          </w:tcPr>
          <w:p w14:paraId="287D9BC6" w14:textId="77777777" w:rsidR="00563CFC" w:rsidRPr="006076FC" w:rsidRDefault="00563CFC" w:rsidP="008B2AB1">
            <w:pPr>
              <w:pStyle w:val="MDPI42tablebody"/>
              <w:autoSpaceDE w:val="0"/>
              <w:autoSpaceDN w:val="0"/>
              <w:spacing w:line="240" w:lineRule="auto"/>
              <w:rPr>
                <w:lang w:val="en-GB"/>
              </w:rPr>
            </w:pPr>
            <w:r w:rsidRPr="006076FC">
              <w:rPr>
                <w:lang w:val="en-GB"/>
              </w:rPr>
              <w:t>Teaching Services/Support</w:t>
            </w:r>
          </w:p>
        </w:tc>
        <w:tc>
          <w:tcPr>
            <w:tcW w:w="0" w:type="auto"/>
            <w:shd w:val="clear" w:color="auto" w:fill="auto"/>
            <w:vAlign w:val="center"/>
          </w:tcPr>
          <w:p w14:paraId="75CDBE23" w14:textId="77777777" w:rsidR="00563CFC" w:rsidRPr="006076FC" w:rsidRDefault="00563CFC" w:rsidP="008B2AB1">
            <w:pPr>
              <w:pStyle w:val="MDPI42tablebody"/>
              <w:autoSpaceDE w:val="0"/>
              <w:autoSpaceDN w:val="0"/>
              <w:spacing w:line="240" w:lineRule="auto"/>
              <w:rPr>
                <w:lang w:val="en-GB"/>
              </w:rPr>
            </w:pPr>
            <w:r w:rsidRPr="006076FC">
              <w:rPr>
                <w:lang w:val="en-GB"/>
              </w:rPr>
              <w:t>5 (36)</w:t>
            </w:r>
          </w:p>
        </w:tc>
      </w:tr>
      <w:tr w:rsidR="00563CFC" w:rsidRPr="006076FC" w14:paraId="3F5F14F7" w14:textId="77777777" w:rsidTr="008B2AB1">
        <w:trPr>
          <w:jc w:val="center"/>
        </w:trPr>
        <w:tc>
          <w:tcPr>
            <w:tcW w:w="0" w:type="auto"/>
            <w:shd w:val="clear" w:color="auto" w:fill="auto"/>
            <w:vAlign w:val="center"/>
            <w:hideMark/>
          </w:tcPr>
          <w:p w14:paraId="4B702192" w14:textId="77777777" w:rsidR="00563CFC" w:rsidRPr="006076FC" w:rsidRDefault="00563CFC" w:rsidP="008B2AB1">
            <w:pPr>
              <w:pStyle w:val="MDPI42tablebody"/>
              <w:autoSpaceDE w:val="0"/>
              <w:autoSpaceDN w:val="0"/>
              <w:spacing w:line="240" w:lineRule="auto"/>
              <w:rPr>
                <w:b/>
                <w:bCs/>
                <w:lang w:val="en-GB"/>
              </w:rPr>
            </w:pPr>
            <w:r w:rsidRPr="006076FC">
              <w:rPr>
                <w:b/>
                <w:bCs/>
                <w:lang w:val="en-GB"/>
              </w:rPr>
              <w:t>Time at Current Workplace</w:t>
            </w:r>
          </w:p>
        </w:tc>
        <w:tc>
          <w:tcPr>
            <w:tcW w:w="0" w:type="auto"/>
            <w:shd w:val="clear" w:color="auto" w:fill="auto"/>
            <w:vAlign w:val="center"/>
          </w:tcPr>
          <w:p w14:paraId="27C4AE4A" w14:textId="77777777" w:rsidR="00563CFC" w:rsidRPr="006076FC" w:rsidRDefault="00563CFC" w:rsidP="008B2AB1">
            <w:pPr>
              <w:pStyle w:val="MDPI42tablebody"/>
              <w:autoSpaceDE w:val="0"/>
              <w:autoSpaceDN w:val="0"/>
              <w:spacing w:line="240" w:lineRule="auto"/>
              <w:rPr>
                <w:rFonts w:eastAsia="Calibri"/>
                <w:color w:val="auto"/>
                <w:lang w:val="en-GB"/>
              </w:rPr>
            </w:pPr>
          </w:p>
        </w:tc>
      </w:tr>
      <w:tr w:rsidR="00563CFC" w:rsidRPr="006076FC" w14:paraId="721E4528" w14:textId="77777777" w:rsidTr="008B2AB1">
        <w:trPr>
          <w:jc w:val="center"/>
        </w:trPr>
        <w:tc>
          <w:tcPr>
            <w:tcW w:w="0" w:type="auto"/>
            <w:shd w:val="clear" w:color="auto" w:fill="auto"/>
            <w:vAlign w:val="center"/>
            <w:hideMark/>
          </w:tcPr>
          <w:p w14:paraId="3DB41788" w14:textId="71FBF75E" w:rsidR="00563CFC" w:rsidRPr="006076FC" w:rsidRDefault="001C5864" w:rsidP="008B2AB1">
            <w:pPr>
              <w:pStyle w:val="MDPI42tablebody"/>
              <w:autoSpaceDE w:val="0"/>
              <w:autoSpaceDN w:val="0"/>
              <w:spacing w:line="240" w:lineRule="auto"/>
              <w:rPr>
                <w:lang w:val="en-GB"/>
              </w:rPr>
            </w:pPr>
            <w:r w:rsidRPr="006076FC">
              <w:rPr>
                <w:lang w:val="en-GB"/>
              </w:rPr>
              <w:t>&lt;</w:t>
            </w:r>
            <w:r w:rsidR="00563CFC" w:rsidRPr="006076FC">
              <w:rPr>
                <w:lang w:val="en-GB"/>
              </w:rPr>
              <w:t>1 year</w:t>
            </w:r>
          </w:p>
        </w:tc>
        <w:tc>
          <w:tcPr>
            <w:tcW w:w="0" w:type="auto"/>
            <w:shd w:val="clear" w:color="auto" w:fill="auto"/>
            <w:vAlign w:val="center"/>
            <w:hideMark/>
          </w:tcPr>
          <w:p w14:paraId="40F7810A"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1 (7)</w:t>
            </w:r>
          </w:p>
        </w:tc>
      </w:tr>
      <w:tr w:rsidR="00563CFC" w:rsidRPr="006076FC" w14:paraId="4380FB72" w14:textId="77777777" w:rsidTr="008B2AB1">
        <w:trPr>
          <w:jc w:val="center"/>
        </w:trPr>
        <w:tc>
          <w:tcPr>
            <w:tcW w:w="0" w:type="auto"/>
            <w:shd w:val="clear" w:color="auto" w:fill="auto"/>
            <w:vAlign w:val="center"/>
            <w:hideMark/>
          </w:tcPr>
          <w:p w14:paraId="0E4FF849" w14:textId="031BF898" w:rsidR="00563CFC" w:rsidRPr="006076FC" w:rsidRDefault="00563CFC" w:rsidP="001C5864">
            <w:pPr>
              <w:pStyle w:val="MDPI42tablebody"/>
              <w:autoSpaceDE w:val="0"/>
              <w:autoSpaceDN w:val="0"/>
              <w:spacing w:line="240" w:lineRule="auto"/>
              <w:rPr>
                <w:lang w:val="en-GB"/>
              </w:rPr>
            </w:pPr>
            <w:r w:rsidRPr="006076FC">
              <w:rPr>
                <w:lang w:val="en-GB"/>
              </w:rPr>
              <w:t>1</w:t>
            </w:r>
            <w:r w:rsidR="001C5864" w:rsidRPr="006076FC">
              <w:rPr>
                <w:lang w:val="en-GB"/>
              </w:rPr>
              <w:t>–</w:t>
            </w:r>
            <w:r w:rsidRPr="006076FC">
              <w:rPr>
                <w:lang w:val="en-GB"/>
              </w:rPr>
              <w:t>3 years</w:t>
            </w:r>
          </w:p>
        </w:tc>
        <w:tc>
          <w:tcPr>
            <w:tcW w:w="0" w:type="auto"/>
            <w:shd w:val="clear" w:color="auto" w:fill="auto"/>
            <w:vAlign w:val="center"/>
            <w:hideMark/>
          </w:tcPr>
          <w:p w14:paraId="2CF4B999"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5 (36)</w:t>
            </w:r>
          </w:p>
        </w:tc>
      </w:tr>
      <w:tr w:rsidR="00563CFC" w:rsidRPr="006076FC" w14:paraId="5F0A7712" w14:textId="77777777" w:rsidTr="008B2AB1">
        <w:trPr>
          <w:jc w:val="center"/>
        </w:trPr>
        <w:tc>
          <w:tcPr>
            <w:tcW w:w="0" w:type="auto"/>
            <w:shd w:val="clear" w:color="auto" w:fill="auto"/>
            <w:vAlign w:val="center"/>
            <w:hideMark/>
          </w:tcPr>
          <w:p w14:paraId="463B2E96" w14:textId="476ACFC0" w:rsidR="00563CFC" w:rsidRPr="006076FC" w:rsidRDefault="001C5864" w:rsidP="008B2AB1">
            <w:pPr>
              <w:pStyle w:val="MDPI42tablebody"/>
              <w:autoSpaceDE w:val="0"/>
              <w:autoSpaceDN w:val="0"/>
              <w:spacing w:line="240" w:lineRule="auto"/>
              <w:rPr>
                <w:lang w:val="en-GB"/>
              </w:rPr>
            </w:pPr>
            <w:r w:rsidRPr="006076FC">
              <w:rPr>
                <w:lang w:val="en-GB"/>
              </w:rPr>
              <w:t>&gt;</w:t>
            </w:r>
            <w:r w:rsidR="00563CFC" w:rsidRPr="006076FC">
              <w:rPr>
                <w:lang w:val="en-GB"/>
              </w:rPr>
              <w:t>3 years</w:t>
            </w:r>
          </w:p>
        </w:tc>
        <w:tc>
          <w:tcPr>
            <w:tcW w:w="0" w:type="auto"/>
            <w:shd w:val="clear" w:color="auto" w:fill="auto"/>
            <w:vAlign w:val="center"/>
            <w:hideMark/>
          </w:tcPr>
          <w:p w14:paraId="67771917"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8 (57)</w:t>
            </w:r>
          </w:p>
        </w:tc>
      </w:tr>
      <w:tr w:rsidR="00563CFC" w:rsidRPr="006076FC" w14:paraId="0491ACCA" w14:textId="77777777" w:rsidTr="008B2AB1">
        <w:trPr>
          <w:jc w:val="center"/>
        </w:trPr>
        <w:tc>
          <w:tcPr>
            <w:tcW w:w="0" w:type="auto"/>
            <w:shd w:val="clear" w:color="auto" w:fill="auto"/>
            <w:vAlign w:val="center"/>
            <w:hideMark/>
          </w:tcPr>
          <w:p w14:paraId="2F86E713" w14:textId="77777777" w:rsidR="00563CFC" w:rsidRPr="006076FC" w:rsidRDefault="00563CFC" w:rsidP="008B2AB1">
            <w:pPr>
              <w:pStyle w:val="MDPI42tablebody"/>
              <w:autoSpaceDE w:val="0"/>
              <w:autoSpaceDN w:val="0"/>
              <w:spacing w:line="240" w:lineRule="auto"/>
              <w:rPr>
                <w:lang w:val="en-GB"/>
              </w:rPr>
            </w:pPr>
            <w:r w:rsidRPr="006076FC">
              <w:rPr>
                <w:lang w:val="en-GB"/>
              </w:rPr>
              <w:t>Work Hours (per week)</w:t>
            </w:r>
          </w:p>
        </w:tc>
        <w:tc>
          <w:tcPr>
            <w:tcW w:w="0" w:type="auto"/>
            <w:shd w:val="clear" w:color="auto" w:fill="auto"/>
            <w:vAlign w:val="center"/>
            <w:hideMark/>
          </w:tcPr>
          <w:p w14:paraId="655B8F34" w14:textId="4A8C09FC"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37</w:t>
            </w:r>
            <w:r w:rsidR="001C5864" w:rsidRPr="006076FC">
              <w:rPr>
                <w:lang w:val="en-GB"/>
              </w:rPr>
              <w:t xml:space="preserve"> ± </w:t>
            </w:r>
            <w:r w:rsidRPr="006076FC">
              <w:rPr>
                <w:lang w:val="en-GB"/>
              </w:rPr>
              <w:t>8</w:t>
            </w:r>
          </w:p>
        </w:tc>
      </w:tr>
      <w:tr w:rsidR="00563CFC" w:rsidRPr="006076FC" w14:paraId="1D74533B" w14:textId="77777777" w:rsidTr="008B2AB1">
        <w:trPr>
          <w:jc w:val="center"/>
        </w:trPr>
        <w:tc>
          <w:tcPr>
            <w:tcW w:w="0" w:type="auto"/>
            <w:shd w:val="clear" w:color="auto" w:fill="auto"/>
            <w:vAlign w:val="center"/>
            <w:hideMark/>
          </w:tcPr>
          <w:p w14:paraId="639E6E43" w14:textId="77777777" w:rsidR="00563CFC" w:rsidRPr="006076FC" w:rsidRDefault="00563CFC" w:rsidP="008B2AB1">
            <w:pPr>
              <w:pStyle w:val="MDPI42tablebody"/>
              <w:autoSpaceDE w:val="0"/>
              <w:autoSpaceDN w:val="0"/>
              <w:spacing w:line="240" w:lineRule="auto"/>
              <w:rPr>
                <w:lang w:val="en-GB"/>
              </w:rPr>
            </w:pPr>
            <w:r w:rsidRPr="006076FC">
              <w:rPr>
                <w:lang w:val="en-GB"/>
              </w:rPr>
              <w:t>Work Hours (per day)</w:t>
            </w:r>
          </w:p>
        </w:tc>
        <w:tc>
          <w:tcPr>
            <w:tcW w:w="0" w:type="auto"/>
            <w:shd w:val="clear" w:color="auto" w:fill="auto"/>
            <w:vAlign w:val="center"/>
            <w:hideMark/>
          </w:tcPr>
          <w:p w14:paraId="4FF8F8F9" w14:textId="21D1FCB9"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8</w:t>
            </w:r>
            <w:r w:rsidR="001C5864" w:rsidRPr="006076FC">
              <w:rPr>
                <w:lang w:val="en-GB"/>
              </w:rPr>
              <w:t xml:space="preserve"> ± </w:t>
            </w:r>
            <w:r w:rsidRPr="006076FC">
              <w:rPr>
                <w:lang w:val="en-GB"/>
              </w:rPr>
              <w:t>1</w:t>
            </w:r>
          </w:p>
        </w:tc>
      </w:tr>
      <w:tr w:rsidR="00563CFC" w:rsidRPr="006076FC" w14:paraId="5B40B4E9" w14:textId="77777777" w:rsidTr="008B2AB1">
        <w:trPr>
          <w:jc w:val="center"/>
        </w:trPr>
        <w:tc>
          <w:tcPr>
            <w:tcW w:w="0" w:type="auto"/>
            <w:shd w:val="clear" w:color="auto" w:fill="auto"/>
            <w:vAlign w:val="center"/>
            <w:hideMark/>
          </w:tcPr>
          <w:p w14:paraId="12A9D20F" w14:textId="77777777" w:rsidR="00563CFC" w:rsidRPr="006076FC" w:rsidRDefault="00563CFC" w:rsidP="008B2AB1">
            <w:pPr>
              <w:pStyle w:val="MDPI42tablebody"/>
              <w:autoSpaceDE w:val="0"/>
              <w:autoSpaceDN w:val="0"/>
              <w:spacing w:line="240" w:lineRule="auto"/>
              <w:rPr>
                <w:b/>
                <w:bCs/>
                <w:lang w:val="en-GB"/>
              </w:rPr>
            </w:pPr>
            <w:r w:rsidRPr="006076FC">
              <w:rPr>
                <w:b/>
                <w:bCs/>
                <w:lang w:val="en-GB"/>
              </w:rPr>
              <w:t>Number of People in Office</w:t>
            </w:r>
          </w:p>
        </w:tc>
        <w:tc>
          <w:tcPr>
            <w:tcW w:w="0" w:type="auto"/>
            <w:shd w:val="clear" w:color="auto" w:fill="auto"/>
            <w:vAlign w:val="center"/>
          </w:tcPr>
          <w:p w14:paraId="17EC31D7" w14:textId="77777777" w:rsidR="00563CFC" w:rsidRPr="006076FC" w:rsidRDefault="00563CFC" w:rsidP="008B2AB1">
            <w:pPr>
              <w:pStyle w:val="MDPI42tablebody"/>
              <w:autoSpaceDE w:val="0"/>
              <w:autoSpaceDN w:val="0"/>
              <w:spacing w:line="240" w:lineRule="auto"/>
              <w:rPr>
                <w:rFonts w:eastAsia="Calibri"/>
                <w:color w:val="auto"/>
                <w:lang w:val="en-GB"/>
              </w:rPr>
            </w:pPr>
          </w:p>
        </w:tc>
      </w:tr>
      <w:tr w:rsidR="00563CFC" w:rsidRPr="006076FC" w14:paraId="2BD8E494" w14:textId="77777777" w:rsidTr="008B2AB1">
        <w:trPr>
          <w:jc w:val="center"/>
        </w:trPr>
        <w:tc>
          <w:tcPr>
            <w:tcW w:w="0" w:type="auto"/>
            <w:shd w:val="clear" w:color="auto" w:fill="auto"/>
            <w:vAlign w:val="center"/>
            <w:hideMark/>
          </w:tcPr>
          <w:p w14:paraId="5C692423" w14:textId="77777777" w:rsidR="00563CFC" w:rsidRPr="006076FC" w:rsidRDefault="00563CFC" w:rsidP="008B2AB1">
            <w:pPr>
              <w:pStyle w:val="MDPI42tablebody"/>
              <w:autoSpaceDE w:val="0"/>
              <w:autoSpaceDN w:val="0"/>
              <w:spacing w:line="240" w:lineRule="auto"/>
              <w:rPr>
                <w:lang w:val="en-GB"/>
              </w:rPr>
            </w:pPr>
            <w:r w:rsidRPr="006076FC">
              <w:rPr>
                <w:lang w:val="en-GB"/>
              </w:rPr>
              <w:t>0</w:t>
            </w:r>
          </w:p>
        </w:tc>
        <w:tc>
          <w:tcPr>
            <w:tcW w:w="0" w:type="auto"/>
            <w:shd w:val="clear" w:color="auto" w:fill="auto"/>
            <w:vAlign w:val="center"/>
            <w:hideMark/>
          </w:tcPr>
          <w:p w14:paraId="489C3638"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2 (14)</w:t>
            </w:r>
          </w:p>
        </w:tc>
      </w:tr>
      <w:tr w:rsidR="00563CFC" w:rsidRPr="006076FC" w14:paraId="3D8E573A" w14:textId="77777777" w:rsidTr="008B2AB1">
        <w:trPr>
          <w:jc w:val="center"/>
        </w:trPr>
        <w:tc>
          <w:tcPr>
            <w:tcW w:w="0" w:type="auto"/>
            <w:shd w:val="clear" w:color="auto" w:fill="auto"/>
            <w:vAlign w:val="center"/>
            <w:hideMark/>
          </w:tcPr>
          <w:p w14:paraId="3AC5BA43" w14:textId="2191198B" w:rsidR="00563CFC" w:rsidRPr="006076FC" w:rsidRDefault="00563CFC" w:rsidP="008B2AB1">
            <w:pPr>
              <w:pStyle w:val="MDPI42tablebody"/>
              <w:autoSpaceDE w:val="0"/>
              <w:autoSpaceDN w:val="0"/>
              <w:spacing w:line="240" w:lineRule="auto"/>
              <w:rPr>
                <w:lang w:val="en-GB"/>
              </w:rPr>
            </w:pPr>
            <w:r w:rsidRPr="006076FC">
              <w:rPr>
                <w:lang w:val="en-GB"/>
              </w:rPr>
              <w:t>1</w:t>
            </w:r>
            <w:r w:rsidR="001C5864" w:rsidRPr="006076FC">
              <w:rPr>
                <w:lang w:val="en-GB"/>
              </w:rPr>
              <w:t>–</w:t>
            </w:r>
            <w:r w:rsidRPr="006076FC">
              <w:rPr>
                <w:lang w:val="en-GB"/>
              </w:rPr>
              <w:t>3 People</w:t>
            </w:r>
          </w:p>
        </w:tc>
        <w:tc>
          <w:tcPr>
            <w:tcW w:w="0" w:type="auto"/>
            <w:shd w:val="clear" w:color="auto" w:fill="auto"/>
            <w:vAlign w:val="center"/>
            <w:hideMark/>
          </w:tcPr>
          <w:p w14:paraId="4E877488"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3 (21)</w:t>
            </w:r>
          </w:p>
        </w:tc>
      </w:tr>
      <w:tr w:rsidR="00563CFC" w:rsidRPr="006076FC" w14:paraId="5865CA22" w14:textId="77777777" w:rsidTr="008B2AB1">
        <w:trPr>
          <w:jc w:val="center"/>
        </w:trPr>
        <w:tc>
          <w:tcPr>
            <w:tcW w:w="0" w:type="auto"/>
            <w:shd w:val="clear" w:color="auto" w:fill="auto"/>
            <w:vAlign w:val="center"/>
            <w:hideMark/>
          </w:tcPr>
          <w:p w14:paraId="18B53366" w14:textId="77777777" w:rsidR="00563CFC" w:rsidRPr="006076FC" w:rsidRDefault="00563CFC" w:rsidP="008B2AB1">
            <w:pPr>
              <w:pStyle w:val="MDPI42tablebody"/>
              <w:autoSpaceDE w:val="0"/>
              <w:autoSpaceDN w:val="0"/>
              <w:spacing w:line="240" w:lineRule="auto"/>
              <w:rPr>
                <w:lang w:val="en-GB"/>
              </w:rPr>
            </w:pPr>
            <w:r w:rsidRPr="006076FC">
              <w:rPr>
                <w:lang w:val="en-GB"/>
              </w:rPr>
              <w:t>&gt;3 People</w:t>
            </w:r>
          </w:p>
        </w:tc>
        <w:tc>
          <w:tcPr>
            <w:tcW w:w="0" w:type="auto"/>
            <w:shd w:val="clear" w:color="auto" w:fill="auto"/>
            <w:vAlign w:val="center"/>
            <w:hideMark/>
          </w:tcPr>
          <w:p w14:paraId="7A819609"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9 (64)</w:t>
            </w:r>
          </w:p>
        </w:tc>
      </w:tr>
      <w:tr w:rsidR="00563CFC" w:rsidRPr="006076FC" w14:paraId="08729EC4" w14:textId="77777777" w:rsidTr="008B2AB1">
        <w:trPr>
          <w:jc w:val="center"/>
        </w:trPr>
        <w:tc>
          <w:tcPr>
            <w:tcW w:w="0" w:type="auto"/>
            <w:shd w:val="clear" w:color="auto" w:fill="auto"/>
            <w:vAlign w:val="center"/>
            <w:hideMark/>
          </w:tcPr>
          <w:p w14:paraId="540865B9" w14:textId="77777777" w:rsidR="00563CFC" w:rsidRPr="006076FC" w:rsidRDefault="00563CFC" w:rsidP="008B2AB1">
            <w:pPr>
              <w:pStyle w:val="MDPI42tablebody"/>
              <w:autoSpaceDE w:val="0"/>
              <w:autoSpaceDN w:val="0"/>
              <w:spacing w:line="240" w:lineRule="auto"/>
              <w:rPr>
                <w:b/>
                <w:bCs/>
                <w:lang w:val="en-GB"/>
              </w:rPr>
            </w:pPr>
            <w:r w:rsidRPr="006076FC">
              <w:rPr>
                <w:b/>
                <w:bCs/>
                <w:lang w:val="en-GB"/>
              </w:rPr>
              <w:t>Occupational Transport</w:t>
            </w:r>
          </w:p>
        </w:tc>
        <w:tc>
          <w:tcPr>
            <w:tcW w:w="0" w:type="auto"/>
            <w:shd w:val="clear" w:color="auto" w:fill="auto"/>
            <w:vAlign w:val="center"/>
          </w:tcPr>
          <w:p w14:paraId="61334F35" w14:textId="77777777" w:rsidR="00563CFC" w:rsidRPr="006076FC" w:rsidRDefault="00563CFC" w:rsidP="008B2AB1">
            <w:pPr>
              <w:pStyle w:val="MDPI42tablebody"/>
              <w:autoSpaceDE w:val="0"/>
              <w:autoSpaceDN w:val="0"/>
              <w:spacing w:line="240" w:lineRule="auto"/>
              <w:rPr>
                <w:rFonts w:eastAsia="Calibri"/>
                <w:color w:val="auto"/>
                <w:lang w:val="en-GB"/>
              </w:rPr>
            </w:pPr>
          </w:p>
        </w:tc>
      </w:tr>
      <w:tr w:rsidR="00563CFC" w:rsidRPr="006076FC" w14:paraId="1EAD0A7A" w14:textId="77777777" w:rsidTr="008B2AB1">
        <w:trPr>
          <w:jc w:val="center"/>
        </w:trPr>
        <w:tc>
          <w:tcPr>
            <w:tcW w:w="0" w:type="auto"/>
            <w:shd w:val="clear" w:color="auto" w:fill="auto"/>
            <w:vAlign w:val="center"/>
            <w:hideMark/>
          </w:tcPr>
          <w:p w14:paraId="30417801" w14:textId="77777777" w:rsidR="00563CFC" w:rsidRPr="006076FC" w:rsidRDefault="00563CFC" w:rsidP="008B2AB1">
            <w:pPr>
              <w:pStyle w:val="MDPI42tablebody"/>
              <w:autoSpaceDE w:val="0"/>
              <w:autoSpaceDN w:val="0"/>
              <w:spacing w:line="240" w:lineRule="auto"/>
              <w:rPr>
                <w:lang w:val="en-GB"/>
              </w:rPr>
            </w:pPr>
            <w:r w:rsidRPr="006076FC">
              <w:rPr>
                <w:lang w:val="en-GB"/>
              </w:rPr>
              <w:t>Car</w:t>
            </w:r>
          </w:p>
        </w:tc>
        <w:tc>
          <w:tcPr>
            <w:tcW w:w="0" w:type="auto"/>
            <w:shd w:val="clear" w:color="auto" w:fill="auto"/>
            <w:vAlign w:val="center"/>
            <w:hideMark/>
          </w:tcPr>
          <w:p w14:paraId="5AA59E0C"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5 (36)</w:t>
            </w:r>
          </w:p>
        </w:tc>
      </w:tr>
      <w:tr w:rsidR="00563CFC" w:rsidRPr="006076FC" w14:paraId="47441C15" w14:textId="77777777" w:rsidTr="008B2AB1">
        <w:trPr>
          <w:jc w:val="center"/>
        </w:trPr>
        <w:tc>
          <w:tcPr>
            <w:tcW w:w="0" w:type="auto"/>
            <w:shd w:val="clear" w:color="auto" w:fill="auto"/>
            <w:vAlign w:val="center"/>
            <w:hideMark/>
          </w:tcPr>
          <w:p w14:paraId="6F77B52C" w14:textId="77777777" w:rsidR="00563CFC" w:rsidRPr="006076FC" w:rsidRDefault="00563CFC" w:rsidP="008B2AB1">
            <w:pPr>
              <w:pStyle w:val="MDPI42tablebody"/>
              <w:autoSpaceDE w:val="0"/>
              <w:autoSpaceDN w:val="0"/>
              <w:spacing w:line="240" w:lineRule="auto"/>
              <w:rPr>
                <w:lang w:val="en-GB"/>
              </w:rPr>
            </w:pPr>
            <w:r w:rsidRPr="006076FC">
              <w:rPr>
                <w:lang w:val="en-GB"/>
              </w:rPr>
              <w:t>Train</w:t>
            </w:r>
          </w:p>
        </w:tc>
        <w:tc>
          <w:tcPr>
            <w:tcW w:w="0" w:type="auto"/>
            <w:shd w:val="clear" w:color="auto" w:fill="auto"/>
            <w:vAlign w:val="center"/>
            <w:hideMark/>
          </w:tcPr>
          <w:p w14:paraId="5E6E446E"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5 (36)</w:t>
            </w:r>
          </w:p>
        </w:tc>
      </w:tr>
      <w:tr w:rsidR="00563CFC" w:rsidRPr="006076FC" w14:paraId="36DD0614" w14:textId="77777777" w:rsidTr="008B2AB1">
        <w:trPr>
          <w:jc w:val="center"/>
        </w:trPr>
        <w:tc>
          <w:tcPr>
            <w:tcW w:w="0" w:type="auto"/>
            <w:shd w:val="clear" w:color="auto" w:fill="auto"/>
            <w:vAlign w:val="center"/>
            <w:hideMark/>
          </w:tcPr>
          <w:p w14:paraId="1AF62F97" w14:textId="77777777" w:rsidR="00563CFC" w:rsidRPr="006076FC" w:rsidRDefault="00563CFC" w:rsidP="008B2AB1">
            <w:pPr>
              <w:pStyle w:val="MDPI42tablebody"/>
              <w:autoSpaceDE w:val="0"/>
              <w:autoSpaceDN w:val="0"/>
              <w:spacing w:line="240" w:lineRule="auto"/>
              <w:rPr>
                <w:lang w:val="en-GB"/>
              </w:rPr>
            </w:pPr>
            <w:r w:rsidRPr="006076FC">
              <w:rPr>
                <w:lang w:val="en-GB"/>
              </w:rPr>
              <w:t>Bus</w:t>
            </w:r>
          </w:p>
        </w:tc>
        <w:tc>
          <w:tcPr>
            <w:tcW w:w="0" w:type="auto"/>
            <w:shd w:val="clear" w:color="auto" w:fill="auto"/>
            <w:vAlign w:val="center"/>
            <w:hideMark/>
          </w:tcPr>
          <w:p w14:paraId="718C8526"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3 (21)</w:t>
            </w:r>
          </w:p>
        </w:tc>
      </w:tr>
      <w:tr w:rsidR="00563CFC" w:rsidRPr="006076FC" w14:paraId="2CB6B2F4" w14:textId="77777777" w:rsidTr="008B2AB1">
        <w:trPr>
          <w:jc w:val="center"/>
        </w:trPr>
        <w:tc>
          <w:tcPr>
            <w:tcW w:w="0" w:type="auto"/>
            <w:tcBorders>
              <w:top w:val="nil"/>
              <w:left w:val="nil"/>
              <w:bottom w:val="single" w:sz="8" w:space="0" w:color="auto"/>
              <w:right w:val="nil"/>
            </w:tcBorders>
            <w:shd w:val="clear" w:color="auto" w:fill="auto"/>
            <w:vAlign w:val="center"/>
            <w:hideMark/>
          </w:tcPr>
          <w:p w14:paraId="583F1018" w14:textId="77777777" w:rsidR="00563CFC" w:rsidRPr="006076FC" w:rsidRDefault="00563CFC" w:rsidP="008B2AB1">
            <w:pPr>
              <w:pStyle w:val="MDPI42tablebody"/>
              <w:autoSpaceDE w:val="0"/>
              <w:autoSpaceDN w:val="0"/>
              <w:spacing w:line="240" w:lineRule="auto"/>
              <w:rPr>
                <w:lang w:val="en-GB"/>
              </w:rPr>
            </w:pPr>
            <w:r w:rsidRPr="006076FC">
              <w:rPr>
                <w:lang w:val="en-GB"/>
              </w:rPr>
              <w:t>Walk</w:t>
            </w:r>
          </w:p>
        </w:tc>
        <w:tc>
          <w:tcPr>
            <w:tcW w:w="0" w:type="auto"/>
            <w:tcBorders>
              <w:top w:val="nil"/>
              <w:left w:val="nil"/>
              <w:bottom w:val="single" w:sz="8" w:space="0" w:color="auto"/>
              <w:right w:val="nil"/>
            </w:tcBorders>
            <w:shd w:val="clear" w:color="auto" w:fill="auto"/>
            <w:vAlign w:val="center"/>
            <w:hideMark/>
          </w:tcPr>
          <w:p w14:paraId="065958F7" w14:textId="77777777" w:rsidR="00563CFC" w:rsidRPr="006076FC" w:rsidRDefault="00563CFC" w:rsidP="008B2AB1">
            <w:pPr>
              <w:pStyle w:val="MDPI42tablebody"/>
              <w:autoSpaceDE w:val="0"/>
              <w:autoSpaceDN w:val="0"/>
              <w:spacing w:line="240" w:lineRule="auto"/>
              <w:rPr>
                <w:rFonts w:eastAsia="Calibri"/>
                <w:color w:val="auto"/>
                <w:lang w:val="en-GB"/>
              </w:rPr>
            </w:pPr>
            <w:r w:rsidRPr="006076FC">
              <w:rPr>
                <w:lang w:val="en-GB"/>
              </w:rPr>
              <w:t>1 (7)</w:t>
            </w:r>
          </w:p>
        </w:tc>
      </w:tr>
    </w:tbl>
    <w:p w14:paraId="77FC0F75" w14:textId="2ECA64B9" w:rsidR="00563CFC" w:rsidRPr="006076FC" w:rsidRDefault="008B2AB1" w:rsidP="008B2AB1">
      <w:pPr>
        <w:pStyle w:val="MDPI22heading2"/>
        <w:rPr>
          <w:color w:val="auto"/>
          <w:lang w:val="en-GB" w:eastAsia="en-US"/>
        </w:rPr>
      </w:pPr>
      <w:r w:rsidRPr="006076FC">
        <w:rPr>
          <w:lang w:val="en-GB"/>
        </w:rPr>
        <w:t xml:space="preserve">3.2. </w:t>
      </w:r>
      <w:r w:rsidR="00563CFC" w:rsidRPr="006076FC">
        <w:rPr>
          <w:lang w:val="en-GB"/>
        </w:rPr>
        <w:t>Acceptability</w:t>
      </w:r>
    </w:p>
    <w:p w14:paraId="1BE9ED06" w14:textId="73999E8F" w:rsidR="00563CFC" w:rsidRPr="006076FC" w:rsidRDefault="00563CFC" w:rsidP="008B2AB1">
      <w:pPr>
        <w:pStyle w:val="MDPI31text"/>
        <w:rPr>
          <w:lang w:val="en-GB"/>
        </w:rPr>
      </w:pPr>
      <w:r w:rsidRPr="006076FC">
        <w:rPr>
          <w:lang w:val="en-GB"/>
        </w:rPr>
        <w:t>From the qualitative interviews, participants perceived and experienced the software in a heterogeneous manner</w:t>
      </w:r>
      <w:r w:rsidR="00705CA6">
        <w:rPr>
          <w:lang w:val="en-GB"/>
        </w:rPr>
        <w:t>,</w:t>
      </w:r>
      <w:r w:rsidRPr="006076FC">
        <w:rPr>
          <w:lang w:val="en-GB"/>
        </w:rPr>
        <w:t xml:space="preserve"> with four broad themes emerging from the interview data: perceptions of the software; types of break modalities; impact on health, </w:t>
      </w:r>
      <w:r w:rsidR="00837C44">
        <w:rPr>
          <w:lang w:val="en-GB"/>
        </w:rPr>
        <w:t>well-being</w:t>
      </w:r>
      <w:r w:rsidRPr="006076FC">
        <w:rPr>
          <w:lang w:val="en-GB"/>
        </w:rPr>
        <w:t xml:space="preserve"> and work-related outcomes; and maintenance of behaviour (Table 2). Perceptions of the software encompassed a range of positive and negative factors that influenced participants’ perceptions regarding its acceptability. There was a consensus among participants that the prompting feature provided a useful cue to break up prolonged periods of sitting at work. Some participants reported that the break warning allowed them to structure their daily workload and mentally prepare working tasks in order to adhere to a break. Most participants felt they would prefer a less intrusive prompt (whereby they can voluntarily initiate the software by clicking on the icon), compared to the ‘</w:t>
      </w:r>
      <w:r w:rsidRPr="006076FC">
        <w:rPr>
          <w:i/>
          <w:lang w:val="en-GB"/>
        </w:rPr>
        <w:t xml:space="preserve">intrusive’, ‘aggressive’, ‘frustrating’ </w:t>
      </w:r>
      <w:r w:rsidRPr="006076FC">
        <w:rPr>
          <w:lang w:val="en-GB"/>
        </w:rPr>
        <w:t>and</w:t>
      </w:r>
      <w:r w:rsidRPr="006076FC">
        <w:rPr>
          <w:i/>
          <w:lang w:val="en-GB"/>
        </w:rPr>
        <w:t xml:space="preserve"> ‘annoying</w:t>
      </w:r>
      <w:r w:rsidRPr="006076FC">
        <w:rPr>
          <w:lang w:val="en-GB"/>
        </w:rPr>
        <w:t>’ lock-out feature of the software</w:t>
      </w:r>
      <w:r w:rsidR="00E154E5">
        <w:rPr>
          <w:lang w:val="en-GB"/>
        </w:rPr>
        <w:t>.</w:t>
      </w:r>
      <w:r w:rsidRPr="006076FC">
        <w:rPr>
          <w:lang w:val="en-GB"/>
        </w:rPr>
        <w:t xml:space="preserve"> </w:t>
      </w:r>
      <w:r w:rsidR="00E154E5">
        <w:rPr>
          <w:lang w:val="en-GB"/>
        </w:rPr>
        <w:t>H</w:t>
      </w:r>
      <w:r w:rsidRPr="006076FC">
        <w:rPr>
          <w:lang w:val="en-GB"/>
        </w:rPr>
        <w:t>owever</w:t>
      </w:r>
      <w:r w:rsidR="00E154E5">
        <w:rPr>
          <w:lang w:val="en-GB"/>
        </w:rPr>
        <w:t>,</w:t>
      </w:r>
      <w:r w:rsidRPr="006076FC">
        <w:rPr>
          <w:lang w:val="en-GB"/>
        </w:rPr>
        <w:t xml:space="preserve"> some also identified that this type of prompt may be less effective for promoting adherence to breaks. Overall</w:t>
      </w:r>
      <w:r w:rsidR="007B1931">
        <w:rPr>
          <w:lang w:val="en-GB"/>
        </w:rPr>
        <w:t>,</w:t>
      </w:r>
      <w:r w:rsidRPr="006076FC">
        <w:rPr>
          <w:lang w:val="en-GB"/>
        </w:rPr>
        <w:t xml:space="preserve"> participants disliked the lack of autonomy over the lock out feature of the software and the type of break available throughout the </w:t>
      </w:r>
      <w:r w:rsidR="00E154E5">
        <w:rPr>
          <w:lang w:val="en-GB"/>
        </w:rPr>
        <w:t>I</w:t>
      </w:r>
      <w:r w:rsidR="00E154E5" w:rsidRPr="006076FC">
        <w:rPr>
          <w:lang w:val="en-GB"/>
        </w:rPr>
        <w:t xml:space="preserve">ntervention </w:t>
      </w:r>
      <w:r w:rsidRPr="006076FC">
        <w:rPr>
          <w:lang w:val="en-GB"/>
        </w:rPr>
        <w:t>trial (which was limited to walking only). Collectively, participants found the software ‘</w:t>
      </w:r>
      <w:r w:rsidRPr="006076FC">
        <w:rPr>
          <w:i/>
          <w:lang w:val="en-GB"/>
        </w:rPr>
        <w:t>clunky</w:t>
      </w:r>
      <w:r w:rsidRPr="006076FC">
        <w:rPr>
          <w:lang w:val="en-GB"/>
        </w:rPr>
        <w:t>’ and that it lacked sensitivity for detecting appropriate break times accurately as it would assume that participants were sedentary even if they were away from their desk (i.e.</w:t>
      </w:r>
      <w:r w:rsidR="001C5864" w:rsidRPr="006076FC">
        <w:rPr>
          <w:lang w:val="en-GB"/>
        </w:rPr>
        <w:t>,</w:t>
      </w:r>
      <w:r w:rsidRPr="006076FC">
        <w:rPr>
          <w:lang w:val="en-GB"/>
        </w:rPr>
        <w:t xml:space="preserve"> if a prompt was missed).</w:t>
      </w:r>
    </w:p>
    <w:p w14:paraId="66849C49" w14:textId="753E795D" w:rsidR="00563CFC" w:rsidRPr="006076FC" w:rsidRDefault="00563CFC" w:rsidP="008B2AB1">
      <w:pPr>
        <w:pStyle w:val="MDPI31text"/>
        <w:rPr>
          <w:lang w:val="en-GB"/>
        </w:rPr>
      </w:pPr>
      <w:r w:rsidRPr="006076FC">
        <w:rPr>
          <w:lang w:val="en-GB"/>
        </w:rPr>
        <w:t>Despite being advised to break up their sitting with walking breaks, participants described adopting a range of modalities during their break consisting of purposeful activities to increase PA (i.e.</w:t>
      </w:r>
      <w:r w:rsidR="001C5864" w:rsidRPr="006076FC">
        <w:rPr>
          <w:lang w:val="en-GB"/>
        </w:rPr>
        <w:t>,</w:t>
      </w:r>
      <w:r w:rsidRPr="006076FC">
        <w:rPr>
          <w:lang w:val="en-GB"/>
        </w:rPr>
        <w:t xml:space="preserve"> stair use, squats and lunchtime walks), and activities to increase incidental PA integrated into working patterns (i.e.</w:t>
      </w:r>
      <w:r w:rsidR="001C5864" w:rsidRPr="006076FC">
        <w:rPr>
          <w:lang w:val="en-GB"/>
        </w:rPr>
        <w:t>,</w:t>
      </w:r>
      <w:r w:rsidRPr="006076FC">
        <w:rPr>
          <w:lang w:val="en-GB"/>
        </w:rPr>
        <w:t xml:space="preserve"> photocopying, talking to colleagues and tea breaks). The type of break appeared to depend on the time available and job demands when the software prompt was activated </w:t>
      </w:r>
      <w:r w:rsidRPr="006076FC">
        <w:rPr>
          <w:lang w:val="en-GB"/>
        </w:rPr>
        <w:lastRenderedPageBreak/>
        <w:t>throughout the day, as well as participants’ health driven motivation to take part in the intervention. The impact of the intervention on work</w:t>
      </w:r>
      <w:r w:rsidR="006C1571">
        <w:rPr>
          <w:lang w:val="en-GB"/>
        </w:rPr>
        <w:t>-</w:t>
      </w:r>
      <w:r w:rsidRPr="006076FC">
        <w:rPr>
          <w:lang w:val="en-GB"/>
        </w:rPr>
        <w:t>related outcomes included some disruption to workflow and concentration and some participants often found it was inconvenient during meetings, one-to-ones and project work. Subsequently, some participants perceived increased stress, anxiety and frustration during the intervention period associated with use of the software. Conversely, enforced breaks due to the lock out feature also encouraged participants to take a physical and mental break away from work, which reportedly had some positive impact on stress, fatigue, productivity and physical fitness.</w:t>
      </w:r>
    </w:p>
    <w:p w14:paraId="47EDCC17" w14:textId="77777777" w:rsidR="00563CFC" w:rsidRPr="006076FC" w:rsidRDefault="00563CFC" w:rsidP="008B2AB1">
      <w:pPr>
        <w:pStyle w:val="MDPI31text"/>
        <w:rPr>
          <w:lang w:val="en-GB"/>
        </w:rPr>
      </w:pPr>
      <w:r w:rsidRPr="006076FC">
        <w:rPr>
          <w:lang w:val="en-GB"/>
        </w:rPr>
        <w:t>Overall participants reported that they would not continue to use the software in its current format if made available by their employer. Despite most participants reporting an increased awareness of sitting and health at work since termination of the intervention, participants reported that their break frequency had reduced and typically relied on other cues such as mood, workload and use of facilities, to prompt breaks to sitting. Some participants reported that they continued to integrate PA into breaks such as taking a walk during lunch times following the trial.</w:t>
      </w:r>
    </w:p>
    <w:p w14:paraId="08BB5910" w14:textId="3ECB7D8A" w:rsidR="00563CFC" w:rsidRPr="006076FC" w:rsidRDefault="008B2AB1" w:rsidP="008B2AB1">
      <w:pPr>
        <w:pStyle w:val="MDPI41tablecaption"/>
        <w:jc w:val="center"/>
        <w:rPr>
          <w:lang w:val="en-GB"/>
        </w:rPr>
      </w:pPr>
      <w:r w:rsidRPr="00E50D6C">
        <w:rPr>
          <w:b/>
          <w:bCs/>
          <w:lang w:val="en-GB"/>
        </w:rPr>
        <w:t xml:space="preserve">Table 2. </w:t>
      </w:r>
      <w:r w:rsidR="00563CFC" w:rsidRPr="006076FC">
        <w:rPr>
          <w:lang w:val="en-GB"/>
        </w:rPr>
        <w:t>Participant perceptions of the acceptability of the e-health software.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6"/>
        <w:gridCol w:w="6658"/>
      </w:tblGrid>
      <w:tr w:rsidR="00563CFC" w:rsidRPr="006076FC" w14:paraId="4718B51E" w14:textId="77777777" w:rsidTr="008B2AB1">
        <w:trPr>
          <w:jc w:val="center"/>
        </w:trPr>
        <w:tc>
          <w:tcPr>
            <w:tcW w:w="0" w:type="auto"/>
            <w:vMerge w:val="restart"/>
            <w:tcBorders>
              <w:top w:val="single" w:sz="8" w:space="0" w:color="auto"/>
              <w:left w:val="nil"/>
              <w:right w:val="nil"/>
            </w:tcBorders>
            <w:shd w:val="clear" w:color="auto" w:fill="auto"/>
            <w:vAlign w:val="center"/>
          </w:tcPr>
          <w:p w14:paraId="165471F6" w14:textId="77777777" w:rsidR="00563CFC" w:rsidRPr="006076FC" w:rsidRDefault="00563CFC" w:rsidP="008B2AB1">
            <w:pPr>
              <w:pStyle w:val="MDPI42tablebody"/>
              <w:autoSpaceDE w:val="0"/>
              <w:autoSpaceDN w:val="0"/>
              <w:spacing w:line="240" w:lineRule="auto"/>
              <w:jc w:val="left"/>
              <w:rPr>
                <w:b/>
                <w:sz w:val="18"/>
                <w:szCs w:val="18"/>
                <w:lang w:val="en-GB"/>
              </w:rPr>
            </w:pPr>
            <w:r w:rsidRPr="006076FC">
              <w:rPr>
                <w:b/>
                <w:sz w:val="18"/>
                <w:szCs w:val="18"/>
                <w:lang w:val="en-GB"/>
              </w:rPr>
              <w:t>Perceptions of the software</w:t>
            </w:r>
          </w:p>
          <w:p w14:paraId="40A4B838" w14:textId="77777777" w:rsidR="00563CFC" w:rsidRPr="006076FC" w:rsidRDefault="00563CFC" w:rsidP="004E7803">
            <w:pPr>
              <w:pStyle w:val="MDPI42tablebody"/>
              <w:numPr>
                <w:ilvl w:val="0"/>
                <w:numId w:val="5"/>
              </w:numPr>
              <w:autoSpaceDE w:val="0"/>
              <w:autoSpaceDN w:val="0"/>
              <w:spacing w:before="120" w:line="240" w:lineRule="auto"/>
              <w:ind w:left="425" w:hanging="425"/>
              <w:jc w:val="both"/>
              <w:rPr>
                <w:b/>
                <w:sz w:val="18"/>
                <w:szCs w:val="18"/>
                <w:lang w:val="en-GB"/>
              </w:rPr>
            </w:pPr>
            <w:r w:rsidRPr="006076FC">
              <w:rPr>
                <w:b/>
                <w:sz w:val="18"/>
                <w:szCs w:val="18"/>
                <w:lang w:val="en-GB"/>
              </w:rPr>
              <w:t>Mental preparation</w:t>
            </w:r>
          </w:p>
          <w:p w14:paraId="0A3C0B9F" w14:textId="77777777" w:rsidR="00563CFC" w:rsidRPr="006076FC" w:rsidRDefault="00563CFC" w:rsidP="001C5864">
            <w:pPr>
              <w:pStyle w:val="MDPI42tablebody"/>
              <w:numPr>
                <w:ilvl w:val="0"/>
                <w:numId w:val="5"/>
              </w:numPr>
              <w:autoSpaceDE w:val="0"/>
              <w:autoSpaceDN w:val="0"/>
              <w:spacing w:line="240" w:lineRule="auto"/>
              <w:ind w:left="425" w:hanging="425"/>
              <w:jc w:val="both"/>
              <w:rPr>
                <w:b/>
                <w:sz w:val="18"/>
                <w:szCs w:val="18"/>
                <w:lang w:val="en-GB"/>
              </w:rPr>
            </w:pPr>
            <w:r w:rsidRPr="006076FC">
              <w:rPr>
                <w:b/>
                <w:sz w:val="18"/>
                <w:szCs w:val="18"/>
                <w:lang w:val="en-GB"/>
              </w:rPr>
              <w:t>Passive prompts</w:t>
            </w:r>
          </w:p>
          <w:p w14:paraId="3C968CFB" w14:textId="77777777" w:rsidR="00563CFC" w:rsidRPr="006076FC" w:rsidRDefault="00563CFC" w:rsidP="001C5864">
            <w:pPr>
              <w:pStyle w:val="MDPI42tablebody"/>
              <w:numPr>
                <w:ilvl w:val="0"/>
                <w:numId w:val="5"/>
              </w:numPr>
              <w:autoSpaceDE w:val="0"/>
              <w:autoSpaceDN w:val="0"/>
              <w:spacing w:line="240" w:lineRule="auto"/>
              <w:ind w:left="425" w:hanging="425"/>
              <w:jc w:val="both"/>
              <w:rPr>
                <w:b/>
                <w:sz w:val="18"/>
                <w:szCs w:val="18"/>
                <w:lang w:val="en-GB"/>
              </w:rPr>
            </w:pPr>
            <w:r w:rsidRPr="006076FC">
              <w:rPr>
                <w:b/>
                <w:sz w:val="18"/>
                <w:szCs w:val="18"/>
                <w:lang w:val="en-GB"/>
              </w:rPr>
              <w:t>Lack of autonomy</w:t>
            </w:r>
          </w:p>
          <w:p w14:paraId="76AB5831" w14:textId="77777777" w:rsidR="00563CFC" w:rsidRPr="006076FC" w:rsidRDefault="00563CFC" w:rsidP="001C5864">
            <w:pPr>
              <w:pStyle w:val="MDPI42tablebody"/>
              <w:numPr>
                <w:ilvl w:val="0"/>
                <w:numId w:val="5"/>
              </w:numPr>
              <w:autoSpaceDE w:val="0"/>
              <w:autoSpaceDN w:val="0"/>
              <w:spacing w:line="240" w:lineRule="auto"/>
              <w:ind w:left="425" w:hanging="425"/>
              <w:jc w:val="both"/>
              <w:rPr>
                <w:sz w:val="18"/>
                <w:szCs w:val="18"/>
                <w:lang w:val="en-GB"/>
              </w:rPr>
            </w:pPr>
            <w:r w:rsidRPr="006076FC">
              <w:rPr>
                <w:b/>
                <w:sz w:val="18"/>
                <w:szCs w:val="18"/>
                <w:lang w:val="en-GB"/>
              </w:rPr>
              <w:t>Sensitivity of software</w:t>
            </w:r>
          </w:p>
        </w:tc>
        <w:tc>
          <w:tcPr>
            <w:tcW w:w="0" w:type="auto"/>
            <w:tcBorders>
              <w:top w:val="single" w:sz="8" w:space="0" w:color="auto"/>
              <w:left w:val="nil"/>
              <w:bottom w:val="single" w:sz="4" w:space="0" w:color="FFFFFF"/>
              <w:right w:val="nil"/>
            </w:tcBorders>
            <w:shd w:val="clear" w:color="auto" w:fill="auto"/>
            <w:vAlign w:val="center"/>
          </w:tcPr>
          <w:p w14:paraId="266335EE" w14:textId="19BD6CB8" w:rsidR="00563CFC" w:rsidRPr="006076FC" w:rsidRDefault="00563CFC" w:rsidP="001C5864">
            <w:pPr>
              <w:pStyle w:val="MDPI42tablebody"/>
              <w:numPr>
                <w:ilvl w:val="0"/>
                <w:numId w:val="6"/>
              </w:numPr>
              <w:autoSpaceDE w:val="0"/>
              <w:autoSpaceDN w:val="0"/>
              <w:spacing w:line="240" w:lineRule="auto"/>
              <w:ind w:left="425" w:hanging="425"/>
              <w:jc w:val="both"/>
              <w:rPr>
                <w:i/>
                <w:iCs/>
                <w:sz w:val="18"/>
                <w:szCs w:val="18"/>
                <w:lang w:val="en-GB"/>
              </w:rPr>
            </w:pPr>
            <w:r w:rsidRPr="006076FC">
              <w:rPr>
                <w:i/>
                <w:iCs/>
                <w:sz w:val="18"/>
                <w:szCs w:val="18"/>
                <w:lang w:val="en-GB"/>
              </w:rPr>
              <w:t>‘I</w:t>
            </w:r>
            <w:r w:rsidR="001C5864" w:rsidRPr="006076FC">
              <w:rPr>
                <w:i/>
                <w:iCs/>
                <w:sz w:val="18"/>
                <w:szCs w:val="18"/>
                <w:lang w:val="en-GB"/>
              </w:rPr>
              <w:t>’</w:t>
            </w:r>
            <w:r w:rsidRPr="006076FC">
              <w:rPr>
                <w:i/>
                <w:iCs/>
                <w:sz w:val="18"/>
                <w:szCs w:val="18"/>
                <w:lang w:val="en-GB"/>
              </w:rPr>
              <w:t xml:space="preserve">d be working away, </w:t>
            </w:r>
            <w:r w:rsidR="001C5864" w:rsidRPr="006076FC">
              <w:rPr>
                <w:i/>
                <w:iCs/>
                <w:sz w:val="18"/>
                <w:szCs w:val="18"/>
                <w:lang w:val="en-GB"/>
              </w:rPr>
              <w:t>“</w:t>
            </w:r>
            <w:r w:rsidRPr="006076FC">
              <w:rPr>
                <w:i/>
                <w:iCs/>
                <w:sz w:val="18"/>
                <w:szCs w:val="18"/>
                <w:lang w:val="en-GB"/>
              </w:rPr>
              <w:t>Oh, I</w:t>
            </w:r>
            <w:r w:rsidR="001C5864" w:rsidRPr="006076FC">
              <w:rPr>
                <w:i/>
                <w:iCs/>
                <w:sz w:val="18"/>
                <w:szCs w:val="18"/>
                <w:lang w:val="en-GB"/>
              </w:rPr>
              <w:t>’</w:t>
            </w:r>
            <w:r w:rsidRPr="006076FC">
              <w:rPr>
                <w:i/>
                <w:iCs/>
                <w:sz w:val="18"/>
                <w:szCs w:val="18"/>
                <w:lang w:val="en-GB"/>
              </w:rPr>
              <w:t>m not quite ready for a break</w:t>
            </w:r>
            <w:r w:rsidR="001C5864" w:rsidRPr="006076FC">
              <w:rPr>
                <w:i/>
                <w:iCs/>
                <w:sz w:val="18"/>
                <w:szCs w:val="18"/>
                <w:lang w:val="en-GB"/>
              </w:rPr>
              <w:t>”</w:t>
            </w:r>
            <w:r w:rsidRPr="006076FC">
              <w:rPr>
                <w:i/>
                <w:iCs/>
                <w:sz w:val="18"/>
                <w:szCs w:val="18"/>
                <w:lang w:val="en-GB"/>
              </w:rPr>
              <w:t xml:space="preserve">, and the extra five minutes, I think it starts like mentally preparing you, so you start winding things up a bit to a point where you can finish, so that is really useful.’ </w:t>
            </w:r>
            <w:r w:rsidRPr="006076FC">
              <w:rPr>
                <w:sz w:val="18"/>
                <w:szCs w:val="18"/>
                <w:lang w:val="en-GB"/>
              </w:rPr>
              <w:t>P.12.</w:t>
            </w:r>
          </w:p>
        </w:tc>
      </w:tr>
      <w:tr w:rsidR="00563CFC" w:rsidRPr="006076FC" w14:paraId="05E0924F" w14:textId="77777777" w:rsidTr="008B2AB1">
        <w:trPr>
          <w:jc w:val="center"/>
        </w:trPr>
        <w:tc>
          <w:tcPr>
            <w:tcW w:w="0" w:type="auto"/>
            <w:vMerge/>
            <w:tcBorders>
              <w:left w:val="nil"/>
              <w:right w:val="nil"/>
            </w:tcBorders>
            <w:shd w:val="clear" w:color="auto" w:fill="auto"/>
            <w:vAlign w:val="center"/>
          </w:tcPr>
          <w:p w14:paraId="19E90895" w14:textId="77777777" w:rsidR="00563CFC" w:rsidRPr="006076FC" w:rsidRDefault="00563CFC" w:rsidP="008B2AB1">
            <w:pPr>
              <w:pStyle w:val="MDPI42tablebody"/>
              <w:autoSpaceDE w:val="0"/>
              <w:autoSpaceDN w:val="0"/>
              <w:spacing w:line="240" w:lineRule="auto"/>
              <w:jc w:val="left"/>
              <w:rPr>
                <w:sz w:val="18"/>
                <w:szCs w:val="18"/>
                <w:lang w:val="en-GB"/>
              </w:rPr>
            </w:pPr>
          </w:p>
        </w:tc>
        <w:tc>
          <w:tcPr>
            <w:tcW w:w="0" w:type="auto"/>
            <w:tcBorders>
              <w:top w:val="single" w:sz="4" w:space="0" w:color="FFFFFF"/>
              <w:left w:val="nil"/>
              <w:bottom w:val="single" w:sz="4" w:space="0" w:color="FFFFFF"/>
              <w:right w:val="nil"/>
            </w:tcBorders>
            <w:shd w:val="clear" w:color="auto" w:fill="auto"/>
            <w:vAlign w:val="center"/>
          </w:tcPr>
          <w:p w14:paraId="1BFAF6F3" w14:textId="1A3A5FEC" w:rsidR="00563CFC" w:rsidRPr="006076FC" w:rsidRDefault="00563CFC" w:rsidP="001C5864">
            <w:pPr>
              <w:pStyle w:val="MDPI42tablebody"/>
              <w:numPr>
                <w:ilvl w:val="0"/>
                <w:numId w:val="6"/>
              </w:numPr>
              <w:autoSpaceDE w:val="0"/>
              <w:autoSpaceDN w:val="0"/>
              <w:spacing w:line="240" w:lineRule="auto"/>
              <w:ind w:left="425" w:hanging="425"/>
              <w:jc w:val="both"/>
              <w:rPr>
                <w:i/>
                <w:iCs/>
                <w:sz w:val="18"/>
                <w:szCs w:val="18"/>
                <w:lang w:val="en-GB"/>
              </w:rPr>
            </w:pPr>
            <w:r w:rsidRPr="006076FC">
              <w:rPr>
                <w:i/>
                <w:iCs/>
                <w:sz w:val="18"/>
                <w:szCs w:val="18"/>
                <w:lang w:val="en-GB"/>
              </w:rPr>
              <w:t>‘[The software] was aggressive, but I think it actually means it</w:t>
            </w:r>
            <w:r w:rsidR="001C5864" w:rsidRPr="006076FC">
              <w:rPr>
                <w:i/>
                <w:iCs/>
                <w:sz w:val="18"/>
                <w:szCs w:val="18"/>
                <w:lang w:val="en-GB"/>
              </w:rPr>
              <w:t>’</w:t>
            </w:r>
            <w:r w:rsidRPr="006076FC">
              <w:rPr>
                <w:i/>
                <w:iCs/>
                <w:sz w:val="18"/>
                <w:szCs w:val="18"/>
                <w:lang w:val="en-GB"/>
              </w:rPr>
              <w:t>s effective, whereas [prompts alone] isn</w:t>
            </w:r>
            <w:r w:rsidR="001C5864" w:rsidRPr="006076FC">
              <w:rPr>
                <w:i/>
                <w:iCs/>
                <w:sz w:val="18"/>
                <w:szCs w:val="18"/>
                <w:lang w:val="en-GB"/>
              </w:rPr>
              <w:t>’</w:t>
            </w:r>
            <w:r w:rsidRPr="006076FC">
              <w:rPr>
                <w:i/>
                <w:iCs/>
                <w:sz w:val="18"/>
                <w:szCs w:val="18"/>
                <w:lang w:val="en-GB"/>
              </w:rPr>
              <w:t xml:space="preserve">t quite so effective’ </w:t>
            </w:r>
            <w:r w:rsidRPr="006076FC">
              <w:rPr>
                <w:sz w:val="18"/>
                <w:szCs w:val="18"/>
                <w:lang w:val="en-GB"/>
              </w:rPr>
              <w:t>P.12.</w:t>
            </w:r>
            <w:r w:rsidRPr="006076FC">
              <w:rPr>
                <w:i/>
                <w:iCs/>
                <w:sz w:val="18"/>
                <w:szCs w:val="18"/>
                <w:lang w:val="en-GB"/>
              </w:rPr>
              <w:t xml:space="preserve"> </w:t>
            </w:r>
          </w:p>
        </w:tc>
      </w:tr>
      <w:tr w:rsidR="00563CFC" w:rsidRPr="006076FC" w14:paraId="410BBB67" w14:textId="77777777" w:rsidTr="008B2AB1">
        <w:trPr>
          <w:jc w:val="center"/>
        </w:trPr>
        <w:tc>
          <w:tcPr>
            <w:tcW w:w="0" w:type="auto"/>
            <w:vMerge/>
            <w:tcBorders>
              <w:left w:val="nil"/>
              <w:right w:val="nil"/>
            </w:tcBorders>
            <w:shd w:val="clear" w:color="auto" w:fill="auto"/>
            <w:vAlign w:val="center"/>
          </w:tcPr>
          <w:p w14:paraId="1359A5DC" w14:textId="77777777" w:rsidR="00563CFC" w:rsidRPr="006076FC" w:rsidRDefault="00563CFC" w:rsidP="008B2AB1">
            <w:pPr>
              <w:pStyle w:val="MDPI42tablebody"/>
              <w:autoSpaceDE w:val="0"/>
              <w:autoSpaceDN w:val="0"/>
              <w:spacing w:line="240" w:lineRule="auto"/>
              <w:jc w:val="left"/>
              <w:rPr>
                <w:sz w:val="18"/>
                <w:szCs w:val="18"/>
                <w:lang w:val="en-GB"/>
              </w:rPr>
            </w:pPr>
          </w:p>
        </w:tc>
        <w:tc>
          <w:tcPr>
            <w:tcW w:w="0" w:type="auto"/>
            <w:tcBorders>
              <w:top w:val="single" w:sz="4" w:space="0" w:color="FFFFFF"/>
              <w:left w:val="nil"/>
              <w:bottom w:val="single" w:sz="4" w:space="0" w:color="FFFFFF"/>
              <w:right w:val="nil"/>
            </w:tcBorders>
            <w:shd w:val="clear" w:color="auto" w:fill="auto"/>
            <w:vAlign w:val="center"/>
          </w:tcPr>
          <w:p w14:paraId="713CB57F" w14:textId="77777777" w:rsidR="00563CFC" w:rsidRPr="006076FC" w:rsidRDefault="00563CFC" w:rsidP="001C5864">
            <w:pPr>
              <w:pStyle w:val="MDPI42tablebody"/>
              <w:numPr>
                <w:ilvl w:val="0"/>
                <w:numId w:val="6"/>
              </w:numPr>
              <w:autoSpaceDE w:val="0"/>
              <w:autoSpaceDN w:val="0"/>
              <w:spacing w:line="240" w:lineRule="auto"/>
              <w:ind w:left="425" w:hanging="425"/>
              <w:jc w:val="both"/>
              <w:rPr>
                <w:i/>
                <w:iCs/>
                <w:sz w:val="18"/>
                <w:szCs w:val="18"/>
                <w:lang w:val="en-GB"/>
              </w:rPr>
            </w:pPr>
            <w:r w:rsidRPr="006076FC">
              <w:rPr>
                <w:i/>
                <w:iCs/>
                <w:sz w:val="18"/>
                <w:szCs w:val="18"/>
                <w:lang w:val="en-GB"/>
              </w:rPr>
              <w:t xml:space="preserve">‘Giving you the option or the choice to do something would be better’ </w:t>
            </w:r>
            <w:r w:rsidRPr="006076FC">
              <w:rPr>
                <w:sz w:val="18"/>
                <w:szCs w:val="18"/>
                <w:lang w:val="en-GB"/>
              </w:rPr>
              <w:t>P.10.</w:t>
            </w:r>
          </w:p>
        </w:tc>
      </w:tr>
      <w:tr w:rsidR="00563CFC" w:rsidRPr="006076FC" w14:paraId="603D4679" w14:textId="77777777" w:rsidTr="008B2AB1">
        <w:trPr>
          <w:jc w:val="center"/>
        </w:trPr>
        <w:tc>
          <w:tcPr>
            <w:tcW w:w="0" w:type="auto"/>
            <w:vMerge/>
            <w:tcBorders>
              <w:left w:val="nil"/>
              <w:right w:val="nil"/>
            </w:tcBorders>
            <w:shd w:val="clear" w:color="auto" w:fill="auto"/>
            <w:vAlign w:val="center"/>
          </w:tcPr>
          <w:p w14:paraId="7A213867" w14:textId="77777777" w:rsidR="00563CFC" w:rsidRPr="006076FC" w:rsidRDefault="00563CFC" w:rsidP="008B2AB1">
            <w:pPr>
              <w:pStyle w:val="MDPI42tablebody"/>
              <w:autoSpaceDE w:val="0"/>
              <w:autoSpaceDN w:val="0"/>
              <w:spacing w:line="240" w:lineRule="auto"/>
              <w:jc w:val="left"/>
              <w:rPr>
                <w:sz w:val="18"/>
                <w:szCs w:val="18"/>
                <w:lang w:val="en-GB"/>
              </w:rPr>
            </w:pPr>
          </w:p>
        </w:tc>
        <w:tc>
          <w:tcPr>
            <w:tcW w:w="0" w:type="auto"/>
            <w:tcBorders>
              <w:top w:val="single" w:sz="4" w:space="0" w:color="FFFFFF"/>
              <w:left w:val="nil"/>
              <w:right w:val="nil"/>
            </w:tcBorders>
            <w:shd w:val="clear" w:color="auto" w:fill="auto"/>
            <w:vAlign w:val="center"/>
          </w:tcPr>
          <w:p w14:paraId="677DCD63" w14:textId="5F8CBCEA" w:rsidR="00563CFC" w:rsidRPr="006076FC" w:rsidRDefault="00563CFC" w:rsidP="001C5864">
            <w:pPr>
              <w:pStyle w:val="MDPI42tablebody"/>
              <w:numPr>
                <w:ilvl w:val="0"/>
                <w:numId w:val="6"/>
              </w:numPr>
              <w:autoSpaceDE w:val="0"/>
              <w:autoSpaceDN w:val="0"/>
              <w:spacing w:line="240" w:lineRule="auto"/>
              <w:ind w:left="425" w:hanging="425"/>
              <w:jc w:val="both"/>
              <w:rPr>
                <w:i/>
                <w:iCs/>
                <w:sz w:val="18"/>
                <w:szCs w:val="18"/>
                <w:lang w:val="en-GB"/>
              </w:rPr>
            </w:pPr>
            <w:r w:rsidRPr="006076FC">
              <w:rPr>
                <w:i/>
                <w:iCs/>
                <w:sz w:val="18"/>
                <w:szCs w:val="18"/>
                <w:lang w:val="en-GB"/>
              </w:rPr>
              <w:t>‘[The software] didn</w:t>
            </w:r>
            <w:r w:rsidR="001C5864" w:rsidRPr="006076FC">
              <w:rPr>
                <w:i/>
                <w:iCs/>
                <w:sz w:val="18"/>
                <w:szCs w:val="18"/>
                <w:lang w:val="en-GB"/>
              </w:rPr>
              <w:t>’</w:t>
            </w:r>
            <w:r w:rsidRPr="006076FC">
              <w:rPr>
                <w:i/>
                <w:iCs/>
                <w:sz w:val="18"/>
                <w:szCs w:val="18"/>
                <w:lang w:val="en-GB"/>
              </w:rPr>
              <w:t>t recognise perhaps when you</w:t>
            </w:r>
            <w:r w:rsidR="001C5864" w:rsidRPr="006076FC">
              <w:rPr>
                <w:i/>
                <w:iCs/>
                <w:sz w:val="18"/>
                <w:szCs w:val="18"/>
                <w:lang w:val="en-GB"/>
              </w:rPr>
              <w:t>’</w:t>
            </w:r>
            <w:r w:rsidRPr="006076FC">
              <w:rPr>
                <w:i/>
                <w:iCs/>
                <w:sz w:val="18"/>
                <w:szCs w:val="18"/>
                <w:lang w:val="en-GB"/>
              </w:rPr>
              <w:t xml:space="preserve">d gone off to teach. </w:t>
            </w:r>
            <w:proofErr w:type="gramStart"/>
            <w:r w:rsidRPr="006076FC">
              <w:rPr>
                <w:i/>
                <w:iCs/>
                <w:sz w:val="18"/>
                <w:szCs w:val="18"/>
                <w:lang w:val="en-GB"/>
              </w:rPr>
              <w:t>So</w:t>
            </w:r>
            <w:proofErr w:type="gramEnd"/>
            <w:r w:rsidRPr="006076FC">
              <w:rPr>
                <w:i/>
                <w:iCs/>
                <w:sz w:val="18"/>
                <w:szCs w:val="18"/>
                <w:lang w:val="en-GB"/>
              </w:rPr>
              <w:t xml:space="preserve"> I would come back in, and you</w:t>
            </w:r>
            <w:r w:rsidR="001C5864" w:rsidRPr="006076FC">
              <w:rPr>
                <w:i/>
                <w:iCs/>
                <w:sz w:val="18"/>
                <w:szCs w:val="18"/>
                <w:lang w:val="en-GB"/>
              </w:rPr>
              <w:t>’</w:t>
            </w:r>
            <w:r w:rsidRPr="006076FC">
              <w:rPr>
                <w:i/>
                <w:iCs/>
                <w:sz w:val="18"/>
                <w:szCs w:val="18"/>
                <w:lang w:val="en-GB"/>
              </w:rPr>
              <w:t>d almost have to falsify the information, because it</w:t>
            </w:r>
            <w:r w:rsidR="001C5864" w:rsidRPr="006076FC">
              <w:rPr>
                <w:i/>
                <w:iCs/>
                <w:sz w:val="18"/>
                <w:szCs w:val="18"/>
                <w:lang w:val="en-GB"/>
              </w:rPr>
              <w:t>’</w:t>
            </w:r>
            <w:r w:rsidRPr="006076FC">
              <w:rPr>
                <w:i/>
                <w:iCs/>
                <w:sz w:val="18"/>
                <w:szCs w:val="18"/>
                <w:lang w:val="en-GB"/>
              </w:rPr>
              <w:t xml:space="preserve">d be saying, </w:t>
            </w:r>
            <w:r w:rsidR="001C5864" w:rsidRPr="006076FC">
              <w:rPr>
                <w:i/>
                <w:iCs/>
                <w:sz w:val="18"/>
                <w:szCs w:val="18"/>
                <w:lang w:val="en-GB"/>
              </w:rPr>
              <w:t>“</w:t>
            </w:r>
            <w:r w:rsidRPr="006076FC">
              <w:rPr>
                <w:i/>
                <w:iCs/>
                <w:sz w:val="18"/>
                <w:szCs w:val="18"/>
                <w:lang w:val="en-GB"/>
              </w:rPr>
              <w:t>What have you done?</w:t>
            </w:r>
            <w:r w:rsidR="001C5864" w:rsidRPr="006076FC">
              <w:rPr>
                <w:i/>
                <w:iCs/>
                <w:sz w:val="18"/>
                <w:szCs w:val="18"/>
                <w:lang w:val="en-GB"/>
              </w:rPr>
              <w:t>”</w:t>
            </w:r>
            <w:r w:rsidRPr="006076FC">
              <w:rPr>
                <w:i/>
                <w:iCs/>
                <w:sz w:val="18"/>
                <w:szCs w:val="18"/>
                <w:lang w:val="en-GB"/>
              </w:rPr>
              <w:t xml:space="preserve"> But you might have walked to three different […] buildings, and actually not been stagnant, but it didn</w:t>
            </w:r>
            <w:r w:rsidR="001C5864" w:rsidRPr="006076FC">
              <w:rPr>
                <w:i/>
                <w:iCs/>
                <w:sz w:val="18"/>
                <w:szCs w:val="18"/>
                <w:lang w:val="en-GB"/>
              </w:rPr>
              <w:t>’</w:t>
            </w:r>
            <w:r w:rsidRPr="006076FC">
              <w:rPr>
                <w:i/>
                <w:iCs/>
                <w:sz w:val="18"/>
                <w:szCs w:val="18"/>
                <w:lang w:val="en-GB"/>
              </w:rPr>
              <w:t>t recognise, it just thought, you</w:t>
            </w:r>
            <w:r w:rsidR="001C5864" w:rsidRPr="006076FC">
              <w:rPr>
                <w:i/>
                <w:iCs/>
                <w:sz w:val="18"/>
                <w:szCs w:val="18"/>
                <w:lang w:val="en-GB"/>
              </w:rPr>
              <w:t>’</w:t>
            </w:r>
            <w:r w:rsidRPr="006076FC">
              <w:rPr>
                <w:i/>
                <w:iCs/>
                <w:sz w:val="18"/>
                <w:szCs w:val="18"/>
                <w:lang w:val="en-GB"/>
              </w:rPr>
              <w:t>re not at your computer. It always thought you were sat stagnant, so you need to get up and move. […] It probably didn</w:t>
            </w:r>
            <w:r w:rsidR="001C5864" w:rsidRPr="006076FC">
              <w:rPr>
                <w:i/>
                <w:iCs/>
                <w:sz w:val="18"/>
                <w:szCs w:val="18"/>
                <w:lang w:val="en-GB"/>
              </w:rPr>
              <w:t>’</w:t>
            </w:r>
            <w:r w:rsidRPr="006076FC">
              <w:rPr>
                <w:i/>
                <w:iCs/>
                <w:sz w:val="18"/>
                <w:szCs w:val="18"/>
                <w:lang w:val="en-GB"/>
              </w:rPr>
              <w:t>t give the truest reflection […] Sometimes you</w:t>
            </w:r>
            <w:r w:rsidR="001C5864" w:rsidRPr="006076FC">
              <w:rPr>
                <w:i/>
                <w:iCs/>
                <w:sz w:val="18"/>
                <w:szCs w:val="18"/>
                <w:lang w:val="en-GB"/>
              </w:rPr>
              <w:t>’</w:t>
            </w:r>
            <w:r w:rsidRPr="006076FC">
              <w:rPr>
                <w:i/>
                <w:iCs/>
                <w:sz w:val="18"/>
                <w:szCs w:val="18"/>
                <w:lang w:val="en-GB"/>
              </w:rPr>
              <w:t>d come back and you just put, I don</w:t>
            </w:r>
            <w:r w:rsidR="001C5864" w:rsidRPr="006076FC">
              <w:rPr>
                <w:i/>
                <w:iCs/>
                <w:sz w:val="18"/>
                <w:szCs w:val="18"/>
                <w:lang w:val="en-GB"/>
              </w:rPr>
              <w:t>’</w:t>
            </w:r>
            <w:r w:rsidRPr="006076FC">
              <w:rPr>
                <w:i/>
                <w:iCs/>
                <w:sz w:val="18"/>
                <w:szCs w:val="18"/>
                <w:lang w:val="en-GB"/>
              </w:rPr>
              <w:t>t know, two hours, but you weren</w:t>
            </w:r>
            <w:r w:rsidR="001C5864" w:rsidRPr="006076FC">
              <w:rPr>
                <w:i/>
                <w:iCs/>
                <w:sz w:val="18"/>
                <w:szCs w:val="18"/>
                <w:lang w:val="en-GB"/>
              </w:rPr>
              <w:t>’</w:t>
            </w:r>
            <w:r w:rsidRPr="006076FC">
              <w:rPr>
                <w:i/>
                <w:iCs/>
                <w:sz w:val="18"/>
                <w:szCs w:val="18"/>
                <w:lang w:val="en-GB"/>
              </w:rPr>
              <w:t xml:space="preserve">t walking for two hours. It was difficult to know.’ </w:t>
            </w:r>
            <w:r w:rsidRPr="006076FC">
              <w:rPr>
                <w:sz w:val="18"/>
                <w:szCs w:val="18"/>
                <w:lang w:val="en-GB"/>
              </w:rPr>
              <w:t>P.15.</w:t>
            </w:r>
          </w:p>
        </w:tc>
      </w:tr>
      <w:tr w:rsidR="00563CFC" w:rsidRPr="006076FC" w14:paraId="682582AA" w14:textId="77777777" w:rsidTr="008B2AB1">
        <w:trPr>
          <w:jc w:val="center"/>
        </w:trPr>
        <w:tc>
          <w:tcPr>
            <w:tcW w:w="0" w:type="auto"/>
            <w:vMerge w:val="restart"/>
            <w:tcBorders>
              <w:left w:val="nil"/>
              <w:right w:val="nil"/>
            </w:tcBorders>
            <w:shd w:val="clear" w:color="auto" w:fill="auto"/>
            <w:vAlign w:val="center"/>
          </w:tcPr>
          <w:p w14:paraId="29C5854C" w14:textId="77777777" w:rsidR="00563CFC" w:rsidRPr="006076FC" w:rsidRDefault="00563CFC" w:rsidP="008B2AB1">
            <w:pPr>
              <w:pStyle w:val="MDPI42tablebody"/>
              <w:autoSpaceDE w:val="0"/>
              <w:autoSpaceDN w:val="0"/>
              <w:spacing w:line="240" w:lineRule="auto"/>
              <w:jc w:val="left"/>
              <w:rPr>
                <w:b/>
                <w:sz w:val="18"/>
                <w:szCs w:val="18"/>
                <w:lang w:val="en-GB"/>
              </w:rPr>
            </w:pPr>
            <w:r w:rsidRPr="006076FC">
              <w:rPr>
                <w:b/>
                <w:sz w:val="18"/>
                <w:szCs w:val="18"/>
                <w:lang w:val="en-GB"/>
              </w:rPr>
              <w:t>Types of break modalities</w:t>
            </w:r>
          </w:p>
          <w:p w14:paraId="19977952" w14:textId="77777777" w:rsidR="00563CFC" w:rsidRPr="006076FC" w:rsidRDefault="00563CFC" w:rsidP="004E7803">
            <w:pPr>
              <w:pStyle w:val="MDPI42tablebody"/>
              <w:numPr>
                <w:ilvl w:val="0"/>
                <w:numId w:val="7"/>
              </w:numPr>
              <w:autoSpaceDE w:val="0"/>
              <w:autoSpaceDN w:val="0"/>
              <w:spacing w:before="120" w:line="240" w:lineRule="auto"/>
              <w:ind w:left="425" w:hanging="425"/>
              <w:jc w:val="both"/>
              <w:rPr>
                <w:b/>
                <w:sz w:val="18"/>
                <w:szCs w:val="18"/>
                <w:lang w:val="en-GB"/>
              </w:rPr>
            </w:pPr>
            <w:r w:rsidRPr="006076FC">
              <w:rPr>
                <w:b/>
                <w:sz w:val="18"/>
                <w:szCs w:val="18"/>
                <w:lang w:val="en-GB"/>
              </w:rPr>
              <w:t>Purposeful PA</w:t>
            </w:r>
          </w:p>
          <w:p w14:paraId="631607EB" w14:textId="77777777" w:rsidR="00563CFC" w:rsidRPr="006076FC" w:rsidRDefault="00563CFC" w:rsidP="001C5864">
            <w:pPr>
              <w:pStyle w:val="MDPI42tablebody"/>
              <w:numPr>
                <w:ilvl w:val="0"/>
                <w:numId w:val="7"/>
              </w:numPr>
              <w:autoSpaceDE w:val="0"/>
              <w:autoSpaceDN w:val="0"/>
              <w:spacing w:line="240" w:lineRule="auto"/>
              <w:ind w:left="425" w:hanging="425"/>
              <w:jc w:val="both"/>
              <w:rPr>
                <w:sz w:val="18"/>
                <w:szCs w:val="18"/>
                <w:lang w:val="en-GB"/>
              </w:rPr>
            </w:pPr>
            <w:r w:rsidRPr="006076FC">
              <w:rPr>
                <w:b/>
                <w:sz w:val="18"/>
                <w:szCs w:val="18"/>
                <w:lang w:val="en-GB"/>
              </w:rPr>
              <w:t>Incidental PA integrated into working tasks</w:t>
            </w:r>
            <w:r w:rsidRPr="006076FC">
              <w:rPr>
                <w:sz w:val="18"/>
                <w:szCs w:val="18"/>
                <w:lang w:val="en-GB"/>
              </w:rPr>
              <w:t xml:space="preserve"> </w:t>
            </w:r>
          </w:p>
        </w:tc>
        <w:tc>
          <w:tcPr>
            <w:tcW w:w="0" w:type="auto"/>
            <w:tcBorders>
              <w:left w:val="nil"/>
              <w:bottom w:val="single" w:sz="4" w:space="0" w:color="FFFFFF"/>
              <w:right w:val="nil"/>
            </w:tcBorders>
            <w:shd w:val="clear" w:color="auto" w:fill="auto"/>
            <w:vAlign w:val="center"/>
          </w:tcPr>
          <w:p w14:paraId="5F3AA700" w14:textId="6C176566" w:rsidR="00563CFC" w:rsidRPr="006076FC" w:rsidRDefault="00563CFC" w:rsidP="001C5864">
            <w:pPr>
              <w:pStyle w:val="MDPI42tablebody"/>
              <w:numPr>
                <w:ilvl w:val="0"/>
                <w:numId w:val="12"/>
              </w:numPr>
              <w:autoSpaceDE w:val="0"/>
              <w:autoSpaceDN w:val="0"/>
              <w:spacing w:line="240" w:lineRule="auto"/>
              <w:ind w:left="425" w:hanging="425"/>
              <w:jc w:val="both"/>
              <w:rPr>
                <w:sz w:val="18"/>
                <w:szCs w:val="18"/>
                <w:lang w:val="en-GB"/>
              </w:rPr>
            </w:pPr>
            <w:r w:rsidRPr="006076FC">
              <w:rPr>
                <w:i/>
                <w:iCs/>
                <w:sz w:val="18"/>
                <w:szCs w:val="18"/>
                <w:lang w:val="en-GB"/>
              </w:rPr>
              <w:t>‘I’d just walk up and down the stairs</w:t>
            </w:r>
            <w:r w:rsidR="004E7803" w:rsidRPr="006076FC">
              <w:rPr>
                <w:i/>
                <w:iCs/>
                <w:sz w:val="18"/>
                <w:szCs w:val="18"/>
                <w:lang w:val="en-GB"/>
              </w:rPr>
              <w:t xml:space="preserve"> </w:t>
            </w:r>
            <w:r w:rsidRPr="006076FC">
              <w:rPr>
                <w:i/>
                <w:iCs/>
                <w:sz w:val="18"/>
                <w:szCs w:val="18"/>
                <w:lang w:val="en-GB"/>
              </w:rPr>
              <w:t>[…] It</w:t>
            </w:r>
            <w:r w:rsidR="001C5864" w:rsidRPr="006076FC">
              <w:rPr>
                <w:i/>
                <w:iCs/>
                <w:sz w:val="18"/>
                <w:szCs w:val="18"/>
                <w:lang w:val="en-GB"/>
              </w:rPr>
              <w:t>’</w:t>
            </w:r>
            <w:r w:rsidRPr="006076FC">
              <w:rPr>
                <w:i/>
                <w:iCs/>
                <w:sz w:val="18"/>
                <w:szCs w:val="18"/>
                <w:lang w:val="en-GB"/>
              </w:rPr>
              <w:t>s two flights. I used to do that twice, and that</w:t>
            </w:r>
            <w:r w:rsidR="001C5864" w:rsidRPr="006076FC">
              <w:rPr>
                <w:i/>
                <w:iCs/>
                <w:sz w:val="18"/>
                <w:szCs w:val="18"/>
                <w:lang w:val="en-GB"/>
              </w:rPr>
              <w:t>’</w:t>
            </w:r>
            <w:r w:rsidRPr="006076FC">
              <w:rPr>
                <w:i/>
                <w:iCs/>
                <w:sz w:val="18"/>
                <w:szCs w:val="18"/>
                <w:lang w:val="en-GB"/>
              </w:rPr>
              <w:t>d be just over five minutes.’</w:t>
            </w:r>
            <w:r w:rsidRPr="006076FC">
              <w:rPr>
                <w:sz w:val="18"/>
                <w:szCs w:val="18"/>
                <w:lang w:val="en-GB"/>
              </w:rPr>
              <w:t xml:space="preserve"> P.6.</w:t>
            </w:r>
          </w:p>
        </w:tc>
      </w:tr>
      <w:tr w:rsidR="00563CFC" w:rsidRPr="006076FC" w14:paraId="6040B5EB" w14:textId="77777777" w:rsidTr="008B2AB1">
        <w:trPr>
          <w:jc w:val="center"/>
        </w:trPr>
        <w:tc>
          <w:tcPr>
            <w:tcW w:w="0" w:type="auto"/>
            <w:vMerge/>
            <w:tcBorders>
              <w:left w:val="nil"/>
              <w:right w:val="nil"/>
            </w:tcBorders>
            <w:shd w:val="clear" w:color="auto" w:fill="auto"/>
            <w:vAlign w:val="center"/>
          </w:tcPr>
          <w:p w14:paraId="0212A188" w14:textId="77777777" w:rsidR="00563CFC" w:rsidRPr="006076FC" w:rsidRDefault="00563CFC" w:rsidP="008B2AB1">
            <w:pPr>
              <w:pStyle w:val="MDPI42tablebody"/>
              <w:autoSpaceDE w:val="0"/>
              <w:autoSpaceDN w:val="0"/>
              <w:spacing w:line="240" w:lineRule="auto"/>
              <w:jc w:val="left"/>
              <w:rPr>
                <w:sz w:val="18"/>
                <w:szCs w:val="18"/>
                <w:lang w:val="en-GB"/>
              </w:rPr>
            </w:pPr>
          </w:p>
        </w:tc>
        <w:tc>
          <w:tcPr>
            <w:tcW w:w="0" w:type="auto"/>
            <w:tcBorders>
              <w:top w:val="single" w:sz="4" w:space="0" w:color="FFFFFF"/>
              <w:left w:val="nil"/>
              <w:right w:val="nil"/>
            </w:tcBorders>
            <w:shd w:val="clear" w:color="auto" w:fill="auto"/>
            <w:vAlign w:val="center"/>
          </w:tcPr>
          <w:p w14:paraId="1FCB95DB" w14:textId="5899E7F9" w:rsidR="00563CFC" w:rsidRPr="006076FC" w:rsidRDefault="00563CFC" w:rsidP="001C5864">
            <w:pPr>
              <w:pStyle w:val="MDPI42tablebody"/>
              <w:numPr>
                <w:ilvl w:val="0"/>
                <w:numId w:val="12"/>
              </w:numPr>
              <w:autoSpaceDE w:val="0"/>
              <w:autoSpaceDN w:val="0"/>
              <w:spacing w:line="240" w:lineRule="auto"/>
              <w:ind w:left="425" w:hanging="425"/>
              <w:jc w:val="both"/>
              <w:rPr>
                <w:i/>
                <w:iCs/>
                <w:sz w:val="18"/>
                <w:szCs w:val="18"/>
                <w:lang w:val="en-GB"/>
              </w:rPr>
            </w:pPr>
            <w:r w:rsidRPr="006076FC">
              <w:rPr>
                <w:i/>
                <w:iCs/>
                <w:sz w:val="18"/>
                <w:szCs w:val="18"/>
                <w:lang w:val="en-GB"/>
              </w:rPr>
              <w:t>‘It was a prompt to get up and move, and rather than perhaps sending all your photocopying at the end of the day</w:t>
            </w:r>
            <w:r w:rsidR="004E7803" w:rsidRPr="006076FC">
              <w:rPr>
                <w:i/>
                <w:iCs/>
                <w:sz w:val="18"/>
                <w:szCs w:val="18"/>
                <w:lang w:val="en-GB"/>
              </w:rPr>
              <w:t xml:space="preserve"> </w:t>
            </w:r>
            <w:r w:rsidRPr="006076FC">
              <w:rPr>
                <w:i/>
                <w:iCs/>
                <w:sz w:val="18"/>
                <w:szCs w:val="18"/>
                <w:lang w:val="en-GB"/>
              </w:rPr>
              <w:t>[…] I</w:t>
            </w:r>
            <w:r w:rsidR="001C5864" w:rsidRPr="006076FC">
              <w:rPr>
                <w:i/>
                <w:iCs/>
                <w:sz w:val="18"/>
                <w:szCs w:val="18"/>
                <w:lang w:val="en-GB"/>
              </w:rPr>
              <w:t>’</w:t>
            </w:r>
            <w:r w:rsidRPr="006076FC">
              <w:rPr>
                <w:i/>
                <w:iCs/>
                <w:sz w:val="18"/>
                <w:szCs w:val="18"/>
                <w:lang w:val="en-GB"/>
              </w:rPr>
              <w:t>d probably go throughout the day, so I could utilise the [software] breaks, then I</w:t>
            </w:r>
            <w:r w:rsidR="001C5864" w:rsidRPr="006076FC">
              <w:rPr>
                <w:i/>
                <w:iCs/>
                <w:sz w:val="18"/>
                <w:szCs w:val="18"/>
                <w:lang w:val="en-GB"/>
              </w:rPr>
              <w:t>’</w:t>
            </w:r>
            <w:r w:rsidRPr="006076FC">
              <w:rPr>
                <w:i/>
                <w:iCs/>
                <w:sz w:val="18"/>
                <w:szCs w:val="18"/>
                <w:lang w:val="en-GB"/>
              </w:rPr>
              <w:t>ll go, and it was just a good way to get up and move, really.’</w:t>
            </w:r>
            <w:r w:rsidRPr="006076FC">
              <w:rPr>
                <w:sz w:val="18"/>
                <w:szCs w:val="18"/>
                <w:lang w:val="en-GB"/>
              </w:rPr>
              <w:t xml:space="preserve"> P.15.</w:t>
            </w:r>
          </w:p>
        </w:tc>
      </w:tr>
      <w:tr w:rsidR="00563CFC" w:rsidRPr="006076FC" w14:paraId="7DD3F5EE" w14:textId="77777777" w:rsidTr="008B2AB1">
        <w:trPr>
          <w:jc w:val="center"/>
        </w:trPr>
        <w:tc>
          <w:tcPr>
            <w:tcW w:w="0" w:type="auto"/>
            <w:vMerge w:val="restart"/>
            <w:tcBorders>
              <w:left w:val="nil"/>
              <w:right w:val="nil"/>
            </w:tcBorders>
            <w:shd w:val="clear" w:color="auto" w:fill="auto"/>
            <w:vAlign w:val="center"/>
          </w:tcPr>
          <w:p w14:paraId="2D8FF487" w14:textId="77777777" w:rsidR="00563CFC" w:rsidRPr="006076FC" w:rsidRDefault="00563CFC" w:rsidP="008B2AB1">
            <w:pPr>
              <w:pStyle w:val="MDPI42tablebody"/>
              <w:autoSpaceDE w:val="0"/>
              <w:autoSpaceDN w:val="0"/>
              <w:spacing w:line="240" w:lineRule="auto"/>
              <w:jc w:val="left"/>
              <w:rPr>
                <w:b/>
                <w:sz w:val="18"/>
                <w:szCs w:val="18"/>
                <w:lang w:val="en-GB"/>
              </w:rPr>
            </w:pPr>
            <w:r w:rsidRPr="006076FC">
              <w:rPr>
                <w:b/>
                <w:sz w:val="18"/>
                <w:szCs w:val="18"/>
                <w:lang w:val="en-GB"/>
              </w:rPr>
              <w:t xml:space="preserve">Impact on; </w:t>
            </w:r>
          </w:p>
          <w:p w14:paraId="06A4B810" w14:textId="78C2DE64" w:rsidR="00563CFC" w:rsidRPr="006076FC" w:rsidRDefault="00563CFC" w:rsidP="004E7803">
            <w:pPr>
              <w:pStyle w:val="MDPI42tablebody"/>
              <w:numPr>
                <w:ilvl w:val="0"/>
                <w:numId w:val="8"/>
              </w:numPr>
              <w:autoSpaceDE w:val="0"/>
              <w:autoSpaceDN w:val="0"/>
              <w:spacing w:before="120" w:line="240" w:lineRule="auto"/>
              <w:ind w:left="425" w:hanging="425"/>
              <w:jc w:val="both"/>
              <w:rPr>
                <w:b/>
                <w:sz w:val="18"/>
                <w:szCs w:val="18"/>
                <w:lang w:val="en-GB"/>
              </w:rPr>
            </w:pPr>
            <w:r w:rsidRPr="006076FC">
              <w:rPr>
                <w:b/>
                <w:sz w:val="18"/>
                <w:szCs w:val="18"/>
                <w:lang w:val="en-GB"/>
              </w:rPr>
              <w:t xml:space="preserve">Health, </w:t>
            </w:r>
            <w:r w:rsidR="00837C44">
              <w:rPr>
                <w:b/>
                <w:sz w:val="18"/>
                <w:szCs w:val="18"/>
                <w:lang w:val="en-GB"/>
              </w:rPr>
              <w:t>well-being</w:t>
            </w:r>
            <w:r w:rsidRPr="006076FC">
              <w:rPr>
                <w:b/>
                <w:sz w:val="18"/>
                <w:szCs w:val="18"/>
                <w:lang w:val="en-GB"/>
              </w:rPr>
              <w:t>;</w:t>
            </w:r>
          </w:p>
          <w:p w14:paraId="7835E931" w14:textId="66DA9B09" w:rsidR="00563CFC" w:rsidRPr="006076FC" w:rsidRDefault="00563CFC" w:rsidP="001C5864">
            <w:pPr>
              <w:pStyle w:val="MDPI42tablebody"/>
              <w:numPr>
                <w:ilvl w:val="0"/>
                <w:numId w:val="8"/>
              </w:numPr>
              <w:autoSpaceDE w:val="0"/>
              <w:autoSpaceDN w:val="0"/>
              <w:spacing w:line="240" w:lineRule="auto"/>
              <w:ind w:left="425" w:hanging="425"/>
              <w:jc w:val="both"/>
              <w:rPr>
                <w:b/>
                <w:sz w:val="18"/>
                <w:szCs w:val="18"/>
                <w:lang w:val="en-GB"/>
              </w:rPr>
            </w:pPr>
            <w:r w:rsidRPr="006076FC">
              <w:rPr>
                <w:b/>
                <w:sz w:val="18"/>
                <w:szCs w:val="18"/>
                <w:lang w:val="en-GB"/>
              </w:rPr>
              <w:t>Work</w:t>
            </w:r>
            <w:r w:rsidR="006C1571">
              <w:rPr>
                <w:b/>
                <w:sz w:val="18"/>
                <w:szCs w:val="18"/>
                <w:lang w:val="en-GB"/>
              </w:rPr>
              <w:t>-</w:t>
            </w:r>
            <w:r w:rsidRPr="006076FC">
              <w:rPr>
                <w:b/>
                <w:sz w:val="18"/>
                <w:szCs w:val="18"/>
                <w:lang w:val="en-GB"/>
              </w:rPr>
              <w:t xml:space="preserve">related outcomes </w:t>
            </w:r>
          </w:p>
        </w:tc>
        <w:tc>
          <w:tcPr>
            <w:tcW w:w="0" w:type="auto"/>
            <w:tcBorders>
              <w:left w:val="nil"/>
              <w:bottom w:val="single" w:sz="4" w:space="0" w:color="FFFFFF"/>
              <w:right w:val="nil"/>
            </w:tcBorders>
            <w:shd w:val="clear" w:color="auto" w:fill="auto"/>
            <w:vAlign w:val="center"/>
          </w:tcPr>
          <w:p w14:paraId="47400386" w14:textId="557B383D" w:rsidR="00563CFC" w:rsidRPr="006076FC" w:rsidRDefault="00563CFC" w:rsidP="001C5864">
            <w:pPr>
              <w:pStyle w:val="MDPI42tablebody"/>
              <w:numPr>
                <w:ilvl w:val="0"/>
                <w:numId w:val="11"/>
              </w:numPr>
              <w:autoSpaceDE w:val="0"/>
              <w:autoSpaceDN w:val="0"/>
              <w:spacing w:line="240" w:lineRule="auto"/>
              <w:ind w:left="425" w:hanging="425"/>
              <w:jc w:val="both"/>
              <w:rPr>
                <w:sz w:val="18"/>
                <w:szCs w:val="18"/>
                <w:lang w:val="en-GB"/>
              </w:rPr>
            </w:pPr>
            <w:r w:rsidRPr="006076FC">
              <w:rPr>
                <w:i/>
                <w:iCs/>
                <w:sz w:val="18"/>
                <w:szCs w:val="18"/>
                <w:lang w:val="en-GB"/>
              </w:rPr>
              <w:t>‘I did feel better. Just a bit of calm, bit of peace and quiet […] so it</w:t>
            </w:r>
            <w:r w:rsidR="001C5864" w:rsidRPr="006076FC">
              <w:rPr>
                <w:i/>
                <w:iCs/>
                <w:sz w:val="18"/>
                <w:szCs w:val="18"/>
                <w:lang w:val="en-GB"/>
              </w:rPr>
              <w:t>’</w:t>
            </w:r>
            <w:r w:rsidRPr="006076FC">
              <w:rPr>
                <w:i/>
                <w:iCs/>
                <w:sz w:val="18"/>
                <w:szCs w:val="18"/>
                <w:lang w:val="en-GB"/>
              </w:rPr>
              <w:t>s quite nice just to clear your head, and like I say, just get a bit of fresh air and stretch your legs.’</w:t>
            </w:r>
            <w:r w:rsidRPr="006076FC">
              <w:rPr>
                <w:sz w:val="18"/>
                <w:szCs w:val="18"/>
                <w:lang w:val="en-GB"/>
              </w:rPr>
              <w:t xml:space="preserve"> P.13.</w:t>
            </w:r>
          </w:p>
        </w:tc>
      </w:tr>
      <w:tr w:rsidR="00563CFC" w:rsidRPr="006076FC" w14:paraId="0A44D4C4" w14:textId="77777777" w:rsidTr="008B2AB1">
        <w:trPr>
          <w:jc w:val="center"/>
        </w:trPr>
        <w:tc>
          <w:tcPr>
            <w:tcW w:w="0" w:type="auto"/>
            <w:vMerge/>
            <w:tcBorders>
              <w:left w:val="nil"/>
              <w:right w:val="nil"/>
            </w:tcBorders>
            <w:shd w:val="clear" w:color="auto" w:fill="auto"/>
            <w:vAlign w:val="center"/>
          </w:tcPr>
          <w:p w14:paraId="478EABE3" w14:textId="77777777" w:rsidR="00563CFC" w:rsidRPr="006076FC" w:rsidRDefault="00563CFC" w:rsidP="008B2AB1">
            <w:pPr>
              <w:pStyle w:val="MDPI42tablebody"/>
              <w:autoSpaceDE w:val="0"/>
              <w:autoSpaceDN w:val="0"/>
              <w:spacing w:line="240" w:lineRule="auto"/>
              <w:jc w:val="left"/>
              <w:rPr>
                <w:sz w:val="18"/>
                <w:szCs w:val="18"/>
                <w:lang w:val="en-GB"/>
              </w:rPr>
            </w:pPr>
          </w:p>
        </w:tc>
        <w:tc>
          <w:tcPr>
            <w:tcW w:w="0" w:type="auto"/>
            <w:tcBorders>
              <w:top w:val="single" w:sz="4" w:space="0" w:color="FFFFFF"/>
              <w:left w:val="nil"/>
              <w:right w:val="nil"/>
            </w:tcBorders>
            <w:shd w:val="clear" w:color="auto" w:fill="auto"/>
            <w:vAlign w:val="center"/>
          </w:tcPr>
          <w:p w14:paraId="47650A31" w14:textId="23652748" w:rsidR="00563CFC" w:rsidRPr="006076FC" w:rsidRDefault="00563CFC" w:rsidP="001C5864">
            <w:pPr>
              <w:pStyle w:val="MDPI42tablebody"/>
              <w:numPr>
                <w:ilvl w:val="0"/>
                <w:numId w:val="11"/>
              </w:numPr>
              <w:autoSpaceDE w:val="0"/>
              <w:autoSpaceDN w:val="0"/>
              <w:spacing w:line="240" w:lineRule="auto"/>
              <w:ind w:left="425" w:hanging="425"/>
              <w:jc w:val="both"/>
              <w:rPr>
                <w:i/>
                <w:iCs/>
                <w:sz w:val="18"/>
                <w:szCs w:val="18"/>
                <w:lang w:val="en-GB"/>
              </w:rPr>
            </w:pPr>
            <w:r w:rsidRPr="006076FC">
              <w:rPr>
                <w:i/>
                <w:iCs/>
                <w:sz w:val="18"/>
                <w:szCs w:val="18"/>
                <w:lang w:val="en-GB"/>
              </w:rPr>
              <w:t>‘If I inadvertently was typing, and it [the software] came up, and I hit the carriage return or something, it became the active window, so therefore it launched straight away, rather than just sitting there</w:t>
            </w:r>
            <w:r w:rsidR="004E7803" w:rsidRPr="006076FC">
              <w:rPr>
                <w:i/>
                <w:iCs/>
                <w:sz w:val="18"/>
                <w:szCs w:val="18"/>
                <w:lang w:val="en-GB"/>
              </w:rPr>
              <w:t xml:space="preserve"> </w:t>
            </w:r>
            <w:r w:rsidRPr="006076FC">
              <w:rPr>
                <w:i/>
                <w:iCs/>
                <w:sz w:val="18"/>
                <w:szCs w:val="18"/>
                <w:lang w:val="en-GB"/>
              </w:rPr>
              <w:t>[…] I didn</w:t>
            </w:r>
            <w:r w:rsidR="001C5864" w:rsidRPr="006076FC">
              <w:rPr>
                <w:i/>
                <w:iCs/>
                <w:sz w:val="18"/>
                <w:szCs w:val="18"/>
                <w:lang w:val="en-GB"/>
              </w:rPr>
              <w:t>’</w:t>
            </w:r>
            <w:r w:rsidRPr="006076FC">
              <w:rPr>
                <w:i/>
                <w:iCs/>
                <w:sz w:val="18"/>
                <w:szCs w:val="18"/>
                <w:lang w:val="en-GB"/>
              </w:rPr>
              <w:t>t lose any work, it was just, frustrating.’</w:t>
            </w:r>
            <w:r w:rsidRPr="006076FC">
              <w:rPr>
                <w:sz w:val="18"/>
                <w:szCs w:val="18"/>
                <w:lang w:val="en-GB"/>
              </w:rPr>
              <w:t xml:space="preserve"> P.3.</w:t>
            </w:r>
          </w:p>
        </w:tc>
      </w:tr>
      <w:tr w:rsidR="00563CFC" w:rsidRPr="006076FC" w14:paraId="25F63F6E" w14:textId="77777777" w:rsidTr="008B2AB1">
        <w:trPr>
          <w:jc w:val="center"/>
        </w:trPr>
        <w:tc>
          <w:tcPr>
            <w:tcW w:w="0" w:type="auto"/>
            <w:vMerge w:val="restart"/>
            <w:tcBorders>
              <w:left w:val="nil"/>
              <w:right w:val="nil"/>
            </w:tcBorders>
            <w:shd w:val="clear" w:color="auto" w:fill="auto"/>
            <w:vAlign w:val="center"/>
          </w:tcPr>
          <w:p w14:paraId="0DA32A50" w14:textId="77777777" w:rsidR="00563CFC" w:rsidRPr="006076FC" w:rsidRDefault="00563CFC" w:rsidP="008B2AB1">
            <w:pPr>
              <w:pStyle w:val="MDPI42tablebody"/>
              <w:autoSpaceDE w:val="0"/>
              <w:autoSpaceDN w:val="0"/>
              <w:spacing w:line="240" w:lineRule="auto"/>
              <w:jc w:val="left"/>
              <w:rPr>
                <w:b/>
                <w:sz w:val="18"/>
                <w:szCs w:val="18"/>
                <w:lang w:val="en-GB"/>
              </w:rPr>
            </w:pPr>
            <w:r w:rsidRPr="006076FC">
              <w:rPr>
                <w:b/>
                <w:sz w:val="18"/>
                <w:szCs w:val="18"/>
                <w:lang w:val="en-GB"/>
              </w:rPr>
              <w:t>Maintenance of behaviour</w:t>
            </w:r>
          </w:p>
          <w:p w14:paraId="479B0100" w14:textId="77777777" w:rsidR="00563CFC" w:rsidRPr="006076FC" w:rsidRDefault="00563CFC" w:rsidP="004E7803">
            <w:pPr>
              <w:pStyle w:val="MDPI42tablebody"/>
              <w:numPr>
                <w:ilvl w:val="0"/>
                <w:numId w:val="9"/>
              </w:numPr>
              <w:autoSpaceDE w:val="0"/>
              <w:autoSpaceDN w:val="0"/>
              <w:spacing w:before="120" w:line="240" w:lineRule="auto"/>
              <w:ind w:left="425" w:hanging="425"/>
              <w:jc w:val="both"/>
              <w:rPr>
                <w:b/>
                <w:sz w:val="18"/>
                <w:szCs w:val="18"/>
                <w:lang w:val="en-GB"/>
              </w:rPr>
            </w:pPr>
            <w:r w:rsidRPr="006076FC">
              <w:rPr>
                <w:b/>
                <w:sz w:val="18"/>
                <w:szCs w:val="18"/>
                <w:lang w:val="en-GB"/>
              </w:rPr>
              <w:t>Reduced frequency of breaks</w:t>
            </w:r>
          </w:p>
          <w:p w14:paraId="208230D9" w14:textId="77777777" w:rsidR="00563CFC" w:rsidRPr="006076FC" w:rsidRDefault="00563CFC" w:rsidP="001C5864">
            <w:pPr>
              <w:pStyle w:val="MDPI42tablebody"/>
              <w:numPr>
                <w:ilvl w:val="0"/>
                <w:numId w:val="9"/>
              </w:numPr>
              <w:autoSpaceDE w:val="0"/>
              <w:autoSpaceDN w:val="0"/>
              <w:spacing w:line="240" w:lineRule="auto"/>
              <w:ind w:left="425" w:hanging="425"/>
              <w:jc w:val="both"/>
              <w:rPr>
                <w:b/>
                <w:sz w:val="18"/>
                <w:szCs w:val="18"/>
                <w:lang w:val="en-GB"/>
              </w:rPr>
            </w:pPr>
            <w:r w:rsidRPr="006076FC">
              <w:rPr>
                <w:b/>
                <w:sz w:val="18"/>
                <w:szCs w:val="18"/>
                <w:lang w:val="en-GB"/>
              </w:rPr>
              <w:t xml:space="preserve">Incorporating PA into breaks </w:t>
            </w:r>
          </w:p>
        </w:tc>
        <w:tc>
          <w:tcPr>
            <w:tcW w:w="0" w:type="auto"/>
            <w:tcBorders>
              <w:left w:val="nil"/>
              <w:bottom w:val="single" w:sz="4" w:space="0" w:color="FFFFFF"/>
              <w:right w:val="nil"/>
            </w:tcBorders>
            <w:shd w:val="clear" w:color="auto" w:fill="auto"/>
            <w:vAlign w:val="center"/>
          </w:tcPr>
          <w:p w14:paraId="3D98B220" w14:textId="17B15ECD" w:rsidR="00563CFC" w:rsidRPr="006076FC" w:rsidRDefault="00563CFC" w:rsidP="001C5864">
            <w:pPr>
              <w:pStyle w:val="MDPI42tablebody"/>
              <w:numPr>
                <w:ilvl w:val="0"/>
                <w:numId w:val="10"/>
              </w:numPr>
              <w:autoSpaceDE w:val="0"/>
              <w:autoSpaceDN w:val="0"/>
              <w:spacing w:line="240" w:lineRule="auto"/>
              <w:ind w:left="425" w:hanging="425"/>
              <w:jc w:val="both"/>
              <w:rPr>
                <w:sz w:val="18"/>
                <w:szCs w:val="18"/>
                <w:lang w:val="en-GB"/>
              </w:rPr>
            </w:pPr>
            <w:r w:rsidRPr="006076FC">
              <w:rPr>
                <w:i/>
                <w:iCs/>
                <w:sz w:val="18"/>
                <w:szCs w:val="18"/>
                <w:lang w:val="en-GB"/>
              </w:rPr>
              <w:t>‘Now the software</w:t>
            </w:r>
            <w:r w:rsidR="001C5864" w:rsidRPr="006076FC">
              <w:rPr>
                <w:i/>
                <w:iCs/>
                <w:sz w:val="18"/>
                <w:szCs w:val="18"/>
                <w:lang w:val="en-GB"/>
              </w:rPr>
              <w:t>’</w:t>
            </w:r>
            <w:r w:rsidRPr="006076FC">
              <w:rPr>
                <w:i/>
                <w:iCs/>
                <w:sz w:val="18"/>
                <w:szCs w:val="18"/>
                <w:lang w:val="en-GB"/>
              </w:rPr>
              <w:t>s disabled on my pc, it could be an hour and a half before I actually get up to take the break sort of thing, but I obviously will get up at some point, and obviously go and make myself and my colleague a drink or whatever, or I don</w:t>
            </w:r>
            <w:r w:rsidR="001C5864" w:rsidRPr="006076FC">
              <w:rPr>
                <w:i/>
                <w:iCs/>
                <w:sz w:val="18"/>
                <w:szCs w:val="18"/>
                <w:lang w:val="en-GB"/>
              </w:rPr>
              <w:t>’</w:t>
            </w:r>
            <w:r w:rsidRPr="006076FC">
              <w:rPr>
                <w:i/>
                <w:iCs/>
                <w:sz w:val="18"/>
                <w:szCs w:val="18"/>
                <w:lang w:val="en-GB"/>
              </w:rPr>
              <w:t>t tend to walk up and down the stairs now, but sometimes a trip to the loo or it</w:t>
            </w:r>
            <w:r w:rsidR="001C5864" w:rsidRPr="006076FC">
              <w:rPr>
                <w:i/>
                <w:iCs/>
                <w:sz w:val="18"/>
                <w:szCs w:val="18"/>
                <w:lang w:val="en-GB"/>
              </w:rPr>
              <w:t>’</w:t>
            </w:r>
            <w:r w:rsidRPr="006076FC">
              <w:rPr>
                <w:i/>
                <w:iCs/>
                <w:sz w:val="18"/>
                <w:szCs w:val="18"/>
                <w:lang w:val="en-GB"/>
              </w:rPr>
              <w:t>s a trip to the kitchen, that sort of thing.’</w:t>
            </w:r>
            <w:r w:rsidRPr="006076FC">
              <w:rPr>
                <w:sz w:val="18"/>
                <w:szCs w:val="18"/>
                <w:lang w:val="en-GB"/>
              </w:rPr>
              <w:t xml:space="preserve"> P.3.</w:t>
            </w:r>
          </w:p>
        </w:tc>
      </w:tr>
      <w:tr w:rsidR="00563CFC" w:rsidRPr="006076FC" w14:paraId="535BB59B" w14:textId="77777777" w:rsidTr="008B2AB1">
        <w:trPr>
          <w:jc w:val="center"/>
        </w:trPr>
        <w:tc>
          <w:tcPr>
            <w:tcW w:w="0" w:type="auto"/>
            <w:vMerge/>
            <w:tcBorders>
              <w:left w:val="nil"/>
              <w:bottom w:val="single" w:sz="8" w:space="0" w:color="auto"/>
              <w:right w:val="nil"/>
            </w:tcBorders>
            <w:shd w:val="clear" w:color="auto" w:fill="auto"/>
            <w:vAlign w:val="center"/>
          </w:tcPr>
          <w:p w14:paraId="72EC3593" w14:textId="77777777" w:rsidR="00563CFC" w:rsidRPr="006076FC" w:rsidRDefault="00563CFC" w:rsidP="008B2AB1">
            <w:pPr>
              <w:pStyle w:val="MDPI42tablebody"/>
              <w:autoSpaceDE w:val="0"/>
              <w:autoSpaceDN w:val="0"/>
              <w:spacing w:line="240" w:lineRule="auto"/>
              <w:jc w:val="left"/>
              <w:rPr>
                <w:sz w:val="18"/>
                <w:szCs w:val="18"/>
                <w:lang w:val="en-GB"/>
              </w:rPr>
            </w:pPr>
          </w:p>
        </w:tc>
        <w:tc>
          <w:tcPr>
            <w:tcW w:w="0" w:type="auto"/>
            <w:tcBorders>
              <w:top w:val="single" w:sz="4" w:space="0" w:color="FFFFFF"/>
              <w:left w:val="nil"/>
              <w:bottom w:val="single" w:sz="8" w:space="0" w:color="auto"/>
              <w:right w:val="nil"/>
            </w:tcBorders>
            <w:shd w:val="clear" w:color="auto" w:fill="auto"/>
            <w:vAlign w:val="center"/>
          </w:tcPr>
          <w:p w14:paraId="6AD047B4" w14:textId="0A8E994C" w:rsidR="00563CFC" w:rsidRPr="006076FC" w:rsidRDefault="00563CFC" w:rsidP="001C5864">
            <w:pPr>
              <w:pStyle w:val="MDPI42tablebody"/>
              <w:numPr>
                <w:ilvl w:val="0"/>
                <w:numId w:val="10"/>
              </w:numPr>
              <w:autoSpaceDE w:val="0"/>
              <w:autoSpaceDN w:val="0"/>
              <w:spacing w:line="240" w:lineRule="auto"/>
              <w:ind w:left="425" w:hanging="425"/>
              <w:jc w:val="both"/>
              <w:rPr>
                <w:i/>
                <w:iCs/>
                <w:sz w:val="18"/>
                <w:szCs w:val="18"/>
                <w:lang w:val="en-GB"/>
              </w:rPr>
            </w:pPr>
            <w:r w:rsidRPr="006076FC">
              <w:rPr>
                <w:i/>
                <w:iCs/>
                <w:sz w:val="18"/>
                <w:szCs w:val="18"/>
                <w:lang w:val="en-GB"/>
              </w:rPr>
              <w:t>‘[Since completing the trial] I still go out every day, so that</w:t>
            </w:r>
            <w:r w:rsidR="001C5864" w:rsidRPr="006076FC">
              <w:rPr>
                <w:i/>
                <w:iCs/>
                <w:sz w:val="18"/>
                <w:szCs w:val="18"/>
                <w:lang w:val="en-GB"/>
              </w:rPr>
              <w:t>’</w:t>
            </w:r>
            <w:r w:rsidRPr="006076FC">
              <w:rPr>
                <w:i/>
                <w:iCs/>
                <w:sz w:val="18"/>
                <w:szCs w:val="18"/>
                <w:lang w:val="en-GB"/>
              </w:rPr>
              <w:t>s good.’</w:t>
            </w:r>
            <w:r w:rsidRPr="006076FC">
              <w:rPr>
                <w:sz w:val="18"/>
                <w:szCs w:val="18"/>
                <w:lang w:val="en-GB"/>
              </w:rPr>
              <w:t xml:space="preserve"> P.12.</w:t>
            </w:r>
          </w:p>
        </w:tc>
      </w:tr>
    </w:tbl>
    <w:p w14:paraId="1D7E7F2C" w14:textId="77777777" w:rsidR="000D0FB1" w:rsidRPr="006076FC" w:rsidRDefault="000D0FB1">
      <w:pPr>
        <w:spacing w:line="240" w:lineRule="auto"/>
        <w:jc w:val="left"/>
        <w:rPr>
          <w:rFonts w:ascii="Palatino Linotype" w:hAnsi="Palatino Linotype"/>
          <w:i/>
          <w:noProof/>
          <w:snapToGrid w:val="0"/>
          <w:sz w:val="20"/>
          <w:szCs w:val="22"/>
          <w:lang w:val="en-GB" w:bidi="en-US"/>
        </w:rPr>
      </w:pPr>
      <w:r w:rsidRPr="006076FC">
        <w:rPr>
          <w:lang w:val="en-GB"/>
        </w:rPr>
        <w:br w:type="page"/>
      </w:r>
    </w:p>
    <w:p w14:paraId="0052E6D6" w14:textId="580C99B5" w:rsidR="00563CFC" w:rsidRPr="006076FC" w:rsidRDefault="008B2AB1" w:rsidP="008B2AB1">
      <w:pPr>
        <w:pStyle w:val="MDPI22heading2"/>
        <w:rPr>
          <w:color w:val="auto"/>
          <w:lang w:val="en-GB" w:eastAsia="en-US"/>
        </w:rPr>
      </w:pPr>
      <w:r w:rsidRPr="006076FC">
        <w:rPr>
          <w:lang w:val="en-GB"/>
        </w:rPr>
        <w:lastRenderedPageBreak/>
        <w:t xml:space="preserve">3.3. </w:t>
      </w:r>
      <w:r w:rsidR="00563CFC" w:rsidRPr="006076FC">
        <w:rPr>
          <w:lang w:val="en-GB"/>
        </w:rPr>
        <w:t>e-Health Software Usage</w:t>
      </w:r>
    </w:p>
    <w:p w14:paraId="076E45F6" w14:textId="59761475" w:rsidR="00563CFC" w:rsidRPr="006076FC" w:rsidRDefault="00563CFC" w:rsidP="008B2AB1">
      <w:pPr>
        <w:pStyle w:val="MDPI31text"/>
        <w:rPr>
          <w:lang w:val="en-GB"/>
        </w:rPr>
      </w:pPr>
      <w:r w:rsidRPr="006076FC">
        <w:rPr>
          <w:lang w:val="en-GB"/>
        </w:rPr>
        <w:t xml:space="preserve">Week-by-week data for the number and duration of breaks recorded by participants from the automated software are shown in Figure 4. Over the </w:t>
      </w:r>
      <w:proofErr w:type="gramStart"/>
      <w:r w:rsidR="00756DBF">
        <w:rPr>
          <w:lang w:val="en-GB"/>
        </w:rPr>
        <w:t>8 week</w:t>
      </w:r>
      <w:proofErr w:type="gramEnd"/>
      <w:r w:rsidRPr="006076FC">
        <w:rPr>
          <w:lang w:val="en-GB"/>
        </w:rPr>
        <w:t xml:space="preserve"> intervention, the automated software recorded a daily average of 8.0</w:t>
      </w:r>
      <w:r w:rsidR="001C5864" w:rsidRPr="006076FC">
        <w:rPr>
          <w:lang w:val="en-GB"/>
        </w:rPr>
        <w:t xml:space="preserve"> ± </w:t>
      </w:r>
      <w:r w:rsidRPr="006076FC">
        <w:rPr>
          <w:lang w:val="en-GB"/>
        </w:rPr>
        <w:t xml:space="preserve">3.1 </w:t>
      </w:r>
      <w:r w:rsidR="001C5864" w:rsidRPr="006076FC">
        <w:rPr>
          <w:lang w:val="en-GB"/>
        </w:rPr>
        <w:t>min</w:t>
      </w:r>
      <w:r w:rsidRPr="006076FC">
        <w:rPr>
          <w:lang w:val="en-GB"/>
        </w:rPr>
        <w:t xml:space="preserve"> of breaks from sitting, as assessed by standing or stepping time, achieved over 5.8</w:t>
      </w:r>
      <w:r w:rsidR="001C5864" w:rsidRPr="006076FC">
        <w:rPr>
          <w:lang w:val="en-GB"/>
        </w:rPr>
        <w:t xml:space="preserve"> ± </w:t>
      </w:r>
      <w:r w:rsidRPr="006076FC">
        <w:rPr>
          <w:lang w:val="en-GB"/>
        </w:rPr>
        <w:t>1.2 breaks per day. This equated to 172.4</w:t>
      </w:r>
      <w:r w:rsidR="001C5864" w:rsidRPr="006076FC">
        <w:rPr>
          <w:lang w:val="en-GB"/>
        </w:rPr>
        <w:t xml:space="preserve"> ± </w:t>
      </w:r>
      <w:r w:rsidRPr="006076FC">
        <w:rPr>
          <w:lang w:val="en-GB"/>
        </w:rPr>
        <w:t xml:space="preserve">67.4 </w:t>
      </w:r>
      <w:r w:rsidR="001C5864" w:rsidRPr="006076FC">
        <w:rPr>
          <w:lang w:val="en-GB"/>
        </w:rPr>
        <w:t>min</w:t>
      </w:r>
      <w:r w:rsidRPr="006076FC">
        <w:rPr>
          <w:lang w:val="en-GB"/>
        </w:rPr>
        <w:t xml:space="preserve"> taking breaks per week, over 24.7</w:t>
      </w:r>
      <w:r w:rsidR="001C5864" w:rsidRPr="006076FC">
        <w:rPr>
          <w:lang w:val="en-GB"/>
        </w:rPr>
        <w:t xml:space="preserve"> ± </w:t>
      </w:r>
      <w:r w:rsidRPr="006076FC">
        <w:rPr>
          <w:lang w:val="en-GB"/>
        </w:rPr>
        <w:t xml:space="preserve">6.5 breaks. The corresponding </w:t>
      </w:r>
      <w:proofErr w:type="spellStart"/>
      <w:r w:rsidRPr="006076FC">
        <w:rPr>
          <w:lang w:val="en-GB"/>
        </w:rPr>
        <w:t>activPAL</w:t>
      </w:r>
      <w:proofErr w:type="spellEnd"/>
      <w:r w:rsidRPr="006076FC">
        <w:rPr>
          <w:lang w:val="en-GB"/>
        </w:rPr>
        <w:t xml:space="preserve"> data from </w:t>
      </w:r>
      <w:r w:rsidR="00E154E5">
        <w:rPr>
          <w:lang w:val="en-GB"/>
        </w:rPr>
        <w:t>w</w:t>
      </w:r>
      <w:r w:rsidR="00E154E5" w:rsidRPr="006076FC">
        <w:rPr>
          <w:lang w:val="en-GB"/>
        </w:rPr>
        <w:t xml:space="preserve">eek </w:t>
      </w:r>
      <w:r w:rsidRPr="006076FC">
        <w:rPr>
          <w:lang w:val="en-GB"/>
        </w:rPr>
        <w:t xml:space="preserve">8 of the intervention indicated that participants took a break from sitting for 68.0% of the breaks that were logged. Of these breaks with corresponding objective </w:t>
      </w:r>
      <w:proofErr w:type="spellStart"/>
      <w:r w:rsidRPr="006076FC">
        <w:rPr>
          <w:lang w:val="en-GB"/>
        </w:rPr>
        <w:t>activPAL</w:t>
      </w:r>
      <w:proofErr w:type="spellEnd"/>
      <w:r w:rsidRPr="006076FC">
        <w:rPr>
          <w:lang w:val="en-GB"/>
        </w:rPr>
        <w:t xml:space="preserve"> data, the break duration recorded by the software (108.8</w:t>
      </w:r>
      <w:r w:rsidR="001C5864" w:rsidRPr="006076FC">
        <w:rPr>
          <w:lang w:val="en-GB"/>
        </w:rPr>
        <w:t xml:space="preserve"> ± </w:t>
      </w:r>
      <w:r w:rsidRPr="006076FC">
        <w:rPr>
          <w:lang w:val="en-GB"/>
        </w:rPr>
        <w:t xml:space="preserve">83.9 </w:t>
      </w:r>
      <w:r w:rsidR="001C5864" w:rsidRPr="006076FC">
        <w:rPr>
          <w:lang w:val="en-GB"/>
        </w:rPr>
        <w:t>min</w:t>
      </w:r>
      <w:r w:rsidRPr="006076FC">
        <w:rPr>
          <w:lang w:val="en-GB"/>
        </w:rPr>
        <w:t xml:space="preserve">/week) was higher than that recorded by the </w:t>
      </w:r>
      <w:proofErr w:type="spellStart"/>
      <w:r w:rsidRPr="006076FC">
        <w:rPr>
          <w:lang w:val="en-GB"/>
        </w:rPr>
        <w:t>activPAL</w:t>
      </w:r>
      <w:proofErr w:type="spellEnd"/>
      <w:r w:rsidRPr="006076FC">
        <w:rPr>
          <w:lang w:val="en-GB"/>
        </w:rPr>
        <w:t xml:space="preserve"> (97.2</w:t>
      </w:r>
      <w:r w:rsidR="001C5864" w:rsidRPr="006076FC">
        <w:rPr>
          <w:lang w:val="en-GB"/>
        </w:rPr>
        <w:t xml:space="preserve"> ± </w:t>
      </w:r>
      <w:r w:rsidRPr="006076FC">
        <w:rPr>
          <w:lang w:val="en-GB"/>
        </w:rPr>
        <w:t xml:space="preserve">70.6 </w:t>
      </w:r>
      <w:r w:rsidR="001C5864" w:rsidRPr="006076FC">
        <w:rPr>
          <w:lang w:val="en-GB"/>
        </w:rPr>
        <w:t>min</w:t>
      </w:r>
      <w:r w:rsidRPr="006076FC">
        <w:rPr>
          <w:lang w:val="en-GB"/>
        </w:rPr>
        <w:t xml:space="preserve">/week, </w:t>
      </w:r>
      <w:r w:rsidRPr="006076FC">
        <w:rPr>
          <w:i/>
          <w:lang w:val="en-GB"/>
        </w:rPr>
        <w:t>d</w:t>
      </w:r>
      <w:r w:rsidR="004B2F71" w:rsidRPr="006076FC">
        <w:rPr>
          <w:lang w:val="en-GB"/>
        </w:rPr>
        <w:t xml:space="preserve"> </w:t>
      </w:r>
      <w:r w:rsidRPr="006076FC">
        <w:rPr>
          <w:lang w:val="en-GB"/>
        </w:rPr>
        <w:t>=</w:t>
      </w:r>
      <w:r w:rsidR="004B2F71" w:rsidRPr="006076FC">
        <w:rPr>
          <w:lang w:val="en-GB"/>
        </w:rPr>
        <w:t xml:space="preserve"> </w:t>
      </w:r>
      <w:r w:rsidRPr="006076FC">
        <w:rPr>
          <w:lang w:val="en-GB"/>
        </w:rPr>
        <w:t>0.16).</w:t>
      </w:r>
    </w:p>
    <w:p w14:paraId="2C7E93E9" w14:textId="77777777" w:rsidR="00563CFC" w:rsidRPr="006076FC" w:rsidRDefault="00563CFC" w:rsidP="000D0FB1">
      <w:pPr>
        <w:pStyle w:val="MDPI52figure"/>
        <w:adjustRightInd w:val="0"/>
        <w:snapToGrid w:val="0"/>
        <w:spacing w:before="240"/>
        <w:rPr>
          <w:lang w:val="en-GB"/>
        </w:rPr>
      </w:pPr>
      <w:r w:rsidRPr="006076FC">
        <w:rPr>
          <w:noProof/>
          <w:snapToGrid/>
          <w:lang w:val="en-GB" w:eastAsia="zh-CN" w:bidi="ar-SA"/>
        </w:rPr>
        <w:drawing>
          <wp:inline distT="0" distB="0" distL="0" distR="0" wp14:anchorId="71CEB3F5" wp14:editId="21DAA016">
            <wp:extent cx="4256405" cy="4222750"/>
            <wp:effectExtent l="0" t="0" r="0" b="635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l="4242" t="4584" r="1697" b="1173"/>
                    <a:stretch>
                      <a:fillRect/>
                    </a:stretch>
                  </pic:blipFill>
                  <pic:spPr bwMode="auto">
                    <a:xfrm>
                      <a:off x="0" y="0"/>
                      <a:ext cx="4256405" cy="4222750"/>
                    </a:xfrm>
                    <a:prstGeom prst="rect">
                      <a:avLst/>
                    </a:prstGeom>
                    <a:noFill/>
                    <a:ln>
                      <a:noFill/>
                    </a:ln>
                  </pic:spPr>
                </pic:pic>
              </a:graphicData>
            </a:graphic>
          </wp:inline>
        </w:drawing>
      </w:r>
    </w:p>
    <w:p w14:paraId="0EFD1393" w14:textId="51B5A6C6" w:rsidR="00563CFC" w:rsidRPr="006076FC" w:rsidRDefault="008B2AB1" w:rsidP="008B2AB1">
      <w:pPr>
        <w:pStyle w:val="MDPI51figurecaption"/>
        <w:rPr>
          <w:lang w:val="en-GB"/>
        </w:rPr>
      </w:pPr>
      <w:r w:rsidRPr="006076FC">
        <w:rPr>
          <w:b/>
          <w:bCs/>
          <w:lang w:val="en-GB"/>
        </w:rPr>
        <w:t xml:space="preserve">Figure 4. </w:t>
      </w:r>
      <w:r w:rsidR="00563CFC" w:rsidRPr="006076FC">
        <w:rPr>
          <w:lang w:val="en-GB"/>
        </w:rPr>
        <w:t>Weekly e-health software data for (</w:t>
      </w:r>
      <w:r w:rsidR="00563CFC" w:rsidRPr="006076FC">
        <w:rPr>
          <w:b/>
          <w:lang w:val="en-GB"/>
        </w:rPr>
        <w:t>a</w:t>
      </w:r>
      <w:r w:rsidR="00563CFC" w:rsidRPr="006076FC">
        <w:rPr>
          <w:lang w:val="en-GB"/>
        </w:rPr>
        <w:t>) the number of breaks recorded, and (</w:t>
      </w:r>
      <w:r w:rsidR="00563CFC" w:rsidRPr="006076FC">
        <w:rPr>
          <w:b/>
          <w:lang w:val="en-GB"/>
        </w:rPr>
        <w:t>b</w:t>
      </w:r>
      <w:r w:rsidR="00563CFC" w:rsidRPr="006076FC">
        <w:rPr>
          <w:lang w:val="en-GB"/>
        </w:rPr>
        <w:t xml:space="preserve">) the total duration of the breaks </w:t>
      </w:r>
      <w:r w:rsidR="00003DFB">
        <w:rPr>
          <w:lang w:val="en-GB"/>
        </w:rPr>
        <w:t xml:space="preserve">(mean </w:t>
      </w:r>
      <w:r w:rsidR="001C5864" w:rsidRPr="006076FC">
        <w:rPr>
          <w:lang w:val="en-GB"/>
        </w:rPr>
        <w:t xml:space="preserve">± </w:t>
      </w:r>
      <w:r w:rsidR="00563CFC" w:rsidRPr="006076FC">
        <w:rPr>
          <w:lang w:val="en-GB"/>
        </w:rPr>
        <w:t>SD).</w:t>
      </w:r>
    </w:p>
    <w:p w14:paraId="1DE4B300" w14:textId="0AD3704C" w:rsidR="00563CFC" w:rsidRPr="006076FC" w:rsidRDefault="008B2AB1" w:rsidP="008B2AB1">
      <w:pPr>
        <w:pStyle w:val="MDPI22heading2"/>
        <w:rPr>
          <w:color w:val="auto"/>
          <w:lang w:val="en-GB" w:eastAsia="en-US"/>
        </w:rPr>
      </w:pPr>
      <w:r w:rsidRPr="006076FC">
        <w:rPr>
          <w:lang w:val="en-GB"/>
        </w:rPr>
        <w:t xml:space="preserve">3.4. </w:t>
      </w:r>
      <w:r w:rsidR="00563CFC" w:rsidRPr="006076FC">
        <w:rPr>
          <w:lang w:val="en-GB"/>
        </w:rPr>
        <w:t>Sitting, Standing and Stepping Time</w:t>
      </w:r>
    </w:p>
    <w:p w14:paraId="69B3D8DB" w14:textId="7AA12F3A" w:rsidR="00563CFC" w:rsidRPr="006076FC" w:rsidRDefault="00563CFC" w:rsidP="008B2AB1">
      <w:pPr>
        <w:pStyle w:val="MDPI31text"/>
        <w:rPr>
          <w:lang w:val="en-GB"/>
        </w:rPr>
      </w:pPr>
      <w:r w:rsidRPr="006076FC">
        <w:rPr>
          <w:lang w:val="en-GB"/>
        </w:rPr>
        <w:t>The time spent sitting, standing and stepping during work hours are presented in Table 3. Large effects were observed for the change in total minutes (</w:t>
      </w:r>
      <w:r w:rsidR="004B2F71" w:rsidRPr="006076FC">
        <w:rPr>
          <w:i/>
          <w:iCs/>
          <w:lang w:val="en-GB"/>
        </w:rPr>
        <w:t xml:space="preserve">d = </w:t>
      </w:r>
      <w:r w:rsidRPr="006076FC">
        <w:rPr>
          <w:lang w:val="en-GB"/>
        </w:rPr>
        <w:t>0.92) and the percentage of work hours (</w:t>
      </w:r>
      <w:r w:rsidR="004B2F71" w:rsidRPr="006076FC">
        <w:rPr>
          <w:i/>
          <w:iCs/>
          <w:lang w:val="en-GB"/>
        </w:rPr>
        <w:t xml:space="preserve">d = </w:t>
      </w:r>
      <w:r w:rsidRPr="006076FC">
        <w:rPr>
          <w:lang w:val="en-GB"/>
        </w:rPr>
        <w:t>0.89) spent sitting in favour of Intervention. Large effects were also observed for the change in total minutes (</w:t>
      </w:r>
      <w:r w:rsidR="004B2F71" w:rsidRPr="006076FC">
        <w:rPr>
          <w:i/>
          <w:iCs/>
          <w:lang w:val="en-GB"/>
        </w:rPr>
        <w:t xml:space="preserve">d = </w:t>
      </w:r>
      <w:r w:rsidRPr="006076FC">
        <w:rPr>
          <w:lang w:val="en-GB"/>
        </w:rPr>
        <w:t>0.88) and the percentage of work hours (</w:t>
      </w:r>
      <w:r w:rsidR="004B2F71" w:rsidRPr="006076FC">
        <w:rPr>
          <w:i/>
          <w:iCs/>
          <w:lang w:val="en-GB"/>
        </w:rPr>
        <w:t xml:space="preserve">d = </w:t>
      </w:r>
      <w:r w:rsidRPr="006076FC">
        <w:rPr>
          <w:lang w:val="en-GB"/>
        </w:rPr>
        <w:t xml:space="preserve">0.87) spent standing in favour of Intervention. The effect sizes for all other outcomes were small. The number and total duration of sitting, standing and stepping bouts during work hours are presented in Table 4. There were large effects for the change in the </w:t>
      </w:r>
      <w:r w:rsidRPr="006076FC">
        <w:rPr>
          <w:lang w:val="en-GB"/>
        </w:rPr>
        <w:t xml:space="preserve">number of standing bouts lasting 0-30 </w:t>
      </w:r>
      <w:r w:rsidR="001C5864" w:rsidRPr="006076FC">
        <w:rPr>
          <w:lang w:val="en-GB"/>
        </w:rPr>
        <w:t>min</w:t>
      </w:r>
      <w:r w:rsidRPr="006076FC">
        <w:rPr>
          <w:lang w:val="en-GB"/>
        </w:rPr>
        <w:t xml:space="preserve"> (</w:t>
      </w:r>
      <w:r w:rsidR="004B2F71" w:rsidRPr="006076FC">
        <w:rPr>
          <w:i/>
          <w:iCs/>
          <w:lang w:val="en-GB"/>
        </w:rPr>
        <w:t xml:space="preserve">d = </w:t>
      </w:r>
      <w:r w:rsidRPr="006076FC">
        <w:rPr>
          <w:lang w:val="en-GB"/>
        </w:rPr>
        <w:t>0.84) and the number (</w:t>
      </w:r>
      <w:r w:rsidR="004B2F71" w:rsidRPr="006076FC">
        <w:rPr>
          <w:i/>
          <w:iCs/>
          <w:lang w:val="en-GB"/>
        </w:rPr>
        <w:t xml:space="preserve">d = </w:t>
      </w:r>
      <w:r w:rsidRPr="006076FC">
        <w:rPr>
          <w:lang w:val="en-GB"/>
        </w:rPr>
        <w:t xml:space="preserve">0.99) and duration </w:t>
      </w:r>
      <w:r w:rsidR="007A087B" w:rsidRPr="006076FC">
        <w:rPr>
          <w:lang w:val="en-GB"/>
        </w:rPr>
        <w:t>(</w:t>
      </w:r>
      <w:r w:rsidR="007A087B" w:rsidRPr="006076FC">
        <w:rPr>
          <w:i/>
          <w:iCs/>
          <w:lang w:val="en-GB"/>
        </w:rPr>
        <w:t xml:space="preserve">d = </w:t>
      </w:r>
      <w:r w:rsidR="007A087B" w:rsidRPr="006076FC">
        <w:rPr>
          <w:lang w:val="en-GB"/>
        </w:rPr>
        <w:t xml:space="preserve">1.40) </w:t>
      </w:r>
      <w:r w:rsidRPr="006076FC">
        <w:rPr>
          <w:lang w:val="en-GB"/>
        </w:rPr>
        <w:t xml:space="preserve">of standing bouts lasting &gt;30 </w:t>
      </w:r>
      <w:r w:rsidR="001C5864" w:rsidRPr="006076FC">
        <w:rPr>
          <w:lang w:val="en-GB"/>
        </w:rPr>
        <w:t>min</w:t>
      </w:r>
      <w:r w:rsidRPr="006076FC">
        <w:rPr>
          <w:lang w:val="en-GB"/>
        </w:rPr>
        <w:t xml:space="preserve"> in favour of Intervention. Large effects were also observed for the change in the number of stepping bouts lasting 0</w:t>
      </w:r>
      <w:r w:rsidR="004B2F71" w:rsidRPr="006076FC">
        <w:rPr>
          <w:lang w:val="en-GB"/>
        </w:rPr>
        <w:t>–</w:t>
      </w:r>
      <w:r w:rsidRPr="006076FC">
        <w:rPr>
          <w:lang w:val="en-GB"/>
        </w:rPr>
        <w:t xml:space="preserve">30 </w:t>
      </w:r>
      <w:r w:rsidR="001C5864" w:rsidRPr="006076FC">
        <w:rPr>
          <w:lang w:val="en-GB"/>
        </w:rPr>
        <w:t>min</w:t>
      </w:r>
      <w:r w:rsidRPr="006076FC">
        <w:rPr>
          <w:lang w:val="en-GB"/>
        </w:rPr>
        <w:t xml:space="preserve"> (</w:t>
      </w:r>
      <w:r w:rsidR="004B2F71" w:rsidRPr="006076FC">
        <w:rPr>
          <w:i/>
          <w:iCs/>
          <w:lang w:val="en-GB"/>
        </w:rPr>
        <w:t xml:space="preserve">d = </w:t>
      </w:r>
      <w:r w:rsidRPr="006076FC">
        <w:rPr>
          <w:lang w:val="en-GB"/>
        </w:rPr>
        <w:t>1.08) and the number of MVPA stepping bouts last</w:t>
      </w:r>
      <w:r w:rsidR="007A087B">
        <w:rPr>
          <w:lang w:val="en-GB"/>
        </w:rPr>
        <w:t>ing</w:t>
      </w:r>
      <w:r w:rsidRPr="006076FC">
        <w:rPr>
          <w:lang w:val="en-GB"/>
        </w:rPr>
        <w:t xml:space="preserve"> 0</w:t>
      </w:r>
      <w:r w:rsidR="004B2F71" w:rsidRPr="006076FC">
        <w:rPr>
          <w:lang w:val="en-GB"/>
        </w:rPr>
        <w:t>–</w:t>
      </w:r>
      <w:r w:rsidRPr="006076FC">
        <w:rPr>
          <w:lang w:val="en-GB"/>
        </w:rPr>
        <w:t xml:space="preserve">10 </w:t>
      </w:r>
      <w:r w:rsidR="001C5864" w:rsidRPr="006076FC">
        <w:rPr>
          <w:lang w:val="en-GB"/>
        </w:rPr>
        <w:t>min</w:t>
      </w:r>
      <w:r w:rsidRPr="006076FC">
        <w:rPr>
          <w:lang w:val="en-GB"/>
        </w:rPr>
        <w:t xml:space="preserve"> (</w:t>
      </w:r>
      <w:r w:rsidR="004B2F71" w:rsidRPr="006076FC">
        <w:rPr>
          <w:i/>
          <w:iCs/>
          <w:lang w:val="en-GB"/>
        </w:rPr>
        <w:t xml:space="preserve">d = </w:t>
      </w:r>
      <w:r w:rsidRPr="006076FC">
        <w:rPr>
          <w:lang w:val="en-GB"/>
        </w:rPr>
        <w:t>1.13) in favour of Intervention. The effect sizes for all other outcomes were medium or small.</w:t>
      </w:r>
    </w:p>
    <w:p w14:paraId="3393478D" w14:textId="77777777" w:rsidR="00563CFC" w:rsidRPr="006076FC" w:rsidRDefault="00563CFC" w:rsidP="00563CFC">
      <w:pPr>
        <w:rPr>
          <w:rFonts w:eastAsia="SimSun"/>
          <w:highlight w:val="red"/>
          <w:lang w:val="en-GB"/>
        </w:rPr>
        <w:sectPr w:rsidR="00563CFC" w:rsidRPr="006076FC" w:rsidSect="00563CFC">
          <w:headerReference w:type="even" r:id="rId15"/>
          <w:headerReference w:type="default" r:id="rId16"/>
          <w:footerReference w:type="default" r:id="rId17"/>
          <w:headerReference w:type="first" r:id="rId18"/>
          <w:footerReference w:type="first" r:id="rId19"/>
          <w:pgSz w:w="11906" w:h="16838" w:code="9"/>
          <w:pgMar w:top="1417" w:right="1531" w:bottom="1077" w:left="1531" w:header="1020" w:footer="850" w:gutter="0"/>
          <w:pgNumType w:start="1"/>
          <w:cols w:space="425"/>
          <w:titlePg/>
          <w:docGrid w:type="lines" w:linePitch="326"/>
        </w:sectPr>
      </w:pPr>
    </w:p>
    <w:p w14:paraId="342CC34A" w14:textId="043E5D26" w:rsidR="00563CFC" w:rsidRPr="006076FC" w:rsidRDefault="008B2AB1" w:rsidP="008B2AB1">
      <w:pPr>
        <w:pStyle w:val="MDPI41tablecaption"/>
        <w:jc w:val="center"/>
        <w:rPr>
          <w:bCs/>
          <w:lang w:val="en-GB"/>
        </w:rPr>
      </w:pPr>
      <w:r w:rsidRPr="006076FC">
        <w:rPr>
          <w:b/>
          <w:bCs/>
          <w:lang w:val="en-GB"/>
        </w:rPr>
        <w:lastRenderedPageBreak/>
        <w:t xml:space="preserve">Table 3. </w:t>
      </w:r>
      <w:r w:rsidR="00563CFC" w:rsidRPr="006076FC">
        <w:rPr>
          <w:lang w:val="en-GB"/>
        </w:rPr>
        <w:t xml:space="preserve">Time spent sitting, standing and stepping during work hours at the start (PRE) and during </w:t>
      </w:r>
      <w:r w:rsidR="00E154E5">
        <w:rPr>
          <w:lang w:val="en-GB"/>
        </w:rPr>
        <w:t>w</w:t>
      </w:r>
      <w:r w:rsidR="00E154E5" w:rsidRPr="006076FC">
        <w:rPr>
          <w:lang w:val="en-GB"/>
        </w:rPr>
        <w:t xml:space="preserve">eek </w:t>
      </w:r>
      <w:r w:rsidR="00563CFC" w:rsidRPr="006076FC">
        <w:rPr>
          <w:lang w:val="en-GB"/>
        </w:rPr>
        <w:t xml:space="preserve">8 of the Control and Intervention trials </w:t>
      </w:r>
      <w:r w:rsidR="00003DFB">
        <w:rPr>
          <w:lang w:val="en-GB"/>
        </w:rPr>
        <w:t xml:space="preserve">(mean </w:t>
      </w:r>
      <w:r w:rsidR="001C5864" w:rsidRPr="006076FC">
        <w:rPr>
          <w:lang w:val="en-GB"/>
        </w:rPr>
        <w:t xml:space="preserve">± </w:t>
      </w:r>
      <w:r w:rsidR="00563CFC" w:rsidRPr="006076FC">
        <w:rPr>
          <w:bCs/>
          <w:lang w:val="en-GB"/>
        </w:rPr>
        <w:t>SD).</w:t>
      </w:r>
    </w:p>
    <w:tbl>
      <w:tblPr>
        <w:tblW w:w="13608" w:type="dxa"/>
        <w:jc w:val="center"/>
        <w:tblBorders>
          <w:top w:val="single" w:sz="4" w:space="0" w:color="7F7F7F"/>
          <w:bottom w:val="single" w:sz="4" w:space="0" w:color="7F7F7F"/>
        </w:tblBorders>
        <w:tblLook w:val="04A0" w:firstRow="1" w:lastRow="0" w:firstColumn="1" w:lastColumn="0" w:noHBand="0" w:noVBand="1"/>
      </w:tblPr>
      <w:tblGrid>
        <w:gridCol w:w="2976"/>
        <w:gridCol w:w="1134"/>
        <w:gridCol w:w="1276"/>
        <w:gridCol w:w="1559"/>
        <w:gridCol w:w="1134"/>
        <w:gridCol w:w="1276"/>
        <w:gridCol w:w="1559"/>
        <w:gridCol w:w="1532"/>
        <w:gridCol w:w="1162"/>
      </w:tblGrid>
      <w:tr w:rsidR="00563CFC" w:rsidRPr="006076FC" w14:paraId="440F8CFE" w14:textId="77777777" w:rsidTr="00895255">
        <w:trPr>
          <w:jc w:val="center"/>
        </w:trPr>
        <w:tc>
          <w:tcPr>
            <w:tcW w:w="2976" w:type="dxa"/>
            <w:vMerge w:val="restart"/>
            <w:tcBorders>
              <w:top w:val="single" w:sz="8" w:space="0" w:color="auto"/>
              <w:right w:val="nil"/>
            </w:tcBorders>
            <w:shd w:val="clear" w:color="auto" w:fill="auto"/>
            <w:vAlign w:val="center"/>
          </w:tcPr>
          <w:p w14:paraId="344CCA45" w14:textId="77777777" w:rsidR="00563CFC" w:rsidRPr="006076FC" w:rsidRDefault="00563CFC" w:rsidP="008B2AB1">
            <w:pPr>
              <w:pStyle w:val="MDPI42tablebody"/>
              <w:autoSpaceDE w:val="0"/>
              <w:autoSpaceDN w:val="0"/>
              <w:spacing w:line="240" w:lineRule="auto"/>
              <w:rPr>
                <w:sz w:val="18"/>
                <w:lang w:val="en-GB"/>
              </w:rPr>
            </w:pPr>
            <w:bookmarkStart w:id="2" w:name="_Hlk26977257"/>
          </w:p>
        </w:tc>
        <w:tc>
          <w:tcPr>
            <w:tcW w:w="2410" w:type="dxa"/>
            <w:gridSpan w:val="2"/>
            <w:tcBorders>
              <w:top w:val="single" w:sz="8" w:space="0" w:color="auto"/>
              <w:left w:val="nil"/>
              <w:bottom w:val="single" w:sz="4" w:space="0" w:color="FFFFFF" w:themeColor="background1"/>
              <w:right w:val="nil"/>
            </w:tcBorders>
            <w:shd w:val="clear" w:color="auto" w:fill="auto"/>
            <w:vAlign w:val="center"/>
          </w:tcPr>
          <w:p w14:paraId="00F8917C" w14:textId="77777777" w:rsidR="00563CFC" w:rsidRPr="006076FC" w:rsidRDefault="00563CFC" w:rsidP="008B2AB1">
            <w:pPr>
              <w:pStyle w:val="MDPI42tablebody"/>
              <w:autoSpaceDE w:val="0"/>
              <w:autoSpaceDN w:val="0"/>
              <w:spacing w:line="240" w:lineRule="auto"/>
              <w:rPr>
                <w:b/>
                <w:bCs/>
                <w:sz w:val="18"/>
                <w:lang w:val="en-GB"/>
              </w:rPr>
            </w:pPr>
            <w:r w:rsidRPr="006076FC">
              <w:rPr>
                <w:b/>
                <w:bCs/>
                <w:sz w:val="18"/>
                <w:lang w:val="en-GB"/>
              </w:rPr>
              <w:t>Control</w:t>
            </w:r>
          </w:p>
        </w:tc>
        <w:tc>
          <w:tcPr>
            <w:tcW w:w="1559" w:type="dxa"/>
            <w:vMerge w:val="restart"/>
            <w:tcBorders>
              <w:top w:val="single" w:sz="8" w:space="0" w:color="auto"/>
              <w:left w:val="nil"/>
              <w:bottom w:val="single" w:sz="4" w:space="0" w:color="FFFFFF"/>
              <w:right w:val="nil"/>
            </w:tcBorders>
            <w:shd w:val="clear" w:color="auto" w:fill="auto"/>
            <w:vAlign w:val="center"/>
          </w:tcPr>
          <w:p w14:paraId="5AF20269" w14:textId="77777777" w:rsidR="00563CFC" w:rsidRPr="006076FC" w:rsidRDefault="00563CFC" w:rsidP="008B2AB1">
            <w:pPr>
              <w:pStyle w:val="MDPI42tablebody"/>
              <w:autoSpaceDE w:val="0"/>
              <w:autoSpaceDN w:val="0"/>
              <w:spacing w:line="240" w:lineRule="auto"/>
              <w:rPr>
                <w:b/>
                <w:bCs/>
                <w:sz w:val="18"/>
                <w:lang w:val="en-GB"/>
              </w:rPr>
            </w:pPr>
            <w:r w:rsidRPr="006076FC">
              <w:rPr>
                <w:b/>
                <w:bCs/>
                <w:sz w:val="18"/>
                <w:lang w:val="en-GB"/>
              </w:rPr>
              <w:t>Within-Group Differences</w:t>
            </w:r>
          </w:p>
        </w:tc>
        <w:tc>
          <w:tcPr>
            <w:tcW w:w="2410" w:type="dxa"/>
            <w:gridSpan w:val="2"/>
            <w:tcBorders>
              <w:top w:val="single" w:sz="8" w:space="0" w:color="auto"/>
              <w:left w:val="nil"/>
              <w:bottom w:val="single" w:sz="4" w:space="0" w:color="FFFFFF" w:themeColor="background1"/>
              <w:right w:val="nil"/>
            </w:tcBorders>
            <w:shd w:val="clear" w:color="auto" w:fill="auto"/>
            <w:vAlign w:val="center"/>
          </w:tcPr>
          <w:p w14:paraId="1153511D" w14:textId="77777777" w:rsidR="00563CFC" w:rsidRPr="006076FC" w:rsidRDefault="00563CFC" w:rsidP="008B2AB1">
            <w:pPr>
              <w:pStyle w:val="MDPI42tablebody"/>
              <w:autoSpaceDE w:val="0"/>
              <w:autoSpaceDN w:val="0"/>
              <w:spacing w:line="240" w:lineRule="auto"/>
              <w:rPr>
                <w:b/>
                <w:bCs/>
                <w:sz w:val="18"/>
                <w:lang w:val="en-GB"/>
              </w:rPr>
            </w:pPr>
            <w:r w:rsidRPr="006076FC">
              <w:rPr>
                <w:b/>
                <w:bCs/>
                <w:sz w:val="18"/>
                <w:lang w:val="en-GB"/>
              </w:rPr>
              <w:t>Intervention</w:t>
            </w:r>
          </w:p>
        </w:tc>
        <w:tc>
          <w:tcPr>
            <w:tcW w:w="1559" w:type="dxa"/>
            <w:vMerge w:val="restart"/>
            <w:tcBorders>
              <w:top w:val="single" w:sz="8" w:space="0" w:color="auto"/>
              <w:left w:val="nil"/>
              <w:right w:val="nil"/>
            </w:tcBorders>
            <w:shd w:val="clear" w:color="auto" w:fill="auto"/>
            <w:vAlign w:val="center"/>
          </w:tcPr>
          <w:p w14:paraId="445B71BE" w14:textId="77777777" w:rsidR="00563CFC" w:rsidRPr="006076FC" w:rsidRDefault="00563CFC" w:rsidP="008B2AB1">
            <w:pPr>
              <w:pStyle w:val="MDPI42tablebody"/>
              <w:autoSpaceDE w:val="0"/>
              <w:autoSpaceDN w:val="0"/>
              <w:spacing w:line="240" w:lineRule="auto"/>
              <w:rPr>
                <w:b/>
                <w:bCs/>
                <w:i/>
                <w:sz w:val="18"/>
                <w:lang w:val="en-GB"/>
              </w:rPr>
            </w:pPr>
            <w:r w:rsidRPr="006076FC">
              <w:rPr>
                <w:b/>
                <w:bCs/>
                <w:sz w:val="18"/>
                <w:lang w:val="en-GB"/>
              </w:rPr>
              <w:t>Within-Group Differences</w:t>
            </w:r>
          </w:p>
        </w:tc>
        <w:tc>
          <w:tcPr>
            <w:tcW w:w="1532" w:type="dxa"/>
            <w:vMerge w:val="restart"/>
            <w:tcBorders>
              <w:top w:val="single" w:sz="8" w:space="0" w:color="auto"/>
              <w:left w:val="nil"/>
              <w:right w:val="nil"/>
            </w:tcBorders>
            <w:shd w:val="clear" w:color="auto" w:fill="auto"/>
            <w:vAlign w:val="center"/>
          </w:tcPr>
          <w:p w14:paraId="0327664F" w14:textId="77777777" w:rsidR="00563CFC" w:rsidRPr="006076FC" w:rsidRDefault="00563CFC" w:rsidP="008B2AB1">
            <w:pPr>
              <w:pStyle w:val="MDPI42tablebody"/>
              <w:autoSpaceDE w:val="0"/>
              <w:autoSpaceDN w:val="0"/>
              <w:spacing w:line="240" w:lineRule="auto"/>
              <w:rPr>
                <w:b/>
                <w:bCs/>
                <w:i/>
                <w:sz w:val="18"/>
                <w:lang w:val="en-GB"/>
              </w:rPr>
            </w:pPr>
            <w:r w:rsidRPr="006076FC">
              <w:rPr>
                <w:b/>
                <w:bCs/>
                <w:sz w:val="18"/>
                <w:lang w:val="en-GB"/>
              </w:rPr>
              <w:t>Between-Group Differences</w:t>
            </w:r>
          </w:p>
        </w:tc>
        <w:tc>
          <w:tcPr>
            <w:tcW w:w="1162" w:type="dxa"/>
            <w:vMerge w:val="restart"/>
            <w:tcBorders>
              <w:top w:val="single" w:sz="8" w:space="0" w:color="auto"/>
              <w:left w:val="nil"/>
              <w:right w:val="nil"/>
            </w:tcBorders>
            <w:shd w:val="clear" w:color="auto" w:fill="auto"/>
            <w:vAlign w:val="center"/>
          </w:tcPr>
          <w:p w14:paraId="198CA7D6" w14:textId="77777777" w:rsidR="00563CFC" w:rsidRPr="006076FC" w:rsidRDefault="00563CFC" w:rsidP="008B2AB1">
            <w:pPr>
              <w:pStyle w:val="MDPI42tablebody"/>
              <w:autoSpaceDE w:val="0"/>
              <w:autoSpaceDN w:val="0"/>
              <w:spacing w:line="240" w:lineRule="auto"/>
              <w:rPr>
                <w:b/>
                <w:bCs/>
                <w:i/>
                <w:sz w:val="18"/>
                <w:highlight w:val="yellow"/>
                <w:lang w:val="en-GB"/>
              </w:rPr>
            </w:pPr>
            <w:r w:rsidRPr="006076FC">
              <w:rPr>
                <w:b/>
                <w:bCs/>
                <w:iCs/>
                <w:sz w:val="18"/>
                <w:lang w:val="en-GB"/>
              </w:rPr>
              <w:t>Cohen’s</w:t>
            </w:r>
            <w:r w:rsidRPr="006076FC">
              <w:rPr>
                <w:b/>
                <w:bCs/>
                <w:i/>
                <w:sz w:val="18"/>
                <w:lang w:val="en-GB"/>
              </w:rPr>
              <w:t xml:space="preserve"> d</w:t>
            </w:r>
          </w:p>
        </w:tc>
      </w:tr>
      <w:tr w:rsidR="00563CFC" w:rsidRPr="006076FC" w14:paraId="655EF1DB" w14:textId="77777777" w:rsidTr="00166DFA">
        <w:trPr>
          <w:jc w:val="center"/>
        </w:trPr>
        <w:tc>
          <w:tcPr>
            <w:tcW w:w="2976" w:type="dxa"/>
            <w:vMerge/>
            <w:tcBorders>
              <w:bottom w:val="single" w:sz="4" w:space="0" w:color="auto"/>
              <w:right w:val="nil"/>
            </w:tcBorders>
            <w:shd w:val="clear" w:color="auto" w:fill="auto"/>
            <w:vAlign w:val="center"/>
          </w:tcPr>
          <w:p w14:paraId="23A0CB5C" w14:textId="77777777" w:rsidR="00563CFC" w:rsidRPr="006076FC" w:rsidRDefault="00563CFC" w:rsidP="008B2AB1">
            <w:pPr>
              <w:pStyle w:val="MDPI42tablebody"/>
              <w:autoSpaceDE w:val="0"/>
              <w:autoSpaceDN w:val="0"/>
              <w:spacing w:line="240" w:lineRule="auto"/>
              <w:rPr>
                <w:sz w:val="18"/>
                <w:lang w:val="en-GB"/>
              </w:rPr>
            </w:pPr>
          </w:p>
        </w:tc>
        <w:tc>
          <w:tcPr>
            <w:tcW w:w="1134" w:type="dxa"/>
            <w:tcBorders>
              <w:top w:val="single" w:sz="4" w:space="0" w:color="FFFFFF" w:themeColor="background1"/>
              <w:left w:val="nil"/>
              <w:bottom w:val="single" w:sz="4" w:space="0" w:color="auto"/>
              <w:right w:val="nil"/>
            </w:tcBorders>
            <w:shd w:val="clear" w:color="auto" w:fill="auto"/>
            <w:vAlign w:val="center"/>
          </w:tcPr>
          <w:p w14:paraId="6AA64F27" w14:textId="77777777" w:rsidR="00563CFC" w:rsidRPr="006076FC" w:rsidRDefault="00563CFC" w:rsidP="008B2AB1">
            <w:pPr>
              <w:pStyle w:val="MDPI42tablebody"/>
              <w:autoSpaceDE w:val="0"/>
              <w:autoSpaceDN w:val="0"/>
              <w:spacing w:line="240" w:lineRule="auto"/>
              <w:rPr>
                <w:b/>
                <w:bCs/>
                <w:sz w:val="18"/>
                <w:lang w:val="en-GB"/>
              </w:rPr>
            </w:pPr>
            <w:r w:rsidRPr="006076FC">
              <w:rPr>
                <w:b/>
                <w:bCs/>
                <w:sz w:val="18"/>
                <w:lang w:val="en-GB"/>
              </w:rPr>
              <w:t>PRE</w:t>
            </w:r>
          </w:p>
        </w:tc>
        <w:tc>
          <w:tcPr>
            <w:tcW w:w="1276" w:type="dxa"/>
            <w:tcBorders>
              <w:top w:val="single" w:sz="4" w:space="0" w:color="FFFFFF" w:themeColor="background1"/>
              <w:left w:val="nil"/>
              <w:bottom w:val="single" w:sz="4" w:space="0" w:color="auto"/>
              <w:right w:val="nil"/>
            </w:tcBorders>
            <w:shd w:val="clear" w:color="auto" w:fill="auto"/>
            <w:vAlign w:val="center"/>
          </w:tcPr>
          <w:p w14:paraId="093776FE" w14:textId="77777777" w:rsidR="00563CFC" w:rsidRPr="006076FC" w:rsidRDefault="00563CFC" w:rsidP="008B2AB1">
            <w:pPr>
              <w:pStyle w:val="MDPI42tablebody"/>
              <w:autoSpaceDE w:val="0"/>
              <w:autoSpaceDN w:val="0"/>
              <w:spacing w:line="240" w:lineRule="auto"/>
              <w:rPr>
                <w:b/>
                <w:bCs/>
                <w:sz w:val="18"/>
                <w:lang w:val="en-GB"/>
              </w:rPr>
            </w:pPr>
            <w:r w:rsidRPr="006076FC">
              <w:rPr>
                <w:b/>
                <w:bCs/>
                <w:sz w:val="18"/>
                <w:lang w:val="en-GB"/>
              </w:rPr>
              <w:t>Week 8</w:t>
            </w:r>
          </w:p>
        </w:tc>
        <w:tc>
          <w:tcPr>
            <w:tcW w:w="1559" w:type="dxa"/>
            <w:vMerge/>
            <w:tcBorders>
              <w:top w:val="single" w:sz="4" w:space="0" w:color="FFFFFF"/>
              <w:left w:val="nil"/>
              <w:bottom w:val="single" w:sz="4" w:space="0" w:color="auto"/>
              <w:right w:val="nil"/>
            </w:tcBorders>
            <w:shd w:val="clear" w:color="auto" w:fill="auto"/>
            <w:vAlign w:val="center"/>
          </w:tcPr>
          <w:p w14:paraId="2FDCB05D" w14:textId="77777777" w:rsidR="00563CFC" w:rsidRPr="006076FC" w:rsidRDefault="00563CFC" w:rsidP="008B2AB1">
            <w:pPr>
              <w:pStyle w:val="MDPI42tablebody"/>
              <w:autoSpaceDE w:val="0"/>
              <w:autoSpaceDN w:val="0"/>
              <w:spacing w:line="240" w:lineRule="auto"/>
              <w:rPr>
                <w:b/>
                <w:bCs/>
                <w:sz w:val="18"/>
                <w:lang w:val="en-GB"/>
              </w:rPr>
            </w:pPr>
          </w:p>
        </w:tc>
        <w:tc>
          <w:tcPr>
            <w:tcW w:w="1134" w:type="dxa"/>
            <w:tcBorders>
              <w:top w:val="single" w:sz="4" w:space="0" w:color="FFFFFF" w:themeColor="background1"/>
              <w:left w:val="nil"/>
              <w:bottom w:val="single" w:sz="4" w:space="0" w:color="auto"/>
              <w:right w:val="nil"/>
            </w:tcBorders>
            <w:shd w:val="clear" w:color="auto" w:fill="auto"/>
            <w:vAlign w:val="center"/>
          </w:tcPr>
          <w:p w14:paraId="40669B34" w14:textId="77777777" w:rsidR="00563CFC" w:rsidRPr="006076FC" w:rsidRDefault="00563CFC" w:rsidP="00166DFA">
            <w:pPr>
              <w:pStyle w:val="MDPI42tablebody"/>
              <w:autoSpaceDE w:val="0"/>
              <w:autoSpaceDN w:val="0"/>
              <w:spacing w:line="240" w:lineRule="auto"/>
              <w:rPr>
                <w:b/>
                <w:bCs/>
                <w:sz w:val="18"/>
                <w:lang w:val="en-GB"/>
              </w:rPr>
            </w:pPr>
            <w:r w:rsidRPr="006076FC">
              <w:rPr>
                <w:b/>
                <w:bCs/>
                <w:sz w:val="18"/>
                <w:lang w:val="en-GB"/>
              </w:rPr>
              <w:t>PRE</w:t>
            </w:r>
          </w:p>
        </w:tc>
        <w:tc>
          <w:tcPr>
            <w:tcW w:w="1276" w:type="dxa"/>
            <w:tcBorders>
              <w:top w:val="single" w:sz="4" w:space="0" w:color="FFFFFF" w:themeColor="background1"/>
              <w:left w:val="nil"/>
              <w:bottom w:val="single" w:sz="4" w:space="0" w:color="auto"/>
              <w:right w:val="nil"/>
            </w:tcBorders>
            <w:shd w:val="clear" w:color="auto" w:fill="auto"/>
            <w:vAlign w:val="center"/>
          </w:tcPr>
          <w:p w14:paraId="3B5CF54E" w14:textId="77777777" w:rsidR="00563CFC" w:rsidRPr="006076FC" w:rsidRDefault="00563CFC" w:rsidP="00166DFA">
            <w:pPr>
              <w:pStyle w:val="MDPI42tablebody"/>
              <w:autoSpaceDE w:val="0"/>
              <w:autoSpaceDN w:val="0"/>
              <w:spacing w:line="240" w:lineRule="auto"/>
              <w:rPr>
                <w:b/>
                <w:bCs/>
                <w:sz w:val="18"/>
                <w:lang w:val="en-GB"/>
              </w:rPr>
            </w:pPr>
            <w:r w:rsidRPr="006076FC">
              <w:rPr>
                <w:b/>
                <w:bCs/>
                <w:sz w:val="18"/>
                <w:lang w:val="en-GB"/>
              </w:rPr>
              <w:t>Week 8</w:t>
            </w:r>
          </w:p>
        </w:tc>
        <w:tc>
          <w:tcPr>
            <w:tcW w:w="1559" w:type="dxa"/>
            <w:vMerge/>
            <w:tcBorders>
              <w:left w:val="nil"/>
              <w:bottom w:val="single" w:sz="4" w:space="0" w:color="auto"/>
              <w:right w:val="nil"/>
            </w:tcBorders>
            <w:shd w:val="clear" w:color="auto" w:fill="auto"/>
            <w:vAlign w:val="center"/>
          </w:tcPr>
          <w:p w14:paraId="783B7BE3" w14:textId="77777777" w:rsidR="00563CFC" w:rsidRPr="006076FC" w:rsidRDefault="00563CFC" w:rsidP="008B2AB1">
            <w:pPr>
              <w:pStyle w:val="MDPI42tablebody"/>
              <w:autoSpaceDE w:val="0"/>
              <w:autoSpaceDN w:val="0"/>
              <w:spacing w:line="240" w:lineRule="auto"/>
              <w:rPr>
                <w:b/>
                <w:bCs/>
                <w:i/>
                <w:sz w:val="18"/>
                <w:lang w:val="en-GB"/>
              </w:rPr>
            </w:pPr>
          </w:p>
        </w:tc>
        <w:tc>
          <w:tcPr>
            <w:tcW w:w="1532" w:type="dxa"/>
            <w:vMerge/>
            <w:tcBorders>
              <w:left w:val="nil"/>
              <w:bottom w:val="single" w:sz="4" w:space="0" w:color="auto"/>
              <w:right w:val="nil"/>
            </w:tcBorders>
            <w:shd w:val="clear" w:color="auto" w:fill="auto"/>
            <w:vAlign w:val="center"/>
          </w:tcPr>
          <w:p w14:paraId="1D0CA968" w14:textId="77777777" w:rsidR="00563CFC" w:rsidRPr="006076FC" w:rsidRDefault="00563CFC" w:rsidP="008B2AB1">
            <w:pPr>
              <w:pStyle w:val="MDPI42tablebody"/>
              <w:autoSpaceDE w:val="0"/>
              <w:autoSpaceDN w:val="0"/>
              <w:spacing w:line="240" w:lineRule="auto"/>
              <w:rPr>
                <w:b/>
                <w:bCs/>
                <w:i/>
                <w:sz w:val="18"/>
                <w:lang w:val="en-GB"/>
              </w:rPr>
            </w:pPr>
          </w:p>
        </w:tc>
        <w:tc>
          <w:tcPr>
            <w:tcW w:w="1162" w:type="dxa"/>
            <w:vMerge/>
            <w:tcBorders>
              <w:left w:val="nil"/>
              <w:bottom w:val="single" w:sz="4" w:space="0" w:color="auto"/>
              <w:right w:val="nil"/>
            </w:tcBorders>
            <w:shd w:val="clear" w:color="auto" w:fill="auto"/>
            <w:vAlign w:val="center"/>
          </w:tcPr>
          <w:p w14:paraId="09CBAAAA" w14:textId="77777777" w:rsidR="00563CFC" w:rsidRPr="006076FC" w:rsidRDefault="00563CFC" w:rsidP="008B2AB1">
            <w:pPr>
              <w:pStyle w:val="MDPI42tablebody"/>
              <w:autoSpaceDE w:val="0"/>
              <w:autoSpaceDN w:val="0"/>
              <w:spacing w:line="240" w:lineRule="auto"/>
              <w:rPr>
                <w:b/>
                <w:bCs/>
                <w:i/>
                <w:sz w:val="18"/>
                <w:lang w:val="en-GB"/>
              </w:rPr>
            </w:pPr>
          </w:p>
        </w:tc>
      </w:tr>
      <w:tr w:rsidR="00563CFC" w:rsidRPr="00E50D6C" w14:paraId="2B2D7970" w14:textId="77777777" w:rsidTr="00166DFA">
        <w:trPr>
          <w:trHeight w:val="312"/>
          <w:jc w:val="center"/>
        </w:trPr>
        <w:tc>
          <w:tcPr>
            <w:tcW w:w="2976" w:type="dxa"/>
            <w:tcBorders>
              <w:top w:val="single" w:sz="4" w:space="0" w:color="FFFFFF"/>
              <w:bottom w:val="single" w:sz="4" w:space="0" w:color="FFFFFF" w:themeColor="background1"/>
            </w:tcBorders>
            <w:shd w:val="clear" w:color="auto" w:fill="auto"/>
            <w:vAlign w:val="center"/>
          </w:tcPr>
          <w:p w14:paraId="41622928" w14:textId="555B245A" w:rsidR="00563CFC" w:rsidRPr="00E50D6C" w:rsidRDefault="00563CFC" w:rsidP="00895255">
            <w:pPr>
              <w:pStyle w:val="MDPI42tablebody"/>
              <w:autoSpaceDE w:val="0"/>
              <w:autoSpaceDN w:val="0"/>
              <w:spacing w:line="240" w:lineRule="auto"/>
              <w:rPr>
                <w:sz w:val="18"/>
                <w:lang w:val="en-GB"/>
              </w:rPr>
            </w:pPr>
            <w:r w:rsidRPr="00E50D6C">
              <w:rPr>
                <w:sz w:val="18"/>
                <w:lang w:val="en-GB"/>
              </w:rPr>
              <w:t>Sitting Time (min/8</w:t>
            </w:r>
            <w:r w:rsidR="00963C03" w:rsidRPr="00E50D6C">
              <w:rPr>
                <w:sz w:val="18"/>
                <w:lang w:val="en-GB"/>
              </w:rPr>
              <w:t xml:space="preserve"> h </w:t>
            </w:r>
            <w:r w:rsidRPr="00E50D6C">
              <w:rPr>
                <w:sz w:val="18"/>
                <w:lang w:val="en-GB"/>
              </w:rPr>
              <w:t>workday)</w:t>
            </w:r>
          </w:p>
        </w:tc>
        <w:tc>
          <w:tcPr>
            <w:tcW w:w="1134" w:type="dxa"/>
            <w:tcBorders>
              <w:top w:val="single" w:sz="4" w:space="0" w:color="FFFFFF"/>
              <w:bottom w:val="single" w:sz="4" w:space="0" w:color="FFFFFF" w:themeColor="background1"/>
            </w:tcBorders>
            <w:shd w:val="clear" w:color="auto" w:fill="auto"/>
            <w:vAlign w:val="center"/>
          </w:tcPr>
          <w:p w14:paraId="6DD1BEDE" w14:textId="4A0A4A3B" w:rsidR="00563CFC" w:rsidRPr="00E50D6C" w:rsidRDefault="00563CFC" w:rsidP="008B2AB1">
            <w:pPr>
              <w:pStyle w:val="MDPI42tablebody"/>
              <w:autoSpaceDE w:val="0"/>
              <w:autoSpaceDN w:val="0"/>
              <w:spacing w:line="240" w:lineRule="auto"/>
              <w:rPr>
                <w:sz w:val="18"/>
                <w:lang w:val="en-GB"/>
              </w:rPr>
            </w:pPr>
            <w:r w:rsidRPr="00E50D6C">
              <w:rPr>
                <w:sz w:val="18"/>
                <w:lang w:val="en-GB"/>
              </w:rPr>
              <w:t>318.3</w:t>
            </w:r>
            <w:r w:rsidR="001C5864" w:rsidRPr="00E50D6C">
              <w:rPr>
                <w:sz w:val="18"/>
                <w:lang w:val="en-GB"/>
              </w:rPr>
              <w:t xml:space="preserve"> ± </w:t>
            </w:r>
            <w:r w:rsidRPr="00E50D6C">
              <w:rPr>
                <w:sz w:val="18"/>
                <w:lang w:val="en-GB"/>
              </w:rPr>
              <w:t>66.8</w:t>
            </w:r>
          </w:p>
        </w:tc>
        <w:tc>
          <w:tcPr>
            <w:tcW w:w="1276" w:type="dxa"/>
            <w:tcBorders>
              <w:top w:val="single" w:sz="4" w:space="0" w:color="FFFFFF"/>
              <w:bottom w:val="single" w:sz="4" w:space="0" w:color="FFFFFF" w:themeColor="background1"/>
            </w:tcBorders>
            <w:shd w:val="clear" w:color="auto" w:fill="auto"/>
            <w:vAlign w:val="center"/>
          </w:tcPr>
          <w:p w14:paraId="22943499" w14:textId="1DC91584" w:rsidR="00563CFC" w:rsidRPr="00E50D6C" w:rsidRDefault="00563CFC" w:rsidP="008B2AB1">
            <w:pPr>
              <w:pStyle w:val="MDPI42tablebody"/>
              <w:autoSpaceDE w:val="0"/>
              <w:autoSpaceDN w:val="0"/>
              <w:spacing w:line="240" w:lineRule="auto"/>
              <w:rPr>
                <w:sz w:val="18"/>
                <w:lang w:val="en-GB"/>
              </w:rPr>
            </w:pPr>
            <w:r w:rsidRPr="00E50D6C">
              <w:rPr>
                <w:sz w:val="18"/>
                <w:lang w:val="en-GB"/>
              </w:rPr>
              <w:t>344.7</w:t>
            </w:r>
            <w:r w:rsidR="001C5864" w:rsidRPr="00E50D6C">
              <w:rPr>
                <w:sz w:val="18"/>
                <w:lang w:val="en-GB"/>
              </w:rPr>
              <w:t xml:space="preserve"> ± </w:t>
            </w:r>
            <w:r w:rsidRPr="00E50D6C">
              <w:rPr>
                <w:sz w:val="18"/>
                <w:lang w:val="en-GB"/>
              </w:rPr>
              <w:t>43.2</w:t>
            </w:r>
          </w:p>
        </w:tc>
        <w:tc>
          <w:tcPr>
            <w:tcW w:w="1559" w:type="dxa"/>
            <w:tcBorders>
              <w:top w:val="single" w:sz="4" w:space="0" w:color="FFFFFF"/>
              <w:bottom w:val="single" w:sz="4" w:space="0" w:color="FFFFFF" w:themeColor="background1"/>
            </w:tcBorders>
            <w:shd w:val="clear" w:color="auto" w:fill="auto"/>
            <w:vAlign w:val="center"/>
          </w:tcPr>
          <w:p w14:paraId="2AB2A56E" w14:textId="4A15BF10" w:rsidR="00563CFC" w:rsidRPr="00E50D6C" w:rsidRDefault="00563CFC" w:rsidP="008B2AB1">
            <w:pPr>
              <w:pStyle w:val="MDPI42tablebody"/>
              <w:autoSpaceDE w:val="0"/>
              <w:autoSpaceDN w:val="0"/>
              <w:spacing w:line="240" w:lineRule="auto"/>
              <w:rPr>
                <w:sz w:val="18"/>
                <w:lang w:val="en-GB"/>
              </w:rPr>
            </w:pPr>
            <w:r w:rsidRPr="00E50D6C">
              <w:rPr>
                <w:sz w:val="18"/>
                <w:lang w:val="en-GB"/>
              </w:rPr>
              <w:t>26.3</w:t>
            </w:r>
            <w:r w:rsidR="001C5864" w:rsidRPr="00E50D6C">
              <w:rPr>
                <w:sz w:val="18"/>
                <w:lang w:val="en-GB"/>
              </w:rPr>
              <w:t xml:space="preserve"> ± </w:t>
            </w:r>
            <w:r w:rsidRPr="00E50D6C">
              <w:rPr>
                <w:sz w:val="18"/>
                <w:lang w:val="en-GB"/>
              </w:rPr>
              <w:t>43.7</w:t>
            </w:r>
          </w:p>
        </w:tc>
        <w:tc>
          <w:tcPr>
            <w:tcW w:w="1134" w:type="dxa"/>
            <w:tcBorders>
              <w:top w:val="single" w:sz="4" w:space="0" w:color="FFFFFF"/>
              <w:bottom w:val="single" w:sz="4" w:space="0" w:color="FFFFFF" w:themeColor="background1"/>
            </w:tcBorders>
            <w:shd w:val="clear" w:color="auto" w:fill="auto"/>
            <w:vAlign w:val="center"/>
          </w:tcPr>
          <w:p w14:paraId="22812A41" w14:textId="6FFF913B" w:rsidR="00563CFC" w:rsidRPr="00E50D6C" w:rsidRDefault="00563CFC" w:rsidP="008B2AB1">
            <w:pPr>
              <w:pStyle w:val="MDPI42tablebody"/>
              <w:autoSpaceDE w:val="0"/>
              <w:autoSpaceDN w:val="0"/>
              <w:spacing w:line="240" w:lineRule="auto"/>
              <w:rPr>
                <w:sz w:val="18"/>
                <w:lang w:val="en-GB"/>
              </w:rPr>
            </w:pPr>
            <w:r w:rsidRPr="00E50D6C">
              <w:rPr>
                <w:sz w:val="18"/>
                <w:lang w:val="en-GB"/>
              </w:rPr>
              <w:t>345.0</w:t>
            </w:r>
            <w:r w:rsidR="001C5864" w:rsidRPr="00E50D6C">
              <w:rPr>
                <w:sz w:val="18"/>
                <w:lang w:val="en-GB"/>
              </w:rPr>
              <w:t xml:space="preserve"> ± </w:t>
            </w:r>
            <w:r w:rsidRPr="00E50D6C">
              <w:rPr>
                <w:sz w:val="18"/>
                <w:lang w:val="en-GB"/>
              </w:rPr>
              <w:t>37.6</w:t>
            </w:r>
          </w:p>
        </w:tc>
        <w:tc>
          <w:tcPr>
            <w:tcW w:w="1276" w:type="dxa"/>
            <w:tcBorders>
              <w:top w:val="single" w:sz="4" w:space="0" w:color="FFFFFF"/>
              <w:bottom w:val="single" w:sz="4" w:space="0" w:color="FFFFFF" w:themeColor="background1"/>
            </w:tcBorders>
            <w:shd w:val="clear" w:color="auto" w:fill="auto"/>
            <w:vAlign w:val="center"/>
          </w:tcPr>
          <w:p w14:paraId="503EC96B" w14:textId="79C314D7" w:rsidR="00563CFC" w:rsidRPr="00E50D6C" w:rsidRDefault="00563CFC" w:rsidP="008B2AB1">
            <w:pPr>
              <w:pStyle w:val="MDPI42tablebody"/>
              <w:autoSpaceDE w:val="0"/>
              <w:autoSpaceDN w:val="0"/>
              <w:spacing w:line="240" w:lineRule="auto"/>
              <w:rPr>
                <w:sz w:val="18"/>
                <w:lang w:val="en-GB"/>
              </w:rPr>
            </w:pPr>
            <w:r w:rsidRPr="00E50D6C">
              <w:rPr>
                <w:sz w:val="18"/>
                <w:lang w:val="en-GB"/>
              </w:rPr>
              <w:t>333.1</w:t>
            </w:r>
            <w:r w:rsidR="001C5864" w:rsidRPr="00E50D6C">
              <w:rPr>
                <w:sz w:val="18"/>
                <w:lang w:val="en-GB"/>
              </w:rPr>
              <w:t xml:space="preserve"> ± </w:t>
            </w:r>
            <w:r w:rsidRPr="00E50D6C">
              <w:rPr>
                <w:sz w:val="18"/>
                <w:lang w:val="en-GB"/>
              </w:rPr>
              <w:t>57.5</w:t>
            </w:r>
          </w:p>
        </w:tc>
        <w:tc>
          <w:tcPr>
            <w:tcW w:w="1559" w:type="dxa"/>
            <w:tcBorders>
              <w:top w:val="single" w:sz="4" w:space="0" w:color="FFFFFF"/>
              <w:bottom w:val="single" w:sz="4" w:space="0" w:color="FFFFFF" w:themeColor="background1"/>
            </w:tcBorders>
            <w:shd w:val="clear" w:color="auto" w:fill="auto"/>
            <w:vAlign w:val="center"/>
          </w:tcPr>
          <w:p w14:paraId="13C1E47E" w14:textId="5DBBA1D6"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11.9</w:t>
            </w:r>
            <w:r w:rsidR="001C5864" w:rsidRPr="00E50D6C">
              <w:rPr>
                <w:sz w:val="18"/>
                <w:lang w:val="en-GB"/>
              </w:rPr>
              <w:t xml:space="preserve"> ± </w:t>
            </w:r>
            <w:r w:rsidR="00563CFC" w:rsidRPr="00E50D6C">
              <w:rPr>
                <w:sz w:val="18"/>
                <w:lang w:val="en-GB"/>
              </w:rPr>
              <w:t>43.2</w:t>
            </w:r>
          </w:p>
        </w:tc>
        <w:tc>
          <w:tcPr>
            <w:tcW w:w="1532" w:type="dxa"/>
            <w:tcBorders>
              <w:top w:val="single" w:sz="4" w:space="0" w:color="FFFFFF"/>
              <w:bottom w:val="single" w:sz="4" w:space="0" w:color="FFFFFF" w:themeColor="background1"/>
            </w:tcBorders>
            <w:shd w:val="clear" w:color="auto" w:fill="auto"/>
            <w:vAlign w:val="center"/>
          </w:tcPr>
          <w:p w14:paraId="1067685A" w14:textId="5EB26466"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38.2</w:t>
            </w:r>
            <w:r w:rsidR="001C5864" w:rsidRPr="00E50D6C">
              <w:rPr>
                <w:sz w:val="18"/>
                <w:lang w:val="en-GB"/>
              </w:rPr>
              <w:t xml:space="preserve"> ± </w:t>
            </w:r>
            <w:r w:rsidR="00563CFC" w:rsidRPr="00E50D6C">
              <w:rPr>
                <w:sz w:val="18"/>
                <w:lang w:val="en-GB"/>
              </w:rPr>
              <w:t>72.9</w:t>
            </w:r>
          </w:p>
        </w:tc>
        <w:tc>
          <w:tcPr>
            <w:tcW w:w="1162" w:type="dxa"/>
            <w:tcBorders>
              <w:top w:val="single" w:sz="4" w:space="0" w:color="FFFFFF"/>
              <w:bottom w:val="single" w:sz="4" w:space="0" w:color="FFFFFF" w:themeColor="background1"/>
            </w:tcBorders>
            <w:shd w:val="clear" w:color="auto" w:fill="auto"/>
            <w:vAlign w:val="center"/>
          </w:tcPr>
          <w:p w14:paraId="6A1B0F79"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0.92</w:t>
            </w:r>
          </w:p>
        </w:tc>
      </w:tr>
      <w:tr w:rsidR="00563CFC" w:rsidRPr="00E50D6C" w14:paraId="11590F96" w14:textId="77777777" w:rsidTr="00166DFA">
        <w:trPr>
          <w:trHeight w:val="312"/>
          <w:jc w:val="center"/>
        </w:trPr>
        <w:tc>
          <w:tcPr>
            <w:tcW w:w="2976" w:type="dxa"/>
            <w:tcBorders>
              <w:top w:val="single" w:sz="4" w:space="0" w:color="FFFFFF" w:themeColor="background1"/>
              <w:bottom w:val="single" w:sz="4" w:space="0" w:color="FFFFFF" w:themeColor="background1"/>
            </w:tcBorders>
            <w:shd w:val="clear" w:color="auto" w:fill="auto"/>
            <w:vAlign w:val="center"/>
          </w:tcPr>
          <w:p w14:paraId="0A98876C" w14:textId="6DE2F7A5" w:rsidR="00563CFC" w:rsidRPr="00E50D6C" w:rsidRDefault="00563CFC" w:rsidP="008B2AB1">
            <w:pPr>
              <w:pStyle w:val="MDPI42tablebody"/>
              <w:autoSpaceDE w:val="0"/>
              <w:autoSpaceDN w:val="0"/>
              <w:spacing w:line="240" w:lineRule="auto"/>
              <w:rPr>
                <w:sz w:val="18"/>
                <w:lang w:val="en-GB"/>
              </w:rPr>
            </w:pPr>
            <w:r w:rsidRPr="00E50D6C">
              <w:rPr>
                <w:sz w:val="18"/>
                <w:lang w:val="en-GB"/>
              </w:rPr>
              <w:t>Standing Time (min/8</w:t>
            </w:r>
            <w:r w:rsidR="00963C03" w:rsidRPr="00E50D6C">
              <w:rPr>
                <w:sz w:val="18"/>
                <w:lang w:val="en-GB"/>
              </w:rPr>
              <w:t xml:space="preserve"> h </w:t>
            </w:r>
            <w:r w:rsidRPr="00E50D6C">
              <w:rPr>
                <w:sz w:val="18"/>
                <w:lang w:val="en-GB"/>
              </w:rPr>
              <w:t>workday)</w:t>
            </w:r>
          </w:p>
        </w:tc>
        <w:tc>
          <w:tcPr>
            <w:tcW w:w="1134" w:type="dxa"/>
            <w:tcBorders>
              <w:top w:val="single" w:sz="4" w:space="0" w:color="FFFFFF" w:themeColor="background1"/>
              <w:bottom w:val="single" w:sz="4" w:space="0" w:color="FFFFFF" w:themeColor="background1"/>
            </w:tcBorders>
            <w:shd w:val="clear" w:color="auto" w:fill="auto"/>
            <w:vAlign w:val="center"/>
          </w:tcPr>
          <w:p w14:paraId="188FE386" w14:textId="60E22214" w:rsidR="00563CFC" w:rsidRPr="00E50D6C" w:rsidRDefault="00563CFC" w:rsidP="008B2AB1">
            <w:pPr>
              <w:pStyle w:val="MDPI42tablebody"/>
              <w:autoSpaceDE w:val="0"/>
              <w:autoSpaceDN w:val="0"/>
              <w:spacing w:line="240" w:lineRule="auto"/>
              <w:rPr>
                <w:sz w:val="18"/>
                <w:lang w:val="en-GB"/>
              </w:rPr>
            </w:pPr>
            <w:r w:rsidRPr="00E50D6C">
              <w:rPr>
                <w:sz w:val="18"/>
                <w:lang w:val="en-GB"/>
              </w:rPr>
              <w:t>108.4</w:t>
            </w:r>
            <w:r w:rsidR="001C5864" w:rsidRPr="00E50D6C">
              <w:rPr>
                <w:sz w:val="18"/>
                <w:lang w:val="en-GB"/>
              </w:rPr>
              <w:t xml:space="preserve"> ± </w:t>
            </w:r>
            <w:r w:rsidRPr="00E50D6C">
              <w:rPr>
                <w:sz w:val="18"/>
                <w:lang w:val="en-GB"/>
              </w:rPr>
              <w:t>64.2</w:t>
            </w:r>
          </w:p>
        </w:tc>
        <w:tc>
          <w:tcPr>
            <w:tcW w:w="1276" w:type="dxa"/>
            <w:tcBorders>
              <w:top w:val="single" w:sz="4" w:space="0" w:color="FFFFFF" w:themeColor="background1"/>
              <w:bottom w:val="single" w:sz="4" w:space="0" w:color="FFFFFF" w:themeColor="background1"/>
            </w:tcBorders>
            <w:shd w:val="clear" w:color="auto" w:fill="auto"/>
            <w:vAlign w:val="center"/>
          </w:tcPr>
          <w:p w14:paraId="63184260" w14:textId="2CF18182" w:rsidR="00563CFC" w:rsidRPr="00E50D6C" w:rsidRDefault="00563CFC" w:rsidP="008B2AB1">
            <w:pPr>
              <w:pStyle w:val="MDPI42tablebody"/>
              <w:autoSpaceDE w:val="0"/>
              <w:autoSpaceDN w:val="0"/>
              <w:spacing w:line="240" w:lineRule="auto"/>
              <w:rPr>
                <w:sz w:val="18"/>
                <w:lang w:val="en-GB"/>
              </w:rPr>
            </w:pPr>
            <w:r w:rsidRPr="00E50D6C">
              <w:rPr>
                <w:sz w:val="18"/>
                <w:lang w:val="en-GB"/>
              </w:rPr>
              <w:t>83.2</w:t>
            </w:r>
            <w:r w:rsidR="001C5864" w:rsidRPr="00E50D6C">
              <w:rPr>
                <w:sz w:val="18"/>
                <w:lang w:val="en-GB"/>
              </w:rPr>
              <w:t xml:space="preserve"> ± </w:t>
            </w:r>
            <w:r w:rsidRPr="00E50D6C">
              <w:rPr>
                <w:sz w:val="18"/>
                <w:lang w:val="en-GB"/>
              </w:rPr>
              <w:t>34.7</w:t>
            </w:r>
          </w:p>
        </w:tc>
        <w:tc>
          <w:tcPr>
            <w:tcW w:w="1559" w:type="dxa"/>
            <w:tcBorders>
              <w:top w:val="single" w:sz="4" w:space="0" w:color="FFFFFF" w:themeColor="background1"/>
              <w:bottom w:val="single" w:sz="4" w:space="0" w:color="FFFFFF" w:themeColor="background1"/>
            </w:tcBorders>
            <w:shd w:val="clear" w:color="auto" w:fill="auto"/>
            <w:vAlign w:val="center"/>
          </w:tcPr>
          <w:p w14:paraId="34B74DA5" w14:textId="3908199E" w:rsidR="00563CFC" w:rsidRPr="00E50D6C" w:rsidRDefault="004B2F71" w:rsidP="008B2AB1">
            <w:pPr>
              <w:pStyle w:val="MDPI42tablebody"/>
              <w:autoSpaceDE w:val="0"/>
              <w:autoSpaceDN w:val="0"/>
              <w:spacing w:line="240" w:lineRule="auto"/>
              <w:rPr>
                <w:sz w:val="18"/>
                <w:lang w:val="en-GB"/>
              </w:rPr>
            </w:pPr>
            <w:r w:rsidRPr="00E50D6C">
              <w:rPr>
                <w:sz w:val="18"/>
                <w:lang w:val="en-GB"/>
              </w:rPr>
              <w:t>−</w:t>
            </w:r>
            <w:r w:rsidR="00563CFC" w:rsidRPr="00E50D6C">
              <w:rPr>
                <w:sz w:val="18"/>
                <w:lang w:val="en-GB"/>
              </w:rPr>
              <w:t>24.6</w:t>
            </w:r>
            <w:r w:rsidR="001C5864" w:rsidRPr="00E50D6C">
              <w:rPr>
                <w:sz w:val="18"/>
                <w:lang w:val="en-GB"/>
              </w:rPr>
              <w:t xml:space="preserve"> ± </w:t>
            </w:r>
            <w:r w:rsidR="00563CFC" w:rsidRPr="00E50D6C">
              <w:rPr>
                <w:sz w:val="18"/>
                <w:lang w:val="en-GB"/>
              </w:rPr>
              <w:t>45.5</w:t>
            </w:r>
          </w:p>
        </w:tc>
        <w:tc>
          <w:tcPr>
            <w:tcW w:w="1134" w:type="dxa"/>
            <w:tcBorders>
              <w:top w:val="single" w:sz="4" w:space="0" w:color="FFFFFF" w:themeColor="background1"/>
              <w:bottom w:val="single" w:sz="4" w:space="0" w:color="FFFFFF" w:themeColor="background1"/>
            </w:tcBorders>
            <w:shd w:val="clear" w:color="auto" w:fill="auto"/>
            <w:vAlign w:val="center"/>
          </w:tcPr>
          <w:p w14:paraId="772A7493" w14:textId="56B71BD9" w:rsidR="00563CFC" w:rsidRPr="00E50D6C" w:rsidRDefault="00563CFC" w:rsidP="008B2AB1">
            <w:pPr>
              <w:pStyle w:val="MDPI42tablebody"/>
              <w:autoSpaceDE w:val="0"/>
              <w:autoSpaceDN w:val="0"/>
              <w:spacing w:line="240" w:lineRule="auto"/>
              <w:rPr>
                <w:sz w:val="18"/>
                <w:lang w:val="en-GB"/>
              </w:rPr>
            </w:pPr>
            <w:r w:rsidRPr="00E50D6C">
              <w:rPr>
                <w:sz w:val="18"/>
                <w:lang w:val="en-GB"/>
              </w:rPr>
              <w:t>82.3</w:t>
            </w:r>
            <w:r w:rsidR="001C5864" w:rsidRPr="00E50D6C">
              <w:rPr>
                <w:sz w:val="18"/>
                <w:lang w:val="en-GB"/>
              </w:rPr>
              <w:t xml:space="preserve"> ± </w:t>
            </w:r>
            <w:r w:rsidRPr="00E50D6C">
              <w:rPr>
                <w:sz w:val="18"/>
                <w:lang w:val="en-GB"/>
              </w:rPr>
              <w:t>36.0</w:t>
            </w:r>
          </w:p>
        </w:tc>
        <w:tc>
          <w:tcPr>
            <w:tcW w:w="1276" w:type="dxa"/>
            <w:tcBorders>
              <w:top w:val="single" w:sz="4" w:space="0" w:color="FFFFFF" w:themeColor="background1"/>
              <w:bottom w:val="single" w:sz="4" w:space="0" w:color="FFFFFF" w:themeColor="background1"/>
            </w:tcBorders>
            <w:shd w:val="clear" w:color="auto" w:fill="auto"/>
            <w:vAlign w:val="center"/>
          </w:tcPr>
          <w:p w14:paraId="32C7301A" w14:textId="220C3CDB" w:rsidR="00563CFC" w:rsidRPr="00E50D6C" w:rsidRDefault="00563CFC" w:rsidP="008B2AB1">
            <w:pPr>
              <w:pStyle w:val="MDPI42tablebody"/>
              <w:autoSpaceDE w:val="0"/>
              <w:autoSpaceDN w:val="0"/>
              <w:spacing w:line="240" w:lineRule="auto"/>
              <w:rPr>
                <w:sz w:val="18"/>
                <w:lang w:val="en-GB"/>
              </w:rPr>
            </w:pPr>
            <w:r w:rsidRPr="00E50D6C">
              <w:rPr>
                <w:sz w:val="18"/>
                <w:lang w:val="en-GB"/>
              </w:rPr>
              <w:t>93.5</w:t>
            </w:r>
            <w:r w:rsidR="001C5864" w:rsidRPr="00E50D6C">
              <w:rPr>
                <w:sz w:val="18"/>
                <w:lang w:val="en-GB"/>
              </w:rPr>
              <w:t xml:space="preserve"> ± </w:t>
            </w:r>
            <w:r w:rsidRPr="00E50D6C">
              <w:rPr>
                <w:sz w:val="18"/>
                <w:lang w:val="en-GB"/>
              </w:rPr>
              <w:t>41.2</w:t>
            </w:r>
          </w:p>
        </w:tc>
        <w:tc>
          <w:tcPr>
            <w:tcW w:w="1559" w:type="dxa"/>
            <w:tcBorders>
              <w:top w:val="single" w:sz="4" w:space="0" w:color="FFFFFF" w:themeColor="background1"/>
              <w:bottom w:val="single" w:sz="4" w:space="0" w:color="FFFFFF" w:themeColor="background1"/>
            </w:tcBorders>
            <w:shd w:val="clear" w:color="auto" w:fill="auto"/>
            <w:vAlign w:val="center"/>
          </w:tcPr>
          <w:p w14:paraId="1E8D234C" w14:textId="44F1AFCB" w:rsidR="00563CFC" w:rsidRPr="00E50D6C" w:rsidRDefault="00563CFC" w:rsidP="008B2AB1">
            <w:pPr>
              <w:pStyle w:val="MDPI42tablebody"/>
              <w:autoSpaceDE w:val="0"/>
              <w:autoSpaceDN w:val="0"/>
              <w:spacing w:line="240" w:lineRule="auto"/>
              <w:rPr>
                <w:i/>
                <w:sz w:val="18"/>
                <w:lang w:val="en-GB"/>
              </w:rPr>
            </w:pPr>
            <w:r w:rsidRPr="00E50D6C">
              <w:rPr>
                <w:sz w:val="18"/>
                <w:lang w:val="en-GB"/>
              </w:rPr>
              <w:t>11.2</w:t>
            </w:r>
            <w:r w:rsidR="001C5864" w:rsidRPr="00E50D6C">
              <w:rPr>
                <w:sz w:val="18"/>
                <w:lang w:val="en-GB"/>
              </w:rPr>
              <w:t xml:space="preserve"> ± </w:t>
            </w:r>
            <w:r w:rsidRPr="00E50D6C">
              <w:rPr>
                <w:sz w:val="18"/>
                <w:lang w:val="en-GB"/>
              </w:rPr>
              <w:t>38.5</w:t>
            </w:r>
          </w:p>
        </w:tc>
        <w:tc>
          <w:tcPr>
            <w:tcW w:w="1532" w:type="dxa"/>
            <w:tcBorders>
              <w:top w:val="single" w:sz="4" w:space="0" w:color="FFFFFF" w:themeColor="background1"/>
              <w:bottom w:val="single" w:sz="4" w:space="0" w:color="FFFFFF" w:themeColor="background1"/>
            </w:tcBorders>
            <w:shd w:val="clear" w:color="auto" w:fill="auto"/>
            <w:vAlign w:val="center"/>
          </w:tcPr>
          <w:p w14:paraId="278FE9E3" w14:textId="0853958E" w:rsidR="00563CFC" w:rsidRPr="00E50D6C" w:rsidRDefault="00563CFC" w:rsidP="008B2AB1">
            <w:pPr>
              <w:pStyle w:val="MDPI42tablebody"/>
              <w:autoSpaceDE w:val="0"/>
              <w:autoSpaceDN w:val="0"/>
              <w:spacing w:line="240" w:lineRule="auto"/>
              <w:rPr>
                <w:i/>
                <w:sz w:val="18"/>
                <w:lang w:val="en-GB"/>
              </w:rPr>
            </w:pPr>
            <w:r w:rsidRPr="00E50D6C">
              <w:rPr>
                <w:sz w:val="18"/>
                <w:lang w:val="en-GB"/>
              </w:rPr>
              <w:t>35.8</w:t>
            </w:r>
            <w:r w:rsidR="001C5864" w:rsidRPr="00E50D6C">
              <w:rPr>
                <w:sz w:val="18"/>
                <w:lang w:val="en-GB"/>
              </w:rPr>
              <w:t xml:space="preserve"> ± </w:t>
            </w:r>
            <w:r w:rsidRPr="00E50D6C">
              <w:rPr>
                <w:sz w:val="18"/>
                <w:lang w:val="en-GB"/>
              </w:rPr>
              <w:t>69.2</w:t>
            </w:r>
          </w:p>
        </w:tc>
        <w:tc>
          <w:tcPr>
            <w:tcW w:w="1162" w:type="dxa"/>
            <w:tcBorders>
              <w:top w:val="single" w:sz="4" w:space="0" w:color="FFFFFF" w:themeColor="background1"/>
              <w:bottom w:val="single" w:sz="4" w:space="0" w:color="FFFFFF" w:themeColor="background1"/>
            </w:tcBorders>
            <w:shd w:val="clear" w:color="auto" w:fill="auto"/>
            <w:vAlign w:val="center"/>
          </w:tcPr>
          <w:p w14:paraId="570C63AF"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0.88</w:t>
            </w:r>
          </w:p>
        </w:tc>
      </w:tr>
      <w:tr w:rsidR="00563CFC" w:rsidRPr="00E50D6C" w14:paraId="04D22BD1" w14:textId="77777777" w:rsidTr="00166DFA">
        <w:trPr>
          <w:trHeight w:val="312"/>
          <w:jc w:val="center"/>
        </w:trPr>
        <w:tc>
          <w:tcPr>
            <w:tcW w:w="2976" w:type="dxa"/>
            <w:tcBorders>
              <w:top w:val="single" w:sz="4" w:space="0" w:color="FFFFFF" w:themeColor="background1"/>
              <w:bottom w:val="single" w:sz="4" w:space="0" w:color="FFFFFF" w:themeColor="background1"/>
            </w:tcBorders>
            <w:shd w:val="clear" w:color="auto" w:fill="auto"/>
            <w:vAlign w:val="center"/>
          </w:tcPr>
          <w:p w14:paraId="20B7AD42" w14:textId="37436E53" w:rsidR="00563CFC" w:rsidRPr="00E50D6C" w:rsidRDefault="00563CFC" w:rsidP="008B2AB1">
            <w:pPr>
              <w:pStyle w:val="MDPI42tablebody"/>
              <w:autoSpaceDE w:val="0"/>
              <w:autoSpaceDN w:val="0"/>
              <w:spacing w:line="240" w:lineRule="auto"/>
              <w:rPr>
                <w:sz w:val="18"/>
                <w:lang w:val="en-GB"/>
              </w:rPr>
            </w:pPr>
            <w:r w:rsidRPr="00E50D6C">
              <w:rPr>
                <w:sz w:val="18"/>
                <w:lang w:val="en-GB"/>
              </w:rPr>
              <w:t>Stepping Time (min/8</w:t>
            </w:r>
            <w:r w:rsidR="00963C03" w:rsidRPr="00E50D6C">
              <w:rPr>
                <w:sz w:val="18"/>
                <w:lang w:val="en-GB"/>
              </w:rPr>
              <w:t xml:space="preserve"> h </w:t>
            </w:r>
            <w:r w:rsidRPr="00E50D6C">
              <w:rPr>
                <w:sz w:val="18"/>
                <w:lang w:val="en-GB"/>
              </w:rPr>
              <w:t>workday)</w:t>
            </w:r>
          </w:p>
        </w:tc>
        <w:tc>
          <w:tcPr>
            <w:tcW w:w="1134" w:type="dxa"/>
            <w:tcBorders>
              <w:top w:val="single" w:sz="4" w:space="0" w:color="FFFFFF" w:themeColor="background1"/>
              <w:bottom w:val="single" w:sz="4" w:space="0" w:color="FFFFFF" w:themeColor="background1"/>
            </w:tcBorders>
            <w:shd w:val="clear" w:color="auto" w:fill="auto"/>
            <w:vAlign w:val="center"/>
          </w:tcPr>
          <w:p w14:paraId="417E868E" w14:textId="6A6D0D71" w:rsidR="00563CFC" w:rsidRPr="00E50D6C" w:rsidRDefault="00563CFC" w:rsidP="008B2AB1">
            <w:pPr>
              <w:pStyle w:val="MDPI42tablebody"/>
              <w:autoSpaceDE w:val="0"/>
              <w:autoSpaceDN w:val="0"/>
              <w:spacing w:line="240" w:lineRule="auto"/>
              <w:rPr>
                <w:sz w:val="18"/>
                <w:lang w:val="en-GB"/>
              </w:rPr>
            </w:pPr>
            <w:r w:rsidRPr="00E50D6C">
              <w:rPr>
                <w:sz w:val="18"/>
                <w:lang w:val="en-GB"/>
              </w:rPr>
              <w:t>53.2</w:t>
            </w:r>
            <w:r w:rsidR="001C5864" w:rsidRPr="00E50D6C">
              <w:rPr>
                <w:sz w:val="18"/>
                <w:lang w:val="en-GB"/>
              </w:rPr>
              <w:t xml:space="preserve"> ± </w:t>
            </w:r>
            <w:r w:rsidRPr="00E50D6C">
              <w:rPr>
                <w:sz w:val="18"/>
                <w:lang w:val="en-GB"/>
              </w:rPr>
              <w:t>14.8</w:t>
            </w:r>
          </w:p>
        </w:tc>
        <w:tc>
          <w:tcPr>
            <w:tcW w:w="1276" w:type="dxa"/>
            <w:tcBorders>
              <w:top w:val="single" w:sz="4" w:space="0" w:color="FFFFFF" w:themeColor="background1"/>
              <w:bottom w:val="single" w:sz="4" w:space="0" w:color="FFFFFF" w:themeColor="background1"/>
            </w:tcBorders>
            <w:shd w:val="clear" w:color="auto" w:fill="auto"/>
            <w:vAlign w:val="center"/>
          </w:tcPr>
          <w:p w14:paraId="2DFCDDAA" w14:textId="2767284D" w:rsidR="00563CFC" w:rsidRPr="00E50D6C" w:rsidRDefault="00563CFC" w:rsidP="008B2AB1">
            <w:pPr>
              <w:pStyle w:val="MDPI42tablebody"/>
              <w:autoSpaceDE w:val="0"/>
              <w:autoSpaceDN w:val="0"/>
              <w:spacing w:line="240" w:lineRule="auto"/>
              <w:rPr>
                <w:sz w:val="18"/>
                <w:lang w:val="en-GB"/>
              </w:rPr>
            </w:pPr>
            <w:r w:rsidRPr="00E50D6C">
              <w:rPr>
                <w:sz w:val="18"/>
                <w:lang w:val="en-GB"/>
              </w:rPr>
              <w:t>51.5</w:t>
            </w:r>
            <w:r w:rsidR="001C5864" w:rsidRPr="00E50D6C">
              <w:rPr>
                <w:sz w:val="18"/>
                <w:lang w:val="en-GB"/>
              </w:rPr>
              <w:t xml:space="preserve"> ± </w:t>
            </w:r>
            <w:r w:rsidRPr="00E50D6C">
              <w:rPr>
                <w:sz w:val="18"/>
                <w:lang w:val="en-GB"/>
              </w:rPr>
              <w:t>18.5</w:t>
            </w:r>
          </w:p>
        </w:tc>
        <w:tc>
          <w:tcPr>
            <w:tcW w:w="1559" w:type="dxa"/>
            <w:tcBorders>
              <w:top w:val="single" w:sz="4" w:space="0" w:color="FFFFFF" w:themeColor="background1"/>
              <w:bottom w:val="single" w:sz="4" w:space="0" w:color="FFFFFF" w:themeColor="background1"/>
            </w:tcBorders>
            <w:shd w:val="clear" w:color="auto" w:fill="auto"/>
            <w:vAlign w:val="center"/>
          </w:tcPr>
          <w:p w14:paraId="58D081B2" w14:textId="19B3E589" w:rsidR="00563CFC" w:rsidRPr="00E50D6C" w:rsidRDefault="004B2F71" w:rsidP="008B2AB1">
            <w:pPr>
              <w:pStyle w:val="MDPI42tablebody"/>
              <w:autoSpaceDE w:val="0"/>
              <w:autoSpaceDN w:val="0"/>
              <w:spacing w:line="240" w:lineRule="auto"/>
              <w:rPr>
                <w:sz w:val="18"/>
                <w:lang w:val="en-GB"/>
              </w:rPr>
            </w:pPr>
            <w:r w:rsidRPr="00E50D6C">
              <w:rPr>
                <w:sz w:val="18"/>
                <w:lang w:val="en-GB"/>
              </w:rPr>
              <w:t>−</w:t>
            </w:r>
            <w:r w:rsidR="00563CFC" w:rsidRPr="00E50D6C">
              <w:rPr>
                <w:sz w:val="18"/>
                <w:lang w:val="en-GB"/>
              </w:rPr>
              <w:t>1.7</w:t>
            </w:r>
            <w:r w:rsidR="001C5864" w:rsidRPr="00E50D6C">
              <w:rPr>
                <w:sz w:val="18"/>
                <w:lang w:val="en-GB"/>
              </w:rPr>
              <w:t xml:space="preserve"> ± </w:t>
            </w:r>
            <w:r w:rsidR="00563CFC" w:rsidRPr="00E50D6C">
              <w:rPr>
                <w:sz w:val="18"/>
                <w:lang w:val="en-GB"/>
              </w:rPr>
              <w:t>16.5</w:t>
            </w:r>
          </w:p>
        </w:tc>
        <w:tc>
          <w:tcPr>
            <w:tcW w:w="1134" w:type="dxa"/>
            <w:tcBorders>
              <w:top w:val="single" w:sz="4" w:space="0" w:color="FFFFFF" w:themeColor="background1"/>
              <w:bottom w:val="single" w:sz="4" w:space="0" w:color="FFFFFF" w:themeColor="background1"/>
            </w:tcBorders>
            <w:shd w:val="clear" w:color="auto" w:fill="auto"/>
            <w:vAlign w:val="center"/>
          </w:tcPr>
          <w:p w14:paraId="520C79AE" w14:textId="2711B7D8" w:rsidR="00563CFC" w:rsidRPr="00E50D6C" w:rsidRDefault="00563CFC" w:rsidP="008B2AB1">
            <w:pPr>
              <w:pStyle w:val="MDPI42tablebody"/>
              <w:autoSpaceDE w:val="0"/>
              <w:autoSpaceDN w:val="0"/>
              <w:spacing w:line="240" w:lineRule="auto"/>
              <w:rPr>
                <w:sz w:val="18"/>
                <w:lang w:val="en-GB"/>
              </w:rPr>
            </w:pPr>
            <w:r w:rsidRPr="00E50D6C">
              <w:rPr>
                <w:sz w:val="18"/>
                <w:lang w:val="en-GB"/>
              </w:rPr>
              <w:t>52.7</w:t>
            </w:r>
            <w:r w:rsidR="001C5864" w:rsidRPr="00E50D6C">
              <w:rPr>
                <w:sz w:val="18"/>
                <w:lang w:val="en-GB"/>
              </w:rPr>
              <w:t xml:space="preserve"> ± </w:t>
            </w:r>
            <w:r w:rsidRPr="00E50D6C">
              <w:rPr>
                <w:sz w:val="18"/>
                <w:lang w:val="en-GB"/>
              </w:rPr>
              <w:t>17.5</w:t>
            </w:r>
          </w:p>
        </w:tc>
        <w:tc>
          <w:tcPr>
            <w:tcW w:w="1276" w:type="dxa"/>
            <w:tcBorders>
              <w:top w:val="single" w:sz="4" w:space="0" w:color="FFFFFF" w:themeColor="background1"/>
              <w:bottom w:val="single" w:sz="4" w:space="0" w:color="FFFFFF" w:themeColor="background1"/>
            </w:tcBorders>
            <w:shd w:val="clear" w:color="auto" w:fill="auto"/>
            <w:vAlign w:val="center"/>
          </w:tcPr>
          <w:p w14:paraId="43A4F741" w14:textId="7A3172D1" w:rsidR="00563CFC" w:rsidRPr="00E50D6C" w:rsidRDefault="00563CFC" w:rsidP="008B2AB1">
            <w:pPr>
              <w:pStyle w:val="MDPI42tablebody"/>
              <w:autoSpaceDE w:val="0"/>
              <w:autoSpaceDN w:val="0"/>
              <w:spacing w:line="240" w:lineRule="auto"/>
              <w:rPr>
                <w:sz w:val="18"/>
                <w:lang w:val="en-GB"/>
              </w:rPr>
            </w:pPr>
            <w:r w:rsidRPr="00E50D6C">
              <w:rPr>
                <w:sz w:val="18"/>
                <w:lang w:val="en-GB"/>
              </w:rPr>
              <w:t>53.4</w:t>
            </w:r>
            <w:r w:rsidR="001C5864" w:rsidRPr="00E50D6C">
              <w:rPr>
                <w:sz w:val="18"/>
                <w:lang w:val="en-GB"/>
              </w:rPr>
              <w:t xml:space="preserve"> ± </w:t>
            </w:r>
            <w:r w:rsidRPr="00E50D6C">
              <w:rPr>
                <w:sz w:val="18"/>
                <w:lang w:val="en-GB"/>
              </w:rPr>
              <w:t>24.6</w:t>
            </w:r>
          </w:p>
        </w:tc>
        <w:tc>
          <w:tcPr>
            <w:tcW w:w="1559" w:type="dxa"/>
            <w:tcBorders>
              <w:top w:val="single" w:sz="4" w:space="0" w:color="FFFFFF" w:themeColor="background1"/>
              <w:bottom w:val="single" w:sz="4" w:space="0" w:color="FFFFFF" w:themeColor="background1"/>
            </w:tcBorders>
            <w:shd w:val="clear" w:color="auto" w:fill="auto"/>
            <w:vAlign w:val="center"/>
          </w:tcPr>
          <w:p w14:paraId="2AAE59CC" w14:textId="0B79F096" w:rsidR="00563CFC" w:rsidRPr="00E50D6C" w:rsidRDefault="00563CFC" w:rsidP="008B2AB1">
            <w:pPr>
              <w:pStyle w:val="MDPI42tablebody"/>
              <w:autoSpaceDE w:val="0"/>
              <w:autoSpaceDN w:val="0"/>
              <w:spacing w:line="240" w:lineRule="auto"/>
              <w:rPr>
                <w:i/>
                <w:sz w:val="18"/>
                <w:lang w:val="en-GB"/>
              </w:rPr>
            </w:pPr>
            <w:r w:rsidRPr="00E50D6C">
              <w:rPr>
                <w:sz w:val="18"/>
                <w:lang w:val="en-GB"/>
              </w:rPr>
              <w:t>0.7</w:t>
            </w:r>
            <w:r w:rsidR="001C5864" w:rsidRPr="00E50D6C">
              <w:rPr>
                <w:sz w:val="18"/>
                <w:lang w:val="en-GB"/>
              </w:rPr>
              <w:t xml:space="preserve"> ± </w:t>
            </w:r>
            <w:r w:rsidRPr="00E50D6C">
              <w:rPr>
                <w:sz w:val="18"/>
                <w:lang w:val="en-GB"/>
              </w:rPr>
              <w:t>21.5</w:t>
            </w:r>
          </w:p>
        </w:tc>
        <w:tc>
          <w:tcPr>
            <w:tcW w:w="1532" w:type="dxa"/>
            <w:tcBorders>
              <w:top w:val="single" w:sz="4" w:space="0" w:color="FFFFFF" w:themeColor="background1"/>
              <w:bottom w:val="single" w:sz="4" w:space="0" w:color="FFFFFF" w:themeColor="background1"/>
            </w:tcBorders>
            <w:shd w:val="clear" w:color="auto" w:fill="auto"/>
            <w:vAlign w:val="center"/>
          </w:tcPr>
          <w:p w14:paraId="7DB7B123" w14:textId="4B3286A2" w:rsidR="00563CFC" w:rsidRPr="00E50D6C" w:rsidRDefault="00563CFC" w:rsidP="008B2AB1">
            <w:pPr>
              <w:pStyle w:val="MDPI42tablebody"/>
              <w:autoSpaceDE w:val="0"/>
              <w:autoSpaceDN w:val="0"/>
              <w:spacing w:line="240" w:lineRule="auto"/>
              <w:rPr>
                <w:i/>
                <w:sz w:val="18"/>
                <w:lang w:val="en-GB"/>
              </w:rPr>
            </w:pPr>
            <w:r w:rsidRPr="00E50D6C">
              <w:rPr>
                <w:sz w:val="18"/>
                <w:lang w:val="en-GB"/>
              </w:rPr>
              <w:t>2.4</w:t>
            </w:r>
            <w:r w:rsidR="001C5864" w:rsidRPr="00E50D6C">
              <w:rPr>
                <w:sz w:val="18"/>
                <w:lang w:val="en-GB"/>
              </w:rPr>
              <w:t xml:space="preserve"> ± </w:t>
            </w:r>
            <w:r w:rsidRPr="00E50D6C">
              <w:rPr>
                <w:sz w:val="18"/>
                <w:lang w:val="en-GB"/>
              </w:rPr>
              <w:t>22.4</w:t>
            </w:r>
          </w:p>
        </w:tc>
        <w:tc>
          <w:tcPr>
            <w:tcW w:w="1162" w:type="dxa"/>
            <w:tcBorders>
              <w:top w:val="single" w:sz="4" w:space="0" w:color="FFFFFF" w:themeColor="background1"/>
              <w:bottom w:val="single" w:sz="4" w:space="0" w:color="FFFFFF" w:themeColor="background1"/>
            </w:tcBorders>
            <w:shd w:val="clear" w:color="auto" w:fill="auto"/>
            <w:vAlign w:val="center"/>
          </w:tcPr>
          <w:p w14:paraId="0B13773E"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0.13</w:t>
            </w:r>
          </w:p>
        </w:tc>
      </w:tr>
      <w:tr w:rsidR="00563CFC" w:rsidRPr="00E50D6C" w14:paraId="72342882" w14:textId="77777777" w:rsidTr="00166DFA">
        <w:trPr>
          <w:trHeight w:val="312"/>
          <w:jc w:val="center"/>
        </w:trPr>
        <w:tc>
          <w:tcPr>
            <w:tcW w:w="2976" w:type="dxa"/>
            <w:tcBorders>
              <w:top w:val="single" w:sz="4" w:space="0" w:color="FFFFFF" w:themeColor="background1"/>
              <w:bottom w:val="single" w:sz="4" w:space="0" w:color="FFFFFF" w:themeColor="background1"/>
            </w:tcBorders>
            <w:shd w:val="clear" w:color="auto" w:fill="auto"/>
            <w:vAlign w:val="center"/>
          </w:tcPr>
          <w:p w14:paraId="098F811F" w14:textId="35ECA2EB" w:rsidR="00563CFC" w:rsidRPr="00E50D6C" w:rsidRDefault="00563CFC" w:rsidP="00895255">
            <w:pPr>
              <w:pStyle w:val="MDPI42tablebody"/>
              <w:autoSpaceDE w:val="0"/>
              <w:autoSpaceDN w:val="0"/>
              <w:spacing w:line="240" w:lineRule="auto"/>
              <w:rPr>
                <w:sz w:val="18"/>
                <w:lang w:val="en-GB"/>
              </w:rPr>
            </w:pPr>
            <w:r w:rsidRPr="00E50D6C">
              <w:rPr>
                <w:sz w:val="18"/>
                <w:lang w:val="en-GB"/>
              </w:rPr>
              <w:t>Sitting Time</w:t>
            </w:r>
            <w:r w:rsidR="00895255" w:rsidRPr="00E50D6C">
              <w:rPr>
                <w:sz w:val="18"/>
                <w:lang w:val="en-GB"/>
              </w:rPr>
              <w:t xml:space="preserve"> </w:t>
            </w:r>
            <w:r w:rsidRPr="00E50D6C">
              <w:rPr>
                <w:sz w:val="18"/>
                <w:lang w:val="en-GB"/>
              </w:rPr>
              <w:t xml:space="preserve">(% of </w:t>
            </w:r>
            <w:r w:rsidR="00895255" w:rsidRPr="00E50D6C">
              <w:rPr>
                <w:sz w:val="18"/>
                <w:lang w:val="en-GB"/>
              </w:rPr>
              <w:t>work hours</w:t>
            </w:r>
            <w:r w:rsidRPr="00E50D6C">
              <w:rPr>
                <w:sz w:val="18"/>
                <w:lang w:val="en-GB"/>
              </w:rPr>
              <w:t>)</w:t>
            </w:r>
          </w:p>
        </w:tc>
        <w:tc>
          <w:tcPr>
            <w:tcW w:w="1134" w:type="dxa"/>
            <w:tcBorders>
              <w:top w:val="single" w:sz="4" w:space="0" w:color="FFFFFF" w:themeColor="background1"/>
              <w:bottom w:val="single" w:sz="4" w:space="0" w:color="FFFFFF" w:themeColor="background1"/>
            </w:tcBorders>
            <w:shd w:val="clear" w:color="auto" w:fill="auto"/>
            <w:vAlign w:val="center"/>
          </w:tcPr>
          <w:p w14:paraId="615934E9" w14:textId="4BC0D0B0" w:rsidR="00563CFC" w:rsidRPr="00E50D6C" w:rsidRDefault="00563CFC" w:rsidP="008B2AB1">
            <w:pPr>
              <w:pStyle w:val="MDPI42tablebody"/>
              <w:autoSpaceDE w:val="0"/>
              <w:autoSpaceDN w:val="0"/>
              <w:spacing w:line="240" w:lineRule="auto"/>
              <w:rPr>
                <w:sz w:val="18"/>
                <w:lang w:val="en-GB"/>
              </w:rPr>
            </w:pPr>
            <w:r w:rsidRPr="00E50D6C">
              <w:rPr>
                <w:sz w:val="18"/>
                <w:lang w:val="en-GB"/>
              </w:rPr>
              <w:t>66.6</w:t>
            </w:r>
            <w:r w:rsidR="001C5864" w:rsidRPr="00E50D6C">
              <w:rPr>
                <w:sz w:val="18"/>
                <w:lang w:val="en-GB"/>
              </w:rPr>
              <w:t xml:space="preserve"> ± </w:t>
            </w:r>
            <w:r w:rsidRPr="00E50D6C">
              <w:rPr>
                <w:sz w:val="18"/>
                <w:lang w:val="en-GB"/>
              </w:rPr>
              <w:t>13.7</w:t>
            </w:r>
          </w:p>
        </w:tc>
        <w:tc>
          <w:tcPr>
            <w:tcW w:w="1276" w:type="dxa"/>
            <w:tcBorders>
              <w:top w:val="single" w:sz="4" w:space="0" w:color="FFFFFF" w:themeColor="background1"/>
              <w:bottom w:val="single" w:sz="4" w:space="0" w:color="FFFFFF" w:themeColor="background1"/>
            </w:tcBorders>
            <w:shd w:val="clear" w:color="auto" w:fill="auto"/>
            <w:vAlign w:val="center"/>
          </w:tcPr>
          <w:p w14:paraId="364FC6C1" w14:textId="503DD8AB" w:rsidR="00563CFC" w:rsidRPr="00E50D6C" w:rsidRDefault="00563CFC" w:rsidP="008B2AB1">
            <w:pPr>
              <w:pStyle w:val="MDPI42tablebody"/>
              <w:autoSpaceDE w:val="0"/>
              <w:autoSpaceDN w:val="0"/>
              <w:spacing w:line="240" w:lineRule="auto"/>
              <w:rPr>
                <w:sz w:val="18"/>
                <w:lang w:val="en-GB"/>
              </w:rPr>
            </w:pPr>
            <w:r w:rsidRPr="00E50D6C">
              <w:rPr>
                <w:sz w:val="18"/>
                <w:lang w:val="en-GB"/>
              </w:rPr>
              <w:t>71.9</w:t>
            </w:r>
            <w:r w:rsidR="001C5864" w:rsidRPr="00E50D6C">
              <w:rPr>
                <w:sz w:val="18"/>
                <w:lang w:val="en-GB"/>
              </w:rPr>
              <w:t xml:space="preserve"> ± </w:t>
            </w:r>
            <w:r w:rsidRPr="00E50D6C">
              <w:rPr>
                <w:sz w:val="18"/>
                <w:lang w:val="en-GB"/>
              </w:rPr>
              <w:t>8.6</w:t>
            </w:r>
          </w:p>
        </w:tc>
        <w:tc>
          <w:tcPr>
            <w:tcW w:w="1559" w:type="dxa"/>
            <w:tcBorders>
              <w:top w:val="single" w:sz="4" w:space="0" w:color="FFFFFF" w:themeColor="background1"/>
              <w:bottom w:val="single" w:sz="4" w:space="0" w:color="FFFFFF" w:themeColor="background1"/>
            </w:tcBorders>
            <w:shd w:val="clear" w:color="auto" w:fill="auto"/>
            <w:vAlign w:val="center"/>
          </w:tcPr>
          <w:p w14:paraId="2D88BA79" w14:textId="01C31E0A" w:rsidR="00563CFC" w:rsidRPr="00E50D6C" w:rsidRDefault="00563CFC" w:rsidP="008B2AB1">
            <w:pPr>
              <w:pStyle w:val="MDPI42tablebody"/>
              <w:autoSpaceDE w:val="0"/>
              <w:autoSpaceDN w:val="0"/>
              <w:spacing w:line="240" w:lineRule="auto"/>
              <w:rPr>
                <w:sz w:val="18"/>
                <w:lang w:val="en-GB"/>
              </w:rPr>
            </w:pPr>
            <w:r w:rsidRPr="00E50D6C">
              <w:rPr>
                <w:sz w:val="18"/>
                <w:lang w:val="en-GB"/>
              </w:rPr>
              <w:t>5.3</w:t>
            </w:r>
            <w:r w:rsidR="001C5864" w:rsidRPr="00E50D6C">
              <w:rPr>
                <w:sz w:val="18"/>
                <w:lang w:val="en-GB"/>
              </w:rPr>
              <w:t xml:space="preserve"> ± </w:t>
            </w:r>
            <w:r w:rsidRPr="00E50D6C">
              <w:rPr>
                <w:sz w:val="18"/>
                <w:lang w:val="en-GB"/>
              </w:rPr>
              <w:t>8.6</w:t>
            </w:r>
          </w:p>
        </w:tc>
        <w:tc>
          <w:tcPr>
            <w:tcW w:w="1134" w:type="dxa"/>
            <w:tcBorders>
              <w:top w:val="single" w:sz="4" w:space="0" w:color="FFFFFF" w:themeColor="background1"/>
              <w:bottom w:val="single" w:sz="4" w:space="0" w:color="FFFFFF" w:themeColor="background1"/>
            </w:tcBorders>
            <w:shd w:val="clear" w:color="auto" w:fill="auto"/>
            <w:vAlign w:val="center"/>
          </w:tcPr>
          <w:p w14:paraId="71667E0F" w14:textId="5C8B9430" w:rsidR="00563CFC" w:rsidRPr="00E50D6C" w:rsidRDefault="00563CFC" w:rsidP="008B2AB1">
            <w:pPr>
              <w:pStyle w:val="MDPI42tablebody"/>
              <w:autoSpaceDE w:val="0"/>
              <w:autoSpaceDN w:val="0"/>
              <w:spacing w:line="240" w:lineRule="auto"/>
              <w:rPr>
                <w:sz w:val="18"/>
                <w:lang w:val="en-GB"/>
              </w:rPr>
            </w:pPr>
            <w:r w:rsidRPr="00E50D6C">
              <w:rPr>
                <w:sz w:val="18"/>
                <w:lang w:val="en-GB"/>
              </w:rPr>
              <w:t>72.0</w:t>
            </w:r>
            <w:r w:rsidR="001C5864" w:rsidRPr="00E50D6C">
              <w:rPr>
                <w:sz w:val="18"/>
                <w:lang w:val="en-GB"/>
              </w:rPr>
              <w:t xml:space="preserve"> ± </w:t>
            </w:r>
            <w:r w:rsidRPr="00E50D6C">
              <w:rPr>
                <w:sz w:val="18"/>
                <w:lang w:val="en-GB"/>
              </w:rPr>
              <w:t>7.8</w:t>
            </w:r>
          </w:p>
        </w:tc>
        <w:tc>
          <w:tcPr>
            <w:tcW w:w="1276" w:type="dxa"/>
            <w:tcBorders>
              <w:top w:val="single" w:sz="4" w:space="0" w:color="FFFFFF" w:themeColor="background1"/>
              <w:bottom w:val="single" w:sz="4" w:space="0" w:color="FFFFFF" w:themeColor="background1"/>
            </w:tcBorders>
            <w:shd w:val="clear" w:color="auto" w:fill="auto"/>
            <w:vAlign w:val="center"/>
          </w:tcPr>
          <w:p w14:paraId="03FEF7F2" w14:textId="110158BF" w:rsidR="00563CFC" w:rsidRPr="00E50D6C" w:rsidRDefault="00563CFC" w:rsidP="008B2AB1">
            <w:pPr>
              <w:pStyle w:val="MDPI42tablebody"/>
              <w:autoSpaceDE w:val="0"/>
              <w:autoSpaceDN w:val="0"/>
              <w:spacing w:line="240" w:lineRule="auto"/>
              <w:rPr>
                <w:sz w:val="18"/>
                <w:lang w:val="en-GB"/>
              </w:rPr>
            </w:pPr>
            <w:r w:rsidRPr="00E50D6C">
              <w:rPr>
                <w:sz w:val="18"/>
                <w:lang w:val="en-GB"/>
              </w:rPr>
              <w:t>69.6</w:t>
            </w:r>
            <w:r w:rsidR="001C5864" w:rsidRPr="00E50D6C">
              <w:rPr>
                <w:sz w:val="18"/>
                <w:lang w:val="en-GB"/>
              </w:rPr>
              <w:t xml:space="preserve"> ± </w:t>
            </w:r>
            <w:r w:rsidRPr="00E50D6C">
              <w:rPr>
                <w:sz w:val="18"/>
                <w:lang w:val="en-GB"/>
              </w:rPr>
              <w:t>12.0</w:t>
            </w:r>
          </w:p>
        </w:tc>
        <w:tc>
          <w:tcPr>
            <w:tcW w:w="1559" w:type="dxa"/>
            <w:tcBorders>
              <w:top w:val="single" w:sz="4" w:space="0" w:color="FFFFFF" w:themeColor="background1"/>
              <w:bottom w:val="single" w:sz="4" w:space="0" w:color="FFFFFF" w:themeColor="background1"/>
            </w:tcBorders>
            <w:shd w:val="clear" w:color="auto" w:fill="auto"/>
            <w:vAlign w:val="center"/>
          </w:tcPr>
          <w:p w14:paraId="677AA101" w14:textId="2AB0937F"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2.4</w:t>
            </w:r>
            <w:r w:rsidR="001C5864" w:rsidRPr="00E50D6C">
              <w:rPr>
                <w:sz w:val="18"/>
                <w:lang w:val="en-GB"/>
              </w:rPr>
              <w:t xml:space="preserve"> ± </w:t>
            </w:r>
            <w:r w:rsidR="00563CFC" w:rsidRPr="00E50D6C">
              <w:rPr>
                <w:sz w:val="18"/>
                <w:lang w:val="en-GB"/>
              </w:rPr>
              <w:t>9.4</w:t>
            </w:r>
          </w:p>
        </w:tc>
        <w:tc>
          <w:tcPr>
            <w:tcW w:w="1532" w:type="dxa"/>
            <w:tcBorders>
              <w:top w:val="single" w:sz="4" w:space="0" w:color="FFFFFF" w:themeColor="background1"/>
              <w:bottom w:val="single" w:sz="4" w:space="0" w:color="FFFFFF" w:themeColor="background1"/>
            </w:tcBorders>
            <w:shd w:val="clear" w:color="auto" w:fill="auto"/>
            <w:vAlign w:val="center"/>
          </w:tcPr>
          <w:p w14:paraId="667F9600" w14:textId="31766833"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7.7</w:t>
            </w:r>
            <w:r w:rsidR="001C5864" w:rsidRPr="00E50D6C">
              <w:rPr>
                <w:sz w:val="18"/>
                <w:lang w:val="en-GB"/>
              </w:rPr>
              <w:t xml:space="preserve"> ± </w:t>
            </w:r>
            <w:r w:rsidR="00563CFC" w:rsidRPr="00E50D6C">
              <w:rPr>
                <w:sz w:val="18"/>
                <w:lang w:val="en-GB"/>
              </w:rPr>
              <w:t>15.0</w:t>
            </w:r>
          </w:p>
        </w:tc>
        <w:tc>
          <w:tcPr>
            <w:tcW w:w="1162" w:type="dxa"/>
            <w:tcBorders>
              <w:top w:val="single" w:sz="4" w:space="0" w:color="FFFFFF" w:themeColor="background1"/>
              <w:bottom w:val="single" w:sz="4" w:space="0" w:color="FFFFFF" w:themeColor="background1"/>
            </w:tcBorders>
            <w:shd w:val="clear" w:color="auto" w:fill="auto"/>
            <w:vAlign w:val="center"/>
          </w:tcPr>
          <w:p w14:paraId="47AA7AC1"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0.89</w:t>
            </w:r>
          </w:p>
        </w:tc>
      </w:tr>
      <w:tr w:rsidR="00563CFC" w:rsidRPr="00E50D6C" w14:paraId="3A5ACF19" w14:textId="77777777" w:rsidTr="00166DFA">
        <w:trPr>
          <w:trHeight w:val="312"/>
          <w:jc w:val="center"/>
        </w:trPr>
        <w:tc>
          <w:tcPr>
            <w:tcW w:w="2976" w:type="dxa"/>
            <w:tcBorders>
              <w:top w:val="single" w:sz="4" w:space="0" w:color="FFFFFF" w:themeColor="background1"/>
              <w:bottom w:val="single" w:sz="4" w:space="0" w:color="FFFFFF" w:themeColor="background1"/>
            </w:tcBorders>
            <w:shd w:val="clear" w:color="auto" w:fill="auto"/>
            <w:vAlign w:val="center"/>
          </w:tcPr>
          <w:p w14:paraId="4C3FE95D" w14:textId="041AA374" w:rsidR="00563CFC" w:rsidRPr="00E50D6C" w:rsidRDefault="00563CFC" w:rsidP="00895255">
            <w:pPr>
              <w:pStyle w:val="MDPI42tablebody"/>
              <w:autoSpaceDE w:val="0"/>
              <w:autoSpaceDN w:val="0"/>
              <w:spacing w:line="240" w:lineRule="auto"/>
              <w:rPr>
                <w:sz w:val="18"/>
                <w:lang w:val="en-GB"/>
              </w:rPr>
            </w:pPr>
            <w:r w:rsidRPr="00E50D6C">
              <w:rPr>
                <w:sz w:val="18"/>
                <w:lang w:val="en-GB"/>
              </w:rPr>
              <w:t>Standing Time</w:t>
            </w:r>
            <w:r w:rsidR="00895255" w:rsidRPr="00E50D6C">
              <w:rPr>
                <w:sz w:val="18"/>
                <w:lang w:val="en-GB"/>
              </w:rPr>
              <w:t xml:space="preserve"> </w:t>
            </w:r>
            <w:r w:rsidRPr="00E50D6C">
              <w:rPr>
                <w:sz w:val="18"/>
                <w:lang w:val="en-GB"/>
              </w:rPr>
              <w:t xml:space="preserve">(% of </w:t>
            </w:r>
            <w:r w:rsidR="00895255" w:rsidRPr="00E50D6C">
              <w:rPr>
                <w:sz w:val="18"/>
                <w:lang w:val="en-GB"/>
              </w:rPr>
              <w:t>work hours</w:t>
            </w:r>
            <w:r w:rsidRPr="00E50D6C">
              <w:rPr>
                <w:sz w:val="18"/>
                <w:lang w:val="en-GB"/>
              </w:rPr>
              <w:t>)</w:t>
            </w:r>
          </w:p>
        </w:tc>
        <w:tc>
          <w:tcPr>
            <w:tcW w:w="1134" w:type="dxa"/>
            <w:tcBorders>
              <w:top w:val="single" w:sz="4" w:space="0" w:color="FFFFFF" w:themeColor="background1"/>
              <w:bottom w:val="single" w:sz="4" w:space="0" w:color="FFFFFF" w:themeColor="background1"/>
            </w:tcBorders>
            <w:shd w:val="clear" w:color="auto" w:fill="auto"/>
            <w:vAlign w:val="center"/>
          </w:tcPr>
          <w:p w14:paraId="4AE8700C" w14:textId="31CF3B2B" w:rsidR="00563CFC" w:rsidRPr="00E50D6C" w:rsidRDefault="00563CFC" w:rsidP="008B2AB1">
            <w:pPr>
              <w:pStyle w:val="MDPI42tablebody"/>
              <w:autoSpaceDE w:val="0"/>
              <w:autoSpaceDN w:val="0"/>
              <w:spacing w:line="240" w:lineRule="auto"/>
              <w:rPr>
                <w:sz w:val="18"/>
                <w:lang w:val="en-GB"/>
              </w:rPr>
            </w:pPr>
            <w:r w:rsidRPr="00E50D6C">
              <w:rPr>
                <w:sz w:val="18"/>
                <w:lang w:val="en-GB"/>
              </w:rPr>
              <w:t>22.4</w:t>
            </w:r>
            <w:r w:rsidR="001C5864" w:rsidRPr="00E50D6C">
              <w:rPr>
                <w:sz w:val="18"/>
                <w:lang w:val="en-GB"/>
              </w:rPr>
              <w:t xml:space="preserve"> ± </w:t>
            </w:r>
            <w:r w:rsidRPr="00E50D6C">
              <w:rPr>
                <w:sz w:val="18"/>
                <w:lang w:val="en-GB"/>
              </w:rPr>
              <w:t>13.1</w:t>
            </w:r>
          </w:p>
        </w:tc>
        <w:tc>
          <w:tcPr>
            <w:tcW w:w="1276" w:type="dxa"/>
            <w:tcBorders>
              <w:top w:val="single" w:sz="4" w:space="0" w:color="FFFFFF" w:themeColor="background1"/>
              <w:bottom w:val="single" w:sz="4" w:space="0" w:color="FFFFFF" w:themeColor="background1"/>
            </w:tcBorders>
            <w:shd w:val="clear" w:color="auto" w:fill="auto"/>
            <w:vAlign w:val="center"/>
          </w:tcPr>
          <w:p w14:paraId="521F5F57" w14:textId="6C50AE24" w:rsidR="00563CFC" w:rsidRPr="00E50D6C" w:rsidRDefault="00563CFC" w:rsidP="008B2AB1">
            <w:pPr>
              <w:pStyle w:val="MDPI42tablebody"/>
              <w:autoSpaceDE w:val="0"/>
              <w:autoSpaceDN w:val="0"/>
              <w:spacing w:line="240" w:lineRule="auto"/>
              <w:rPr>
                <w:sz w:val="18"/>
                <w:lang w:val="en-GB"/>
              </w:rPr>
            </w:pPr>
            <w:r w:rsidRPr="00E50D6C">
              <w:rPr>
                <w:sz w:val="18"/>
                <w:lang w:val="en-GB"/>
              </w:rPr>
              <w:t>17.4</w:t>
            </w:r>
            <w:r w:rsidR="001C5864" w:rsidRPr="00E50D6C">
              <w:rPr>
                <w:sz w:val="18"/>
                <w:lang w:val="en-GB"/>
              </w:rPr>
              <w:t xml:space="preserve"> ± </w:t>
            </w:r>
            <w:r w:rsidRPr="00E50D6C">
              <w:rPr>
                <w:sz w:val="18"/>
                <w:lang w:val="en-GB"/>
              </w:rPr>
              <w:t>7.0</w:t>
            </w:r>
          </w:p>
        </w:tc>
        <w:tc>
          <w:tcPr>
            <w:tcW w:w="1559" w:type="dxa"/>
            <w:tcBorders>
              <w:top w:val="single" w:sz="4" w:space="0" w:color="FFFFFF" w:themeColor="background1"/>
              <w:bottom w:val="single" w:sz="4" w:space="0" w:color="FFFFFF" w:themeColor="background1"/>
            </w:tcBorders>
            <w:shd w:val="clear" w:color="auto" w:fill="auto"/>
            <w:vAlign w:val="center"/>
          </w:tcPr>
          <w:p w14:paraId="1899646D" w14:textId="3CECE80E" w:rsidR="00563CFC" w:rsidRPr="00E50D6C" w:rsidRDefault="004B2F71" w:rsidP="008B2AB1">
            <w:pPr>
              <w:pStyle w:val="MDPI42tablebody"/>
              <w:autoSpaceDE w:val="0"/>
              <w:autoSpaceDN w:val="0"/>
              <w:spacing w:line="240" w:lineRule="auto"/>
              <w:rPr>
                <w:sz w:val="18"/>
                <w:lang w:val="en-GB"/>
              </w:rPr>
            </w:pPr>
            <w:r w:rsidRPr="00E50D6C">
              <w:rPr>
                <w:sz w:val="18"/>
                <w:lang w:val="en-GB"/>
              </w:rPr>
              <w:t>−</w:t>
            </w:r>
            <w:r w:rsidR="00563CFC" w:rsidRPr="00E50D6C">
              <w:rPr>
                <w:sz w:val="18"/>
                <w:lang w:val="en-GB"/>
              </w:rPr>
              <w:t>4.9</w:t>
            </w:r>
            <w:r w:rsidR="001C5864" w:rsidRPr="00E50D6C">
              <w:rPr>
                <w:sz w:val="18"/>
                <w:lang w:val="en-GB"/>
              </w:rPr>
              <w:t xml:space="preserve"> ± </w:t>
            </w:r>
            <w:r w:rsidR="00563CFC" w:rsidRPr="00E50D6C">
              <w:rPr>
                <w:sz w:val="18"/>
                <w:lang w:val="en-GB"/>
              </w:rPr>
              <w:t>9.1</w:t>
            </w:r>
          </w:p>
        </w:tc>
        <w:tc>
          <w:tcPr>
            <w:tcW w:w="1134" w:type="dxa"/>
            <w:tcBorders>
              <w:top w:val="single" w:sz="4" w:space="0" w:color="FFFFFF" w:themeColor="background1"/>
              <w:bottom w:val="single" w:sz="4" w:space="0" w:color="FFFFFF" w:themeColor="background1"/>
            </w:tcBorders>
            <w:shd w:val="clear" w:color="auto" w:fill="auto"/>
            <w:vAlign w:val="center"/>
          </w:tcPr>
          <w:p w14:paraId="4FAE5894" w14:textId="57826945" w:rsidR="00563CFC" w:rsidRPr="00E50D6C" w:rsidRDefault="00563CFC" w:rsidP="008B2AB1">
            <w:pPr>
              <w:pStyle w:val="MDPI42tablebody"/>
              <w:autoSpaceDE w:val="0"/>
              <w:autoSpaceDN w:val="0"/>
              <w:spacing w:line="240" w:lineRule="auto"/>
              <w:rPr>
                <w:sz w:val="18"/>
                <w:lang w:val="en-GB"/>
              </w:rPr>
            </w:pPr>
            <w:r w:rsidRPr="00E50D6C">
              <w:rPr>
                <w:sz w:val="18"/>
                <w:lang w:val="en-GB"/>
              </w:rPr>
              <w:t>17.1</w:t>
            </w:r>
            <w:r w:rsidR="001C5864" w:rsidRPr="00E50D6C">
              <w:rPr>
                <w:sz w:val="18"/>
                <w:lang w:val="en-GB"/>
              </w:rPr>
              <w:t xml:space="preserve"> ± </w:t>
            </w:r>
            <w:r w:rsidRPr="00E50D6C">
              <w:rPr>
                <w:sz w:val="18"/>
                <w:lang w:val="en-GB"/>
              </w:rPr>
              <w:t>7.4</w:t>
            </w:r>
          </w:p>
        </w:tc>
        <w:tc>
          <w:tcPr>
            <w:tcW w:w="1276" w:type="dxa"/>
            <w:tcBorders>
              <w:top w:val="single" w:sz="4" w:space="0" w:color="FFFFFF" w:themeColor="background1"/>
              <w:bottom w:val="single" w:sz="4" w:space="0" w:color="FFFFFF" w:themeColor="background1"/>
            </w:tcBorders>
            <w:shd w:val="clear" w:color="auto" w:fill="auto"/>
            <w:vAlign w:val="center"/>
          </w:tcPr>
          <w:p w14:paraId="6E88FB55" w14:textId="37FBB313" w:rsidR="00563CFC" w:rsidRPr="00E50D6C" w:rsidRDefault="00563CFC" w:rsidP="008B2AB1">
            <w:pPr>
              <w:pStyle w:val="MDPI42tablebody"/>
              <w:autoSpaceDE w:val="0"/>
              <w:autoSpaceDN w:val="0"/>
              <w:spacing w:line="240" w:lineRule="auto"/>
              <w:rPr>
                <w:sz w:val="18"/>
                <w:lang w:val="en-GB"/>
              </w:rPr>
            </w:pPr>
            <w:r w:rsidRPr="00E50D6C">
              <w:rPr>
                <w:sz w:val="18"/>
                <w:lang w:val="en-GB"/>
              </w:rPr>
              <w:t>19.4</w:t>
            </w:r>
            <w:r w:rsidR="001C5864" w:rsidRPr="00E50D6C">
              <w:rPr>
                <w:sz w:val="18"/>
                <w:lang w:val="en-GB"/>
              </w:rPr>
              <w:t xml:space="preserve"> ± </w:t>
            </w:r>
            <w:r w:rsidRPr="00E50D6C">
              <w:rPr>
                <w:sz w:val="18"/>
                <w:lang w:val="en-GB"/>
              </w:rPr>
              <w:t>8.6</w:t>
            </w:r>
          </w:p>
        </w:tc>
        <w:tc>
          <w:tcPr>
            <w:tcW w:w="1559" w:type="dxa"/>
            <w:tcBorders>
              <w:top w:val="single" w:sz="4" w:space="0" w:color="FFFFFF" w:themeColor="background1"/>
              <w:bottom w:val="single" w:sz="4" w:space="0" w:color="FFFFFF" w:themeColor="background1"/>
            </w:tcBorders>
            <w:shd w:val="clear" w:color="auto" w:fill="auto"/>
            <w:vAlign w:val="center"/>
          </w:tcPr>
          <w:p w14:paraId="181ED65B" w14:textId="17B68F38" w:rsidR="00563CFC" w:rsidRPr="00E50D6C" w:rsidRDefault="00563CFC" w:rsidP="008B2AB1">
            <w:pPr>
              <w:pStyle w:val="MDPI42tablebody"/>
              <w:autoSpaceDE w:val="0"/>
              <w:autoSpaceDN w:val="0"/>
              <w:spacing w:line="240" w:lineRule="auto"/>
              <w:rPr>
                <w:i/>
                <w:sz w:val="18"/>
                <w:lang w:val="en-GB"/>
              </w:rPr>
            </w:pPr>
            <w:r w:rsidRPr="00E50D6C">
              <w:rPr>
                <w:sz w:val="18"/>
                <w:lang w:val="en-GB"/>
              </w:rPr>
              <w:t>2.3</w:t>
            </w:r>
            <w:r w:rsidR="001C5864" w:rsidRPr="00E50D6C">
              <w:rPr>
                <w:sz w:val="18"/>
                <w:lang w:val="en-GB"/>
              </w:rPr>
              <w:t xml:space="preserve"> ± </w:t>
            </w:r>
            <w:r w:rsidRPr="00E50D6C">
              <w:rPr>
                <w:sz w:val="18"/>
                <w:lang w:val="en-GB"/>
              </w:rPr>
              <w:t>8.2</w:t>
            </w:r>
          </w:p>
        </w:tc>
        <w:tc>
          <w:tcPr>
            <w:tcW w:w="1532" w:type="dxa"/>
            <w:tcBorders>
              <w:top w:val="single" w:sz="4" w:space="0" w:color="FFFFFF" w:themeColor="background1"/>
              <w:bottom w:val="single" w:sz="4" w:space="0" w:color="FFFFFF" w:themeColor="background1"/>
            </w:tcBorders>
            <w:shd w:val="clear" w:color="auto" w:fill="auto"/>
            <w:vAlign w:val="center"/>
          </w:tcPr>
          <w:p w14:paraId="721218E1" w14:textId="2976B3FB" w:rsidR="00563CFC" w:rsidRPr="00E50D6C" w:rsidRDefault="00563CFC" w:rsidP="008B2AB1">
            <w:pPr>
              <w:pStyle w:val="MDPI42tablebody"/>
              <w:autoSpaceDE w:val="0"/>
              <w:autoSpaceDN w:val="0"/>
              <w:spacing w:line="240" w:lineRule="auto"/>
              <w:rPr>
                <w:i/>
                <w:sz w:val="18"/>
                <w:lang w:val="en-GB"/>
              </w:rPr>
            </w:pPr>
            <w:r w:rsidRPr="00E50D6C">
              <w:rPr>
                <w:sz w:val="18"/>
                <w:lang w:val="en-GB"/>
              </w:rPr>
              <w:t>7.2</w:t>
            </w:r>
            <w:r w:rsidR="001C5864" w:rsidRPr="00E50D6C">
              <w:rPr>
                <w:sz w:val="18"/>
                <w:lang w:val="en-GB"/>
              </w:rPr>
              <w:t xml:space="preserve"> ± </w:t>
            </w:r>
            <w:r w:rsidRPr="00E50D6C">
              <w:rPr>
                <w:sz w:val="18"/>
                <w:lang w:val="en-GB"/>
              </w:rPr>
              <w:t>14.3</w:t>
            </w:r>
          </w:p>
        </w:tc>
        <w:tc>
          <w:tcPr>
            <w:tcW w:w="1162" w:type="dxa"/>
            <w:tcBorders>
              <w:top w:val="single" w:sz="4" w:space="0" w:color="FFFFFF" w:themeColor="background1"/>
              <w:bottom w:val="single" w:sz="4" w:space="0" w:color="FFFFFF" w:themeColor="background1"/>
            </w:tcBorders>
            <w:shd w:val="clear" w:color="auto" w:fill="auto"/>
            <w:vAlign w:val="center"/>
          </w:tcPr>
          <w:p w14:paraId="3B5155F1"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0.87</w:t>
            </w:r>
          </w:p>
        </w:tc>
      </w:tr>
      <w:tr w:rsidR="00563CFC" w:rsidRPr="00E50D6C" w14:paraId="0B9B89A8" w14:textId="77777777" w:rsidTr="00166DFA">
        <w:trPr>
          <w:trHeight w:val="312"/>
          <w:jc w:val="center"/>
        </w:trPr>
        <w:tc>
          <w:tcPr>
            <w:tcW w:w="2976" w:type="dxa"/>
            <w:tcBorders>
              <w:top w:val="single" w:sz="4" w:space="0" w:color="FFFFFF" w:themeColor="background1"/>
              <w:bottom w:val="single" w:sz="4" w:space="0" w:color="FFFFFF" w:themeColor="background1"/>
            </w:tcBorders>
            <w:shd w:val="clear" w:color="auto" w:fill="auto"/>
            <w:vAlign w:val="center"/>
          </w:tcPr>
          <w:p w14:paraId="356AFCF3" w14:textId="69D63912" w:rsidR="00563CFC" w:rsidRPr="00E50D6C" w:rsidRDefault="00563CFC" w:rsidP="00895255">
            <w:pPr>
              <w:pStyle w:val="MDPI42tablebody"/>
              <w:autoSpaceDE w:val="0"/>
              <w:autoSpaceDN w:val="0"/>
              <w:spacing w:line="240" w:lineRule="auto"/>
              <w:rPr>
                <w:sz w:val="18"/>
                <w:lang w:val="en-GB"/>
              </w:rPr>
            </w:pPr>
            <w:r w:rsidRPr="00E50D6C">
              <w:rPr>
                <w:sz w:val="18"/>
                <w:lang w:val="en-GB"/>
              </w:rPr>
              <w:t>Stepping Time</w:t>
            </w:r>
            <w:r w:rsidR="00895255" w:rsidRPr="00E50D6C">
              <w:rPr>
                <w:sz w:val="18"/>
                <w:lang w:val="en-GB"/>
              </w:rPr>
              <w:t xml:space="preserve"> </w:t>
            </w:r>
            <w:r w:rsidRPr="00E50D6C">
              <w:rPr>
                <w:sz w:val="18"/>
                <w:lang w:val="en-GB"/>
              </w:rPr>
              <w:t xml:space="preserve">(% of </w:t>
            </w:r>
            <w:r w:rsidR="00895255" w:rsidRPr="00E50D6C">
              <w:rPr>
                <w:sz w:val="18"/>
                <w:lang w:val="en-GB"/>
              </w:rPr>
              <w:t>work hours</w:t>
            </w:r>
            <w:r w:rsidRPr="00E50D6C">
              <w:rPr>
                <w:sz w:val="18"/>
                <w:lang w:val="en-GB"/>
              </w:rPr>
              <w:t>)</w:t>
            </w:r>
          </w:p>
        </w:tc>
        <w:tc>
          <w:tcPr>
            <w:tcW w:w="1134" w:type="dxa"/>
            <w:tcBorders>
              <w:top w:val="single" w:sz="4" w:space="0" w:color="FFFFFF" w:themeColor="background1"/>
              <w:bottom w:val="single" w:sz="4" w:space="0" w:color="FFFFFF" w:themeColor="background1"/>
            </w:tcBorders>
            <w:shd w:val="clear" w:color="auto" w:fill="auto"/>
            <w:vAlign w:val="center"/>
          </w:tcPr>
          <w:p w14:paraId="6476BC69" w14:textId="35611522" w:rsidR="00563CFC" w:rsidRPr="00E50D6C" w:rsidRDefault="00563CFC" w:rsidP="008B2AB1">
            <w:pPr>
              <w:pStyle w:val="MDPI42tablebody"/>
              <w:autoSpaceDE w:val="0"/>
              <w:autoSpaceDN w:val="0"/>
              <w:spacing w:line="240" w:lineRule="auto"/>
              <w:rPr>
                <w:sz w:val="18"/>
                <w:lang w:val="en-GB"/>
              </w:rPr>
            </w:pPr>
            <w:r w:rsidRPr="00E50D6C">
              <w:rPr>
                <w:sz w:val="18"/>
                <w:lang w:val="en-GB"/>
              </w:rPr>
              <w:t>11.0</w:t>
            </w:r>
            <w:r w:rsidR="001C5864" w:rsidRPr="00E50D6C">
              <w:rPr>
                <w:sz w:val="18"/>
                <w:lang w:val="en-GB"/>
              </w:rPr>
              <w:t xml:space="preserve"> ± </w:t>
            </w:r>
            <w:r w:rsidRPr="00E50D6C">
              <w:rPr>
                <w:sz w:val="18"/>
                <w:lang w:val="en-GB"/>
              </w:rPr>
              <w:t>3.1</w:t>
            </w:r>
          </w:p>
        </w:tc>
        <w:tc>
          <w:tcPr>
            <w:tcW w:w="1276" w:type="dxa"/>
            <w:tcBorders>
              <w:top w:val="single" w:sz="4" w:space="0" w:color="FFFFFF" w:themeColor="background1"/>
              <w:bottom w:val="single" w:sz="4" w:space="0" w:color="FFFFFF" w:themeColor="background1"/>
            </w:tcBorders>
            <w:shd w:val="clear" w:color="auto" w:fill="auto"/>
            <w:vAlign w:val="center"/>
          </w:tcPr>
          <w:p w14:paraId="3A26E295" w14:textId="575CFD38" w:rsidR="00563CFC" w:rsidRPr="00E50D6C" w:rsidRDefault="00563CFC" w:rsidP="008B2AB1">
            <w:pPr>
              <w:pStyle w:val="MDPI42tablebody"/>
              <w:autoSpaceDE w:val="0"/>
              <w:autoSpaceDN w:val="0"/>
              <w:spacing w:line="240" w:lineRule="auto"/>
              <w:rPr>
                <w:sz w:val="18"/>
                <w:lang w:val="en-GB"/>
              </w:rPr>
            </w:pPr>
            <w:r w:rsidRPr="00E50D6C">
              <w:rPr>
                <w:sz w:val="18"/>
                <w:lang w:val="en-GB"/>
              </w:rPr>
              <w:t>10.6</w:t>
            </w:r>
            <w:r w:rsidR="001C5864" w:rsidRPr="00E50D6C">
              <w:rPr>
                <w:sz w:val="18"/>
                <w:lang w:val="en-GB"/>
              </w:rPr>
              <w:t xml:space="preserve"> ± </w:t>
            </w:r>
            <w:r w:rsidRPr="00E50D6C">
              <w:rPr>
                <w:sz w:val="18"/>
                <w:lang w:val="en-GB"/>
              </w:rPr>
              <w:t>3.8</w:t>
            </w:r>
          </w:p>
        </w:tc>
        <w:tc>
          <w:tcPr>
            <w:tcW w:w="1559" w:type="dxa"/>
            <w:tcBorders>
              <w:top w:val="single" w:sz="4" w:space="0" w:color="FFFFFF" w:themeColor="background1"/>
              <w:bottom w:val="single" w:sz="4" w:space="0" w:color="FFFFFF" w:themeColor="background1"/>
            </w:tcBorders>
            <w:shd w:val="clear" w:color="auto" w:fill="auto"/>
            <w:vAlign w:val="center"/>
          </w:tcPr>
          <w:p w14:paraId="00CF5130" w14:textId="4078A4F2" w:rsidR="00563CFC" w:rsidRPr="00E50D6C" w:rsidRDefault="004B2F71" w:rsidP="008B2AB1">
            <w:pPr>
              <w:pStyle w:val="MDPI42tablebody"/>
              <w:autoSpaceDE w:val="0"/>
              <w:autoSpaceDN w:val="0"/>
              <w:spacing w:line="240" w:lineRule="auto"/>
              <w:rPr>
                <w:sz w:val="18"/>
                <w:lang w:val="en-GB"/>
              </w:rPr>
            </w:pPr>
            <w:r w:rsidRPr="00E50D6C">
              <w:rPr>
                <w:sz w:val="18"/>
                <w:lang w:val="en-GB"/>
              </w:rPr>
              <w:t>−</w:t>
            </w:r>
            <w:r w:rsidR="00563CFC" w:rsidRPr="00E50D6C">
              <w:rPr>
                <w:sz w:val="18"/>
                <w:lang w:val="en-GB"/>
              </w:rPr>
              <w:t>0.4</w:t>
            </w:r>
            <w:r w:rsidR="001C5864" w:rsidRPr="00E50D6C">
              <w:rPr>
                <w:sz w:val="18"/>
                <w:lang w:val="en-GB"/>
              </w:rPr>
              <w:t xml:space="preserve"> ± </w:t>
            </w:r>
            <w:r w:rsidR="00563CFC" w:rsidRPr="00E50D6C">
              <w:rPr>
                <w:sz w:val="18"/>
                <w:lang w:val="en-GB"/>
              </w:rPr>
              <w:t>3.3</w:t>
            </w:r>
          </w:p>
        </w:tc>
        <w:tc>
          <w:tcPr>
            <w:tcW w:w="1134" w:type="dxa"/>
            <w:tcBorders>
              <w:top w:val="single" w:sz="4" w:space="0" w:color="FFFFFF" w:themeColor="background1"/>
              <w:bottom w:val="single" w:sz="4" w:space="0" w:color="FFFFFF" w:themeColor="background1"/>
            </w:tcBorders>
            <w:shd w:val="clear" w:color="auto" w:fill="auto"/>
            <w:vAlign w:val="center"/>
          </w:tcPr>
          <w:p w14:paraId="2C6A56DC" w14:textId="4F77C7BD" w:rsidR="00563CFC" w:rsidRPr="00E50D6C" w:rsidRDefault="00563CFC" w:rsidP="008B2AB1">
            <w:pPr>
              <w:pStyle w:val="MDPI42tablebody"/>
              <w:autoSpaceDE w:val="0"/>
              <w:autoSpaceDN w:val="0"/>
              <w:spacing w:line="240" w:lineRule="auto"/>
              <w:rPr>
                <w:sz w:val="18"/>
                <w:lang w:val="en-GB"/>
              </w:rPr>
            </w:pPr>
            <w:r w:rsidRPr="00E50D6C">
              <w:rPr>
                <w:sz w:val="18"/>
                <w:lang w:val="en-GB"/>
              </w:rPr>
              <w:t>10.9</w:t>
            </w:r>
            <w:r w:rsidR="001C5864" w:rsidRPr="00E50D6C">
              <w:rPr>
                <w:sz w:val="18"/>
                <w:lang w:val="en-GB"/>
              </w:rPr>
              <w:t xml:space="preserve"> ± </w:t>
            </w:r>
            <w:r w:rsidRPr="00E50D6C">
              <w:rPr>
                <w:sz w:val="18"/>
                <w:lang w:val="en-GB"/>
              </w:rPr>
              <w:t>3.7</w:t>
            </w:r>
          </w:p>
        </w:tc>
        <w:tc>
          <w:tcPr>
            <w:tcW w:w="1276" w:type="dxa"/>
            <w:tcBorders>
              <w:top w:val="single" w:sz="4" w:space="0" w:color="FFFFFF" w:themeColor="background1"/>
              <w:bottom w:val="single" w:sz="4" w:space="0" w:color="FFFFFF" w:themeColor="background1"/>
            </w:tcBorders>
            <w:shd w:val="clear" w:color="auto" w:fill="auto"/>
            <w:vAlign w:val="center"/>
          </w:tcPr>
          <w:p w14:paraId="06930726" w14:textId="633CA808" w:rsidR="00563CFC" w:rsidRPr="00E50D6C" w:rsidRDefault="00563CFC" w:rsidP="008B2AB1">
            <w:pPr>
              <w:pStyle w:val="MDPI42tablebody"/>
              <w:autoSpaceDE w:val="0"/>
              <w:autoSpaceDN w:val="0"/>
              <w:spacing w:line="240" w:lineRule="auto"/>
              <w:rPr>
                <w:sz w:val="18"/>
                <w:lang w:val="en-GB"/>
              </w:rPr>
            </w:pPr>
            <w:r w:rsidRPr="00E50D6C">
              <w:rPr>
                <w:sz w:val="18"/>
                <w:lang w:val="en-GB"/>
              </w:rPr>
              <w:t>11.0</w:t>
            </w:r>
            <w:r w:rsidR="001C5864" w:rsidRPr="00E50D6C">
              <w:rPr>
                <w:sz w:val="18"/>
                <w:lang w:val="en-GB"/>
              </w:rPr>
              <w:t xml:space="preserve"> ± </w:t>
            </w:r>
            <w:r w:rsidRPr="00E50D6C">
              <w:rPr>
                <w:sz w:val="18"/>
                <w:lang w:val="en-GB"/>
              </w:rPr>
              <w:t>5.1</w:t>
            </w:r>
          </w:p>
        </w:tc>
        <w:tc>
          <w:tcPr>
            <w:tcW w:w="1559" w:type="dxa"/>
            <w:tcBorders>
              <w:top w:val="single" w:sz="4" w:space="0" w:color="FFFFFF" w:themeColor="background1"/>
              <w:bottom w:val="single" w:sz="4" w:space="0" w:color="FFFFFF" w:themeColor="background1"/>
            </w:tcBorders>
            <w:shd w:val="clear" w:color="auto" w:fill="auto"/>
            <w:vAlign w:val="center"/>
          </w:tcPr>
          <w:p w14:paraId="5185F7E3" w14:textId="1037EF1D" w:rsidR="00563CFC" w:rsidRPr="00E50D6C" w:rsidRDefault="00563CFC" w:rsidP="008B2AB1">
            <w:pPr>
              <w:pStyle w:val="MDPI42tablebody"/>
              <w:autoSpaceDE w:val="0"/>
              <w:autoSpaceDN w:val="0"/>
              <w:spacing w:line="240" w:lineRule="auto"/>
              <w:rPr>
                <w:i/>
                <w:sz w:val="18"/>
                <w:lang w:val="en-GB"/>
              </w:rPr>
            </w:pPr>
            <w:r w:rsidRPr="00E50D6C">
              <w:rPr>
                <w:sz w:val="18"/>
                <w:lang w:val="en-GB"/>
              </w:rPr>
              <w:t>0.1</w:t>
            </w:r>
            <w:r w:rsidR="001C5864" w:rsidRPr="00E50D6C">
              <w:rPr>
                <w:sz w:val="18"/>
                <w:lang w:val="en-GB"/>
              </w:rPr>
              <w:t xml:space="preserve"> ± </w:t>
            </w:r>
            <w:r w:rsidRPr="00E50D6C">
              <w:rPr>
                <w:sz w:val="18"/>
                <w:lang w:val="en-GB"/>
              </w:rPr>
              <w:t>4.5</w:t>
            </w:r>
          </w:p>
        </w:tc>
        <w:tc>
          <w:tcPr>
            <w:tcW w:w="1532" w:type="dxa"/>
            <w:tcBorders>
              <w:top w:val="single" w:sz="4" w:space="0" w:color="FFFFFF" w:themeColor="background1"/>
              <w:bottom w:val="single" w:sz="4" w:space="0" w:color="FFFFFF" w:themeColor="background1"/>
            </w:tcBorders>
            <w:shd w:val="clear" w:color="auto" w:fill="auto"/>
            <w:vAlign w:val="center"/>
          </w:tcPr>
          <w:p w14:paraId="1B838EB4" w14:textId="50A944A8" w:rsidR="00563CFC" w:rsidRPr="00E50D6C" w:rsidRDefault="00563CFC" w:rsidP="008B2AB1">
            <w:pPr>
              <w:pStyle w:val="MDPI42tablebody"/>
              <w:autoSpaceDE w:val="0"/>
              <w:autoSpaceDN w:val="0"/>
              <w:spacing w:line="240" w:lineRule="auto"/>
              <w:rPr>
                <w:i/>
                <w:sz w:val="18"/>
                <w:lang w:val="en-GB"/>
              </w:rPr>
            </w:pPr>
            <w:r w:rsidRPr="00E50D6C">
              <w:rPr>
                <w:sz w:val="18"/>
                <w:lang w:val="en-GB"/>
              </w:rPr>
              <w:t>0.5</w:t>
            </w:r>
            <w:r w:rsidR="001C5864" w:rsidRPr="00E50D6C">
              <w:rPr>
                <w:sz w:val="18"/>
                <w:lang w:val="en-GB"/>
              </w:rPr>
              <w:t xml:space="preserve"> ± </w:t>
            </w:r>
            <w:r w:rsidRPr="00E50D6C">
              <w:rPr>
                <w:sz w:val="18"/>
                <w:lang w:val="en-GB"/>
              </w:rPr>
              <w:t>4.7</w:t>
            </w:r>
          </w:p>
        </w:tc>
        <w:tc>
          <w:tcPr>
            <w:tcW w:w="1162" w:type="dxa"/>
            <w:tcBorders>
              <w:top w:val="single" w:sz="4" w:space="0" w:color="FFFFFF" w:themeColor="background1"/>
              <w:bottom w:val="single" w:sz="4" w:space="0" w:color="FFFFFF" w:themeColor="background1"/>
            </w:tcBorders>
            <w:shd w:val="clear" w:color="auto" w:fill="auto"/>
            <w:vAlign w:val="center"/>
          </w:tcPr>
          <w:p w14:paraId="21065946"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0.13</w:t>
            </w:r>
          </w:p>
        </w:tc>
      </w:tr>
      <w:tr w:rsidR="00563CFC" w:rsidRPr="00E50D6C" w14:paraId="05BEDBAF" w14:textId="77777777" w:rsidTr="00895255">
        <w:trPr>
          <w:jc w:val="center"/>
        </w:trPr>
        <w:tc>
          <w:tcPr>
            <w:tcW w:w="2976" w:type="dxa"/>
            <w:tcBorders>
              <w:top w:val="single" w:sz="4" w:space="0" w:color="FFFFFF" w:themeColor="background1"/>
              <w:bottom w:val="single" w:sz="4" w:space="0" w:color="FFFFFF" w:themeColor="background1"/>
            </w:tcBorders>
            <w:shd w:val="clear" w:color="auto" w:fill="auto"/>
            <w:vAlign w:val="center"/>
          </w:tcPr>
          <w:p w14:paraId="116E9EF1" w14:textId="77777777" w:rsidR="00166DFA" w:rsidRPr="00E50D6C" w:rsidRDefault="00563CFC" w:rsidP="00895255">
            <w:pPr>
              <w:pStyle w:val="MDPI42tablebody"/>
              <w:autoSpaceDE w:val="0"/>
              <w:autoSpaceDN w:val="0"/>
              <w:spacing w:line="240" w:lineRule="auto"/>
              <w:rPr>
                <w:sz w:val="18"/>
                <w:lang w:val="en-GB"/>
              </w:rPr>
            </w:pPr>
            <w:r w:rsidRPr="00E50D6C">
              <w:rPr>
                <w:sz w:val="18"/>
                <w:lang w:val="en-GB"/>
              </w:rPr>
              <w:t>Sit-to-Stand Transitions</w:t>
            </w:r>
          </w:p>
          <w:p w14:paraId="3EA5A690" w14:textId="4C37BD86" w:rsidR="00563CFC" w:rsidRPr="00E50D6C" w:rsidRDefault="00895255" w:rsidP="00895255">
            <w:pPr>
              <w:pStyle w:val="MDPI42tablebody"/>
              <w:autoSpaceDE w:val="0"/>
              <w:autoSpaceDN w:val="0"/>
              <w:spacing w:line="240" w:lineRule="auto"/>
              <w:rPr>
                <w:sz w:val="18"/>
                <w:lang w:val="en-GB"/>
              </w:rPr>
            </w:pPr>
            <w:r w:rsidRPr="00E50D6C">
              <w:rPr>
                <w:sz w:val="18"/>
                <w:lang w:val="en-GB"/>
              </w:rPr>
              <w:t xml:space="preserve"> </w:t>
            </w:r>
            <w:r w:rsidR="00563CFC" w:rsidRPr="00E50D6C">
              <w:rPr>
                <w:sz w:val="18"/>
                <w:lang w:val="en-GB"/>
              </w:rPr>
              <w:t>(n/8</w:t>
            </w:r>
            <w:r w:rsidR="00963C03" w:rsidRPr="00E50D6C">
              <w:rPr>
                <w:sz w:val="18"/>
                <w:lang w:val="en-GB"/>
              </w:rPr>
              <w:t xml:space="preserve"> h </w:t>
            </w:r>
            <w:r w:rsidR="00563CFC" w:rsidRPr="00E50D6C">
              <w:rPr>
                <w:sz w:val="18"/>
                <w:lang w:val="en-GB"/>
              </w:rPr>
              <w:t>workday)</w:t>
            </w:r>
          </w:p>
        </w:tc>
        <w:tc>
          <w:tcPr>
            <w:tcW w:w="1134" w:type="dxa"/>
            <w:tcBorders>
              <w:top w:val="single" w:sz="4" w:space="0" w:color="FFFFFF" w:themeColor="background1"/>
              <w:bottom w:val="single" w:sz="4" w:space="0" w:color="FFFFFF" w:themeColor="background1"/>
            </w:tcBorders>
            <w:shd w:val="clear" w:color="auto" w:fill="auto"/>
            <w:vAlign w:val="center"/>
          </w:tcPr>
          <w:p w14:paraId="73F3C344" w14:textId="27587387" w:rsidR="00563CFC" w:rsidRPr="00E50D6C" w:rsidRDefault="00563CFC" w:rsidP="008B2AB1">
            <w:pPr>
              <w:pStyle w:val="MDPI42tablebody"/>
              <w:autoSpaceDE w:val="0"/>
              <w:autoSpaceDN w:val="0"/>
              <w:spacing w:line="240" w:lineRule="auto"/>
              <w:rPr>
                <w:sz w:val="18"/>
                <w:lang w:val="en-GB"/>
              </w:rPr>
            </w:pPr>
            <w:r w:rsidRPr="00E50D6C">
              <w:rPr>
                <w:sz w:val="18"/>
                <w:lang w:val="en-GB"/>
              </w:rPr>
              <w:t>26</w:t>
            </w:r>
            <w:r w:rsidR="001C5864" w:rsidRPr="00E50D6C">
              <w:rPr>
                <w:sz w:val="18"/>
                <w:lang w:val="en-GB"/>
              </w:rPr>
              <w:t xml:space="preserve"> ± </w:t>
            </w:r>
            <w:r w:rsidRPr="00E50D6C">
              <w:rPr>
                <w:sz w:val="18"/>
                <w:lang w:val="en-GB"/>
              </w:rPr>
              <w:t>8</w:t>
            </w:r>
          </w:p>
        </w:tc>
        <w:tc>
          <w:tcPr>
            <w:tcW w:w="1276" w:type="dxa"/>
            <w:tcBorders>
              <w:top w:val="single" w:sz="4" w:space="0" w:color="FFFFFF" w:themeColor="background1"/>
              <w:bottom w:val="single" w:sz="4" w:space="0" w:color="FFFFFF" w:themeColor="background1"/>
            </w:tcBorders>
            <w:shd w:val="clear" w:color="auto" w:fill="auto"/>
            <w:vAlign w:val="center"/>
          </w:tcPr>
          <w:p w14:paraId="6997098D" w14:textId="5A3CE489" w:rsidR="00563CFC" w:rsidRPr="00E50D6C" w:rsidRDefault="00563CFC" w:rsidP="008B2AB1">
            <w:pPr>
              <w:pStyle w:val="MDPI42tablebody"/>
              <w:autoSpaceDE w:val="0"/>
              <w:autoSpaceDN w:val="0"/>
              <w:spacing w:line="240" w:lineRule="auto"/>
              <w:rPr>
                <w:sz w:val="18"/>
                <w:lang w:val="en-GB"/>
              </w:rPr>
            </w:pPr>
            <w:r w:rsidRPr="00E50D6C">
              <w:rPr>
                <w:sz w:val="18"/>
                <w:lang w:val="en-GB"/>
              </w:rPr>
              <w:t>24</w:t>
            </w:r>
            <w:r w:rsidR="001C5864" w:rsidRPr="00E50D6C">
              <w:rPr>
                <w:sz w:val="18"/>
                <w:lang w:val="en-GB"/>
              </w:rPr>
              <w:t xml:space="preserve"> ± </w:t>
            </w:r>
            <w:r w:rsidRPr="00E50D6C">
              <w:rPr>
                <w:sz w:val="18"/>
                <w:lang w:val="en-GB"/>
              </w:rPr>
              <w:t>5</w:t>
            </w:r>
          </w:p>
        </w:tc>
        <w:tc>
          <w:tcPr>
            <w:tcW w:w="1559" w:type="dxa"/>
            <w:tcBorders>
              <w:top w:val="single" w:sz="4" w:space="0" w:color="FFFFFF" w:themeColor="background1"/>
              <w:bottom w:val="single" w:sz="4" w:space="0" w:color="FFFFFF" w:themeColor="background1"/>
            </w:tcBorders>
            <w:shd w:val="clear" w:color="auto" w:fill="auto"/>
            <w:vAlign w:val="center"/>
          </w:tcPr>
          <w:p w14:paraId="62565E2E" w14:textId="17E9C66A" w:rsidR="00563CFC" w:rsidRPr="00E50D6C" w:rsidRDefault="004B2F71" w:rsidP="008B2AB1">
            <w:pPr>
              <w:pStyle w:val="MDPI42tablebody"/>
              <w:autoSpaceDE w:val="0"/>
              <w:autoSpaceDN w:val="0"/>
              <w:spacing w:line="240" w:lineRule="auto"/>
              <w:rPr>
                <w:sz w:val="18"/>
                <w:lang w:val="en-GB"/>
              </w:rPr>
            </w:pPr>
            <w:r w:rsidRPr="00E50D6C">
              <w:rPr>
                <w:sz w:val="18"/>
                <w:lang w:val="en-GB"/>
              </w:rPr>
              <w:t>−</w:t>
            </w:r>
            <w:r w:rsidR="00563CFC" w:rsidRPr="00E50D6C">
              <w:rPr>
                <w:sz w:val="18"/>
                <w:lang w:val="en-GB"/>
              </w:rPr>
              <w:t>2</w:t>
            </w:r>
            <w:r w:rsidR="001C5864" w:rsidRPr="00E50D6C">
              <w:rPr>
                <w:sz w:val="18"/>
                <w:lang w:val="en-GB"/>
              </w:rPr>
              <w:t xml:space="preserve"> ± </w:t>
            </w:r>
            <w:r w:rsidR="00563CFC" w:rsidRPr="00E50D6C">
              <w:rPr>
                <w:sz w:val="18"/>
                <w:lang w:val="en-GB"/>
              </w:rPr>
              <w:t>5</w:t>
            </w:r>
          </w:p>
        </w:tc>
        <w:tc>
          <w:tcPr>
            <w:tcW w:w="1134" w:type="dxa"/>
            <w:tcBorders>
              <w:top w:val="single" w:sz="4" w:space="0" w:color="FFFFFF" w:themeColor="background1"/>
              <w:bottom w:val="single" w:sz="4" w:space="0" w:color="FFFFFF" w:themeColor="background1"/>
            </w:tcBorders>
            <w:shd w:val="clear" w:color="auto" w:fill="auto"/>
            <w:vAlign w:val="center"/>
          </w:tcPr>
          <w:p w14:paraId="2668037F" w14:textId="395D2C8D" w:rsidR="00563CFC" w:rsidRPr="00E50D6C" w:rsidRDefault="00563CFC" w:rsidP="008B2AB1">
            <w:pPr>
              <w:pStyle w:val="MDPI42tablebody"/>
              <w:autoSpaceDE w:val="0"/>
              <w:autoSpaceDN w:val="0"/>
              <w:spacing w:line="240" w:lineRule="auto"/>
              <w:rPr>
                <w:sz w:val="18"/>
                <w:lang w:val="en-GB"/>
              </w:rPr>
            </w:pPr>
            <w:r w:rsidRPr="00E50D6C">
              <w:rPr>
                <w:sz w:val="18"/>
                <w:lang w:val="en-GB"/>
              </w:rPr>
              <w:t>26</w:t>
            </w:r>
            <w:r w:rsidR="001C5864" w:rsidRPr="00E50D6C">
              <w:rPr>
                <w:sz w:val="18"/>
                <w:lang w:val="en-GB"/>
              </w:rPr>
              <w:t xml:space="preserve"> ± </w:t>
            </w:r>
            <w:r w:rsidRPr="00E50D6C">
              <w:rPr>
                <w:sz w:val="18"/>
                <w:lang w:val="en-GB"/>
              </w:rPr>
              <w:t>8</w:t>
            </w:r>
          </w:p>
        </w:tc>
        <w:tc>
          <w:tcPr>
            <w:tcW w:w="1276" w:type="dxa"/>
            <w:tcBorders>
              <w:top w:val="single" w:sz="4" w:space="0" w:color="FFFFFF" w:themeColor="background1"/>
              <w:bottom w:val="single" w:sz="4" w:space="0" w:color="FFFFFF" w:themeColor="background1"/>
            </w:tcBorders>
            <w:shd w:val="clear" w:color="auto" w:fill="auto"/>
            <w:vAlign w:val="center"/>
          </w:tcPr>
          <w:p w14:paraId="7F5AF17B" w14:textId="28DFB767" w:rsidR="00563CFC" w:rsidRPr="00E50D6C" w:rsidRDefault="00563CFC" w:rsidP="008B2AB1">
            <w:pPr>
              <w:pStyle w:val="MDPI42tablebody"/>
              <w:autoSpaceDE w:val="0"/>
              <w:autoSpaceDN w:val="0"/>
              <w:spacing w:line="240" w:lineRule="auto"/>
              <w:rPr>
                <w:sz w:val="18"/>
                <w:lang w:val="en-GB"/>
              </w:rPr>
            </w:pPr>
            <w:r w:rsidRPr="00E50D6C">
              <w:rPr>
                <w:sz w:val="18"/>
                <w:lang w:val="en-GB"/>
              </w:rPr>
              <w:t>25</w:t>
            </w:r>
            <w:r w:rsidR="001C5864" w:rsidRPr="00E50D6C">
              <w:rPr>
                <w:sz w:val="18"/>
                <w:lang w:val="en-GB"/>
              </w:rPr>
              <w:t xml:space="preserve"> ± </w:t>
            </w:r>
            <w:r w:rsidRPr="00E50D6C">
              <w:rPr>
                <w:sz w:val="18"/>
                <w:lang w:val="en-GB"/>
              </w:rPr>
              <w:t>5</w:t>
            </w:r>
          </w:p>
        </w:tc>
        <w:tc>
          <w:tcPr>
            <w:tcW w:w="1559" w:type="dxa"/>
            <w:tcBorders>
              <w:top w:val="single" w:sz="4" w:space="0" w:color="FFFFFF" w:themeColor="background1"/>
              <w:bottom w:val="single" w:sz="4" w:space="0" w:color="FFFFFF" w:themeColor="background1"/>
            </w:tcBorders>
            <w:shd w:val="clear" w:color="auto" w:fill="auto"/>
            <w:vAlign w:val="center"/>
          </w:tcPr>
          <w:p w14:paraId="5EEEED6C" w14:textId="107126AF"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1</w:t>
            </w:r>
            <w:r w:rsidR="001C5864" w:rsidRPr="00E50D6C">
              <w:rPr>
                <w:sz w:val="18"/>
                <w:lang w:val="en-GB"/>
              </w:rPr>
              <w:t xml:space="preserve"> ± </w:t>
            </w:r>
            <w:r w:rsidR="00563CFC" w:rsidRPr="00E50D6C">
              <w:rPr>
                <w:sz w:val="18"/>
                <w:lang w:val="en-GB"/>
              </w:rPr>
              <w:t>7</w:t>
            </w:r>
          </w:p>
        </w:tc>
        <w:tc>
          <w:tcPr>
            <w:tcW w:w="1532" w:type="dxa"/>
            <w:tcBorders>
              <w:top w:val="single" w:sz="4" w:space="0" w:color="FFFFFF" w:themeColor="background1"/>
              <w:bottom w:val="single" w:sz="4" w:space="0" w:color="FFFFFF" w:themeColor="background1"/>
            </w:tcBorders>
            <w:shd w:val="clear" w:color="auto" w:fill="auto"/>
            <w:vAlign w:val="center"/>
          </w:tcPr>
          <w:p w14:paraId="0F173E40" w14:textId="0FBC8073" w:rsidR="00563CFC" w:rsidRPr="00E50D6C" w:rsidRDefault="00563CFC" w:rsidP="008B2AB1">
            <w:pPr>
              <w:pStyle w:val="MDPI42tablebody"/>
              <w:autoSpaceDE w:val="0"/>
              <w:autoSpaceDN w:val="0"/>
              <w:spacing w:line="240" w:lineRule="auto"/>
              <w:rPr>
                <w:i/>
                <w:sz w:val="18"/>
                <w:lang w:val="en-GB"/>
              </w:rPr>
            </w:pPr>
            <w:r w:rsidRPr="00E50D6C">
              <w:rPr>
                <w:sz w:val="18"/>
                <w:lang w:val="en-GB"/>
              </w:rPr>
              <w:t>1</w:t>
            </w:r>
            <w:r w:rsidR="001C5864" w:rsidRPr="00E50D6C">
              <w:rPr>
                <w:sz w:val="18"/>
                <w:lang w:val="en-GB"/>
              </w:rPr>
              <w:t xml:space="preserve"> ± </w:t>
            </w:r>
            <w:r w:rsidRPr="00E50D6C">
              <w:rPr>
                <w:sz w:val="18"/>
                <w:lang w:val="en-GB"/>
              </w:rPr>
              <w:t>7</w:t>
            </w:r>
          </w:p>
        </w:tc>
        <w:tc>
          <w:tcPr>
            <w:tcW w:w="1162" w:type="dxa"/>
            <w:tcBorders>
              <w:top w:val="single" w:sz="4" w:space="0" w:color="FFFFFF" w:themeColor="background1"/>
              <w:bottom w:val="single" w:sz="4" w:space="0" w:color="FFFFFF" w:themeColor="background1"/>
            </w:tcBorders>
            <w:shd w:val="clear" w:color="auto" w:fill="auto"/>
            <w:vAlign w:val="center"/>
          </w:tcPr>
          <w:p w14:paraId="09BBD3F4"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0.17</w:t>
            </w:r>
          </w:p>
        </w:tc>
      </w:tr>
      <w:tr w:rsidR="00563CFC" w:rsidRPr="00E50D6C" w14:paraId="45653954" w14:textId="77777777" w:rsidTr="00166DFA">
        <w:trPr>
          <w:trHeight w:val="312"/>
          <w:jc w:val="center"/>
        </w:trPr>
        <w:tc>
          <w:tcPr>
            <w:tcW w:w="2976" w:type="dxa"/>
            <w:tcBorders>
              <w:top w:val="single" w:sz="4" w:space="0" w:color="FFFFFF" w:themeColor="background1"/>
              <w:bottom w:val="single" w:sz="8" w:space="0" w:color="auto"/>
            </w:tcBorders>
            <w:shd w:val="clear" w:color="auto" w:fill="auto"/>
            <w:vAlign w:val="center"/>
          </w:tcPr>
          <w:p w14:paraId="110917F5" w14:textId="05944737" w:rsidR="00563CFC" w:rsidRPr="00E50D6C" w:rsidRDefault="00563CFC" w:rsidP="00895255">
            <w:pPr>
              <w:pStyle w:val="MDPI42tablebody"/>
              <w:autoSpaceDE w:val="0"/>
              <w:autoSpaceDN w:val="0"/>
              <w:spacing w:line="240" w:lineRule="auto"/>
              <w:rPr>
                <w:sz w:val="18"/>
                <w:lang w:val="en-GB"/>
              </w:rPr>
            </w:pPr>
            <w:r w:rsidRPr="00E50D6C">
              <w:rPr>
                <w:sz w:val="18"/>
                <w:lang w:val="en-GB"/>
              </w:rPr>
              <w:t>Step Count</w:t>
            </w:r>
            <w:r w:rsidR="00895255" w:rsidRPr="00E50D6C">
              <w:rPr>
                <w:sz w:val="18"/>
                <w:lang w:val="en-GB"/>
              </w:rPr>
              <w:t xml:space="preserve"> </w:t>
            </w:r>
            <w:r w:rsidRPr="00E50D6C">
              <w:rPr>
                <w:sz w:val="18"/>
                <w:lang w:val="en-GB"/>
              </w:rPr>
              <w:t>(n/8</w:t>
            </w:r>
            <w:r w:rsidR="00963C03" w:rsidRPr="00E50D6C">
              <w:rPr>
                <w:sz w:val="18"/>
                <w:lang w:val="en-GB"/>
              </w:rPr>
              <w:t xml:space="preserve"> h </w:t>
            </w:r>
            <w:r w:rsidRPr="00E50D6C">
              <w:rPr>
                <w:sz w:val="18"/>
                <w:lang w:val="en-GB"/>
              </w:rPr>
              <w:t>workday)</w:t>
            </w:r>
          </w:p>
        </w:tc>
        <w:tc>
          <w:tcPr>
            <w:tcW w:w="1134" w:type="dxa"/>
            <w:tcBorders>
              <w:top w:val="single" w:sz="4" w:space="0" w:color="FFFFFF" w:themeColor="background1"/>
              <w:bottom w:val="single" w:sz="8" w:space="0" w:color="auto"/>
            </w:tcBorders>
            <w:shd w:val="clear" w:color="auto" w:fill="auto"/>
            <w:vAlign w:val="center"/>
          </w:tcPr>
          <w:p w14:paraId="24E8B96B" w14:textId="6EDF2087" w:rsidR="00563CFC" w:rsidRPr="00E50D6C" w:rsidRDefault="00563CFC" w:rsidP="008B2AB1">
            <w:pPr>
              <w:pStyle w:val="MDPI42tablebody"/>
              <w:autoSpaceDE w:val="0"/>
              <w:autoSpaceDN w:val="0"/>
              <w:spacing w:line="240" w:lineRule="auto"/>
              <w:rPr>
                <w:sz w:val="18"/>
                <w:lang w:val="en-GB"/>
              </w:rPr>
            </w:pPr>
            <w:r w:rsidRPr="00E50D6C">
              <w:rPr>
                <w:sz w:val="18"/>
                <w:lang w:val="en-GB"/>
              </w:rPr>
              <w:t>5156</w:t>
            </w:r>
            <w:r w:rsidR="001C5864" w:rsidRPr="00E50D6C">
              <w:rPr>
                <w:sz w:val="18"/>
                <w:lang w:val="en-GB"/>
              </w:rPr>
              <w:t xml:space="preserve"> ± </w:t>
            </w:r>
            <w:r w:rsidRPr="00E50D6C">
              <w:rPr>
                <w:sz w:val="18"/>
                <w:lang w:val="en-GB"/>
              </w:rPr>
              <w:t>1554</w:t>
            </w:r>
          </w:p>
        </w:tc>
        <w:tc>
          <w:tcPr>
            <w:tcW w:w="1276" w:type="dxa"/>
            <w:tcBorders>
              <w:top w:val="single" w:sz="4" w:space="0" w:color="FFFFFF" w:themeColor="background1"/>
              <w:bottom w:val="single" w:sz="8" w:space="0" w:color="auto"/>
            </w:tcBorders>
            <w:shd w:val="clear" w:color="auto" w:fill="auto"/>
            <w:vAlign w:val="center"/>
          </w:tcPr>
          <w:p w14:paraId="0F1E062E" w14:textId="0C72F4F2" w:rsidR="00563CFC" w:rsidRPr="00E50D6C" w:rsidRDefault="00563CFC" w:rsidP="008B2AB1">
            <w:pPr>
              <w:pStyle w:val="MDPI42tablebody"/>
              <w:autoSpaceDE w:val="0"/>
              <w:autoSpaceDN w:val="0"/>
              <w:spacing w:line="240" w:lineRule="auto"/>
              <w:rPr>
                <w:sz w:val="18"/>
                <w:lang w:val="en-GB"/>
              </w:rPr>
            </w:pPr>
            <w:r w:rsidRPr="00E50D6C">
              <w:rPr>
                <w:sz w:val="18"/>
                <w:lang w:val="en-GB"/>
              </w:rPr>
              <w:t>5176</w:t>
            </w:r>
            <w:r w:rsidR="001C5864" w:rsidRPr="00E50D6C">
              <w:rPr>
                <w:sz w:val="18"/>
                <w:lang w:val="en-GB"/>
              </w:rPr>
              <w:t xml:space="preserve"> ± </w:t>
            </w:r>
            <w:r w:rsidRPr="00E50D6C">
              <w:rPr>
                <w:sz w:val="18"/>
                <w:lang w:val="en-GB"/>
              </w:rPr>
              <w:t>2039</w:t>
            </w:r>
          </w:p>
        </w:tc>
        <w:tc>
          <w:tcPr>
            <w:tcW w:w="1559" w:type="dxa"/>
            <w:tcBorders>
              <w:top w:val="single" w:sz="4" w:space="0" w:color="FFFFFF" w:themeColor="background1"/>
              <w:bottom w:val="single" w:sz="8" w:space="0" w:color="auto"/>
            </w:tcBorders>
            <w:shd w:val="clear" w:color="auto" w:fill="auto"/>
            <w:vAlign w:val="center"/>
          </w:tcPr>
          <w:p w14:paraId="0DDFD10E" w14:textId="712BC60B" w:rsidR="00563CFC" w:rsidRPr="00E50D6C" w:rsidRDefault="00563CFC" w:rsidP="008B2AB1">
            <w:pPr>
              <w:pStyle w:val="MDPI42tablebody"/>
              <w:autoSpaceDE w:val="0"/>
              <w:autoSpaceDN w:val="0"/>
              <w:spacing w:line="240" w:lineRule="auto"/>
              <w:rPr>
                <w:sz w:val="18"/>
                <w:lang w:val="en-GB"/>
              </w:rPr>
            </w:pPr>
            <w:r w:rsidRPr="00E50D6C">
              <w:rPr>
                <w:sz w:val="18"/>
                <w:lang w:val="en-GB"/>
              </w:rPr>
              <w:t>20</w:t>
            </w:r>
            <w:r w:rsidR="001C5864" w:rsidRPr="00E50D6C">
              <w:rPr>
                <w:sz w:val="18"/>
                <w:lang w:val="en-GB"/>
              </w:rPr>
              <w:t xml:space="preserve"> ± </w:t>
            </w:r>
            <w:r w:rsidRPr="00E50D6C">
              <w:rPr>
                <w:sz w:val="18"/>
                <w:lang w:val="en-GB"/>
              </w:rPr>
              <w:t>1725</w:t>
            </w:r>
          </w:p>
        </w:tc>
        <w:tc>
          <w:tcPr>
            <w:tcW w:w="1134" w:type="dxa"/>
            <w:tcBorders>
              <w:top w:val="single" w:sz="4" w:space="0" w:color="FFFFFF" w:themeColor="background1"/>
              <w:bottom w:val="single" w:sz="8" w:space="0" w:color="auto"/>
            </w:tcBorders>
            <w:shd w:val="clear" w:color="auto" w:fill="auto"/>
            <w:vAlign w:val="center"/>
          </w:tcPr>
          <w:p w14:paraId="5E63BE5B" w14:textId="7EBBD6A8" w:rsidR="00563CFC" w:rsidRPr="00E50D6C" w:rsidRDefault="00563CFC" w:rsidP="008B2AB1">
            <w:pPr>
              <w:pStyle w:val="MDPI42tablebody"/>
              <w:autoSpaceDE w:val="0"/>
              <w:autoSpaceDN w:val="0"/>
              <w:spacing w:line="240" w:lineRule="auto"/>
              <w:rPr>
                <w:sz w:val="18"/>
                <w:lang w:val="en-GB"/>
              </w:rPr>
            </w:pPr>
            <w:r w:rsidRPr="00E50D6C">
              <w:rPr>
                <w:sz w:val="18"/>
                <w:lang w:val="en-GB"/>
              </w:rPr>
              <w:t>5205</w:t>
            </w:r>
            <w:r w:rsidR="001C5864" w:rsidRPr="00E50D6C">
              <w:rPr>
                <w:sz w:val="18"/>
                <w:lang w:val="en-GB"/>
              </w:rPr>
              <w:t xml:space="preserve"> ± </w:t>
            </w:r>
            <w:r w:rsidRPr="00E50D6C">
              <w:rPr>
                <w:sz w:val="18"/>
                <w:lang w:val="en-GB"/>
              </w:rPr>
              <w:t>1719</w:t>
            </w:r>
          </w:p>
        </w:tc>
        <w:tc>
          <w:tcPr>
            <w:tcW w:w="1276" w:type="dxa"/>
            <w:tcBorders>
              <w:top w:val="single" w:sz="4" w:space="0" w:color="FFFFFF" w:themeColor="background1"/>
              <w:bottom w:val="single" w:sz="8" w:space="0" w:color="auto"/>
            </w:tcBorders>
            <w:shd w:val="clear" w:color="auto" w:fill="auto"/>
            <w:vAlign w:val="center"/>
          </w:tcPr>
          <w:p w14:paraId="338A92B5" w14:textId="7AFB8FE3" w:rsidR="00563CFC" w:rsidRPr="00E50D6C" w:rsidRDefault="00563CFC" w:rsidP="008B2AB1">
            <w:pPr>
              <w:pStyle w:val="MDPI42tablebody"/>
              <w:autoSpaceDE w:val="0"/>
              <w:autoSpaceDN w:val="0"/>
              <w:spacing w:line="240" w:lineRule="auto"/>
              <w:rPr>
                <w:sz w:val="18"/>
                <w:lang w:val="en-GB"/>
              </w:rPr>
            </w:pPr>
            <w:r w:rsidRPr="00E50D6C">
              <w:rPr>
                <w:sz w:val="18"/>
                <w:lang w:val="en-GB"/>
              </w:rPr>
              <w:t>5149</w:t>
            </w:r>
            <w:r w:rsidR="001C5864" w:rsidRPr="00E50D6C">
              <w:rPr>
                <w:sz w:val="18"/>
                <w:lang w:val="en-GB"/>
              </w:rPr>
              <w:t xml:space="preserve"> ± </w:t>
            </w:r>
            <w:r w:rsidRPr="00E50D6C">
              <w:rPr>
                <w:sz w:val="18"/>
                <w:lang w:val="en-GB"/>
              </w:rPr>
              <w:t>2646</w:t>
            </w:r>
          </w:p>
        </w:tc>
        <w:tc>
          <w:tcPr>
            <w:tcW w:w="1559" w:type="dxa"/>
            <w:tcBorders>
              <w:top w:val="single" w:sz="4" w:space="0" w:color="FFFFFF" w:themeColor="background1"/>
              <w:bottom w:val="single" w:sz="8" w:space="0" w:color="auto"/>
            </w:tcBorders>
            <w:shd w:val="clear" w:color="auto" w:fill="auto"/>
            <w:vAlign w:val="center"/>
          </w:tcPr>
          <w:p w14:paraId="662B07F0" w14:textId="53438FB2"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56</w:t>
            </w:r>
            <w:r w:rsidR="001C5864" w:rsidRPr="00E50D6C">
              <w:rPr>
                <w:sz w:val="18"/>
                <w:lang w:val="en-GB"/>
              </w:rPr>
              <w:t xml:space="preserve"> ± </w:t>
            </w:r>
            <w:r w:rsidR="00563CFC" w:rsidRPr="00E50D6C">
              <w:rPr>
                <w:sz w:val="18"/>
                <w:lang w:val="en-GB"/>
              </w:rPr>
              <w:t>2316</w:t>
            </w:r>
          </w:p>
        </w:tc>
        <w:tc>
          <w:tcPr>
            <w:tcW w:w="1532" w:type="dxa"/>
            <w:tcBorders>
              <w:top w:val="single" w:sz="4" w:space="0" w:color="FFFFFF" w:themeColor="background1"/>
              <w:bottom w:val="single" w:sz="8" w:space="0" w:color="auto"/>
            </w:tcBorders>
            <w:shd w:val="clear" w:color="auto" w:fill="auto"/>
            <w:vAlign w:val="center"/>
          </w:tcPr>
          <w:p w14:paraId="1BDC6864" w14:textId="71E764AB" w:rsidR="00563CFC" w:rsidRPr="00E50D6C" w:rsidRDefault="004B2F71" w:rsidP="008B2AB1">
            <w:pPr>
              <w:pStyle w:val="MDPI42tablebody"/>
              <w:autoSpaceDE w:val="0"/>
              <w:autoSpaceDN w:val="0"/>
              <w:spacing w:line="240" w:lineRule="auto"/>
              <w:rPr>
                <w:i/>
                <w:sz w:val="18"/>
                <w:lang w:val="en-GB"/>
              </w:rPr>
            </w:pPr>
            <w:r w:rsidRPr="00E50D6C">
              <w:rPr>
                <w:sz w:val="18"/>
                <w:lang w:val="en-GB"/>
              </w:rPr>
              <w:t>−</w:t>
            </w:r>
            <w:r w:rsidR="00563CFC" w:rsidRPr="00E50D6C">
              <w:rPr>
                <w:sz w:val="18"/>
                <w:lang w:val="en-GB"/>
              </w:rPr>
              <w:t>76</w:t>
            </w:r>
            <w:r w:rsidR="001C5864" w:rsidRPr="00E50D6C">
              <w:rPr>
                <w:sz w:val="18"/>
                <w:lang w:val="en-GB"/>
              </w:rPr>
              <w:t xml:space="preserve"> ± </w:t>
            </w:r>
            <w:r w:rsidR="00563CFC" w:rsidRPr="00E50D6C">
              <w:rPr>
                <w:sz w:val="18"/>
                <w:lang w:val="en-GB"/>
              </w:rPr>
              <w:t>2333</w:t>
            </w:r>
          </w:p>
        </w:tc>
        <w:tc>
          <w:tcPr>
            <w:tcW w:w="1162" w:type="dxa"/>
            <w:tcBorders>
              <w:top w:val="single" w:sz="4" w:space="0" w:color="FFFFFF" w:themeColor="background1"/>
              <w:bottom w:val="single" w:sz="8" w:space="0" w:color="auto"/>
            </w:tcBorders>
            <w:shd w:val="clear" w:color="auto" w:fill="auto"/>
            <w:vAlign w:val="center"/>
          </w:tcPr>
          <w:p w14:paraId="719D94E0" w14:textId="77777777" w:rsidR="00563CFC" w:rsidRPr="00E50D6C" w:rsidRDefault="00563CFC" w:rsidP="008B2AB1">
            <w:pPr>
              <w:pStyle w:val="MDPI42tablebody"/>
              <w:autoSpaceDE w:val="0"/>
              <w:autoSpaceDN w:val="0"/>
              <w:spacing w:line="240" w:lineRule="auto"/>
              <w:rPr>
                <w:i/>
                <w:sz w:val="18"/>
                <w:lang w:val="en-GB"/>
              </w:rPr>
            </w:pPr>
            <w:r w:rsidRPr="00E50D6C">
              <w:rPr>
                <w:i/>
                <w:sz w:val="18"/>
                <w:lang w:val="en-GB"/>
              </w:rPr>
              <w:t>0.04</w:t>
            </w:r>
          </w:p>
        </w:tc>
      </w:tr>
    </w:tbl>
    <w:bookmarkEnd w:id="2"/>
    <w:p w14:paraId="3448E5E7" w14:textId="7EA01E2B" w:rsidR="00563CFC" w:rsidRPr="00E50D6C" w:rsidRDefault="008B2AB1" w:rsidP="008B2AB1">
      <w:pPr>
        <w:pStyle w:val="MDPI41tablecaption"/>
        <w:rPr>
          <w:bCs/>
          <w:lang w:val="en-GB"/>
        </w:rPr>
      </w:pPr>
      <w:r w:rsidRPr="00E50D6C">
        <w:rPr>
          <w:b/>
          <w:bCs/>
          <w:lang w:val="en-GB"/>
        </w:rPr>
        <w:t xml:space="preserve">Table 4. </w:t>
      </w:r>
      <w:r w:rsidR="00563CFC" w:rsidRPr="00E50D6C">
        <w:rPr>
          <w:lang w:val="en-GB"/>
        </w:rPr>
        <w:t xml:space="preserve">The number and duration of sitting, standing and stepping bouts during work hours at the start (PRE) and during </w:t>
      </w:r>
      <w:r w:rsidR="00E154E5" w:rsidRPr="00E50D6C">
        <w:rPr>
          <w:lang w:val="en-GB"/>
        </w:rPr>
        <w:t xml:space="preserve">week </w:t>
      </w:r>
      <w:r w:rsidR="00563CFC" w:rsidRPr="00E50D6C">
        <w:rPr>
          <w:lang w:val="en-GB"/>
        </w:rPr>
        <w:t xml:space="preserve">8 of the Control and Intervention trials </w:t>
      </w:r>
      <w:r w:rsidR="00003DFB" w:rsidRPr="00E50D6C">
        <w:rPr>
          <w:lang w:val="en-GB"/>
        </w:rPr>
        <w:t xml:space="preserve">(mean </w:t>
      </w:r>
      <w:r w:rsidR="001C5864" w:rsidRPr="00E50D6C">
        <w:rPr>
          <w:lang w:val="en-GB"/>
        </w:rPr>
        <w:t xml:space="preserve">± </w:t>
      </w:r>
      <w:r w:rsidR="00563CFC" w:rsidRPr="00E50D6C">
        <w:rPr>
          <w:bCs/>
          <w:lang w:val="en-GB"/>
        </w:rPr>
        <w:t>SD).</w:t>
      </w:r>
    </w:p>
    <w:tbl>
      <w:tblPr>
        <w:tblW w:w="4682" w:type="pct"/>
        <w:jc w:val="center"/>
        <w:tblBorders>
          <w:top w:val="single" w:sz="4" w:space="0" w:color="7F7F7F"/>
          <w:bottom w:val="single" w:sz="4" w:space="0" w:color="7F7F7F"/>
        </w:tblBorders>
        <w:tblLook w:val="04A0" w:firstRow="1" w:lastRow="0" w:firstColumn="1" w:lastColumn="0" w:noHBand="0" w:noVBand="1"/>
      </w:tblPr>
      <w:tblGrid>
        <w:gridCol w:w="2553"/>
        <w:gridCol w:w="1131"/>
        <w:gridCol w:w="1136"/>
        <w:gridCol w:w="1416"/>
        <w:gridCol w:w="1272"/>
        <w:gridCol w:w="1277"/>
        <w:gridCol w:w="1422"/>
        <w:gridCol w:w="1576"/>
        <w:gridCol w:w="1117"/>
      </w:tblGrid>
      <w:tr w:rsidR="004B2F71" w:rsidRPr="00E50D6C" w14:paraId="48828988" w14:textId="77777777" w:rsidTr="00895255">
        <w:trPr>
          <w:jc w:val="center"/>
        </w:trPr>
        <w:tc>
          <w:tcPr>
            <w:tcW w:w="989" w:type="pct"/>
            <w:vMerge w:val="restart"/>
            <w:tcBorders>
              <w:top w:val="single" w:sz="8" w:space="0" w:color="auto"/>
              <w:right w:val="nil"/>
            </w:tcBorders>
            <w:shd w:val="clear" w:color="auto" w:fill="auto"/>
            <w:vAlign w:val="center"/>
          </w:tcPr>
          <w:p w14:paraId="6BA8992B" w14:textId="77777777" w:rsidR="00563CFC" w:rsidRPr="00E50D6C" w:rsidRDefault="00563CFC" w:rsidP="008B2AB1">
            <w:pPr>
              <w:pStyle w:val="MDPI42tablebody"/>
              <w:autoSpaceDE w:val="0"/>
              <w:autoSpaceDN w:val="0"/>
              <w:spacing w:line="240" w:lineRule="auto"/>
              <w:rPr>
                <w:sz w:val="18"/>
                <w:szCs w:val="19"/>
                <w:lang w:val="en-GB"/>
              </w:rPr>
            </w:pPr>
          </w:p>
        </w:tc>
        <w:tc>
          <w:tcPr>
            <w:tcW w:w="878" w:type="pct"/>
            <w:gridSpan w:val="2"/>
            <w:tcBorders>
              <w:top w:val="single" w:sz="8" w:space="0" w:color="auto"/>
              <w:left w:val="nil"/>
              <w:bottom w:val="single" w:sz="4" w:space="0" w:color="FFFFFF"/>
              <w:right w:val="nil"/>
            </w:tcBorders>
            <w:shd w:val="clear" w:color="auto" w:fill="auto"/>
            <w:vAlign w:val="center"/>
          </w:tcPr>
          <w:p w14:paraId="3E09070C"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Control</w:t>
            </w:r>
          </w:p>
        </w:tc>
        <w:tc>
          <w:tcPr>
            <w:tcW w:w="549" w:type="pct"/>
            <w:vMerge w:val="restart"/>
            <w:tcBorders>
              <w:top w:val="single" w:sz="8" w:space="0" w:color="auto"/>
              <w:left w:val="nil"/>
              <w:right w:val="nil"/>
            </w:tcBorders>
            <w:shd w:val="clear" w:color="auto" w:fill="auto"/>
            <w:vAlign w:val="center"/>
          </w:tcPr>
          <w:p w14:paraId="7B603E15"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Within-Group Differences</w:t>
            </w:r>
          </w:p>
        </w:tc>
        <w:tc>
          <w:tcPr>
            <w:tcW w:w="988" w:type="pct"/>
            <w:gridSpan w:val="2"/>
            <w:tcBorders>
              <w:top w:val="single" w:sz="8" w:space="0" w:color="auto"/>
              <w:left w:val="nil"/>
              <w:bottom w:val="single" w:sz="4" w:space="0" w:color="FFFFFF" w:themeColor="background1"/>
              <w:right w:val="nil"/>
            </w:tcBorders>
            <w:shd w:val="clear" w:color="auto" w:fill="auto"/>
            <w:vAlign w:val="center"/>
          </w:tcPr>
          <w:p w14:paraId="363AACF5"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Intervention</w:t>
            </w:r>
          </w:p>
        </w:tc>
        <w:tc>
          <w:tcPr>
            <w:tcW w:w="551" w:type="pct"/>
            <w:vMerge w:val="restart"/>
            <w:tcBorders>
              <w:top w:val="single" w:sz="8" w:space="0" w:color="auto"/>
              <w:left w:val="nil"/>
              <w:right w:val="nil"/>
            </w:tcBorders>
            <w:shd w:val="clear" w:color="auto" w:fill="auto"/>
            <w:vAlign w:val="center"/>
          </w:tcPr>
          <w:p w14:paraId="0409FA44" w14:textId="77777777" w:rsidR="00563CFC" w:rsidRPr="00E50D6C" w:rsidRDefault="00563CFC" w:rsidP="008B2AB1">
            <w:pPr>
              <w:pStyle w:val="MDPI42tablebody"/>
              <w:autoSpaceDE w:val="0"/>
              <w:autoSpaceDN w:val="0"/>
              <w:spacing w:line="240" w:lineRule="auto"/>
              <w:rPr>
                <w:b/>
                <w:bCs/>
                <w:i/>
                <w:sz w:val="18"/>
                <w:szCs w:val="19"/>
                <w:lang w:val="en-GB"/>
              </w:rPr>
            </w:pPr>
            <w:r w:rsidRPr="00E50D6C">
              <w:rPr>
                <w:b/>
                <w:bCs/>
                <w:sz w:val="18"/>
                <w:szCs w:val="19"/>
                <w:lang w:val="en-GB"/>
              </w:rPr>
              <w:t>Within-Group Differences</w:t>
            </w:r>
          </w:p>
        </w:tc>
        <w:tc>
          <w:tcPr>
            <w:tcW w:w="611" w:type="pct"/>
            <w:vMerge w:val="restart"/>
            <w:tcBorders>
              <w:top w:val="single" w:sz="8" w:space="0" w:color="auto"/>
              <w:left w:val="nil"/>
              <w:right w:val="nil"/>
            </w:tcBorders>
            <w:shd w:val="clear" w:color="auto" w:fill="auto"/>
            <w:vAlign w:val="center"/>
          </w:tcPr>
          <w:p w14:paraId="0DD2AC37" w14:textId="77777777" w:rsidR="00563CFC" w:rsidRPr="00E50D6C" w:rsidRDefault="00563CFC" w:rsidP="008B2AB1">
            <w:pPr>
              <w:pStyle w:val="MDPI42tablebody"/>
              <w:autoSpaceDE w:val="0"/>
              <w:autoSpaceDN w:val="0"/>
              <w:spacing w:line="240" w:lineRule="auto"/>
              <w:rPr>
                <w:b/>
                <w:bCs/>
                <w:i/>
                <w:sz w:val="18"/>
                <w:szCs w:val="19"/>
                <w:lang w:val="en-GB"/>
              </w:rPr>
            </w:pPr>
            <w:r w:rsidRPr="00E50D6C">
              <w:rPr>
                <w:b/>
                <w:bCs/>
                <w:sz w:val="18"/>
                <w:szCs w:val="19"/>
                <w:lang w:val="en-GB"/>
              </w:rPr>
              <w:t>Between-Group Differences</w:t>
            </w:r>
          </w:p>
        </w:tc>
        <w:tc>
          <w:tcPr>
            <w:tcW w:w="433" w:type="pct"/>
            <w:vMerge w:val="restart"/>
            <w:tcBorders>
              <w:top w:val="single" w:sz="8" w:space="0" w:color="auto"/>
              <w:left w:val="nil"/>
              <w:right w:val="nil"/>
            </w:tcBorders>
            <w:shd w:val="clear" w:color="auto" w:fill="auto"/>
            <w:vAlign w:val="center"/>
          </w:tcPr>
          <w:p w14:paraId="66258595" w14:textId="77777777" w:rsidR="00563CFC" w:rsidRPr="00E50D6C" w:rsidRDefault="00563CFC" w:rsidP="008B2AB1">
            <w:pPr>
              <w:pStyle w:val="MDPI42tablebody"/>
              <w:autoSpaceDE w:val="0"/>
              <w:autoSpaceDN w:val="0"/>
              <w:spacing w:line="240" w:lineRule="auto"/>
              <w:rPr>
                <w:b/>
                <w:bCs/>
                <w:i/>
                <w:sz w:val="18"/>
                <w:szCs w:val="19"/>
                <w:lang w:val="en-GB"/>
              </w:rPr>
            </w:pPr>
            <w:r w:rsidRPr="00E50D6C">
              <w:rPr>
                <w:b/>
                <w:bCs/>
                <w:iCs/>
                <w:sz w:val="18"/>
                <w:szCs w:val="19"/>
                <w:lang w:val="en-GB"/>
              </w:rPr>
              <w:t>Cohen’s</w:t>
            </w:r>
            <w:r w:rsidRPr="00E50D6C">
              <w:rPr>
                <w:b/>
                <w:bCs/>
                <w:i/>
                <w:sz w:val="18"/>
                <w:szCs w:val="19"/>
                <w:lang w:val="en-GB"/>
              </w:rPr>
              <w:t xml:space="preserve"> d</w:t>
            </w:r>
          </w:p>
        </w:tc>
      </w:tr>
      <w:tr w:rsidR="004B2F71" w:rsidRPr="00E50D6C" w14:paraId="3997DCC7" w14:textId="77777777" w:rsidTr="00895255">
        <w:trPr>
          <w:jc w:val="center"/>
        </w:trPr>
        <w:tc>
          <w:tcPr>
            <w:tcW w:w="989" w:type="pct"/>
            <w:vMerge/>
            <w:tcBorders>
              <w:bottom w:val="single" w:sz="4" w:space="0" w:color="auto"/>
              <w:right w:val="nil"/>
            </w:tcBorders>
            <w:shd w:val="clear" w:color="auto" w:fill="auto"/>
            <w:vAlign w:val="center"/>
          </w:tcPr>
          <w:p w14:paraId="52E30F88" w14:textId="77777777" w:rsidR="00563CFC" w:rsidRPr="00E50D6C" w:rsidRDefault="00563CFC" w:rsidP="008B2AB1">
            <w:pPr>
              <w:pStyle w:val="MDPI42tablebody"/>
              <w:autoSpaceDE w:val="0"/>
              <w:autoSpaceDN w:val="0"/>
              <w:spacing w:line="240" w:lineRule="auto"/>
              <w:rPr>
                <w:sz w:val="18"/>
                <w:szCs w:val="19"/>
                <w:lang w:val="en-GB"/>
              </w:rPr>
            </w:pPr>
          </w:p>
        </w:tc>
        <w:tc>
          <w:tcPr>
            <w:tcW w:w="438" w:type="pct"/>
            <w:tcBorders>
              <w:top w:val="single" w:sz="4" w:space="0" w:color="FFFFFF" w:themeColor="background1"/>
              <w:left w:val="nil"/>
              <w:bottom w:val="single" w:sz="4" w:space="0" w:color="auto"/>
              <w:right w:val="nil"/>
            </w:tcBorders>
            <w:shd w:val="clear" w:color="auto" w:fill="auto"/>
            <w:vAlign w:val="center"/>
          </w:tcPr>
          <w:p w14:paraId="6BD7A82C"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PRE</w:t>
            </w:r>
          </w:p>
        </w:tc>
        <w:tc>
          <w:tcPr>
            <w:tcW w:w="440" w:type="pct"/>
            <w:tcBorders>
              <w:top w:val="single" w:sz="4" w:space="0" w:color="FFFFFF"/>
              <w:left w:val="nil"/>
              <w:bottom w:val="single" w:sz="4" w:space="0" w:color="auto"/>
              <w:right w:val="nil"/>
            </w:tcBorders>
            <w:shd w:val="clear" w:color="auto" w:fill="auto"/>
            <w:vAlign w:val="center"/>
          </w:tcPr>
          <w:p w14:paraId="4B5BA309"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Week 8</w:t>
            </w:r>
          </w:p>
        </w:tc>
        <w:tc>
          <w:tcPr>
            <w:tcW w:w="549" w:type="pct"/>
            <w:vMerge/>
            <w:tcBorders>
              <w:left w:val="nil"/>
              <w:bottom w:val="single" w:sz="4" w:space="0" w:color="auto"/>
              <w:right w:val="nil"/>
            </w:tcBorders>
            <w:shd w:val="clear" w:color="auto" w:fill="auto"/>
            <w:vAlign w:val="center"/>
          </w:tcPr>
          <w:p w14:paraId="158A5E46" w14:textId="77777777" w:rsidR="00563CFC" w:rsidRPr="00E50D6C" w:rsidRDefault="00563CFC" w:rsidP="008B2AB1">
            <w:pPr>
              <w:pStyle w:val="MDPI42tablebody"/>
              <w:autoSpaceDE w:val="0"/>
              <w:autoSpaceDN w:val="0"/>
              <w:spacing w:line="240" w:lineRule="auto"/>
              <w:rPr>
                <w:b/>
                <w:bCs/>
                <w:sz w:val="18"/>
                <w:szCs w:val="19"/>
                <w:lang w:val="en-GB"/>
              </w:rPr>
            </w:pPr>
          </w:p>
        </w:tc>
        <w:tc>
          <w:tcPr>
            <w:tcW w:w="493" w:type="pct"/>
            <w:tcBorders>
              <w:top w:val="single" w:sz="4" w:space="0" w:color="FFFFFF" w:themeColor="background1"/>
              <w:left w:val="nil"/>
              <w:bottom w:val="single" w:sz="4" w:space="0" w:color="auto"/>
              <w:right w:val="nil"/>
            </w:tcBorders>
            <w:shd w:val="clear" w:color="auto" w:fill="auto"/>
            <w:vAlign w:val="center"/>
          </w:tcPr>
          <w:p w14:paraId="784F5A46"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PRE</w:t>
            </w:r>
          </w:p>
        </w:tc>
        <w:tc>
          <w:tcPr>
            <w:tcW w:w="495" w:type="pct"/>
            <w:tcBorders>
              <w:top w:val="single" w:sz="4" w:space="0" w:color="FFFFFF" w:themeColor="background1"/>
              <w:left w:val="nil"/>
              <w:bottom w:val="single" w:sz="4" w:space="0" w:color="auto"/>
              <w:right w:val="nil"/>
            </w:tcBorders>
            <w:shd w:val="clear" w:color="auto" w:fill="auto"/>
            <w:vAlign w:val="center"/>
          </w:tcPr>
          <w:p w14:paraId="17472E23" w14:textId="77777777" w:rsidR="00563CFC" w:rsidRPr="00E50D6C" w:rsidRDefault="00563CFC" w:rsidP="008B2AB1">
            <w:pPr>
              <w:pStyle w:val="MDPI42tablebody"/>
              <w:autoSpaceDE w:val="0"/>
              <w:autoSpaceDN w:val="0"/>
              <w:spacing w:line="240" w:lineRule="auto"/>
              <w:rPr>
                <w:b/>
                <w:bCs/>
                <w:sz w:val="18"/>
                <w:szCs w:val="19"/>
                <w:lang w:val="en-GB"/>
              </w:rPr>
            </w:pPr>
            <w:r w:rsidRPr="00E50D6C">
              <w:rPr>
                <w:b/>
                <w:bCs/>
                <w:sz w:val="18"/>
                <w:szCs w:val="19"/>
                <w:lang w:val="en-GB"/>
              </w:rPr>
              <w:t>Week 8</w:t>
            </w:r>
          </w:p>
        </w:tc>
        <w:tc>
          <w:tcPr>
            <w:tcW w:w="551" w:type="pct"/>
            <w:vMerge/>
            <w:tcBorders>
              <w:left w:val="nil"/>
              <w:bottom w:val="single" w:sz="4" w:space="0" w:color="auto"/>
              <w:right w:val="nil"/>
            </w:tcBorders>
            <w:shd w:val="clear" w:color="auto" w:fill="auto"/>
            <w:vAlign w:val="center"/>
          </w:tcPr>
          <w:p w14:paraId="20C1AE30" w14:textId="77777777" w:rsidR="00563CFC" w:rsidRPr="00E50D6C" w:rsidRDefault="00563CFC" w:rsidP="008B2AB1">
            <w:pPr>
              <w:pStyle w:val="MDPI42tablebody"/>
              <w:autoSpaceDE w:val="0"/>
              <w:autoSpaceDN w:val="0"/>
              <w:spacing w:line="240" w:lineRule="auto"/>
              <w:rPr>
                <w:b/>
                <w:bCs/>
                <w:i/>
                <w:sz w:val="18"/>
                <w:szCs w:val="19"/>
                <w:lang w:val="en-GB"/>
              </w:rPr>
            </w:pPr>
          </w:p>
        </w:tc>
        <w:tc>
          <w:tcPr>
            <w:tcW w:w="611" w:type="pct"/>
            <w:vMerge/>
            <w:tcBorders>
              <w:left w:val="nil"/>
              <w:bottom w:val="single" w:sz="4" w:space="0" w:color="auto"/>
              <w:right w:val="nil"/>
            </w:tcBorders>
            <w:shd w:val="clear" w:color="auto" w:fill="auto"/>
            <w:vAlign w:val="center"/>
          </w:tcPr>
          <w:p w14:paraId="41442720" w14:textId="77777777" w:rsidR="00563CFC" w:rsidRPr="00E50D6C" w:rsidRDefault="00563CFC" w:rsidP="008B2AB1">
            <w:pPr>
              <w:pStyle w:val="MDPI42tablebody"/>
              <w:autoSpaceDE w:val="0"/>
              <w:autoSpaceDN w:val="0"/>
              <w:spacing w:line="240" w:lineRule="auto"/>
              <w:rPr>
                <w:b/>
                <w:bCs/>
                <w:i/>
                <w:sz w:val="18"/>
                <w:szCs w:val="19"/>
                <w:lang w:val="en-GB"/>
              </w:rPr>
            </w:pPr>
          </w:p>
        </w:tc>
        <w:tc>
          <w:tcPr>
            <w:tcW w:w="433" w:type="pct"/>
            <w:vMerge/>
            <w:tcBorders>
              <w:left w:val="nil"/>
              <w:bottom w:val="single" w:sz="4" w:space="0" w:color="auto"/>
              <w:right w:val="nil"/>
            </w:tcBorders>
            <w:shd w:val="clear" w:color="auto" w:fill="auto"/>
            <w:vAlign w:val="center"/>
          </w:tcPr>
          <w:p w14:paraId="6E9DDF99" w14:textId="77777777" w:rsidR="00563CFC" w:rsidRPr="00E50D6C" w:rsidRDefault="00563CFC" w:rsidP="008B2AB1">
            <w:pPr>
              <w:pStyle w:val="MDPI42tablebody"/>
              <w:autoSpaceDE w:val="0"/>
              <w:autoSpaceDN w:val="0"/>
              <w:spacing w:line="240" w:lineRule="auto"/>
              <w:rPr>
                <w:b/>
                <w:bCs/>
                <w:i/>
                <w:sz w:val="18"/>
                <w:szCs w:val="19"/>
                <w:lang w:val="en-GB"/>
              </w:rPr>
            </w:pPr>
          </w:p>
        </w:tc>
      </w:tr>
      <w:tr w:rsidR="004B2F71" w:rsidRPr="00E50D6C" w14:paraId="7FE6A41D" w14:textId="77777777" w:rsidTr="004B2F71">
        <w:trPr>
          <w:jc w:val="center"/>
        </w:trPr>
        <w:tc>
          <w:tcPr>
            <w:tcW w:w="989" w:type="pct"/>
            <w:tcBorders>
              <w:top w:val="single" w:sz="4" w:space="0" w:color="auto"/>
              <w:bottom w:val="single" w:sz="4" w:space="0" w:color="auto"/>
              <w:right w:val="nil"/>
            </w:tcBorders>
            <w:shd w:val="clear" w:color="auto" w:fill="auto"/>
            <w:vAlign w:val="center"/>
            <w:hideMark/>
          </w:tcPr>
          <w:p w14:paraId="11FDA339" w14:textId="77777777" w:rsidR="00563CFC" w:rsidRPr="00E50D6C" w:rsidRDefault="00563CFC" w:rsidP="008B2AB1">
            <w:pPr>
              <w:pStyle w:val="MDPI42tablebody"/>
              <w:autoSpaceDE w:val="0"/>
              <w:autoSpaceDN w:val="0"/>
              <w:spacing w:line="240" w:lineRule="auto"/>
              <w:rPr>
                <w:sz w:val="18"/>
                <w:szCs w:val="18"/>
                <w:lang w:val="en-GB"/>
              </w:rPr>
            </w:pPr>
            <w:r w:rsidRPr="00E50D6C">
              <w:rPr>
                <w:sz w:val="18"/>
                <w:szCs w:val="18"/>
                <w:lang w:val="en-GB"/>
              </w:rPr>
              <w:t>Sitting Bouts</w:t>
            </w:r>
          </w:p>
        </w:tc>
        <w:tc>
          <w:tcPr>
            <w:tcW w:w="438" w:type="pct"/>
            <w:tcBorders>
              <w:top w:val="single" w:sz="4" w:space="0" w:color="auto"/>
              <w:left w:val="nil"/>
              <w:bottom w:val="single" w:sz="4" w:space="0" w:color="auto"/>
              <w:right w:val="nil"/>
            </w:tcBorders>
            <w:shd w:val="clear" w:color="auto" w:fill="auto"/>
            <w:vAlign w:val="center"/>
          </w:tcPr>
          <w:p w14:paraId="4A6B8EE2" w14:textId="77777777" w:rsidR="00563CFC" w:rsidRPr="00E50D6C" w:rsidRDefault="00563CFC" w:rsidP="008B2AB1">
            <w:pPr>
              <w:pStyle w:val="MDPI42tablebody"/>
              <w:autoSpaceDE w:val="0"/>
              <w:autoSpaceDN w:val="0"/>
              <w:spacing w:line="240" w:lineRule="auto"/>
              <w:rPr>
                <w:sz w:val="18"/>
                <w:szCs w:val="18"/>
                <w:lang w:val="en-GB"/>
              </w:rPr>
            </w:pPr>
          </w:p>
        </w:tc>
        <w:tc>
          <w:tcPr>
            <w:tcW w:w="440" w:type="pct"/>
            <w:tcBorders>
              <w:top w:val="single" w:sz="4" w:space="0" w:color="auto"/>
              <w:left w:val="nil"/>
              <w:bottom w:val="single" w:sz="4" w:space="0" w:color="auto"/>
              <w:right w:val="nil"/>
            </w:tcBorders>
            <w:shd w:val="clear" w:color="auto" w:fill="auto"/>
            <w:vAlign w:val="center"/>
          </w:tcPr>
          <w:p w14:paraId="1B555164" w14:textId="77777777" w:rsidR="00563CFC" w:rsidRPr="00E50D6C" w:rsidRDefault="00563CFC" w:rsidP="008B2AB1">
            <w:pPr>
              <w:pStyle w:val="MDPI42tablebody"/>
              <w:autoSpaceDE w:val="0"/>
              <w:autoSpaceDN w:val="0"/>
              <w:spacing w:line="240" w:lineRule="auto"/>
              <w:rPr>
                <w:sz w:val="18"/>
                <w:szCs w:val="18"/>
                <w:lang w:val="en-GB"/>
              </w:rPr>
            </w:pPr>
          </w:p>
        </w:tc>
        <w:tc>
          <w:tcPr>
            <w:tcW w:w="549" w:type="pct"/>
            <w:tcBorders>
              <w:top w:val="single" w:sz="4" w:space="0" w:color="auto"/>
              <w:left w:val="nil"/>
              <w:bottom w:val="single" w:sz="4" w:space="0" w:color="auto"/>
              <w:right w:val="nil"/>
            </w:tcBorders>
            <w:shd w:val="clear" w:color="auto" w:fill="auto"/>
            <w:vAlign w:val="center"/>
          </w:tcPr>
          <w:p w14:paraId="33202246" w14:textId="77777777" w:rsidR="00563CFC" w:rsidRPr="00E50D6C" w:rsidRDefault="00563CFC" w:rsidP="008B2AB1">
            <w:pPr>
              <w:pStyle w:val="MDPI42tablebody"/>
              <w:autoSpaceDE w:val="0"/>
              <w:autoSpaceDN w:val="0"/>
              <w:spacing w:line="240" w:lineRule="auto"/>
              <w:rPr>
                <w:sz w:val="18"/>
                <w:szCs w:val="18"/>
                <w:lang w:val="en-GB"/>
              </w:rPr>
            </w:pPr>
          </w:p>
        </w:tc>
        <w:tc>
          <w:tcPr>
            <w:tcW w:w="493" w:type="pct"/>
            <w:tcBorders>
              <w:top w:val="single" w:sz="4" w:space="0" w:color="auto"/>
              <w:left w:val="nil"/>
              <w:bottom w:val="single" w:sz="4" w:space="0" w:color="auto"/>
              <w:right w:val="nil"/>
            </w:tcBorders>
            <w:shd w:val="clear" w:color="auto" w:fill="auto"/>
            <w:vAlign w:val="center"/>
          </w:tcPr>
          <w:p w14:paraId="72CFB310" w14:textId="77777777" w:rsidR="00563CFC" w:rsidRPr="00E50D6C" w:rsidRDefault="00563CFC" w:rsidP="008B2AB1">
            <w:pPr>
              <w:pStyle w:val="MDPI42tablebody"/>
              <w:autoSpaceDE w:val="0"/>
              <w:autoSpaceDN w:val="0"/>
              <w:spacing w:line="240" w:lineRule="auto"/>
              <w:rPr>
                <w:sz w:val="18"/>
                <w:szCs w:val="18"/>
                <w:lang w:val="en-GB"/>
              </w:rPr>
            </w:pPr>
          </w:p>
        </w:tc>
        <w:tc>
          <w:tcPr>
            <w:tcW w:w="495" w:type="pct"/>
            <w:tcBorders>
              <w:top w:val="single" w:sz="4" w:space="0" w:color="auto"/>
              <w:left w:val="nil"/>
              <w:bottom w:val="single" w:sz="4" w:space="0" w:color="auto"/>
              <w:right w:val="nil"/>
            </w:tcBorders>
            <w:shd w:val="clear" w:color="auto" w:fill="auto"/>
            <w:vAlign w:val="center"/>
          </w:tcPr>
          <w:p w14:paraId="251572A3" w14:textId="77777777" w:rsidR="00563CFC" w:rsidRPr="00E50D6C" w:rsidRDefault="00563CFC" w:rsidP="008B2AB1">
            <w:pPr>
              <w:pStyle w:val="MDPI42tablebody"/>
              <w:autoSpaceDE w:val="0"/>
              <w:autoSpaceDN w:val="0"/>
              <w:spacing w:line="240" w:lineRule="auto"/>
              <w:rPr>
                <w:sz w:val="18"/>
                <w:szCs w:val="18"/>
                <w:lang w:val="en-GB"/>
              </w:rPr>
            </w:pPr>
          </w:p>
        </w:tc>
        <w:tc>
          <w:tcPr>
            <w:tcW w:w="551" w:type="pct"/>
            <w:tcBorders>
              <w:top w:val="single" w:sz="4" w:space="0" w:color="auto"/>
              <w:left w:val="nil"/>
              <w:bottom w:val="single" w:sz="4" w:space="0" w:color="auto"/>
              <w:right w:val="nil"/>
            </w:tcBorders>
            <w:shd w:val="clear" w:color="auto" w:fill="auto"/>
            <w:vAlign w:val="center"/>
          </w:tcPr>
          <w:p w14:paraId="42DB9A93" w14:textId="77777777" w:rsidR="00563CFC" w:rsidRPr="00E50D6C" w:rsidRDefault="00563CFC" w:rsidP="008B2AB1">
            <w:pPr>
              <w:pStyle w:val="MDPI42tablebody"/>
              <w:autoSpaceDE w:val="0"/>
              <w:autoSpaceDN w:val="0"/>
              <w:spacing w:line="240" w:lineRule="auto"/>
              <w:rPr>
                <w:i/>
                <w:sz w:val="18"/>
                <w:szCs w:val="18"/>
                <w:lang w:val="en-GB"/>
              </w:rPr>
            </w:pPr>
          </w:p>
        </w:tc>
        <w:tc>
          <w:tcPr>
            <w:tcW w:w="611" w:type="pct"/>
            <w:tcBorders>
              <w:top w:val="single" w:sz="4" w:space="0" w:color="auto"/>
              <w:left w:val="nil"/>
              <w:bottom w:val="single" w:sz="4" w:space="0" w:color="auto"/>
              <w:right w:val="nil"/>
            </w:tcBorders>
            <w:shd w:val="clear" w:color="auto" w:fill="auto"/>
            <w:vAlign w:val="center"/>
          </w:tcPr>
          <w:p w14:paraId="7DC5DE8D" w14:textId="77777777" w:rsidR="00563CFC" w:rsidRPr="00E50D6C" w:rsidRDefault="00563CFC" w:rsidP="008B2AB1">
            <w:pPr>
              <w:pStyle w:val="MDPI42tablebody"/>
              <w:autoSpaceDE w:val="0"/>
              <w:autoSpaceDN w:val="0"/>
              <w:spacing w:line="240" w:lineRule="auto"/>
              <w:rPr>
                <w:i/>
                <w:sz w:val="18"/>
                <w:szCs w:val="18"/>
                <w:lang w:val="en-GB"/>
              </w:rPr>
            </w:pPr>
          </w:p>
        </w:tc>
        <w:tc>
          <w:tcPr>
            <w:tcW w:w="433" w:type="pct"/>
            <w:tcBorders>
              <w:top w:val="single" w:sz="4" w:space="0" w:color="auto"/>
              <w:left w:val="nil"/>
              <w:bottom w:val="single" w:sz="4" w:space="0" w:color="auto"/>
              <w:right w:val="nil"/>
            </w:tcBorders>
            <w:shd w:val="clear" w:color="auto" w:fill="auto"/>
            <w:vAlign w:val="center"/>
          </w:tcPr>
          <w:p w14:paraId="2AF7CFAB" w14:textId="77777777" w:rsidR="00563CFC" w:rsidRPr="00E50D6C" w:rsidRDefault="00563CFC" w:rsidP="008B2AB1">
            <w:pPr>
              <w:pStyle w:val="MDPI42tablebody"/>
              <w:autoSpaceDE w:val="0"/>
              <w:autoSpaceDN w:val="0"/>
              <w:spacing w:line="240" w:lineRule="auto"/>
              <w:rPr>
                <w:i/>
                <w:sz w:val="18"/>
                <w:szCs w:val="18"/>
                <w:lang w:val="en-GB"/>
              </w:rPr>
            </w:pPr>
          </w:p>
        </w:tc>
      </w:tr>
      <w:tr w:rsidR="004B2F71" w:rsidRPr="00E50D6C" w14:paraId="42D2B703" w14:textId="77777777" w:rsidTr="00166DFA">
        <w:trPr>
          <w:trHeight w:val="312"/>
          <w:jc w:val="center"/>
        </w:trPr>
        <w:tc>
          <w:tcPr>
            <w:tcW w:w="989" w:type="pct"/>
            <w:tcBorders>
              <w:top w:val="single" w:sz="4" w:space="0" w:color="auto"/>
              <w:bottom w:val="single" w:sz="4" w:space="0" w:color="FFFFFF" w:themeColor="background1"/>
            </w:tcBorders>
            <w:shd w:val="clear" w:color="auto" w:fill="auto"/>
            <w:vAlign w:val="center"/>
          </w:tcPr>
          <w:p w14:paraId="4E32FA4D" w14:textId="40A135C0" w:rsidR="00563CFC" w:rsidRPr="00E50D6C" w:rsidRDefault="00563CFC" w:rsidP="004B2F71">
            <w:pPr>
              <w:pStyle w:val="MDPI42tablebody"/>
              <w:autoSpaceDE w:val="0"/>
              <w:autoSpaceDN w:val="0"/>
              <w:spacing w:line="240" w:lineRule="auto"/>
              <w:rPr>
                <w:sz w:val="18"/>
                <w:szCs w:val="19"/>
                <w:lang w:val="en-GB"/>
              </w:rPr>
            </w:pPr>
            <w:r w:rsidRPr="00E50D6C">
              <w:rPr>
                <w:sz w:val="18"/>
                <w:szCs w:val="19"/>
                <w:lang w:val="en-GB"/>
              </w:rPr>
              <w:t>0</w:t>
            </w:r>
            <w:r w:rsidR="004B2F71" w:rsidRPr="00E50D6C">
              <w:rPr>
                <w:sz w:val="18"/>
                <w:szCs w:val="19"/>
                <w:lang w:val="en-GB"/>
              </w:rPr>
              <w:t>–</w:t>
            </w:r>
            <w:r w:rsidRPr="00E50D6C">
              <w:rPr>
                <w:sz w:val="18"/>
                <w:szCs w:val="19"/>
                <w:lang w:val="en-GB"/>
              </w:rPr>
              <w:t>30</w:t>
            </w:r>
            <w:r w:rsidR="004B2F71" w:rsidRPr="00E50D6C">
              <w:rPr>
                <w:sz w:val="18"/>
                <w:szCs w:val="19"/>
                <w:lang w:val="en-GB"/>
              </w:rPr>
              <w:t xml:space="preserve"> min </w:t>
            </w:r>
            <w:r w:rsidRPr="00E50D6C">
              <w:rPr>
                <w:sz w:val="18"/>
                <w:szCs w:val="19"/>
                <w:lang w:val="en-GB"/>
              </w:rPr>
              <w:t>(n/8</w:t>
            </w:r>
            <w:r w:rsidR="00963C03" w:rsidRPr="00E50D6C">
              <w:rPr>
                <w:sz w:val="18"/>
                <w:szCs w:val="19"/>
                <w:lang w:val="en-GB"/>
              </w:rPr>
              <w:t xml:space="preserve"> h </w:t>
            </w:r>
            <w:r w:rsidRPr="00E50D6C">
              <w:rPr>
                <w:sz w:val="18"/>
                <w:szCs w:val="19"/>
                <w:lang w:val="en-GB"/>
              </w:rPr>
              <w:t>workday)</w:t>
            </w:r>
          </w:p>
        </w:tc>
        <w:tc>
          <w:tcPr>
            <w:tcW w:w="438" w:type="pct"/>
            <w:tcBorders>
              <w:top w:val="single" w:sz="4" w:space="0" w:color="auto"/>
              <w:bottom w:val="single" w:sz="4" w:space="0" w:color="FFFFFF" w:themeColor="background1"/>
            </w:tcBorders>
            <w:shd w:val="clear" w:color="auto" w:fill="auto"/>
            <w:vAlign w:val="center"/>
          </w:tcPr>
          <w:p w14:paraId="14B928ED" w14:textId="59CB4108"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22.4</w:t>
            </w:r>
            <w:r w:rsidR="001C5864" w:rsidRPr="00E50D6C">
              <w:rPr>
                <w:sz w:val="18"/>
                <w:szCs w:val="19"/>
                <w:lang w:val="en-GB"/>
              </w:rPr>
              <w:t xml:space="preserve"> ± </w:t>
            </w:r>
            <w:r w:rsidRPr="00E50D6C">
              <w:rPr>
                <w:sz w:val="18"/>
                <w:szCs w:val="19"/>
                <w:lang w:val="en-GB"/>
              </w:rPr>
              <w:t>9.3</w:t>
            </w:r>
          </w:p>
        </w:tc>
        <w:tc>
          <w:tcPr>
            <w:tcW w:w="440" w:type="pct"/>
            <w:tcBorders>
              <w:top w:val="single" w:sz="4" w:space="0" w:color="auto"/>
              <w:bottom w:val="single" w:sz="4" w:space="0" w:color="FFFFFF" w:themeColor="background1"/>
            </w:tcBorders>
            <w:shd w:val="clear" w:color="auto" w:fill="auto"/>
            <w:vAlign w:val="center"/>
          </w:tcPr>
          <w:p w14:paraId="1E63D47B" w14:textId="1730ECF0"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21.4</w:t>
            </w:r>
            <w:r w:rsidR="001C5864" w:rsidRPr="00E50D6C">
              <w:rPr>
                <w:sz w:val="18"/>
                <w:szCs w:val="19"/>
                <w:lang w:val="en-GB"/>
              </w:rPr>
              <w:t xml:space="preserve"> ± </w:t>
            </w:r>
            <w:r w:rsidRPr="00E50D6C">
              <w:rPr>
                <w:sz w:val="18"/>
                <w:szCs w:val="19"/>
                <w:lang w:val="en-GB"/>
              </w:rPr>
              <w:t>6.3</w:t>
            </w:r>
          </w:p>
        </w:tc>
        <w:tc>
          <w:tcPr>
            <w:tcW w:w="549" w:type="pct"/>
            <w:tcBorders>
              <w:top w:val="single" w:sz="4" w:space="0" w:color="auto"/>
              <w:bottom w:val="single" w:sz="4" w:space="0" w:color="FFFFFF" w:themeColor="background1"/>
            </w:tcBorders>
            <w:shd w:val="clear" w:color="auto" w:fill="auto"/>
            <w:vAlign w:val="center"/>
          </w:tcPr>
          <w:p w14:paraId="76DB37FD" w14:textId="4A500E95" w:rsidR="00563CFC" w:rsidRPr="00E50D6C" w:rsidRDefault="004B2F71" w:rsidP="008B2AB1">
            <w:pPr>
              <w:pStyle w:val="MDPI42tablebody"/>
              <w:autoSpaceDE w:val="0"/>
              <w:autoSpaceDN w:val="0"/>
              <w:spacing w:line="240" w:lineRule="auto"/>
              <w:rPr>
                <w:sz w:val="18"/>
                <w:szCs w:val="19"/>
                <w:lang w:val="en-GB"/>
              </w:rPr>
            </w:pPr>
            <w:r w:rsidRPr="00E50D6C">
              <w:rPr>
                <w:sz w:val="18"/>
                <w:szCs w:val="19"/>
                <w:lang w:val="en-GB"/>
              </w:rPr>
              <w:t>−</w:t>
            </w:r>
            <w:r w:rsidR="00563CFC" w:rsidRPr="00E50D6C">
              <w:rPr>
                <w:sz w:val="18"/>
                <w:szCs w:val="19"/>
                <w:lang w:val="en-GB"/>
              </w:rPr>
              <w:t>1.0</w:t>
            </w:r>
            <w:r w:rsidR="001C5864" w:rsidRPr="00E50D6C">
              <w:rPr>
                <w:sz w:val="18"/>
                <w:szCs w:val="19"/>
                <w:lang w:val="en-GB"/>
              </w:rPr>
              <w:t xml:space="preserve"> ± </w:t>
            </w:r>
            <w:r w:rsidR="00563CFC" w:rsidRPr="00E50D6C">
              <w:rPr>
                <w:sz w:val="18"/>
                <w:szCs w:val="19"/>
                <w:lang w:val="en-GB"/>
              </w:rPr>
              <w:t>5.3</w:t>
            </w:r>
          </w:p>
        </w:tc>
        <w:tc>
          <w:tcPr>
            <w:tcW w:w="493" w:type="pct"/>
            <w:tcBorders>
              <w:top w:val="single" w:sz="4" w:space="0" w:color="auto"/>
              <w:bottom w:val="single" w:sz="4" w:space="0" w:color="FFFFFF" w:themeColor="background1"/>
            </w:tcBorders>
            <w:shd w:val="clear" w:color="auto" w:fill="auto"/>
            <w:vAlign w:val="center"/>
          </w:tcPr>
          <w:p w14:paraId="52FFE5C9" w14:textId="013C7B15"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23.5</w:t>
            </w:r>
            <w:r w:rsidR="001C5864" w:rsidRPr="00E50D6C">
              <w:rPr>
                <w:sz w:val="18"/>
                <w:szCs w:val="19"/>
                <w:lang w:val="en-GB"/>
              </w:rPr>
              <w:t xml:space="preserve"> ± </w:t>
            </w:r>
            <w:r w:rsidRPr="00E50D6C">
              <w:rPr>
                <w:sz w:val="18"/>
                <w:szCs w:val="19"/>
                <w:lang w:val="en-GB"/>
              </w:rPr>
              <w:t>9.5</w:t>
            </w:r>
          </w:p>
        </w:tc>
        <w:tc>
          <w:tcPr>
            <w:tcW w:w="495" w:type="pct"/>
            <w:tcBorders>
              <w:top w:val="single" w:sz="4" w:space="0" w:color="auto"/>
              <w:bottom w:val="single" w:sz="4" w:space="0" w:color="FFFFFF" w:themeColor="background1"/>
            </w:tcBorders>
            <w:shd w:val="clear" w:color="auto" w:fill="auto"/>
            <w:vAlign w:val="center"/>
          </w:tcPr>
          <w:p w14:paraId="3E1F3A0B" w14:textId="2CAAD8A0"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21.3</w:t>
            </w:r>
            <w:r w:rsidR="001C5864" w:rsidRPr="00E50D6C">
              <w:rPr>
                <w:sz w:val="18"/>
                <w:szCs w:val="19"/>
                <w:lang w:val="en-GB"/>
              </w:rPr>
              <w:t xml:space="preserve"> ± </w:t>
            </w:r>
            <w:r w:rsidRPr="00E50D6C">
              <w:rPr>
                <w:sz w:val="18"/>
                <w:szCs w:val="19"/>
                <w:lang w:val="en-GB"/>
              </w:rPr>
              <w:t>6.0</w:t>
            </w:r>
          </w:p>
        </w:tc>
        <w:tc>
          <w:tcPr>
            <w:tcW w:w="551" w:type="pct"/>
            <w:tcBorders>
              <w:top w:val="single" w:sz="4" w:space="0" w:color="auto"/>
              <w:bottom w:val="single" w:sz="4" w:space="0" w:color="FFFFFF" w:themeColor="background1"/>
            </w:tcBorders>
            <w:shd w:val="clear" w:color="auto" w:fill="auto"/>
            <w:vAlign w:val="center"/>
          </w:tcPr>
          <w:p w14:paraId="4F0292A9" w14:textId="09A57929" w:rsidR="00563CFC" w:rsidRPr="00E50D6C" w:rsidRDefault="004B2F71" w:rsidP="008B2AB1">
            <w:pPr>
              <w:pStyle w:val="MDPI42tablebody"/>
              <w:autoSpaceDE w:val="0"/>
              <w:autoSpaceDN w:val="0"/>
              <w:spacing w:line="240" w:lineRule="auto"/>
              <w:rPr>
                <w:i/>
                <w:sz w:val="18"/>
                <w:szCs w:val="19"/>
                <w:lang w:val="en-GB"/>
              </w:rPr>
            </w:pPr>
            <w:r w:rsidRPr="00E50D6C">
              <w:rPr>
                <w:sz w:val="18"/>
                <w:szCs w:val="19"/>
                <w:lang w:val="en-GB"/>
              </w:rPr>
              <w:t>−</w:t>
            </w:r>
            <w:r w:rsidR="00563CFC" w:rsidRPr="00E50D6C">
              <w:rPr>
                <w:sz w:val="18"/>
                <w:szCs w:val="19"/>
                <w:lang w:val="en-GB"/>
              </w:rPr>
              <w:t>2.2</w:t>
            </w:r>
            <w:r w:rsidR="001C5864" w:rsidRPr="00E50D6C">
              <w:rPr>
                <w:sz w:val="18"/>
                <w:szCs w:val="19"/>
                <w:lang w:val="en-GB"/>
              </w:rPr>
              <w:t xml:space="preserve"> ± </w:t>
            </w:r>
            <w:r w:rsidR="00563CFC" w:rsidRPr="00E50D6C">
              <w:rPr>
                <w:sz w:val="18"/>
                <w:szCs w:val="19"/>
                <w:lang w:val="en-GB"/>
              </w:rPr>
              <w:t>7.3</w:t>
            </w:r>
          </w:p>
        </w:tc>
        <w:tc>
          <w:tcPr>
            <w:tcW w:w="611" w:type="pct"/>
            <w:tcBorders>
              <w:top w:val="single" w:sz="4" w:space="0" w:color="auto"/>
              <w:bottom w:val="single" w:sz="4" w:space="0" w:color="FFFFFF" w:themeColor="background1"/>
            </w:tcBorders>
            <w:shd w:val="clear" w:color="auto" w:fill="auto"/>
            <w:vAlign w:val="center"/>
          </w:tcPr>
          <w:p w14:paraId="30C12EFE" w14:textId="46971C3E" w:rsidR="00563CFC" w:rsidRPr="00E50D6C" w:rsidRDefault="004B2F71" w:rsidP="008B2AB1">
            <w:pPr>
              <w:pStyle w:val="MDPI42tablebody"/>
              <w:autoSpaceDE w:val="0"/>
              <w:autoSpaceDN w:val="0"/>
              <w:spacing w:line="240" w:lineRule="auto"/>
              <w:rPr>
                <w:iCs/>
                <w:sz w:val="18"/>
                <w:szCs w:val="19"/>
                <w:lang w:val="en-GB"/>
              </w:rPr>
            </w:pPr>
            <w:r w:rsidRPr="00E50D6C">
              <w:rPr>
                <w:sz w:val="18"/>
                <w:szCs w:val="19"/>
                <w:lang w:val="en-GB"/>
              </w:rPr>
              <w:t>−</w:t>
            </w:r>
            <w:r w:rsidR="00563CFC" w:rsidRPr="00E50D6C">
              <w:rPr>
                <w:iCs/>
                <w:sz w:val="18"/>
                <w:szCs w:val="19"/>
                <w:lang w:val="en-GB"/>
              </w:rPr>
              <w:t>1.2</w:t>
            </w:r>
            <w:r w:rsidR="001C5864" w:rsidRPr="00E50D6C">
              <w:rPr>
                <w:sz w:val="18"/>
                <w:szCs w:val="19"/>
                <w:lang w:val="en-GB"/>
              </w:rPr>
              <w:t xml:space="preserve"> ± </w:t>
            </w:r>
            <w:r w:rsidR="00563CFC" w:rsidRPr="00E50D6C">
              <w:rPr>
                <w:sz w:val="18"/>
                <w:szCs w:val="19"/>
                <w:lang w:val="en-GB"/>
              </w:rPr>
              <w:t>6.5</w:t>
            </w:r>
          </w:p>
        </w:tc>
        <w:tc>
          <w:tcPr>
            <w:tcW w:w="433" w:type="pct"/>
            <w:tcBorders>
              <w:top w:val="single" w:sz="4" w:space="0" w:color="auto"/>
              <w:bottom w:val="single" w:sz="4" w:space="0" w:color="FFFFFF" w:themeColor="background1"/>
            </w:tcBorders>
            <w:shd w:val="clear" w:color="auto" w:fill="auto"/>
            <w:vAlign w:val="center"/>
          </w:tcPr>
          <w:p w14:paraId="7E3498B1" w14:textId="77777777" w:rsidR="00563CFC" w:rsidRPr="00E50D6C" w:rsidRDefault="00563CFC" w:rsidP="008B2AB1">
            <w:pPr>
              <w:pStyle w:val="MDPI42tablebody"/>
              <w:autoSpaceDE w:val="0"/>
              <w:autoSpaceDN w:val="0"/>
              <w:spacing w:line="240" w:lineRule="auto"/>
              <w:rPr>
                <w:i/>
                <w:sz w:val="18"/>
                <w:szCs w:val="19"/>
                <w:lang w:val="en-GB"/>
              </w:rPr>
            </w:pPr>
            <w:r w:rsidRPr="00E50D6C">
              <w:rPr>
                <w:i/>
                <w:sz w:val="18"/>
                <w:szCs w:val="19"/>
                <w:lang w:val="en-GB"/>
              </w:rPr>
              <w:t>0.20</w:t>
            </w:r>
          </w:p>
        </w:tc>
      </w:tr>
      <w:tr w:rsidR="004B2F71" w:rsidRPr="00E50D6C" w14:paraId="3AC7EBBF" w14:textId="77777777" w:rsidTr="00166DFA">
        <w:trPr>
          <w:trHeight w:val="312"/>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28C3B98B" w14:textId="0397E0BE"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30</w:t>
            </w:r>
            <w:r w:rsidR="004B2F71" w:rsidRPr="00E50D6C">
              <w:rPr>
                <w:sz w:val="18"/>
                <w:szCs w:val="19"/>
                <w:lang w:val="en-GB"/>
              </w:rPr>
              <w:t>–</w:t>
            </w:r>
            <w:r w:rsidRPr="00E50D6C">
              <w:rPr>
                <w:sz w:val="18"/>
                <w:szCs w:val="19"/>
                <w:lang w:val="en-GB"/>
              </w:rPr>
              <w:t>60</w:t>
            </w:r>
            <w:r w:rsidR="004B2F71" w:rsidRPr="00E50D6C">
              <w:rPr>
                <w:sz w:val="18"/>
                <w:szCs w:val="19"/>
                <w:lang w:val="en-GB"/>
              </w:rPr>
              <w:t xml:space="preserve"> min </w:t>
            </w:r>
            <w:r w:rsidRPr="00E50D6C">
              <w:rPr>
                <w:sz w:val="18"/>
                <w:szCs w:val="19"/>
                <w:lang w:val="en-GB"/>
              </w:rPr>
              <w:t>(n/8</w:t>
            </w:r>
            <w:r w:rsidR="00963C03" w:rsidRPr="00E50D6C">
              <w:rPr>
                <w:sz w:val="18"/>
                <w:szCs w:val="19"/>
                <w:lang w:val="en-GB"/>
              </w:rPr>
              <w:t xml:space="preserve"> h </w:t>
            </w:r>
            <w:r w:rsidRPr="00E50D6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77B1DFF6" w14:textId="23F20717"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2.6</w:t>
            </w:r>
            <w:r w:rsidR="001C5864" w:rsidRPr="00E50D6C">
              <w:rPr>
                <w:sz w:val="18"/>
                <w:szCs w:val="19"/>
                <w:lang w:val="en-GB"/>
              </w:rPr>
              <w:t xml:space="preserve"> ± </w:t>
            </w:r>
            <w:r w:rsidRPr="00E50D6C">
              <w:rPr>
                <w:sz w:val="18"/>
                <w:szCs w:val="19"/>
                <w:lang w:val="en-GB"/>
              </w:rPr>
              <w:t>1.2</w:t>
            </w:r>
          </w:p>
        </w:tc>
        <w:tc>
          <w:tcPr>
            <w:tcW w:w="440" w:type="pct"/>
            <w:tcBorders>
              <w:top w:val="single" w:sz="4" w:space="0" w:color="FFFFFF" w:themeColor="background1"/>
              <w:bottom w:val="single" w:sz="4" w:space="0" w:color="FFFFFF" w:themeColor="background1"/>
            </w:tcBorders>
            <w:shd w:val="clear" w:color="auto" w:fill="auto"/>
            <w:vAlign w:val="center"/>
          </w:tcPr>
          <w:p w14:paraId="7DE9D1BB" w14:textId="7952AF2C"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2.7</w:t>
            </w:r>
            <w:r w:rsidR="001C5864" w:rsidRPr="00E50D6C">
              <w:rPr>
                <w:sz w:val="18"/>
                <w:szCs w:val="19"/>
                <w:lang w:val="en-GB"/>
              </w:rPr>
              <w:t xml:space="preserve"> ± </w:t>
            </w:r>
            <w:r w:rsidRPr="00E50D6C">
              <w:rPr>
                <w:sz w:val="18"/>
                <w:szCs w:val="19"/>
                <w:lang w:val="en-GB"/>
              </w:rPr>
              <w:t>1.1</w:t>
            </w:r>
          </w:p>
        </w:tc>
        <w:tc>
          <w:tcPr>
            <w:tcW w:w="549" w:type="pct"/>
            <w:tcBorders>
              <w:top w:val="single" w:sz="4" w:space="0" w:color="FFFFFF" w:themeColor="background1"/>
              <w:bottom w:val="single" w:sz="4" w:space="0" w:color="FFFFFF" w:themeColor="background1"/>
            </w:tcBorders>
            <w:shd w:val="clear" w:color="auto" w:fill="auto"/>
            <w:vAlign w:val="center"/>
          </w:tcPr>
          <w:p w14:paraId="0E1FEC65" w14:textId="38E0769A"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0.1</w:t>
            </w:r>
            <w:r w:rsidR="001C5864" w:rsidRPr="00E50D6C">
              <w:rPr>
                <w:sz w:val="18"/>
                <w:szCs w:val="19"/>
                <w:lang w:val="en-GB"/>
              </w:rPr>
              <w:t xml:space="preserve"> ± </w:t>
            </w:r>
            <w:r w:rsidRPr="00E50D6C">
              <w:rPr>
                <w:sz w:val="18"/>
                <w:szCs w:val="19"/>
                <w:lang w:val="en-GB"/>
              </w:rPr>
              <w:t>1.3</w:t>
            </w:r>
          </w:p>
        </w:tc>
        <w:tc>
          <w:tcPr>
            <w:tcW w:w="493" w:type="pct"/>
            <w:tcBorders>
              <w:top w:val="single" w:sz="4" w:space="0" w:color="FFFFFF" w:themeColor="background1"/>
              <w:bottom w:val="single" w:sz="4" w:space="0" w:color="FFFFFF" w:themeColor="background1"/>
            </w:tcBorders>
            <w:shd w:val="clear" w:color="auto" w:fill="auto"/>
            <w:vAlign w:val="center"/>
          </w:tcPr>
          <w:p w14:paraId="79BCA319" w14:textId="32795575"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2.2</w:t>
            </w:r>
            <w:r w:rsidR="001C5864" w:rsidRPr="00E50D6C">
              <w:rPr>
                <w:sz w:val="18"/>
                <w:szCs w:val="19"/>
                <w:lang w:val="en-GB"/>
              </w:rPr>
              <w:t xml:space="preserve"> ± </w:t>
            </w:r>
            <w:r w:rsidRPr="00E50D6C">
              <w:rPr>
                <w:sz w:val="18"/>
                <w:szCs w:val="19"/>
                <w:lang w:val="en-GB"/>
              </w:rPr>
              <w:t>1.1</w:t>
            </w:r>
          </w:p>
        </w:tc>
        <w:tc>
          <w:tcPr>
            <w:tcW w:w="495" w:type="pct"/>
            <w:tcBorders>
              <w:top w:val="single" w:sz="4" w:space="0" w:color="FFFFFF" w:themeColor="background1"/>
              <w:bottom w:val="single" w:sz="4" w:space="0" w:color="FFFFFF" w:themeColor="background1"/>
            </w:tcBorders>
            <w:shd w:val="clear" w:color="auto" w:fill="auto"/>
            <w:vAlign w:val="center"/>
          </w:tcPr>
          <w:p w14:paraId="54C9F010" w14:textId="13FFC352"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2.8</w:t>
            </w:r>
            <w:r w:rsidR="001C5864" w:rsidRPr="00E50D6C">
              <w:rPr>
                <w:sz w:val="18"/>
                <w:szCs w:val="19"/>
                <w:lang w:val="en-GB"/>
              </w:rPr>
              <w:t xml:space="preserve"> ± </w:t>
            </w:r>
            <w:r w:rsidRPr="00E50D6C">
              <w:rPr>
                <w:sz w:val="18"/>
                <w:szCs w:val="19"/>
                <w:lang w:val="en-GB"/>
              </w:rPr>
              <w:t>1.4</w:t>
            </w:r>
          </w:p>
        </w:tc>
        <w:tc>
          <w:tcPr>
            <w:tcW w:w="551" w:type="pct"/>
            <w:tcBorders>
              <w:top w:val="single" w:sz="4" w:space="0" w:color="FFFFFF" w:themeColor="background1"/>
              <w:bottom w:val="single" w:sz="4" w:space="0" w:color="FFFFFF" w:themeColor="background1"/>
            </w:tcBorders>
            <w:shd w:val="clear" w:color="auto" w:fill="auto"/>
            <w:vAlign w:val="center"/>
          </w:tcPr>
          <w:p w14:paraId="620B8AEC" w14:textId="2F03E968" w:rsidR="00563CFC" w:rsidRPr="00E50D6C" w:rsidRDefault="00563CFC" w:rsidP="008B2AB1">
            <w:pPr>
              <w:pStyle w:val="MDPI42tablebody"/>
              <w:autoSpaceDE w:val="0"/>
              <w:autoSpaceDN w:val="0"/>
              <w:spacing w:line="240" w:lineRule="auto"/>
              <w:rPr>
                <w:i/>
                <w:sz w:val="18"/>
                <w:szCs w:val="19"/>
                <w:lang w:val="en-GB"/>
              </w:rPr>
            </w:pPr>
            <w:r w:rsidRPr="00E50D6C">
              <w:rPr>
                <w:sz w:val="18"/>
                <w:szCs w:val="19"/>
                <w:lang w:val="en-GB"/>
              </w:rPr>
              <w:t>0.6</w:t>
            </w:r>
            <w:r w:rsidR="001C5864" w:rsidRPr="00E50D6C">
              <w:rPr>
                <w:sz w:val="18"/>
                <w:szCs w:val="19"/>
                <w:lang w:val="en-GB"/>
              </w:rPr>
              <w:t xml:space="preserve"> ± </w:t>
            </w:r>
            <w:r w:rsidRPr="00E50D6C">
              <w:rPr>
                <w:sz w:val="18"/>
                <w:szCs w:val="19"/>
                <w:lang w:val="en-GB"/>
              </w:rPr>
              <w:t>1.9</w:t>
            </w:r>
          </w:p>
        </w:tc>
        <w:tc>
          <w:tcPr>
            <w:tcW w:w="611" w:type="pct"/>
            <w:tcBorders>
              <w:top w:val="single" w:sz="4" w:space="0" w:color="FFFFFF" w:themeColor="background1"/>
              <w:bottom w:val="single" w:sz="4" w:space="0" w:color="FFFFFF" w:themeColor="background1"/>
            </w:tcBorders>
            <w:shd w:val="clear" w:color="auto" w:fill="auto"/>
            <w:vAlign w:val="center"/>
          </w:tcPr>
          <w:p w14:paraId="6FDD7C43" w14:textId="509CAE59" w:rsidR="00563CFC" w:rsidRPr="00E50D6C" w:rsidRDefault="00563CFC" w:rsidP="008B2AB1">
            <w:pPr>
              <w:pStyle w:val="MDPI42tablebody"/>
              <w:autoSpaceDE w:val="0"/>
              <w:autoSpaceDN w:val="0"/>
              <w:spacing w:line="240" w:lineRule="auto"/>
              <w:rPr>
                <w:iCs/>
                <w:sz w:val="18"/>
                <w:szCs w:val="19"/>
                <w:lang w:val="en-GB"/>
              </w:rPr>
            </w:pPr>
            <w:r w:rsidRPr="00E50D6C">
              <w:rPr>
                <w:sz w:val="18"/>
                <w:szCs w:val="19"/>
                <w:lang w:val="en-GB"/>
              </w:rPr>
              <w:t>0.5</w:t>
            </w:r>
            <w:r w:rsidR="001C5864" w:rsidRPr="00E50D6C">
              <w:rPr>
                <w:sz w:val="18"/>
                <w:szCs w:val="19"/>
                <w:lang w:val="en-GB"/>
              </w:rPr>
              <w:t xml:space="preserve"> ± </w:t>
            </w:r>
            <w:r w:rsidRPr="00E50D6C">
              <w:rPr>
                <w:sz w:val="18"/>
                <w:szCs w:val="19"/>
                <w:lang w:val="en-GB"/>
              </w:rPr>
              <w:t>2.4</w:t>
            </w:r>
          </w:p>
        </w:tc>
        <w:tc>
          <w:tcPr>
            <w:tcW w:w="433" w:type="pct"/>
            <w:tcBorders>
              <w:top w:val="single" w:sz="4" w:space="0" w:color="FFFFFF" w:themeColor="background1"/>
              <w:bottom w:val="single" w:sz="4" w:space="0" w:color="FFFFFF" w:themeColor="background1"/>
            </w:tcBorders>
            <w:shd w:val="clear" w:color="auto" w:fill="auto"/>
            <w:vAlign w:val="center"/>
          </w:tcPr>
          <w:p w14:paraId="1EF51233" w14:textId="77777777" w:rsidR="00563CFC" w:rsidRPr="00E50D6C" w:rsidRDefault="00563CFC" w:rsidP="008B2AB1">
            <w:pPr>
              <w:pStyle w:val="MDPI42tablebody"/>
              <w:autoSpaceDE w:val="0"/>
              <w:autoSpaceDN w:val="0"/>
              <w:spacing w:line="240" w:lineRule="auto"/>
              <w:rPr>
                <w:i/>
                <w:sz w:val="18"/>
                <w:szCs w:val="19"/>
                <w:lang w:val="en-GB"/>
              </w:rPr>
            </w:pPr>
            <w:r w:rsidRPr="00E50D6C">
              <w:rPr>
                <w:i/>
                <w:sz w:val="18"/>
                <w:szCs w:val="19"/>
                <w:lang w:val="en-GB"/>
              </w:rPr>
              <w:t>0.32</w:t>
            </w:r>
          </w:p>
        </w:tc>
      </w:tr>
      <w:tr w:rsidR="004B2F71" w:rsidRPr="00E50D6C" w14:paraId="03D1230D" w14:textId="77777777" w:rsidTr="00166DFA">
        <w:trPr>
          <w:trHeight w:val="312"/>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22ABC13A" w14:textId="74959244"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60+</w:t>
            </w:r>
            <w:r w:rsidR="004B2F71" w:rsidRPr="00E50D6C">
              <w:rPr>
                <w:sz w:val="18"/>
                <w:szCs w:val="19"/>
                <w:lang w:val="en-GB"/>
              </w:rPr>
              <w:t xml:space="preserve"> min </w:t>
            </w:r>
            <w:r w:rsidRPr="00E50D6C">
              <w:rPr>
                <w:sz w:val="18"/>
                <w:szCs w:val="19"/>
                <w:lang w:val="en-GB"/>
              </w:rPr>
              <w:t>(n/8</w:t>
            </w:r>
            <w:r w:rsidR="00963C03" w:rsidRPr="00E50D6C">
              <w:rPr>
                <w:sz w:val="18"/>
                <w:szCs w:val="19"/>
                <w:lang w:val="en-GB"/>
              </w:rPr>
              <w:t xml:space="preserve"> h </w:t>
            </w:r>
            <w:r w:rsidRPr="00E50D6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32208272" w14:textId="2098F301"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0.8</w:t>
            </w:r>
            <w:r w:rsidR="001C5864" w:rsidRPr="00E50D6C">
              <w:rPr>
                <w:sz w:val="18"/>
                <w:szCs w:val="19"/>
                <w:lang w:val="en-GB"/>
              </w:rPr>
              <w:t xml:space="preserve"> ± </w:t>
            </w:r>
            <w:r w:rsidRPr="00E50D6C">
              <w:rPr>
                <w:sz w:val="18"/>
                <w:szCs w:val="19"/>
                <w:lang w:val="en-GB"/>
              </w:rPr>
              <w:t>0.9</w:t>
            </w:r>
          </w:p>
        </w:tc>
        <w:tc>
          <w:tcPr>
            <w:tcW w:w="440" w:type="pct"/>
            <w:tcBorders>
              <w:top w:val="single" w:sz="4" w:space="0" w:color="FFFFFF" w:themeColor="background1"/>
              <w:bottom w:val="single" w:sz="4" w:space="0" w:color="FFFFFF" w:themeColor="background1"/>
            </w:tcBorders>
            <w:shd w:val="clear" w:color="auto" w:fill="auto"/>
            <w:vAlign w:val="center"/>
          </w:tcPr>
          <w:p w14:paraId="243927FB" w14:textId="283DE1C3"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0.9</w:t>
            </w:r>
            <w:r w:rsidR="001C5864" w:rsidRPr="00E50D6C">
              <w:rPr>
                <w:sz w:val="18"/>
                <w:szCs w:val="19"/>
                <w:lang w:val="en-GB"/>
              </w:rPr>
              <w:t xml:space="preserve"> ± </w:t>
            </w:r>
            <w:r w:rsidRPr="00E50D6C">
              <w:rPr>
                <w:sz w:val="18"/>
                <w:szCs w:val="19"/>
                <w:lang w:val="en-GB"/>
              </w:rPr>
              <w:t>0.8</w:t>
            </w:r>
          </w:p>
        </w:tc>
        <w:tc>
          <w:tcPr>
            <w:tcW w:w="549" w:type="pct"/>
            <w:tcBorders>
              <w:top w:val="single" w:sz="4" w:space="0" w:color="FFFFFF" w:themeColor="background1"/>
              <w:bottom w:val="single" w:sz="4" w:space="0" w:color="FFFFFF" w:themeColor="background1"/>
            </w:tcBorders>
            <w:shd w:val="clear" w:color="auto" w:fill="auto"/>
            <w:vAlign w:val="center"/>
          </w:tcPr>
          <w:p w14:paraId="3FBF967C" w14:textId="5AF1445F"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0.1</w:t>
            </w:r>
            <w:r w:rsidR="001C5864" w:rsidRPr="00E50D6C">
              <w:rPr>
                <w:sz w:val="18"/>
                <w:szCs w:val="19"/>
                <w:lang w:val="en-GB"/>
              </w:rPr>
              <w:t xml:space="preserve"> ± </w:t>
            </w:r>
            <w:r w:rsidRPr="00E50D6C">
              <w:rPr>
                <w:sz w:val="18"/>
                <w:szCs w:val="19"/>
                <w:lang w:val="en-GB"/>
              </w:rPr>
              <w:t>0.8</w:t>
            </w:r>
          </w:p>
        </w:tc>
        <w:tc>
          <w:tcPr>
            <w:tcW w:w="493" w:type="pct"/>
            <w:tcBorders>
              <w:top w:val="single" w:sz="4" w:space="0" w:color="FFFFFF" w:themeColor="background1"/>
              <w:bottom w:val="single" w:sz="4" w:space="0" w:color="FFFFFF" w:themeColor="background1"/>
            </w:tcBorders>
            <w:shd w:val="clear" w:color="auto" w:fill="auto"/>
            <w:vAlign w:val="center"/>
          </w:tcPr>
          <w:p w14:paraId="33FCE5C5" w14:textId="3B81743F"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1.0</w:t>
            </w:r>
            <w:r w:rsidR="001C5864" w:rsidRPr="00E50D6C">
              <w:rPr>
                <w:sz w:val="18"/>
                <w:szCs w:val="19"/>
                <w:lang w:val="en-GB"/>
              </w:rPr>
              <w:t xml:space="preserve"> ± </w:t>
            </w:r>
            <w:r w:rsidRPr="00E50D6C">
              <w:rPr>
                <w:sz w:val="18"/>
                <w:szCs w:val="19"/>
                <w:lang w:val="en-GB"/>
              </w:rPr>
              <w:t>0.9</w:t>
            </w:r>
          </w:p>
        </w:tc>
        <w:tc>
          <w:tcPr>
            <w:tcW w:w="495" w:type="pct"/>
            <w:tcBorders>
              <w:top w:val="single" w:sz="4" w:space="0" w:color="FFFFFF" w:themeColor="background1"/>
              <w:bottom w:val="single" w:sz="4" w:space="0" w:color="FFFFFF" w:themeColor="background1"/>
            </w:tcBorders>
            <w:shd w:val="clear" w:color="auto" w:fill="auto"/>
            <w:vAlign w:val="center"/>
          </w:tcPr>
          <w:p w14:paraId="08077E6D" w14:textId="19BC1947"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0.8</w:t>
            </w:r>
            <w:r w:rsidR="001C5864" w:rsidRPr="00E50D6C">
              <w:rPr>
                <w:sz w:val="18"/>
                <w:szCs w:val="19"/>
                <w:lang w:val="en-GB"/>
              </w:rPr>
              <w:t xml:space="preserve"> ± </w:t>
            </w:r>
            <w:r w:rsidRPr="00E50D6C">
              <w:rPr>
                <w:sz w:val="18"/>
                <w:szCs w:val="19"/>
                <w:lang w:val="en-GB"/>
              </w:rPr>
              <w:t>0.6</w:t>
            </w:r>
          </w:p>
        </w:tc>
        <w:tc>
          <w:tcPr>
            <w:tcW w:w="551" w:type="pct"/>
            <w:tcBorders>
              <w:top w:val="single" w:sz="4" w:space="0" w:color="FFFFFF" w:themeColor="background1"/>
              <w:bottom w:val="single" w:sz="4" w:space="0" w:color="FFFFFF" w:themeColor="background1"/>
            </w:tcBorders>
            <w:shd w:val="clear" w:color="auto" w:fill="auto"/>
            <w:vAlign w:val="center"/>
          </w:tcPr>
          <w:p w14:paraId="2289D67E" w14:textId="7A93AF5A" w:rsidR="00563CFC" w:rsidRPr="00E50D6C" w:rsidRDefault="004B2F71" w:rsidP="008B2AB1">
            <w:pPr>
              <w:pStyle w:val="MDPI42tablebody"/>
              <w:autoSpaceDE w:val="0"/>
              <w:autoSpaceDN w:val="0"/>
              <w:spacing w:line="240" w:lineRule="auto"/>
              <w:rPr>
                <w:i/>
                <w:sz w:val="18"/>
                <w:szCs w:val="19"/>
                <w:lang w:val="en-GB"/>
              </w:rPr>
            </w:pPr>
            <w:r w:rsidRPr="00E50D6C">
              <w:rPr>
                <w:sz w:val="18"/>
                <w:szCs w:val="19"/>
                <w:lang w:val="en-GB"/>
              </w:rPr>
              <w:t>−</w:t>
            </w:r>
            <w:r w:rsidR="00563CFC" w:rsidRPr="00E50D6C">
              <w:rPr>
                <w:sz w:val="18"/>
                <w:szCs w:val="19"/>
                <w:lang w:val="en-GB"/>
              </w:rPr>
              <w:t>0.2</w:t>
            </w:r>
            <w:r w:rsidR="001C5864" w:rsidRPr="00E50D6C">
              <w:rPr>
                <w:sz w:val="18"/>
                <w:szCs w:val="19"/>
                <w:lang w:val="en-GB"/>
              </w:rPr>
              <w:t xml:space="preserve"> ± </w:t>
            </w:r>
            <w:r w:rsidR="00563CFC" w:rsidRPr="00E50D6C">
              <w:rPr>
                <w:sz w:val="18"/>
                <w:szCs w:val="19"/>
                <w:lang w:val="en-GB"/>
              </w:rPr>
              <w:t>0.8</w:t>
            </w:r>
          </w:p>
        </w:tc>
        <w:tc>
          <w:tcPr>
            <w:tcW w:w="611" w:type="pct"/>
            <w:tcBorders>
              <w:top w:val="single" w:sz="4" w:space="0" w:color="FFFFFF" w:themeColor="background1"/>
              <w:bottom w:val="single" w:sz="4" w:space="0" w:color="FFFFFF" w:themeColor="background1"/>
            </w:tcBorders>
            <w:shd w:val="clear" w:color="auto" w:fill="auto"/>
            <w:vAlign w:val="center"/>
          </w:tcPr>
          <w:p w14:paraId="1CF670C6" w14:textId="3665418C" w:rsidR="00563CFC" w:rsidRPr="00E50D6C" w:rsidRDefault="004B2F71" w:rsidP="008B2AB1">
            <w:pPr>
              <w:pStyle w:val="MDPI42tablebody"/>
              <w:autoSpaceDE w:val="0"/>
              <w:autoSpaceDN w:val="0"/>
              <w:spacing w:line="240" w:lineRule="auto"/>
              <w:rPr>
                <w:iCs/>
                <w:sz w:val="18"/>
                <w:szCs w:val="19"/>
                <w:lang w:val="en-GB"/>
              </w:rPr>
            </w:pPr>
            <w:r w:rsidRPr="00E50D6C">
              <w:rPr>
                <w:sz w:val="18"/>
                <w:szCs w:val="19"/>
                <w:lang w:val="en-GB"/>
              </w:rPr>
              <w:t>−</w:t>
            </w:r>
            <w:r w:rsidR="00563CFC" w:rsidRPr="00E50D6C">
              <w:rPr>
                <w:sz w:val="18"/>
                <w:szCs w:val="19"/>
                <w:lang w:val="en-GB"/>
              </w:rPr>
              <w:t>0.3</w:t>
            </w:r>
            <w:r w:rsidR="001C5864" w:rsidRPr="00E50D6C">
              <w:rPr>
                <w:sz w:val="18"/>
                <w:szCs w:val="19"/>
                <w:lang w:val="en-GB"/>
              </w:rPr>
              <w:t xml:space="preserve"> ± </w:t>
            </w:r>
            <w:r w:rsidR="00563CFC" w:rsidRPr="00E50D6C">
              <w:rPr>
                <w:sz w:val="18"/>
                <w:szCs w:val="19"/>
                <w:lang w:val="en-GB"/>
              </w:rPr>
              <w:t>1.0</w:t>
            </w:r>
          </w:p>
        </w:tc>
        <w:tc>
          <w:tcPr>
            <w:tcW w:w="433" w:type="pct"/>
            <w:tcBorders>
              <w:top w:val="single" w:sz="4" w:space="0" w:color="FFFFFF" w:themeColor="background1"/>
              <w:bottom w:val="single" w:sz="4" w:space="0" w:color="FFFFFF" w:themeColor="background1"/>
            </w:tcBorders>
            <w:shd w:val="clear" w:color="auto" w:fill="auto"/>
            <w:vAlign w:val="center"/>
          </w:tcPr>
          <w:p w14:paraId="35511CF8" w14:textId="77777777" w:rsidR="00563CFC" w:rsidRPr="00E50D6C" w:rsidRDefault="00563CFC" w:rsidP="008B2AB1">
            <w:pPr>
              <w:pStyle w:val="MDPI42tablebody"/>
              <w:autoSpaceDE w:val="0"/>
              <w:autoSpaceDN w:val="0"/>
              <w:spacing w:line="240" w:lineRule="auto"/>
              <w:rPr>
                <w:i/>
                <w:sz w:val="18"/>
                <w:szCs w:val="19"/>
                <w:lang w:val="en-GB"/>
              </w:rPr>
            </w:pPr>
            <w:r w:rsidRPr="00E50D6C">
              <w:rPr>
                <w:i/>
                <w:sz w:val="18"/>
                <w:szCs w:val="19"/>
                <w:lang w:val="en-GB"/>
              </w:rPr>
              <w:t>0.39</w:t>
            </w:r>
          </w:p>
        </w:tc>
      </w:tr>
      <w:tr w:rsidR="004B2F71" w:rsidRPr="006076FC" w14:paraId="2996EB53"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093A4BBE" w14:textId="3E255DF1"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Total Time 0</w:t>
            </w:r>
            <w:r w:rsidR="004B2F71" w:rsidRPr="00E50D6C">
              <w:rPr>
                <w:sz w:val="18"/>
                <w:szCs w:val="19"/>
                <w:lang w:val="en-GB"/>
              </w:rPr>
              <w:t>–</w:t>
            </w:r>
            <w:r w:rsidRPr="00E50D6C">
              <w:rPr>
                <w:sz w:val="18"/>
                <w:szCs w:val="19"/>
                <w:lang w:val="en-GB"/>
              </w:rPr>
              <w:t>30</w:t>
            </w:r>
            <w:r w:rsidR="004B2F71" w:rsidRPr="00E50D6C">
              <w:rPr>
                <w:sz w:val="18"/>
                <w:szCs w:val="19"/>
                <w:lang w:val="en-GB"/>
              </w:rPr>
              <w:t xml:space="preserve"> min </w:t>
            </w:r>
          </w:p>
          <w:p w14:paraId="1C787D56" w14:textId="29193237"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(hrs/8</w:t>
            </w:r>
            <w:r w:rsidR="00963C03" w:rsidRPr="00E50D6C">
              <w:rPr>
                <w:sz w:val="18"/>
                <w:szCs w:val="19"/>
                <w:lang w:val="en-GB"/>
              </w:rPr>
              <w:t xml:space="preserve"> h </w:t>
            </w:r>
            <w:r w:rsidRPr="00E50D6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556D0064" w14:textId="5087392D"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2.5</w:t>
            </w:r>
            <w:r w:rsidR="001C5864" w:rsidRPr="00E50D6C">
              <w:rPr>
                <w:sz w:val="18"/>
                <w:szCs w:val="19"/>
                <w:lang w:val="en-GB"/>
              </w:rPr>
              <w:t xml:space="preserve"> ± </w:t>
            </w:r>
            <w:r w:rsidRPr="00E50D6C">
              <w:rPr>
                <w:sz w:val="18"/>
                <w:szCs w:val="19"/>
                <w:lang w:val="en-GB"/>
              </w:rPr>
              <w:t>0.7</w:t>
            </w:r>
          </w:p>
        </w:tc>
        <w:tc>
          <w:tcPr>
            <w:tcW w:w="440" w:type="pct"/>
            <w:tcBorders>
              <w:top w:val="single" w:sz="4" w:space="0" w:color="FFFFFF" w:themeColor="background1"/>
              <w:bottom w:val="single" w:sz="4" w:space="0" w:color="FFFFFF" w:themeColor="background1"/>
            </w:tcBorders>
            <w:shd w:val="clear" w:color="auto" w:fill="auto"/>
            <w:vAlign w:val="center"/>
          </w:tcPr>
          <w:p w14:paraId="51B4E65A" w14:textId="6E5C6F1E"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2.7</w:t>
            </w:r>
            <w:r w:rsidR="001C5864" w:rsidRPr="00E50D6C">
              <w:rPr>
                <w:sz w:val="18"/>
                <w:szCs w:val="19"/>
                <w:lang w:val="en-GB"/>
              </w:rPr>
              <w:t xml:space="preserve"> ± </w:t>
            </w:r>
            <w:r w:rsidRPr="00E50D6C">
              <w:rPr>
                <w:sz w:val="18"/>
                <w:szCs w:val="19"/>
                <w:lang w:val="en-GB"/>
              </w:rPr>
              <w:t>0.8</w:t>
            </w:r>
          </w:p>
        </w:tc>
        <w:tc>
          <w:tcPr>
            <w:tcW w:w="549" w:type="pct"/>
            <w:tcBorders>
              <w:top w:val="single" w:sz="4" w:space="0" w:color="FFFFFF" w:themeColor="background1"/>
              <w:bottom w:val="single" w:sz="4" w:space="0" w:color="FFFFFF" w:themeColor="background1"/>
            </w:tcBorders>
            <w:shd w:val="clear" w:color="auto" w:fill="auto"/>
            <w:vAlign w:val="center"/>
          </w:tcPr>
          <w:p w14:paraId="23F5E55C" w14:textId="3D8A0FAD"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0.2</w:t>
            </w:r>
            <w:r w:rsidR="001C5864" w:rsidRPr="00E50D6C">
              <w:rPr>
                <w:sz w:val="18"/>
                <w:szCs w:val="19"/>
                <w:lang w:val="en-GB"/>
              </w:rPr>
              <w:t xml:space="preserve"> ± </w:t>
            </w:r>
            <w:r w:rsidRPr="00E50D6C">
              <w:rPr>
                <w:sz w:val="18"/>
                <w:szCs w:val="19"/>
                <w:lang w:val="en-GB"/>
              </w:rPr>
              <w:t>0.6</w:t>
            </w:r>
          </w:p>
        </w:tc>
        <w:tc>
          <w:tcPr>
            <w:tcW w:w="493" w:type="pct"/>
            <w:tcBorders>
              <w:top w:val="single" w:sz="4" w:space="0" w:color="FFFFFF" w:themeColor="background1"/>
              <w:bottom w:val="single" w:sz="4" w:space="0" w:color="FFFFFF" w:themeColor="background1"/>
            </w:tcBorders>
            <w:shd w:val="clear" w:color="auto" w:fill="auto"/>
            <w:vAlign w:val="center"/>
          </w:tcPr>
          <w:p w14:paraId="2B6CCC05" w14:textId="2A44D929"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2.8</w:t>
            </w:r>
            <w:r w:rsidR="001C5864" w:rsidRPr="00E50D6C">
              <w:rPr>
                <w:sz w:val="18"/>
                <w:szCs w:val="19"/>
                <w:lang w:val="en-GB"/>
              </w:rPr>
              <w:t xml:space="preserve"> ± </w:t>
            </w:r>
            <w:r w:rsidRPr="00E50D6C">
              <w:rPr>
                <w:sz w:val="18"/>
                <w:szCs w:val="19"/>
                <w:lang w:val="en-GB"/>
              </w:rPr>
              <w:t>1.0</w:t>
            </w:r>
          </w:p>
        </w:tc>
        <w:tc>
          <w:tcPr>
            <w:tcW w:w="495" w:type="pct"/>
            <w:tcBorders>
              <w:top w:val="single" w:sz="4" w:space="0" w:color="FFFFFF" w:themeColor="background1"/>
              <w:bottom w:val="single" w:sz="4" w:space="0" w:color="FFFFFF" w:themeColor="background1"/>
            </w:tcBorders>
            <w:shd w:val="clear" w:color="auto" w:fill="auto"/>
            <w:vAlign w:val="center"/>
          </w:tcPr>
          <w:p w14:paraId="07DBAE3E" w14:textId="2CFE30DE" w:rsidR="00563CFC" w:rsidRPr="00E50D6C" w:rsidRDefault="00563CFC" w:rsidP="008B2AB1">
            <w:pPr>
              <w:pStyle w:val="MDPI42tablebody"/>
              <w:autoSpaceDE w:val="0"/>
              <w:autoSpaceDN w:val="0"/>
              <w:spacing w:line="240" w:lineRule="auto"/>
              <w:rPr>
                <w:sz w:val="18"/>
                <w:szCs w:val="19"/>
                <w:lang w:val="en-GB"/>
              </w:rPr>
            </w:pPr>
            <w:r w:rsidRPr="00E50D6C">
              <w:rPr>
                <w:sz w:val="18"/>
                <w:szCs w:val="19"/>
                <w:lang w:val="en-GB"/>
              </w:rPr>
              <w:t>2.6</w:t>
            </w:r>
            <w:r w:rsidR="001C5864" w:rsidRPr="00E50D6C">
              <w:rPr>
                <w:sz w:val="18"/>
                <w:szCs w:val="19"/>
                <w:lang w:val="en-GB"/>
              </w:rPr>
              <w:t xml:space="preserve"> ± </w:t>
            </w:r>
            <w:r w:rsidRPr="00E50D6C">
              <w:rPr>
                <w:sz w:val="18"/>
                <w:szCs w:val="19"/>
                <w:lang w:val="en-GB"/>
              </w:rPr>
              <w:t>0.7</w:t>
            </w:r>
          </w:p>
        </w:tc>
        <w:tc>
          <w:tcPr>
            <w:tcW w:w="551" w:type="pct"/>
            <w:tcBorders>
              <w:top w:val="single" w:sz="4" w:space="0" w:color="FFFFFF" w:themeColor="background1"/>
              <w:bottom w:val="single" w:sz="4" w:space="0" w:color="FFFFFF" w:themeColor="background1"/>
            </w:tcBorders>
            <w:shd w:val="clear" w:color="auto" w:fill="auto"/>
            <w:vAlign w:val="center"/>
          </w:tcPr>
          <w:p w14:paraId="11B82C82" w14:textId="11392482" w:rsidR="00563CFC" w:rsidRPr="00E50D6C" w:rsidRDefault="004B2F71" w:rsidP="008B2AB1">
            <w:pPr>
              <w:pStyle w:val="MDPI42tablebody"/>
              <w:autoSpaceDE w:val="0"/>
              <w:autoSpaceDN w:val="0"/>
              <w:spacing w:line="240" w:lineRule="auto"/>
              <w:rPr>
                <w:i/>
                <w:sz w:val="18"/>
                <w:szCs w:val="19"/>
                <w:lang w:val="en-GB"/>
              </w:rPr>
            </w:pPr>
            <w:r w:rsidRPr="00E50D6C">
              <w:rPr>
                <w:sz w:val="18"/>
                <w:szCs w:val="19"/>
                <w:lang w:val="en-GB"/>
              </w:rPr>
              <w:t>−</w:t>
            </w:r>
            <w:r w:rsidR="00563CFC" w:rsidRPr="00E50D6C">
              <w:rPr>
                <w:sz w:val="18"/>
                <w:szCs w:val="19"/>
                <w:lang w:val="en-GB"/>
              </w:rPr>
              <w:t>0.2</w:t>
            </w:r>
            <w:r w:rsidR="001C5864" w:rsidRPr="00E50D6C">
              <w:rPr>
                <w:sz w:val="18"/>
                <w:szCs w:val="19"/>
                <w:lang w:val="en-GB"/>
              </w:rPr>
              <w:t xml:space="preserve"> ± </w:t>
            </w:r>
            <w:r w:rsidR="00563CFC" w:rsidRPr="00E50D6C">
              <w:rPr>
                <w:sz w:val="18"/>
                <w:szCs w:val="19"/>
                <w:lang w:val="en-GB"/>
              </w:rPr>
              <w:t>0.8</w:t>
            </w:r>
          </w:p>
        </w:tc>
        <w:tc>
          <w:tcPr>
            <w:tcW w:w="611" w:type="pct"/>
            <w:tcBorders>
              <w:top w:val="single" w:sz="4" w:space="0" w:color="FFFFFF" w:themeColor="background1"/>
              <w:bottom w:val="single" w:sz="4" w:space="0" w:color="FFFFFF" w:themeColor="background1"/>
            </w:tcBorders>
            <w:shd w:val="clear" w:color="auto" w:fill="auto"/>
            <w:vAlign w:val="center"/>
          </w:tcPr>
          <w:p w14:paraId="6190429A" w14:textId="66FCC8FA" w:rsidR="00563CFC" w:rsidRPr="00E50D6C" w:rsidRDefault="004B2F71" w:rsidP="008B2AB1">
            <w:pPr>
              <w:pStyle w:val="MDPI42tablebody"/>
              <w:autoSpaceDE w:val="0"/>
              <w:autoSpaceDN w:val="0"/>
              <w:spacing w:line="240" w:lineRule="auto"/>
              <w:rPr>
                <w:iCs/>
                <w:sz w:val="18"/>
                <w:szCs w:val="19"/>
                <w:lang w:val="en-GB"/>
              </w:rPr>
            </w:pPr>
            <w:r w:rsidRPr="00E50D6C">
              <w:rPr>
                <w:sz w:val="18"/>
                <w:szCs w:val="19"/>
                <w:lang w:val="en-GB"/>
              </w:rPr>
              <w:t>−</w:t>
            </w:r>
            <w:r w:rsidR="00563CFC" w:rsidRPr="00E50D6C">
              <w:rPr>
                <w:sz w:val="18"/>
                <w:szCs w:val="19"/>
                <w:lang w:val="en-GB"/>
              </w:rPr>
              <w:t>0.4</w:t>
            </w:r>
            <w:r w:rsidR="001C5864" w:rsidRPr="00E50D6C">
              <w:rPr>
                <w:sz w:val="18"/>
                <w:szCs w:val="19"/>
                <w:lang w:val="en-GB"/>
              </w:rPr>
              <w:t xml:space="preserve"> ± </w:t>
            </w:r>
            <w:r w:rsidR="00563CFC" w:rsidRPr="00E50D6C">
              <w:rPr>
                <w:sz w:val="18"/>
                <w:szCs w:val="19"/>
                <w:lang w:val="en-GB"/>
              </w:rPr>
              <w:t>0.8</w:t>
            </w:r>
          </w:p>
        </w:tc>
        <w:tc>
          <w:tcPr>
            <w:tcW w:w="433" w:type="pct"/>
            <w:tcBorders>
              <w:top w:val="single" w:sz="4" w:space="0" w:color="FFFFFF" w:themeColor="background1"/>
              <w:bottom w:val="single" w:sz="4" w:space="0" w:color="FFFFFF" w:themeColor="background1"/>
            </w:tcBorders>
            <w:shd w:val="clear" w:color="auto" w:fill="auto"/>
            <w:vAlign w:val="center"/>
          </w:tcPr>
          <w:p w14:paraId="765803CE" w14:textId="77777777" w:rsidR="00563CFC" w:rsidRPr="006076FC" w:rsidRDefault="00563CFC" w:rsidP="008B2AB1">
            <w:pPr>
              <w:pStyle w:val="MDPI42tablebody"/>
              <w:autoSpaceDE w:val="0"/>
              <w:autoSpaceDN w:val="0"/>
              <w:spacing w:line="240" w:lineRule="auto"/>
              <w:rPr>
                <w:i/>
                <w:sz w:val="18"/>
                <w:szCs w:val="19"/>
                <w:lang w:val="en-GB"/>
              </w:rPr>
            </w:pPr>
            <w:r w:rsidRPr="00E50D6C">
              <w:rPr>
                <w:i/>
                <w:sz w:val="18"/>
                <w:szCs w:val="19"/>
                <w:lang w:val="en-GB"/>
              </w:rPr>
              <w:t>0.59</w:t>
            </w:r>
          </w:p>
        </w:tc>
      </w:tr>
      <w:tr w:rsidR="004B2F71" w:rsidRPr="006076FC" w14:paraId="4214FCFB"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1DCEA1CD" w14:textId="061B3C28"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30</w:t>
            </w:r>
            <w:r w:rsidR="004B2F71" w:rsidRPr="006076FC">
              <w:rPr>
                <w:sz w:val="18"/>
                <w:szCs w:val="19"/>
                <w:lang w:val="en-GB"/>
              </w:rPr>
              <w:t>–</w:t>
            </w:r>
            <w:r w:rsidRPr="006076FC">
              <w:rPr>
                <w:sz w:val="18"/>
                <w:szCs w:val="19"/>
                <w:lang w:val="en-GB"/>
              </w:rPr>
              <w:t>60</w:t>
            </w:r>
            <w:r w:rsidR="004B2F71" w:rsidRPr="006076FC">
              <w:rPr>
                <w:sz w:val="18"/>
                <w:szCs w:val="19"/>
                <w:lang w:val="en-GB"/>
              </w:rPr>
              <w:t xml:space="preserve"> min </w:t>
            </w:r>
          </w:p>
          <w:p w14:paraId="1B21F65D" w14:textId="46A83708"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00F50CCE" w14:textId="0CDD81E6"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1.8</w:t>
            </w:r>
            <w:r w:rsidR="001C5864" w:rsidRPr="006076FC">
              <w:rPr>
                <w:sz w:val="18"/>
                <w:szCs w:val="19"/>
                <w:lang w:val="en-GB"/>
              </w:rPr>
              <w:t xml:space="preserve"> ± </w:t>
            </w:r>
            <w:r w:rsidRPr="006076FC">
              <w:rPr>
                <w:sz w:val="18"/>
                <w:szCs w:val="19"/>
                <w:lang w:val="en-GB"/>
              </w:rPr>
              <w:t>0.8</w:t>
            </w:r>
          </w:p>
        </w:tc>
        <w:tc>
          <w:tcPr>
            <w:tcW w:w="440" w:type="pct"/>
            <w:tcBorders>
              <w:top w:val="single" w:sz="4" w:space="0" w:color="FFFFFF" w:themeColor="background1"/>
              <w:bottom w:val="single" w:sz="4" w:space="0" w:color="FFFFFF" w:themeColor="background1"/>
            </w:tcBorders>
            <w:shd w:val="clear" w:color="auto" w:fill="auto"/>
            <w:vAlign w:val="center"/>
          </w:tcPr>
          <w:p w14:paraId="53F8E518" w14:textId="5E99F6FB"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1.9</w:t>
            </w:r>
            <w:r w:rsidR="001C5864" w:rsidRPr="006076FC">
              <w:rPr>
                <w:sz w:val="18"/>
                <w:szCs w:val="19"/>
                <w:lang w:val="en-GB"/>
              </w:rPr>
              <w:t xml:space="preserve"> ± </w:t>
            </w:r>
            <w:r w:rsidRPr="006076FC">
              <w:rPr>
                <w:sz w:val="18"/>
                <w:szCs w:val="19"/>
                <w:lang w:val="en-GB"/>
              </w:rPr>
              <w:t>0.8</w:t>
            </w:r>
          </w:p>
        </w:tc>
        <w:tc>
          <w:tcPr>
            <w:tcW w:w="549" w:type="pct"/>
            <w:tcBorders>
              <w:top w:val="single" w:sz="4" w:space="0" w:color="FFFFFF" w:themeColor="background1"/>
              <w:bottom w:val="single" w:sz="4" w:space="0" w:color="FFFFFF" w:themeColor="background1"/>
            </w:tcBorders>
            <w:shd w:val="clear" w:color="auto" w:fill="auto"/>
            <w:vAlign w:val="center"/>
          </w:tcPr>
          <w:p w14:paraId="0E79B4A5" w14:textId="75D4F59E"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1.0</w:t>
            </w:r>
          </w:p>
        </w:tc>
        <w:tc>
          <w:tcPr>
            <w:tcW w:w="493" w:type="pct"/>
            <w:tcBorders>
              <w:top w:val="single" w:sz="4" w:space="0" w:color="FFFFFF" w:themeColor="background1"/>
              <w:bottom w:val="single" w:sz="4" w:space="0" w:color="FFFFFF" w:themeColor="background1"/>
            </w:tcBorders>
            <w:shd w:val="clear" w:color="auto" w:fill="auto"/>
            <w:vAlign w:val="center"/>
          </w:tcPr>
          <w:p w14:paraId="6E13E499" w14:textId="6D37E9EF"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1.6</w:t>
            </w:r>
            <w:r w:rsidR="001C5864" w:rsidRPr="006076FC">
              <w:rPr>
                <w:sz w:val="18"/>
                <w:szCs w:val="19"/>
                <w:lang w:val="en-GB"/>
              </w:rPr>
              <w:t xml:space="preserve"> ± </w:t>
            </w:r>
            <w:r w:rsidRPr="006076FC">
              <w:rPr>
                <w:sz w:val="18"/>
                <w:szCs w:val="19"/>
                <w:lang w:val="en-GB"/>
              </w:rPr>
              <w:t>0.8</w:t>
            </w:r>
          </w:p>
        </w:tc>
        <w:tc>
          <w:tcPr>
            <w:tcW w:w="495" w:type="pct"/>
            <w:tcBorders>
              <w:top w:val="single" w:sz="4" w:space="0" w:color="FFFFFF" w:themeColor="background1"/>
              <w:bottom w:val="single" w:sz="4" w:space="0" w:color="FFFFFF" w:themeColor="background1"/>
            </w:tcBorders>
            <w:shd w:val="clear" w:color="auto" w:fill="auto"/>
            <w:vAlign w:val="center"/>
          </w:tcPr>
          <w:p w14:paraId="0C35A670" w14:textId="1802F027"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1.9</w:t>
            </w:r>
            <w:r w:rsidR="001C5864" w:rsidRPr="006076FC">
              <w:rPr>
                <w:sz w:val="18"/>
                <w:szCs w:val="19"/>
                <w:lang w:val="en-GB"/>
              </w:rPr>
              <w:t xml:space="preserve"> ± </w:t>
            </w:r>
            <w:r w:rsidRPr="006076FC">
              <w:rPr>
                <w:sz w:val="18"/>
                <w:szCs w:val="19"/>
                <w:lang w:val="en-GB"/>
              </w:rPr>
              <w:t>0.9</w:t>
            </w:r>
          </w:p>
        </w:tc>
        <w:tc>
          <w:tcPr>
            <w:tcW w:w="551" w:type="pct"/>
            <w:tcBorders>
              <w:top w:val="single" w:sz="4" w:space="0" w:color="FFFFFF" w:themeColor="background1"/>
              <w:bottom w:val="single" w:sz="4" w:space="0" w:color="FFFFFF" w:themeColor="background1"/>
            </w:tcBorders>
            <w:shd w:val="clear" w:color="auto" w:fill="auto"/>
            <w:vAlign w:val="center"/>
          </w:tcPr>
          <w:p w14:paraId="013EDD0D" w14:textId="4B88E67F"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0.3</w:t>
            </w:r>
            <w:r w:rsidR="001C5864" w:rsidRPr="006076FC">
              <w:rPr>
                <w:sz w:val="18"/>
                <w:szCs w:val="19"/>
                <w:lang w:val="en-GB"/>
              </w:rPr>
              <w:t xml:space="preserve"> ± </w:t>
            </w:r>
            <w:r w:rsidRPr="006076FC">
              <w:rPr>
                <w:sz w:val="18"/>
                <w:szCs w:val="19"/>
                <w:lang w:val="en-GB"/>
              </w:rPr>
              <w:t>1.2</w:t>
            </w:r>
          </w:p>
        </w:tc>
        <w:tc>
          <w:tcPr>
            <w:tcW w:w="611" w:type="pct"/>
            <w:tcBorders>
              <w:top w:val="single" w:sz="4" w:space="0" w:color="FFFFFF" w:themeColor="background1"/>
              <w:bottom w:val="single" w:sz="4" w:space="0" w:color="FFFFFF" w:themeColor="background1"/>
            </w:tcBorders>
            <w:shd w:val="clear" w:color="auto" w:fill="auto"/>
            <w:vAlign w:val="center"/>
          </w:tcPr>
          <w:p w14:paraId="63B2DE56" w14:textId="29BA0F8A"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1.6</w:t>
            </w:r>
          </w:p>
        </w:tc>
        <w:tc>
          <w:tcPr>
            <w:tcW w:w="433" w:type="pct"/>
            <w:tcBorders>
              <w:top w:val="single" w:sz="4" w:space="0" w:color="FFFFFF" w:themeColor="background1"/>
              <w:bottom w:val="single" w:sz="4" w:space="0" w:color="FFFFFF" w:themeColor="background1"/>
            </w:tcBorders>
            <w:shd w:val="clear" w:color="auto" w:fill="auto"/>
            <w:vAlign w:val="center"/>
          </w:tcPr>
          <w:p w14:paraId="6008864C"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0.19</w:t>
            </w:r>
          </w:p>
        </w:tc>
      </w:tr>
      <w:tr w:rsidR="004B2F71" w:rsidRPr="006076FC" w14:paraId="793B0B58" w14:textId="77777777" w:rsidTr="00895255">
        <w:trPr>
          <w:jc w:val="center"/>
        </w:trPr>
        <w:tc>
          <w:tcPr>
            <w:tcW w:w="989" w:type="pct"/>
            <w:tcBorders>
              <w:top w:val="single" w:sz="4" w:space="0" w:color="FFFFFF" w:themeColor="background1"/>
              <w:bottom w:val="single" w:sz="4" w:space="0" w:color="auto"/>
            </w:tcBorders>
            <w:shd w:val="clear" w:color="auto" w:fill="auto"/>
            <w:vAlign w:val="center"/>
          </w:tcPr>
          <w:p w14:paraId="3A3A0E30" w14:textId="62E35989"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60+</w:t>
            </w:r>
            <w:r w:rsidR="004B2F71" w:rsidRPr="006076FC">
              <w:rPr>
                <w:sz w:val="18"/>
                <w:szCs w:val="19"/>
                <w:lang w:val="en-GB"/>
              </w:rPr>
              <w:t xml:space="preserve"> min </w:t>
            </w:r>
          </w:p>
          <w:p w14:paraId="603F1B95" w14:textId="3E53F996"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auto"/>
            </w:tcBorders>
            <w:shd w:val="clear" w:color="auto" w:fill="auto"/>
            <w:vAlign w:val="center"/>
          </w:tcPr>
          <w:p w14:paraId="7011FC4A" w14:textId="3F7F2C0E"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1.1</w:t>
            </w:r>
            <w:r w:rsidR="001C5864" w:rsidRPr="006076FC">
              <w:rPr>
                <w:sz w:val="18"/>
                <w:szCs w:val="19"/>
                <w:lang w:val="en-GB"/>
              </w:rPr>
              <w:t xml:space="preserve"> ± </w:t>
            </w:r>
            <w:r w:rsidRPr="006076FC">
              <w:rPr>
                <w:sz w:val="18"/>
                <w:szCs w:val="19"/>
                <w:lang w:val="en-GB"/>
              </w:rPr>
              <w:t>1.3</w:t>
            </w:r>
          </w:p>
        </w:tc>
        <w:tc>
          <w:tcPr>
            <w:tcW w:w="440" w:type="pct"/>
            <w:tcBorders>
              <w:top w:val="single" w:sz="4" w:space="0" w:color="FFFFFF" w:themeColor="background1"/>
              <w:bottom w:val="single" w:sz="4" w:space="0" w:color="auto"/>
            </w:tcBorders>
            <w:shd w:val="clear" w:color="auto" w:fill="auto"/>
            <w:vAlign w:val="center"/>
          </w:tcPr>
          <w:p w14:paraId="7D08A8ED" w14:textId="3913B4F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1.2</w:t>
            </w:r>
            <w:r w:rsidR="001C5864" w:rsidRPr="006076FC">
              <w:rPr>
                <w:sz w:val="18"/>
                <w:szCs w:val="19"/>
                <w:lang w:val="en-GB"/>
              </w:rPr>
              <w:t xml:space="preserve"> ± </w:t>
            </w:r>
            <w:r w:rsidRPr="006076FC">
              <w:rPr>
                <w:sz w:val="18"/>
                <w:szCs w:val="19"/>
                <w:lang w:val="en-GB"/>
              </w:rPr>
              <w:t>1.0</w:t>
            </w:r>
          </w:p>
        </w:tc>
        <w:tc>
          <w:tcPr>
            <w:tcW w:w="549" w:type="pct"/>
            <w:tcBorders>
              <w:top w:val="single" w:sz="4" w:space="0" w:color="FFFFFF" w:themeColor="background1"/>
              <w:bottom w:val="single" w:sz="4" w:space="0" w:color="auto"/>
            </w:tcBorders>
            <w:shd w:val="clear" w:color="auto" w:fill="auto"/>
            <w:vAlign w:val="center"/>
          </w:tcPr>
          <w:p w14:paraId="50458AA7" w14:textId="77F4CFD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1.1</w:t>
            </w:r>
          </w:p>
        </w:tc>
        <w:tc>
          <w:tcPr>
            <w:tcW w:w="493" w:type="pct"/>
            <w:tcBorders>
              <w:top w:val="single" w:sz="4" w:space="0" w:color="FFFFFF" w:themeColor="background1"/>
              <w:bottom w:val="single" w:sz="4" w:space="0" w:color="auto"/>
            </w:tcBorders>
            <w:shd w:val="clear" w:color="auto" w:fill="auto"/>
            <w:vAlign w:val="center"/>
          </w:tcPr>
          <w:p w14:paraId="16E4FA91" w14:textId="7D7DA40E"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1.3</w:t>
            </w:r>
            <w:r w:rsidR="001C5864" w:rsidRPr="006076FC">
              <w:rPr>
                <w:sz w:val="18"/>
                <w:szCs w:val="19"/>
                <w:lang w:val="en-GB"/>
              </w:rPr>
              <w:t xml:space="preserve"> ± </w:t>
            </w:r>
            <w:r w:rsidRPr="006076FC">
              <w:rPr>
                <w:sz w:val="18"/>
                <w:szCs w:val="19"/>
                <w:lang w:val="en-GB"/>
              </w:rPr>
              <w:t>1.3</w:t>
            </w:r>
          </w:p>
        </w:tc>
        <w:tc>
          <w:tcPr>
            <w:tcW w:w="495" w:type="pct"/>
            <w:tcBorders>
              <w:top w:val="single" w:sz="4" w:space="0" w:color="FFFFFF" w:themeColor="background1"/>
              <w:bottom w:val="single" w:sz="4" w:space="0" w:color="auto"/>
            </w:tcBorders>
            <w:shd w:val="clear" w:color="auto" w:fill="auto"/>
            <w:vAlign w:val="center"/>
          </w:tcPr>
          <w:p w14:paraId="696D549B" w14:textId="5162F475"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1.0</w:t>
            </w:r>
            <w:r w:rsidR="001C5864" w:rsidRPr="006076FC">
              <w:rPr>
                <w:sz w:val="18"/>
                <w:szCs w:val="19"/>
                <w:lang w:val="en-GB"/>
              </w:rPr>
              <w:t xml:space="preserve"> ± </w:t>
            </w:r>
            <w:r w:rsidRPr="006076FC">
              <w:rPr>
                <w:sz w:val="18"/>
                <w:szCs w:val="19"/>
                <w:lang w:val="en-GB"/>
              </w:rPr>
              <w:t>0.8</w:t>
            </w:r>
          </w:p>
        </w:tc>
        <w:tc>
          <w:tcPr>
            <w:tcW w:w="551" w:type="pct"/>
            <w:tcBorders>
              <w:top w:val="single" w:sz="4" w:space="0" w:color="FFFFFF" w:themeColor="background1"/>
              <w:bottom w:val="single" w:sz="4" w:space="0" w:color="auto"/>
            </w:tcBorders>
            <w:shd w:val="clear" w:color="auto" w:fill="auto"/>
            <w:vAlign w:val="center"/>
          </w:tcPr>
          <w:p w14:paraId="2253A689" w14:textId="41D0E7A0" w:rsidR="00563CFC" w:rsidRPr="006076FC" w:rsidRDefault="004B2F71" w:rsidP="008B2AB1">
            <w:pPr>
              <w:pStyle w:val="MDPI42tablebody"/>
              <w:autoSpaceDE w:val="0"/>
              <w:autoSpaceDN w:val="0"/>
              <w:spacing w:line="240" w:lineRule="auto"/>
              <w:rPr>
                <w:i/>
                <w:sz w:val="18"/>
                <w:szCs w:val="19"/>
                <w:lang w:val="en-GB"/>
              </w:rPr>
            </w:pPr>
            <w:r w:rsidRPr="006076FC">
              <w:rPr>
                <w:sz w:val="18"/>
                <w:szCs w:val="19"/>
                <w:lang w:val="en-GB"/>
              </w:rPr>
              <w:t>−</w:t>
            </w:r>
            <w:r w:rsidR="00563CFC" w:rsidRPr="006076FC">
              <w:rPr>
                <w:sz w:val="18"/>
                <w:szCs w:val="19"/>
                <w:lang w:val="en-GB"/>
              </w:rPr>
              <w:t>0.3</w:t>
            </w:r>
            <w:r w:rsidR="001C5864" w:rsidRPr="006076FC">
              <w:rPr>
                <w:sz w:val="18"/>
                <w:szCs w:val="19"/>
                <w:lang w:val="en-GB"/>
              </w:rPr>
              <w:t xml:space="preserve"> ± </w:t>
            </w:r>
            <w:r w:rsidR="00563CFC" w:rsidRPr="006076FC">
              <w:rPr>
                <w:sz w:val="18"/>
                <w:szCs w:val="19"/>
                <w:lang w:val="en-GB"/>
              </w:rPr>
              <w:t>1.2</w:t>
            </w:r>
          </w:p>
        </w:tc>
        <w:tc>
          <w:tcPr>
            <w:tcW w:w="611" w:type="pct"/>
            <w:tcBorders>
              <w:top w:val="single" w:sz="4" w:space="0" w:color="FFFFFF" w:themeColor="background1"/>
              <w:bottom w:val="single" w:sz="4" w:space="0" w:color="auto"/>
            </w:tcBorders>
            <w:shd w:val="clear" w:color="auto" w:fill="auto"/>
            <w:vAlign w:val="center"/>
          </w:tcPr>
          <w:p w14:paraId="7E28A2A4" w14:textId="748E3A09" w:rsidR="00563CFC" w:rsidRPr="006076FC" w:rsidRDefault="004B2F71" w:rsidP="008B2AB1">
            <w:pPr>
              <w:pStyle w:val="MDPI42tablebody"/>
              <w:autoSpaceDE w:val="0"/>
              <w:autoSpaceDN w:val="0"/>
              <w:spacing w:line="240" w:lineRule="auto"/>
              <w:rPr>
                <w:iCs/>
                <w:sz w:val="18"/>
                <w:szCs w:val="19"/>
                <w:lang w:val="en-GB"/>
              </w:rPr>
            </w:pPr>
            <w:r w:rsidRPr="006076FC">
              <w:rPr>
                <w:sz w:val="18"/>
                <w:szCs w:val="19"/>
                <w:lang w:val="en-GB"/>
              </w:rPr>
              <w:t>−</w:t>
            </w:r>
            <w:r w:rsidR="00563CFC" w:rsidRPr="006076FC">
              <w:rPr>
                <w:sz w:val="18"/>
                <w:szCs w:val="19"/>
                <w:lang w:val="en-GB"/>
              </w:rPr>
              <w:t>0.4</w:t>
            </w:r>
            <w:r w:rsidR="001C5864" w:rsidRPr="006076FC">
              <w:rPr>
                <w:sz w:val="18"/>
                <w:szCs w:val="19"/>
                <w:lang w:val="en-GB"/>
              </w:rPr>
              <w:t xml:space="preserve"> ± </w:t>
            </w:r>
            <w:r w:rsidR="00563CFC" w:rsidRPr="006076FC">
              <w:rPr>
                <w:sz w:val="18"/>
                <w:szCs w:val="19"/>
                <w:lang w:val="en-GB"/>
              </w:rPr>
              <w:t>1.5</w:t>
            </w:r>
          </w:p>
        </w:tc>
        <w:tc>
          <w:tcPr>
            <w:tcW w:w="433" w:type="pct"/>
            <w:tcBorders>
              <w:top w:val="single" w:sz="4" w:space="0" w:color="FFFFFF" w:themeColor="background1"/>
              <w:bottom w:val="single" w:sz="4" w:space="0" w:color="auto"/>
            </w:tcBorders>
            <w:shd w:val="clear" w:color="auto" w:fill="auto"/>
            <w:vAlign w:val="center"/>
          </w:tcPr>
          <w:p w14:paraId="77F47BB7"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0.18</w:t>
            </w:r>
          </w:p>
        </w:tc>
      </w:tr>
      <w:tr w:rsidR="004B2F71" w:rsidRPr="006076FC" w14:paraId="148FA98D" w14:textId="77777777" w:rsidTr="00A14829">
        <w:trPr>
          <w:jc w:val="center"/>
        </w:trPr>
        <w:tc>
          <w:tcPr>
            <w:tcW w:w="989" w:type="pct"/>
            <w:tcBorders>
              <w:top w:val="single" w:sz="4" w:space="0" w:color="auto"/>
              <w:bottom w:val="single" w:sz="8" w:space="0" w:color="auto"/>
            </w:tcBorders>
            <w:shd w:val="clear" w:color="auto" w:fill="auto"/>
            <w:vAlign w:val="center"/>
          </w:tcPr>
          <w:p w14:paraId="692F3683" w14:textId="77777777" w:rsidR="00563CFC" w:rsidRPr="006076FC" w:rsidRDefault="00563CFC" w:rsidP="008B2AB1">
            <w:pPr>
              <w:pStyle w:val="MDPI42tablebody"/>
              <w:autoSpaceDE w:val="0"/>
              <w:autoSpaceDN w:val="0"/>
              <w:spacing w:line="240" w:lineRule="auto"/>
              <w:rPr>
                <w:sz w:val="18"/>
                <w:szCs w:val="18"/>
                <w:lang w:val="en-GB"/>
              </w:rPr>
            </w:pPr>
            <w:r w:rsidRPr="006076FC">
              <w:rPr>
                <w:sz w:val="18"/>
                <w:szCs w:val="18"/>
                <w:lang w:val="en-GB"/>
              </w:rPr>
              <w:t>Standing Bouts</w:t>
            </w:r>
          </w:p>
        </w:tc>
        <w:tc>
          <w:tcPr>
            <w:tcW w:w="438" w:type="pct"/>
            <w:tcBorders>
              <w:top w:val="single" w:sz="4" w:space="0" w:color="auto"/>
              <w:bottom w:val="single" w:sz="8" w:space="0" w:color="auto"/>
            </w:tcBorders>
            <w:shd w:val="clear" w:color="auto" w:fill="auto"/>
            <w:vAlign w:val="center"/>
          </w:tcPr>
          <w:p w14:paraId="534B300E" w14:textId="77777777" w:rsidR="00563CFC" w:rsidRPr="006076FC" w:rsidRDefault="00563CFC" w:rsidP="008B2AB1">
            <w:pPr>
              <w:pStyle w:val="MDPI42tablebody"/>
              <w:autoSpaceDE w:val="0"/>
              <w:autoSpaceDN w:val="0"/>
              <w:spacing w:line="240" w:lineRule="auto"/>
              <w:rPr>
                <w:sz w:val="18"/>
                <w:szCs w:val="18"/>
                <w:lang w:val="en-GB"/>
              </w:rPr>
            </w:pPr>
          </w:p>
        </w:tc>
        <w:tc>
          <w:tcPr>
            <w:tcW w:w="440" w:type="pct"/>
            <w:tcBorders>
              <w:top w:val="single" w:sz="4" w:space="0" w:color="auto"/>
              <w:bottom w:val="single" w:sz="8" w:space="0" w:color="auto"/>
            </w:tcBorders>
            <w:shd w:val="clear" w:color="auto" w:fill="auto"/>
            <w:vAlign w:val="center"/>
          </w:tcPr>
          <w:p w14:paraId="067F7B95" w14:textId="77777777" w:rsidR="00563CFC" w:rsidRPr="006076FC" w:rsidRDefault="00563CFC" w:rsidP="008B2AB1">
            <w:pPr>
              <w:pStyle w:val="MDPI42tablebody"/>
              <w:autoSpaceDE w:val="0"/>
              <w:autoSpaceDN w:val="0"/>
              <w:spacing w:line="240" w:lineRule="auto"/>
              <w:rPr>
                <w:sz w:val="18"/>
                <w:szCs w:val="18"/>
                <w:lang w:val="en-GB"/>
              </w:rPr>
            </w:pPr>
          </w:p>
        </w:tc>
        <w:tc>
          <w:tcPr>
            <w:tcW w:w="549" w:type="pct"/>
            <w:tcBorders>
              <w:top w:val="single" w:sz="4" w:space="0" w:color="auto"/>
              <w:bottom w:val="single" w:sz="8" w:space="0" w:color="auto"/>
            </w:tcBorders>
            <w:shd w:val="clear" w:color="auto" w:fill="auto"/>
            <w:vAlign w:val="center"/>
          </w:tcPr>
          <w:p w14:paraId="63B4A538" w14:textId="77777777" w:rsidR="00563CFC" w:rsidRPr="006076FC" w:rsidRDefault="00563CFC" w:rsidP="008B2AB1">
            <w:pPr>
              <w:pStyle w:val="MDPI42tablebody"/>
              <w:autoSpaceDE w:val="0"/>
              <w:autoSpaceDN w:val="0"/>
              <w:spacing w:line="240" w:lineRule="auto"/>
              <w:rPr>
                <w:sz w:val="18"/>
                <w:szCs w:val="18"/>
                <w:lang w:val="en-GB"/>
              </w:rPr>
            </w:pPr>
          </w:p>
        </w:tc>
        <w:tc>
          <w:tcPr>
            <w:tcW w:w="493" w:type="pct"/>
            <w:tcBorders>
              <w:top w:val="single" w:sz="4" w:space="0" w:color="auto"/>
              <w:bottom w:val="single" w:sz="8" w:space="0" w:color="auto"/>
            </w:tcBorders>
            <w:shd w:val="clear" w:color="auto" w:fill="auto"/>
            <w:vAlign w:val="center"/>
          </w:tcPr>
          <w:p w14:paraId="243347FC" w14:textId="77777777" w:rsidR="00563CFC" w:rsidRPr="006076FC" w:rsidRDefault="00563CFC" w:rsidP="008B2AB1">
            <w:pPr>
              <w:pStyle w:val="MDPI42tablebody"/>
              <w:autoSpaceDE w:val="0"/>
              <w:autoSpaceDN w:val="0"/>
              <w:spacing w:line="240" w:lineRule="auto"/>
              <w:rPr>
                <w:sz w:val="18"/>
                <w:szCs w:val="18"/>
                <w:highlight w:val="yellow"/>
                <w:lang w:val="en-GB"/>
              </w:rPr>
            </w:pPr>
          </w:p>
        </w:tc>
        <w:tc>
          <w:tcPr>
            <w:tcW w:w="495" w:type="pct"/>
            <w:tcBorders>
              <w:top w:val="single" w:sz="4" w:space="0" w:color="auto"/>
              <w:bottom w:val="single" w:sz="8" w:space="0" w:color="auto"/>
            </w:tcBorders>
            <w:shd w:val="clear" w:color="auto" w:fill="auto"/>
            <w:vAlign w:val="center"/>
          </w:tcPr>
          <w:p w14:paraId="5E5D64F0" w14:textId="77777777" w:rsidR="00563CFC" w:rsidRPr="006076FC" w:rsidRDefault="00563CFC" w:rsidP="008B2AB1">
            <w:pPr>
              <w:pStyle w:val="MDPI42tablebody"/>
              <w:autoSpaceDE w:val="0"/>
              <w:autoSpaceDN w:val="0"/>
              <w:spacing w:line="240" w:lineRule="auto"/>
              <w:rPr>
                <w:sz w:val="18"/>
                <w:szCs w:val="18"/>
                <w:highlight w:val="yellow"/>
                <w:lang w:val="en-GB"/>
              </w:rPr>
            </w:pPr>
          </w:p>
        </w:tc>
        <w:tc>
          <w:tcPr>
            <w:tcW w:w="551" w:type="pct"/>
            <w:tcBorders>
              <w:top w:val="single" w:sz="4" w:space="0" w:color="auto"/>
              <w:bottom w:val="single" w:sz="8" w:space="0" w:color="auto"/>
            </w:tcBorders>
            <w:shd w:val="clear" w:color="auto" w:fill="auto"/>
            <w:vAlign w:val="center"/>
          </w:tcPr>
          <w:p w14:paraId="3FF63596" w14:textId="77777777" w:rsidR="00563CFC" w:rsidRPr="006076FC" w:rsidRDefault="00563CFC" w:rsidP="008B2AB1">
            <w:pPr>
              <w:pStyle w:val="MDPI42tablebody"/>
              <w:autoSpaceDE w:val="0"/>
              <w:autoSpaceDN w:val="0"/>
              <w:spacing w:line="240" w:lineRule="auto"/>
              <w:rPr>
                <w:i/>
                <w:sz w:val="18"/>
                <w:szCs w:val="18"/>
                <w:highlight w:val="yellow"/>
                <w:lang w:val="en-GB"/>
              </w:rPr>
            </w:pPr>
          </w:p>
        </w:tc>
        <w:tc>
          <w:tcPr>
            <w:tcW w:w="611" w:type="pct"/>
            <w:tcBorders>
              <w:top w:val="single" w:sz="4" w:space="0" w:color="auto"/>
              <w:bottom w:val="single" w:sz="8" w:space="0" w:color="auto"/>
            </w:tcBorders>
            <w:shd w:val="clear" w:color="auto" w:fill="auto"/>
            <w:vAlign w:val="center"/>
          </w:tcPr>
          <w:p w14:paraId="637292A2" w14:textId="77777777" w:rsidR="00563CFC" w:rsidRPr="006076FC" w:rsidRDefault="00563CFC" w:rsidP="008B2AB1">
            <w:pPr>
              <w:pStyle w:val="MDPI42tablebody"/>
              <w:autoSpaceDE w:val="0"/>
              <w:autoSpaceDN w:val="0"/>
              <w:spacing w:line="240" w:lineRule="auto"/>
              <w:rPr>
                <w:iCs/>
                <w:sz w:val="18"/>
                <w:szCs w:val="18"/>
                <w:lang w:val="en-GB"/>
              </w:rPr>
            </w:pPr>
          </w:p>
        </w:tc>
        <w:tc>
          <w:tcPr>
            <w:tcW w:w="433" w:type="pct"/>
            <w:tcBorders>
              <w:top w:val="single" w:sz="4" w:space="0" w:color="auto"/>
              <w:bottom w:val="single" w:sz="8" w:space="0" w:color="auto"/>
            </w:tcBorders>
            <w:shd w:val="clear" w:color="auto" w:fill="auto"/>
            <w:vAlign w:val="center"/>
          </w:tcPr>
          <w:p w14:paraId="3D703435" w14:textId="77777777" w:rsidR="00563CFC" w:rsidRPr="006076FC" w:rsidRDefault="00563CFC" w:rsidP="008B2AB1">
            <w:pPr>
              <w:pStyle w:val="MDPI42tablebody"/>
              <w:autoSpaceDE w:val="0"/>
              <w:autoSpaceDN w:val="0"/>
              <w:spacing w:line="240" w:lineRule="auto"/>
              <w:rPr>
                <w:i/>
                <w:sz w:val="18"/>
                <w:szCs w:val="18"/>
                <w:lang w:val="en-GB"/>
              </w:rPr>
            </w:pPr>
          </w:p>
        </w:tc>
      </w:tr>
      <w:tr w:rsidR="004B2F71" w:rsidRPr="006076FC" w14:paraId="47354EF7" w14:textId="77777777" w:rsidTr="00166DFA">
        <w:trPr>
          <w:trHeight w:val="312"/>
          <w:jc w:val="center"/>
        </w:trPr>
        <w:tc>
          <w:tcPr>
            <w:tcW w:w="989" w:type="pct"/>
            <w:tcBorders>
              <w:top w:val="single" w:sz="8" w:space="0" w:color="auto"/>
              <w:left w:val="single" w:sz="4" w:space="0" w:color="FFFFFF" w:themeColor="background1"/>
              <w:bottom w:val="single" w:sz="4" w:space="0" w:color="FFFFFF" w:themeColor="background1"/>
            </w:tcBorders>
            <w:shd w:val="clear" w:color="auto" w:fill="auto"/>
            <w:vAlign w:val="center"/>
          </w:tcPr>
          <w:p w14:paraId="666846F5" w14:textId="369AB481"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w:t>
            </w:r>
            <w:r w:rsidR="004B2F71" w:rsidRPr="006076FC">
              <w:rPr>
                <w:sz w:val="18"/>
                <w:szCs w:val="19"/>
                <w:lang w:val="en-GB"/>
              </w:rPr>
              <w:t>–</w:t>
            </w:r>
            <w:r w:rsidRPr="006076FC">
              <w:rPr>
                <w:sz w:val="18"/>
                <w:szCs w:val="19"/>
                <w:lang w:val="en-GB"/>
              </w:rPr>
              <w:t>30</w:t>
            </w:r>
            <w:r w:rsidR="004B2F71" w:rsidRPr="006076FC">
              <w:rPr>
                <w:sz w:val="18"/>
                <w:szCs w:val="19"/>
                <w:lang w:val="en-GB"/>
              </w:rPr>
              <w:t xml:space="preserve"> min </w:t>
            </w:r>
            <w:r w:rsidRPr="006076FC">
              <w:rPr>
                <w:sz w:val="18"/>
                <w:szCs w:val="19"/>
                <w:lang w:val="en-GB"/>
              </w:rPr>
              <w:t>(n/8</w:t>
            </w:r>
            <w:r w:rsidR="00963C03">
              <w:rPr>
                <w:sz w:val="18"/>
                <w:szCs w:val="19"/>
                <w:lang w:val="en-GB"/>
              </w:rPr>
              <w:t xml:space="preserve"> h </w:t>
            </w:r>
            <w:r w:rsidRPr="006076FC">
              <w:rPr>
                <w:sz w:val="18"/>
                <w:szCs w:val="19"/>
                <w:lang w:val="en-GB"/>
              </w:rPr>
              <w:t>workday)</w:t>
            </w:r>
          </w:p>
        </w:tc>
        <w:tc>
          <w:tcPr>
            <w:tcW w:w="438" w:type="pct"/>
            <w:tcBorders>
              <w:top w:val="single" w:sz="8" w:space="0" w:color="auto"/>
              <w:bottom w:val="single" w:sz="4" w:space="0" w:color="FFFFFF" w:themeColor="background1"/>
            </w:tcBorders>
            <w:shd w:val="clear" w:color="auto" w:fill="auto"/>
            <w:vAlign w:val="center"/>
          </w:tcPr>
          <w:p w14:paraId="497722CF" w14:textId="1EA7C8F0"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148.3</w:t>
            </w:r>
            <w:r w:rsidR="001C5864" w:rsidRPr="006076FC">
              <w:rPr>
                <w:sz w:val="18"/>
                <w:szCs w:val="19"/>
                <w:lang w:val="en-GB"/>
              </w:rPr>
              <w:t xml:space="preserve"> ± </w:t>
            </w:r>
            <w:r w:rsidRPr="006076FC">
              <w:rPr>
                <w:sz w:val="18"/>
                <w:szCs w:val="19"/>
                <w:lang w:val="en-GB"/>
              </w:rPr>
              <w:t>54.8</w:t>
            </w:r>
          </w:p>
        </w:tc>
        <w:tc>
          <w:tcPr>
            <w:tcW w:w="440" w:type="pct"/>
            <w:tcBorders>
              <w:top w:val="single" w:sz="8" w:space="0" w:color="auto"/>
              <w:bottom w:val="single" w:sz="4" w:space="0" w:color="FFFFFF" w:themeColor="background1"/>
            </w:tcBorders>
            <w:shd w:val="clear" w:color="auto" w:fill="auto"/>
            <w:vAlign w:val="center"/>
          </w:tcPr>
          <w:p w14:paraId="7A7F3810" w14:textId="5F9EDC78"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139.9</w:t>
            </w:r>
            <w:r w:rsidR="001C5864" w:rsidRPr="006076FC">
              <w:rPr>
                <w:sz w:val="18"/>
                <w:szCs w:val="19"/>
                <w:lang w:val="en-GB"/>
              </w:rPr>
              <w:t xml:space="preserve"> ± </w:t>
            </w:r>
            <w:r w:rsidRPr="006076FC">
              <w:rPr>
                <w:sz w:val="18"/>
                <w:szCs w:val="19"/>
                <w:lang w:val="en-GB"/>
              </w:rPr>
              <w:t>58.3</w:t>
            </w:r>
          </w:p>
        </w:tc>
        <w:tc>
          <w:tcPr>
            <w:tcW w:w="549" w:type="pct"/>
            <w:tcBorders>
              <w:top w:val="single" w:sz="8" w:space="0" w:color="auto"/>
              <w:bottom w:val="single" w:sz="4" w:space="0" w:color="FFFFFF" w:themeColor="background1"/>
            </w:tcBorders>
            <w:shd w:val="clear" w:color="auto" w:fill="auto"/>
            <w:vAlign w:val="center"/>
          </w:tcPr>
          <w:p w14:paraId="7D96A7FC" w14:textId="4474FA54"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8.4</w:t>
            </w:r>
            <w:r w:rsidR="001C5864" w:rsidRPr="006076FC">
              <w:rPr>
                <w:sz w:val="18"/>
                <w:szCs w:val="19"/>
                <w:lang w:val="en-GB"/>
              </w:rPr>
              <w:t xml:space="preserve"> ± </w:t>
            </w:r>
            <w:r w:rsidR="00563CFC" w:rsidRPr="006076FC">
              <w:rPr>
                <w:sz w:val="18"/>
                <w:szCs w:val="19"/>
                <w:lang w:val="en-GB"/>
              </w:rPr>
              <w:t>31.9</w:t>
            </w:r>
          </w:p>
        </w:tc>
        <w:tc>
          <w:tcPr>
            <w:tcW w:w="493" w:type="pct"/>
            <w:tcBorders>
              <w:top w:val="single" w:sz="8" w:space="0" w:color="auto"/>
              <w:bottom w:val="single" w:sz="4" w:space="0" w:color="FFFFFF" w:themeColor="background1"/>
            </w:tcBorders>
            <w:shd w:val="clear" w:color="auto" w:fill="auto"/>
            <w:vAlign w:val="center"/>
          </w:tcPr>
          <w:p w14:paraId="17B75739" w14:textId="3E48A53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138.3</w:t>
            </w:r>
            <w:r w:rsidR="001C5864" w:rsidRPr="006076FC">
              <w:rPr>
                <w:sz w:val="18"/>
                <w:szCs w:val="19"/>
                <w:lang w:val="en-GB"/>
              </w:rPr>
              <w:t xml:space="preserve"> ± </w:t>
            </w:r>
            <w:r w:rsidRPr="006076FC">
              <w:rPr>
                <w:sz w:val="18"/>
                <w:szCs w:val="19"/>
                <w:lang w:val="en-GB"/>
              </w:rPr>
              <w:t>58.2</w:t>
            </w:r>
          </w:p>
        </w:tc>
        <w:tc>
          <w:tcPr>
            <w:tcW w:w="495" w:type="pct"/>
            <w:tcBorders>
              <w:top w:val="single" w:sz="8" w:space="0" w:color="auto"/>
              <w:bottom w:val="single" w:sz="4" w:space="0" w:color="FFFFFF" w:themeColor="background1"/>
            </w:tcBorders>
            <w:shd w:val="clear" w:color="auto" w:fill="auto"/>
            <w:vAlign w:val="center"/>
          </w:tcPr>
          <w:p w14:paraId="6F99F61A" w14:textId="22FB19B7"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152.8</w:t>
            </w:r>
            <w:r w:rsidR="001C5864" w:rsidRPr="006076FC">
              <w:rPr>
                <w:sz w:val="18"/>
                <w:szCs w:val="19"/>
                <w:lang w:val="en-GB"/>
              </w:rPr>
              <w:t xml:space="preserve"> ± </w:t>
            </w:r>
            <w:r w:rsidRPr="006076FC">
              <w:rPr>
                <w:sz w:val="18"/>
                <w:szCs w:val="19"/>
                <w:lang w:val="en-GB"/>
              </w:rPr>
              <w:t>64.2</w:t>
            </w:r>
          </w:p>
        </w:tc>
        <w:tc>
          <w:tcPr>
            <w:tcW w:w="551" w:type="pct"/>
            <w:tcBorders>
              <w:top w:val="single" w:sz="8" w:space="0" w:color="auto"/>
              <w:bottom w:val="single" w:sz="4" w:space="0" w:color="FFFFFF" w:themeColor="background1"/>
            </w:tcBorders>
            <w:shd w:val="clear" w:color="auto" w:fill="auto"/>
            <w:vAlign w:val="center"/>
          </w:tcPr>
          <w:p w14:paraId="00833FD5" w14:textId="6FC90C57"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14.5</w:t>
            </w:r>
            <w:r w:rsidR="001C5864" w:rsidRPr="006076FC">
              <w:rPr>
                <w:sz w:val="18"/>
                <w:szCs w:val="19"/>
                <w:lang w:val="en-GB"/>
              </w:rPr>
              <w:t xml:space="preserve"> ± </w:t>
            </w:r>
            <w:r w:rsidRPr="006076FC">
              <w:rPr>
                <w:sz w:val="18"/>
                <w:szCs w:val="19"/>
                <w:lang w:val="en-GB"/>
              </w:rPr>
              <w:t>24.1</w:t>
            </w:r>
          </w:p>
        </w:tc>
        <w:tc>
          <w:tcPr>
            <w:tcW w:w="611" w:type="pct"/>
            <w:tcBorders>
              <w:top w:val="single" w:sz="8" w:space="0" w:color="auto"/>
              <w:bottom w:val="single" w:sz="4" w:space="0" w:color="FFFFFF" w:themeColor="background1"/>
            </w:tcBorders>
            <w:shd w:val="clear" w:color="auto" w:fill="auto"/>
            <w:vAlign w:val="center"/>
          </w:tcPr>
          <w:p w14:paraId="46346F92" w14:textId="7870FF26"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22.9</w:t>
            </w:r>
            <w:r w:rsidR="001C5864" w:rsidRPr="006076FC">
              <w:rPr>
                <w:sz w:val="18"/>
                <w:szCs w:val="19"/>
                <w:lang w:val="en-GB"/>
              </w:rPr>
              <w:t xml:space="preserve"> ± </w:t>
            </w:r>
            <w:r w:rsidRPr="006076FC">
              <w:rPr>
                <w:sz w:val="18"/>
                <w:szCs w:val="19"/>
                <w:lang w:val="en-GB"/>
              </w:rPr>
              <w:t>50.8</w:t>
            </w:r>
          </w:p>
        </w:tc>
        <w:tc>
          <w:tcPr>
            <w:tcW w:w="433" w:type="pct"/>
            <w:tcBorders>
              <w:top w:val="single" w:sz="8" w:space="0" w:color="auto"/>
              <w:bottom w:val="single" w:sz="4" w:space="0" w:color="FFFFFF" w:themeColor="background1"/>
            </w:tcBorders>
            <w:shd w:val="clear" w:color="auto" w:fill="auto"/>
            <w:vAlign w:val="center"/>
          </w:tcPr>
          <w:p w14:paraId="64A91FC9"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0.84</w:t>
            </w:r>
          </w:p>
        </w:tc>
      </w:tr>
      <w:tr w:rsidR="004B2F71" w:rsidRPr="006076FC" w14:paraId="741054A2" w14:textId="77777777" w:rsidTr="00166DFA">
        <w:trPr>
          <w:trHeight w:val="312"/>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6323379D" w14:textId="680B7780"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30+</w:t>
            </w:r>
            <w:r w:rsidR="004B2F71" w:rsidRPr="006076FC">
              <w:rPr>
                <w:sz w:val="18"/>
                <w:szCs w:val="19"/>
                <w:lang w:val="en-GB"/>
              </w:rPr>
              <w:t xml:space="preserve"> min </w:t>
            </w:r>
            <w:r w:rsidRPr="006076FC">
              <w:rPr>
                <w:sz w:val="18"/>
                <w:szCs w:val="19"/>
                <w:lang w:val="en-GB"/>
              </w:rPr>
              <w:t>(n/8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591972BA" w14:textId="7478A878"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0.5</w:t>
            </w:r>
          </w:p>
        </w:tc>
        <w:tc>
          <w:tcPr>
            <w:tcW w:w="440" w:type="pct"/>
            <w:tcBorders>
              <w:top w:val="single" w:sz="4" w:space="0" w:color="FFFFFF" w:themeColor="background1"/>
              <w:bottom w:val="single" w:sz="4" w:space="0" w:color="FFFFFF" w:themeColor="background1"/>
            </w:tcBorders>
            <w:shd w:val="clear" w:color="auto" w:fill="auto"/>
            <w:vAlign w:val="center"/>
          </w:tcPr>
          <w:p w14:paraId="40532A9A" w14:textId="6C16AA9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549" w:type="pct"/>
            <w:tcBorders>
              <w:top w:val="single" w:sz="4" w:space="0" w:color="FFFFFF" w:themeColor="background1"/>
              <w:bottom w:val="single" w:sz="4" w:space="0" w:color="FFFFFF" w:themeColor="background1"/>
            </w:tcBorders>
            <w:shd w:val="clear" w:color="auto" w:fill="auto"/>
            <w:vAlign w:val="center"/>
          </w:tcPr>
          <w:p w14:paraId="51963866" w14:textId="6FEC6C55"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0.2</w:t>
            </w:r>
            <w:r w:rsidR="001C5864" w:rsidRPr="006076FC">
              <w:rPr>
                <w:sz w:val="18"/>
                <w:szCs w:val="19"/>
                <w:lang w:val="en-GB"/>
              </w:rPr>
              <w:t xml:space="preserve"> ± </w:t>
            </w:r>
            <w:r w:rsidR="00563CFC" w:rsidRPr="006076FC">
              <w:rPr>
                <w:sz w:val="18"/>
                <w:szCs w:val="19"/>
                <w:lang w:val="en-GB"/>
              </w:rPr>
              <w:t>0.4</w:t>
            </w:r>
          </w:p>
        </w:tc>
        <w:tc>
          <w:tcPr>
            <w:tcW w:w="493" w:type="pct"/>
            <w:tcBorders>
              <w:top w:val="single" w:sz="4" w:space="0" w:color="FFFFFF" w:themeColor="background1"/>
              <w:bottom w:val="single" w:sz="4" w:space="0" w:color="FFFFFF" w:themeColor="background1"/>
            </w:tcBorders>
            <w:shd w:val="clear" w:color="auto" w:fill="auto"/>
            <w:vAlign w:val="center"/>
          </w:tcPr>
          <w:p w14:paraId="0AFE94D3" w14:textId="0C5E2BB5"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495" w:type="pct"/>
            <w:tcBorders>
              <w:top w:val="single" w:sz="4" w:space="0" w:color="FFFFFF" w:themeColor="background1"/>
              <w:bottom w:val="single" w:sz="4" w:space="0" w:color="FFFFFF" w:themeColor="background1"/>
            </w:tcBorders>
            <w:shd w:val="clear" w:color="auto" w:fill="auto"/>
            <w:vAlign w:val="center"/>
          </w:tcPr>
          <w:p w14:paraId="63A0081D" w14:textId="33D2E47E"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0.2</w:t>
            </w:r>
          </w:p>
        </w:tc>
        <w:tc>
          <w:tcPr>
            <w:tcW w:w="551" w:type="pct"/>
            <w:tcBorders>
              <w:top w:val="single" w:sz="4" w:space="0" w:color="FFFFFF" w:themeColor="background1"/>
              <w:bottom w:val="single" w:sz="4" w:space="0" w:color="FFFFFF" w:themeColor="background1"/>
            </w:tcBorders>
            <w:shd w:val="clear" w:color="auto" w:fill="auto"/>
            <w:vAlign w:val="center"/>
          </w:tcPr>
          <w:p w14:paraId="0D6439D9" w14:textId="2978F5AB"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0.2</w:t>
            </w:r>
          </w:p>
        </w:tc>
        <w:tc>
          <w:tcPr>
            <w:tcW w:w="611" w:type="pct"/>
            <w:tcBorders>
              <w:top w:val="single" w:sz="4" w:space="0" w:color="FFFFFF" w:themeColor="background1"/>
              <w:bottom w:val="single" w:sz="4" w:space="0" w:color="FFFFFF" w:themeColor="background1"/>
            </w:tcBorders>
            <w:shd w:val="clear" w:color="auto" w:fill="auto"/>
            <w:vAlign w:val="center"/>
          </w:tcPr>
          <w:p w14:paraId="590BF03B" w14:textId="51B9920E"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0.3</w:t>
            </w:r>
            <w:r w:rsidR="001C5864" w:rsidRPr="006076FC">
              <w:rPr>
                <w:sz w:val="18"/>
                <w:szCs w:val="19"/>
                <w:lang w:val="en-GB"/>
              </w:rPr>
              <w:t xml:space="preserve"> ± </w:t>
            </w:r>
            <w:r w:rsidRPr="006076FC">
              <w:rPr>
                <w:sz w:val="18"/>
                <w:szCs w:val="19"/>
                <w:lang w:val="en-GB"/>
              </w:rPr>
              <w:t>0.6</w:t>
            </w:r>
          </w:p>
        </w:tc>
        <w:tc>
          <w:tcPr>
            <w:tcW w:w="433" w:type="pct"/>
            <w:tcBorders>
              <w:top w:val="single" w:sz="4" w:space="0" w:color="FFFFFF" w:themeColor="background1"/>
              <w:bottom w:val="single" w:sz="4" w:space="0" w:color="FFFFFF" w:themeColor="background1"/>
            </w:tcBorders>
            <w:shd w:val="clear" w:color="auto" w:fill="auto"/>
            <w:vAlign w:val="center"/>
          </w:tcPr>
          <w:p w14:paraId="3A0BDC54"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0.99</w:t>
            </w:r>
          </w:p>
        </w:tc>
      </w:tr>
      <w:tr w:rsidR="004B2F71" w:rsidRPr="006076FC" w14:paraId="7A6A552C"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318BCE0D" w14:textId="794CDF1B"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0</w:t>
            </w:r>
            <w:r w:rsidR="004B2F71" w:rsidRPr="006076FC">
              <w:rPr>
                <w:sz w:val="18"/>
                <w:szCs w:val="19"/>
                <w:lang w:val="en-GB"/>
              </w:rPr>
              <w:t>–</w:t>
            </w:r>
            <w:r w:rsidRPr="006076FC">
              <w:rPr>
                <w:sz w:val="18"/>
                <w:szCs w:val="19"/>
                <w:lang w:val="en-GB"/>
              </w:rPr>
              <w:t>30</w:t>
            </w:r>
            <w:r w:rsidR="004B2F71" w:rsidRPr="006076FC">
              <w:rPr>
                <w:sz w:val="18"/>
                <w:szCs w:val="19"/>
                <w:lang w:val="en-GB"/>
              </w:rPr>
              <w:t xml:space="preserve"> min </w:t>
            </w:r>
          </w:p>
          <w:p w14:paraId="5B6CA4A9" w14:textId="1AF46403"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lastRenderedPageBreak/>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71F5BC5C" w14:textId="3F50158F"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lastRenderedPageBreak/>
              <w:t>1.7</w:t>
            </w:r>
            <w:r w:rsidR="001C5864" w:rsidRPr="006076FC">
              <w:rPr>
                <w:sz w:val="18"/>
                <w:szCs w:val="19"/>
                <w:lang w:val="en-GB"/>
              </w:rPr>
              <w:t xml:space="preserve"> ± </w:t>
            </w:r>
            <w:r w:rsidRPr="006076FC">
              <w:rPr>
                <w:sz w:val="18"/>
                <w:szCs w:val="19"/>
                <w:lang w:val="en-GB"/>
              </w:rPr>
              <w:t>0.8</w:t>
            </w:r>
          </w:p>
        </w:tc>
        <w:tc>
          <w:tcPr>
            <w:tcW w:w="440" w:type="pct"/>
            <w:tcBorders>
              <w:top w:val="single" w:sz="4" w:space="0" w:color="FFFFFF" w:themeColor="background1"/>
              <w:bottom w:val="single" w:sz="4" w:space="0" w:color="FFFFFF" w:themeColor="background1"/>
            </w:tcBorders>
            <w:shd w:val="clear" w:color="auto" w:fill="auto"/>
            <w:vAlign w:val="center"/>
          </w:tcPr>
          <w:p w14:paraId="7B4814DF" w14:textId="0A3A6536"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1.4</w:t>
            </w:r>
            <w:r w:rsidR="001C5864" w:rsidRPr="006076FC">
              <w:rPr>
                <w:sz w:val="18"/>
                <w:szCs w:val="19"/>
                <w:lang w:val="en-GB"/>
              </w:rPr>
              <w:t xml:space="preserve"> ± </w:t>
            </w:r>
            <w:r w:rsidRPr="006076FC">
              <w:rPr>
                <w:sz w:val="18"/>
                <w:szCs w:val="19"/>
                <w:lang w:val="en-GB"/>
              </w:rPr>
              <w:t>0.6</w:t>
            </w:r>
          </w:p>
        </w:tc>
        <w:tc>
          <w:tcPr>
            <w:tcW w:w="549" w:type="pct"/>
            <w:tcBorders>
              <w:top w:val="single" w:sz="4" w:space="0" w:color="FFFFFF" w:themeColor="background1"/>
              <w:bottom w:val="single" w:sz="4" w:space="0" w:color="FFFFFF" w:themeColor="background1"/>
            </w:tcBorders>
            <w:shd w:val="clear" w:color="auto" w:fill="auto"/>
            <w:vAlign w:val="center"/>
          </w:tcPr>
          <w:p w14:paraId="1755AE2B" w14:textId="29B66F02"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0.3</w:t>
            </w:r>
            <w:r w:rsidR="001C5864" w:rsidRPr="006076FC">
              <w:rPr>
                <w:sz w:val="18"/>
                <w:szCs w:val="19"/>
                <w:lang w:val="en-GB"/>
              </w:rPr>
              <w:t xml:space="preserve"> ± </w:t>
            </w:r>
            <w:r w:rsidR="00563CFC" w:rsidRPr="006076FC">
              <w:rPr>
                <w:sz w:val="18"/>
                <w:szCs w:val="19"/>
                <w:lang w:val="en-GB"/>
              </w:rPr>
              <w:t>0.5</w:t>
            </w:r>
          </w:p>
        </w:tc>
        <w:tc>
          <w:tcPr>
            <w:tcW w:w="493" w:type="pct"/>
            <w:tcBorders>
              <w:top w:val="single" w:sz="4" w:space="0" w:color="FFFFFF" w:themeColor="background1"/>
              <w:bottom w:val="single" w:sz="4" w:space="0" w:color="FFFFFF" w:themeColor="background1"/>
            </w:tcBorders>
            <w:shd w:val="clear" w:color="auto" w:fill="auto"/>
            <w:vAlign w:val="center"/>
          </w:tcPr>
          <w:p w14:paraId="4D07648A" w14:textId="7C79C68E"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1.5</w:t>
            </w:r>
            <w:r w:rsidR="001C5864" w:rsidRPr="006076FC">
              <w:rPr>
                <w:sz w:val="18"/>
                <w:szCs w:val="19"/>
                <w:lang w:val="en-GB"/>
              </w:rPr>
              <w:t xml:space="preserve"> ± </w:t>
            </w:r>
            <w:r w:rsidRPr="006076FC">
              <w:rPr>
                <w:sz w:val="18"/>
                <w:szCs w:val="19"/>
                <w:lang w:val="en-GB"/>
              </w:rPr>
              <w:t>0.7</w:t>
            </w:r>
          </w:p>
        </w:tc>
        <w:tc>
          <w:tcPr>
            <w:tcW w:w="495" w:type="pct"/>
            <w:tcBorders>
              <w:top w:val="single" w:sz="4" w:space="0" w:color="FFFFFF" w:themeColor="background1"/>
              <w:bottom w:val="single" w:sz="4" w:space="0" w:color="FFFFFF" w:themeColor="background1"/>
            </w:tcBorders>
            <w:shd w:val="clear" w:color="auto" w:fill="auto"/>
            <w:vAlign w:val="center"/>
          </w:tcPr>
          <w:p w14:paraId="2FA8CF76" w14:textId="66EB3B0C"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1.5</w:t>
            </w:r>
            <w:r w:rsidR="001C5864" w:rsidRPr="006076FC">
              <w:rPr>
                <w:sz w:val="18"/>
                <w:szCs w:val="19"/>
                <w:lang w:val="en-GB"/>
              </w:rPr>
              <w:t xml:space="preserve"> ± </w:t>
            </w:r>
            <w:r w:rsidRPr="006076FC">
              <w:rPr>
                <w:sz w:val="18"/>
                <w:szCs w:val="19"/>
                <w:lang w:val="en-GB"/>
              </w:rPr>
              <w:t>0.6</w:t>
            </w:r>
          </w:p>
        </w:tc>
        <w:tc>
          <w:tcPr>
            <w:tcW w:w="551" w:type="pct"/>
            <w:tcBorders>
              <w:top w:val="single" w:sz="4" w:space="0" w:color="FFFFFF" w:themeColor="background1"/>
              <w:bottom w:val="single" w:sz="4" w:space="0" w:color="FFFFFF" w:themeColor="background1"/>
            </w:tcBorders>
            <w:shd w:val="clear" w:color="auto" w:fill="auto"/>
            <w:vAlign w:val="center"/>
          </w:tcPr>
          <w:p w14:paraId="7A2BA6B9" w14:textId="1B4AEBB1"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0.7</w:t>
            </w:r>
          </w:p>
        </w:tc>
        <w:tc>
          <w:tcPr>
            <w:tcW w:w="611" w:type="pct"/>
            <w:tcBorders>
              <w:top w:val="single" w:sz="4" w:space="0" w:color="FFFFFF" w:themeColor="background1"/>
              <w:bottom w:val="single" w:sz="4" w:space="0" w:color="FFFFFF" w:themeColor="background1"/>
            </w:tcBorders>
            <w:shd w:val="clear" w:color="auto" w:fill="auto"/>
            <w:vAlign w:val="center"/>
          </w:tcPr>
          <w:p w14:paraId="77A804A2" w14:textId="5FA75FA4"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0.3</w:t>
            </w:r>
            <w:r w:rsidR="001C5864" w:rsidRPr="006076FC">
              <w:rPr>
                <w:sz w:val="18"/>
                <w:szCs w:val="19"/>
                <w:lang w:val="en-GB"/>
              </w:rPr>
              <w:t xml:space="preserve"> ± </w:t>
            </w:r>
            <w:r w:rsidRPr="006076FC">
              <w:rPr>
                <w:sz w:val="18"/>
                <w:szCs w:val="19"/>
                <w:lang w:val="en-GB"/>
              </w:rPr>
              <w:t>0.9</w:t>
            </w:r>
          </w:p>
        </w:tc>
        <w:tc>
          <w:tcPr>
            <w:tcW w:w="433" w:type="pct"/>
            <w:tcBorders>
              <w:top w:val="single" w:sz="4" w:space="0" w:color="FFFFFF" w:themeColor="background1"/>
              <w:bottom w:val="single" w:sz="4" w:space="0" w:color="FFFFFF" w:themeColor="background1"/>
            </w:tcBorders>
            <w:shd w:val="clear" w:color="auto" w:fill="auto"/>
            <w:vAlign w:val="center"/>
          </w:tcPr>
          <w:p w14:paraId="03C6BDC1"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0.51</w:t>
            </w:r>
          </w:p>
        </w:tc>
      </w:tr>
      <w:tr w:rsidR="004B2F71" w:rsidRPr="006076FC" w14:paraId="2EFBB794" w14:textId="77777777" w:rsidTr="00895255">
        <w:trPr>
          <w:jc w:val="center"/>
        </w:trPr>
        <w:tc>
          <w:tcPr>
            <w:tcW w:w="989" w:type="pct"/>
            <w:tcBorders>
              <w:top w:val="single" w:sz="4" w:space="0" w:color="FFFFFF" w:themeColor="background1"/>
              <w:bottom w:val="single" w:sz="4" w:space="0" w:color="auto"/>
            </w:tcBorders>
            <w:shd w:val="clear" w:color="auto" w:fill="auto"/>
            <w:vAlign w:val="center"/>
          </w:tcPr>
          <w:p w14:paraId="5C5284CD" w14:textId="58C523A9"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30+</w:t>
            </w:r>
            <w:r w:rsidR="004B2F71" w:rsidRPr="006076FC">
              <w:rPr>
                <w:sz w:val="18"/>
                <w:szCs w:val="19"/>
                <w:lang w:val="en-GB"/>
              </w:rPr>
              <w:t xml:space="preserve"> min </w:t>
            </w:r>
          </w:p>
          <w:p w14:paraId="64BD8436" w14:textId="2CAD79E5"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auto"/>
            </w:tcBorders>
            <w:shd w:val="clear" w:color="auto" w:fill="auto"/>
            <w:vAlign w:val="center"/>
          </w:tcPr>
          <w:p w14:paraId="5586005B" w14:textId="15194BE5"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0.4</w:t>
            </w:r>
          </w:p>
        </w:tc>
        <w:tc>
          <w:tcPr>
            <w:tcW w:w="440" w:type="pct"/>
            <w:tcBorders>
              <w:top w:val="single" w:sz="4" w:space="0" w:color="FFFFFF" w:themeColor="background1"/>
              <w:bottom w:val="single" w:sz="4" w:space="0" w:color="auto"/>
            </w:tcBorders>
            <w:shd w:val="clear" w:color="auto" w:fill="auto"/>
            <w:vAlign w:val="center"/>
          </w:tcPr>
          <w:p w14:paraId="10C87CC0" w14:textId="2B18C5BF"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549" w:type="pct"/>
            <w:tcBorders>
              <w:top w:val="single" w:sz="4" w:space="0" w:color="FFFFFF" w:themeColor="background1"/>
              <w:bottom w:val="single" w:sz="4" w:space="0" w:color="auto"/>
            </w:tcBorders>
            <w:shd w:val="clear" w:color="auto" w:fill="auto"/>
            <w:vAlign w:val="center"/>
          </w:tcPr>
          <w:p w14:paraId="7666957B" w14:textId="3466782E"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0.2</w:t>
            </w:r>
            <w:r w:rsidR="001C5864" w:rsidRPr="006076FC">
              <w:rPr>
                <w:sz w:val="18"/>
                <w:szCs w:val="19"/>
                <w:lang w:val="en-GB"/>
              </w:rPr>
              <w:t xml:space="preserve"> ± </w:t>
            </w:r>
            <w:r w:rsidR="00563CFC" w:rsidRPr="006076FC">
              <w:rPr>
                <w:sz w:val="18"/>
                <w:szCs w:val="19"/>
                <w:lang w:val="en-GB"/>
              </w:rPr>
              <w:t>0.3</w:t>
            </w:r>
          </w:p>
        </w:tc>
        <w:tc>
          <w:tcPr>
            <w:tcW w:w="493" w:type="pct"/>
            <w:tcBorders>
              <w:top w:val="single" w:sz="4" w:space="0" w:color="FFFFFF" w:themeColor="background1"/>
              <w:bottom w:val="single" w:sz="4" w:space="0" w:color="auto"/>
            </w:tcBorders>
            <w:shd w:val="clear" w:color="auto" w:fill="auto"/>
            <w:vAlign w:val="center"/>
          </w:tcPr>
          <w:p w14:paraId="588197AD" w14:textId="5E36E1D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495" w:type="pct"/>
            <w:tcBorders>
              <w:top w:val="single" w:sz="4" w:space="0" w:color="FFFFFF" w:themeColor="background1"/>
              <w:bottom w:val="single" w:sz="4" w:space="0" w:color="auto"/>
            </w:tcBorders>
            <w:shd w:val="clear" w:color="auto" w:fill="auto"/>
            <w:vAlign w:val="center"/>
          </w:tcPr>
          <w:p w14:paraId="7EA4BBC2" w14:textId="77D0DDCB"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0.1</w:t>
            </w:r>
          </w:p>
        </w:tc>
        <w:tc>
          <w:tcPr>
            <w:tcW w:w="551" w:type="pct"/>
            <w:tcBorders>
              <w:top w:val="single" w:sz="4" w:space="0" w:color="FFFFFF" w:themeColor="background1"/>
              <w:bottom w:val="single" w:sz="4" w:space="0" w:color="auto"/>
            </w:tcBorders>
            <w:shd w:val="clear" w:color="auto" w:fill="auto"/>
            <w:vAlign w:val="center"/>
          </w:tcPr>
          <w:p w14:paraId="10C4019B" w14:textId="15169EFE"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0.1</w:t>
            </w:r>
          </w:p>
        </w:tc>
        <w:tc>
          <w:tcPr>
            <w:tcW w:w="611" w:type="pct"/>
            <w:tcBorders>
              <w:top w:val="single" w:sz="4" w:space="0" w:color="FFFFFF" w:themeColor="background1"/>
              <w:bottom w:val="single" w:sz="4" w:space="0" w:color="auto"/>
            </w:tcBorders>
            <w:shd w:val="clear" w:color="auto" w:fill="auto"/>
            <w:vAlign w:val="center"/>
          </w:tcPr>
          <w:p w14:paraId="4A7E6229" w14:textId="2ABD87DC"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0.3</w:t>
            </w:r>
            <w:r w:rsidR="001C5864" w:rsidRPr="006076FC">
              <w:rPr>
                <w:sz w:val="18"/>
                <w:szCs w:val="19"/>
                <w:lang w:val="en-GB"/>
              </w:rPr>
              <w:t xml:space="preserve"> ± </w:t>
            </w:r>
            <w:r w:rsidRPr="006076FC">
              <w:rPr>
                <w:sz w:val="18"/>
                <w:szCs w:val="19"/>
                <w:lang w:val="en-GB"/>
              </w:rPr>
              <w:t>0.4</w:t>
            </w:r>
          </w:p>
        </w:tc>
        <w:tc>
          <w:tcPr>
            <w:tcW w:w="433" w:type="pct"/>
            <w:tcBorders>
              <w:top w:val="single" w:sz="4" w:space="0" w:color="FFFFFF" w:themeColor="background1"/>
              <w:bottom w:val="single" w:sz="4" w:space="0" w:color="auto"/>
            </w:tcBorders>
            <w:shd w:val="clear" w:color="auto" w:fill="auto"/>
            <w:vAlign w:val="center"/>
          </w:tcPr>
          <w:p w14:paraId="6D88AA57"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1.40</w:t>
            </w:r>
          </w:p>
        </w:tc>
      </w:tr>
      <w:tr w:rsidR="004B2F71" w:rsidRPr="006076FC" w14:paraId="67100CDC" w14:textId="77777777" w:rsidTr="004B2F71">
        <w:trPr>
          <w:jc w:val="center"/>
        </w:trPr>
        <w:tc>
          <w:tcPr>
            <w:tcW w:w="989" w:type="pct"/>
            <w:tcBorders>
              <w:top w:val="single" w:sz="4" w:space="0" w:color="auto"/>
              <w:bottom w:val="single" w:sz="4" w:space="0" w:color="auto"/>
            </w:tcBorders>
            <w:shd w:val="clear" w:color="auto" w:fill="auto"/>
            <w:vAlign w:val="center"/>
          </w:tcPr>
          <w:p w14:paraId="09BE78DE" w14:textId="77777777" w:rsidR="00563CFC" w:rsidRPr="006076FC" w:rsidRDefault="00563CFC" w:rsidP="008B2AB1">
            <w:pPr>
              <w:pStyle w:val="MDPI42tablebody"/>
              <w:autoSpaceDE w:val="0"/>
              <w:autoSpaceDN w:val="0"/>
              <w:spacing w:line="240" w:lineRule="auto"/>
              <w:rPr>
                <w:sz w:val="18"/>
                <w:szCs w:val="18"/>
                <w:lang w:val="en-GB"/>
              </w:rPr>
            </w:pPr>
            <w:r w:rsidRPr="006076FC">
              <w:rPr>
                <w:sz w:val="18"/>
                <w:szCs w:val="18"/>
                <w:lang w:val="en-GB"/>
              </w:rPr>
              <w:t>Stepping Bouts</w:t>
            </w:r>
          </w:p>
        </w:tc>
        <w:tc>
          <w:tcPr>
            <w:tcW w:w="438" w:type="pct"/>
            <w:tcBorders>
              <w:top w:val="single" w:sz="4" w:space="0" w:color="auto"/>
              <w:bottom w:val="single" w:sz="4" w:space="0" w:color="auto"/>
            </w:tcBorders>
            <w:shd w:val="clear" w:color="auto" w:fill="auto"/>
            <w:vAlign w:val="center"/>
          </w:tcPr>
          <w:p w14:paraId="6B2F96CA" w14:textId="77777777" w:rsidR="00563CFC" w:rsidRPr="006076FC" w:rsidRDefault="00563CFC" w:rsidP="008B2AB1">
            <w:pPr>
              <w:pStyle w:val="MDPI42tablebody"/>
              <w:autoSpaceDE w:val="0"/>
              <w:autoSpaceDN w:val="0"/>
              <w:spacing w:line="240" w:lineRule="auto"/>
              <w:rPr>
                <w:sz w:val="18"/>
                <w:szCs w:val="18"/>
                <w:lang w:val="en-GB"/>
              </w:rPr>
            </w:pPr>
          </w:p>
        </w:tc>
        <w:tc>
          <w:tcPr>
            <w:tcW w:w="440" w:type="pct"/>
            <w:tcBorders>
              <w:top w:val="single" w:sz="4" w:space="0" w:color="auto"/>
              <w:bottom w:val="single" w:sz="4" w:space="0" w:color="auto"/>
            </w:tcBorders>
            <w:shd w:val="clear" w:color="auto" w:fill="auto"/>
            <w:vAlign w:val="center"/>
          </w:tcPr>
          <w:p w14:paraId="1BB8C1CA" w14:textId="77777777" w:rsidR="00563CFC" w:rsidRPr="006076FC" w:rsidRDefault="00563CFC" w:rsidP="008B2AB1">
            <w:pPr>
              <w:pStyle w:val="MDPI42tablebody"/>
              <w:autoSpaceDE w:val="0"/>
              <w:autoSpaceDN w:val="0"/>
              <w:spacing w:line="240" w:lineRule="auto"/>
              <w:rPr>
                <w:sz w:val="18"/>
                <w:szCs w:val="18"/>
                <w:lang w:val="en-GB"/>
              </w:rPr>
            </w:pPr>
          </w:p>
        </w:tc>
        <w:tc>
          <w:tcPr>
            <w:tcW w:w="549" w:type="pct"/>
            <w:tcBorders>
              <w:top w:val="single" w:sz="4" w:space="0" w:color="auto"/>
              <w:bottom w:val="single" w:sz="4" w:space="0" w:color="auto"/>
            </w:tcBorders>
            <w:shd w:val="clear" w:color="auto" w:fill="auto"/>
            <w:vAlign w:val="center"/>
          </w:tcPr>
          <w:p w14:paraId="19EF2658" w14:textId="77777777" w:rsidR="00563CFC" w:rsidRPr="006076FC" w:rsidRDefault="00563CFC" w:rsidP="008B2AB1">
            <w:pPr>
              <w:pStyle w:val="MDPI42tablebody"/>
              <w:autoSpaceDE w:val="0"/>
              <w:autoSpaceDN w:val="0"/>
              <w:spacing w:line="240" w:lineRule="auto"/>
              <w:rPr>
                <w:sz w:val="18"/>
                <w:szCs w:val="18"/>
                <w:lang w:val="en-GB"/>
              </w:rPr>
            </w:pPr>
          </w:p>
        </w:tc>
        <w:tc>
          <w:tcPr>
            <w:tcW w:w="493" w:type="pct"/>
            <w:tcBorders>
              <w:top w:val="single" w:sz="4" w:space="0" w:color="auto"/>
              <w:bottom w:val="single" w:sz="4" w:space="0" w:color="auto"/>
            </w:tcBorders>
            <w:shd w:val="clear" w:color="auto" w:fill="auto"/>
            <w:vAlign w:val="center"/>
          </w:tcPr>
          <w:p w14:paraId="069ECE25" w14:textId="77777777" w:rsidR="00563CFC" w:rsidRPr="006076FC" w:rsidRDefault="00563CFC" w:rsidP="008B2AB1">
            <w:pPr>
              <w:pStyle w:val="MDPI42tablebody"/>
              <w:autoSpaceDE w:val="0"/>
              <w:autoSpaceDN w:val="0"/>
              <w:spacing w:line="240" w:lineRule="auto"/>
              <w:rPr>
                <w:sz w:val="18"/>
                <w:szCs w:val="18"/>
                <w:highlight w:val="yellow"/>
                <w:lang w:val="en-GB"/>
              </w:rPr>
            </w:pPr>
          </w:p>
        </w:tc>
        <w:tc>
          <w:tcPr>
            <w:tcW w:w="495" w:type="pct"/>
            <w:tcBorders>
              <w:top w:val="single" w:sz="4" w:space="0" w:color="auto"/>
              <w:bottom w:val="single" w:sz="4" w:space="0" w:color="auto"/>
            </w:tcBorders>
            <w:shd w:val="clear" w:color="auto" w:fill="auto"/>
            <w:vAlign w:val="center"/>
          </w:tcPr>
          <w:p w14:paraId="1557228F" w14:textId="77777777" w:rsidR="00563CFC" w:rsidRPr="006076FC" w:rsidRDefault="00563CFC" w:rsidP="008B2AB1">
            <w:pPr>
              <w:pStyle w:val="MDPI42tablebody"/>
              <w:autoSpaceDE w:val="0"/>
              <w:autoSpaceDN w:val="0"/>
              <w:spacing w:line="240" w:lineRule="auto"/>
              <w:rPr>
                <w:sz w:val="18"/>
                <w:szCs w:val="18"/>
                <w:highlight w:val="yellow"/>
                <w:lang w:val="en-GB"/>
              </w:rPr>
            </w:pPr>
          </w:p>
        </w:tc>
        <w:tc>
          <w:tcPr>
            <w:tcW w:w="551" w:type="pct"/>
            <w:tcBorders>
              <w:top w:val="single" w:sz="4" w:space="0" w:color="auto"/>
              <w:bottom w:val="single" w:sz="4" w:space="0" w:color="auto"/>
            </w:tcBorders>
            <w:shd w:val="clear" w:color="auto" w:fill="auto"/>
            <w:vAlign w:val="center"/>
          </w:tcPr>
          <w:p w14:paraId="4AD57581" w14:textId="77777777" w:rsidR="00563CFC" w:rsidRPr="006076FC" w:rsidRDefault="00563CFC" w:rsidP="008B2AB1">
            <w:pPr>
              <w:pStyle w:val="MDPI42tablebody"/>
              <w:autoSpaceDE w:val="0"/>
              <w:autoSpaceDN w:val="0"/>
              <w:spacing w:line="240" w:lineRule="auto"/>
              <w:rPr>
                <w:i/>
                <w:sz w:val="18"/>
                <w:szCs w:val="18"/>
                <w:highlight w:val="yellow"/>
                <w:lang w:val="en-GB"/>
              </w:rPr>
            </w:pPr>
          </w:p>
        </w:tc>
        <w:tc>
          <w:tcPr>
            <w:tcW w:w="611" w:type="pct"/>
            <w:tcBorders>
              <w:top w:val="single" w:sz="4" w:space="0" w:color="auto"/>
              <w:bottom w:val="single" w:sz="4" w:space="0" w:color="auto"/>
            </w:tcBorders>
            <w:shd w:val="clear" w:color="auto" w:fill="auto"/>
            <w:vAlign w:val="center"/>
          </w:tcPr>
          <w:p w14:paraId="7A09C07C" w14:textId="77777777" w:rsidR="00563CFC" w:rsidRPr="006076FC" w:rsidRDefault="00563CFC" w:rsidP="008B2AB1">
            <w:pPr>
              <w:pStyle w:val="MDPI42tablebody"/>
              <w:autoSpaceDE w:val="0"/>
              <w:autoSpaceDN w:val="0"/>
              <w:spacing w:line="240" w:lineRule="auto"/>
              <w:rPr>
                <w:iCs/>
                <w:sz w:val="18"/>
                <w:szCs w:val="18"/>
                <w:lang w:val="en-GB"/>
              </w:rPr>
            </w:pPr>
          </w:p>
        </w:tc>
        <w:tc>
          <w:tcPr>
            <w:tcW w:w="433" w:type="pct"/>
            <w:tcBorders>
              <w:top w:val="single" w:sz="4" w:space="0" w:color="auto"/>
              <w:bottom w:val="single" w:sz="4" w:space="0" w:color="auto"/>
            </w:tcBorders>
            <w:shd w:val="clear" w:color="auto" w:fill="auto"/>
            <w:vAlign w:val="center"/>
          </w:tcPr>
          <w:p w14:paraId="632A4117" w14:textId="77777777" w:rsidR="00563CFC" w:rsidRPr="006076FC" w:rsidRDefault="00563CFC" w:rsidP="008B2AB1">
            <w:pPr>
              <w:pStyle w:val="MDPI42tablebody"/>
              <w:autoSpaceDE w:val="0"/>
              <w:autoSpaceDN w:val="0"/>
              <w:spacing w:line="240" w:lineRule="auto"/>
              <w:rPr>
                <w:i/>
                <w:sz w:val="18"/>
                <w:szCs w:val="18"/>
                <w:lang w:val="en-GB"/>
              </w:rPr>
            </w:pPr>
          </w:p>
        </w:tc>
      </w:tr>
      <w:tr w:rsidR="004B2F71" w:rsidRPr="006076FC" w14:paraId="4066E8BE" w14:textId="77777777" w:rsidTr="00895255">
        <w:trPr>
          <w:jc w:val="center"/>
        </w:trPr>
        <w:tc>
          <w:tcPr>
            <w:tcW w:w="989" w:type="pct"/>
            <w:tcBorders>
              <w:top w:val="single" w:sz="4" w:space="0" w:color="auto"/>
              <w:bottom w:val="single" w:sz="4" w:space="0" w:color="FFFFFF" w:themeColor="background1"/>
            </w:tcBorders>
            <w:shd w:val="clear" w:color="auto" w:fill="auto"/>
            <w:vAlign w:val="center"/>
          </w:tcPr>
          <w:p w14:paraId="6DCA3746" w14:textId="1629FF8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w:t>
            </w:r>
            <w:r w:rsidR="004B2F71" w:rsidRPr="006076FC">
              <w:rPr>
                <w:sz w:val="18"/>
                <w:szCs w:val="19"/>
                <w:lang w:val="en-GB"/>
              </w:rPr>
              <w:t>–</w:t>
            </w:r>
            <w:r w:rsidRPr="006076FC">
              <w:rPr>
                <w:sz w:val="18"/>
                <w:szCs w:val="19"/>
                <w:lang w:val="en-GB"/>
              </w:rPr>
              <w:t>30</w:t>
            </w:r>
            <w:r w:rsidR="004B2F71" w:rsidRPr="006076FC">
              <w:rPr>
                <w:sz w:val="18"/>
                <w:szCs w:val="19"/>
                <w:lang w:val="en-GB"/>
              </w:rPr>
              <w:t xml:space="preserve"> min </w:t>
            </w:r>
            <w:r w:rsidRPr="006076FC">
              <w:rPr>
                <w:sz w:val="18"/>
                <w:szCs w:val="19"/>
                <w:lang w:val="en-GB"/>
              </w:rPr>
              <w:t>(n/8</w:t>
            </w:r>
            <w:r w:rsidR="00963C03">
              <w:rPr>
                <w:sz w:val="18"/>
                <w:szCs w:val="19"/>
                <w:lang w:val="en-GB"/>
              </w:rPr>
              <w:t xml:space="preserve"> h </w:t>
            </w:r>
            <w:r w:rsidRPr="006076FC">
              <w:rPr>
                <w:sz w:val="18"/>
                <w:szCs w:val="19"/>
                <w:lang w:val="en-GB"/>
              </w:rPr>
              <w:t>workday)</w:t>
            </w:r>
          </w:p>
        </w:tc>
        <w:tc>
          <w:tcPr>
            <w:tcW w:w="438" w:type="pct"/>
            <w:tcBorders>
              <w:top w:val="single" w:sz="4" w:space="0" w:color="auto"/>
              <w:bottom w:val="single" w:sz="4" w:space="0" w:color="FFFFFF" w:themeColor="background1"/>
            </w:tcBorders>
            <w:shd w:val="clear" w:color="auto" w:fill="auto"/>
            <w:vAlign w:val="center"/>
          </w:tcPr>
          <w:p w14:paraId="01B77317" w14:textId="7BC7DC96"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172.0</w:t>
            </w:r>
            <w:r w:rsidR="001C5864" w:rsidRPr="006076FC">
              <w:rPr>
                <w:sz w:val="18"/>
                <w:szCs w:val="19"/>
                <w:lang w:val="en-GB"/>
              </w:rPr>
              <w:t xml:space="preserve"> ± </w:t>
            </w:r>
            <w:r w:rsidRPr="006076FC">
              <w:rPr>
                <w:sz w:val="18"/>
                <w:szCs w:val="19"/>
                <w:lang w:val="en-GB"/>
              </w:rPr>
              <w:t>67.6</w:t>
            </w:r>
          </w:p>
        </w:tc>
        <w:tc>
          <w:tcPr>
            <w:tcW w:w="440" w:type="pct"/>
            <w:tcBorders>
              <w:top w:val="single" w:sz="4" w:space="0" w:color="auto"/>
              <w:bottom w:val="single" w:sz="4" w:space="0" w:color="FFFFFF" w:themeColor="background1"/>
            </w:tcBorders>
            <w:shd w:val="clear" w:color="auto" w:fill="auto"/>
            <w:vAlign w:val="center"/>
          </w:tcPr>
          <w:p w14:paraId="75C6FA2A" w14:textId="1CB52A08"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157.1</w:t>
            </w:r>
            <w:r w:rsidR="001C5864" w:rsidRPr="006076FC">
              <w:rPr>
                <w:sz w:val="18"/>
                <w:szCs w:val="19"/>
                <w:lang w:val="en-GB"/>
              </w:rPr>
              <w:t xml:space="preserve"> ± </w:t>
            </w:r>
            <w:r w:rsidRPr="006076FC">
              <w:rPr>
                <w:sz w:val="18"/>
                <w:szCs w:val="19"/>
                <w:lang w:val="en-GB"/>
              </w:rPr>
              <w:t>71.0</w:t>
            </w:r>
          </w:p>
        </w:tc>
        <w:tc>
          <w:tcPr>
            <w:tcW w:w="549" w:type="pct"/>
            <w:tcBorders>
              <w:top w:val="single" w:sz="4" w:space="0" w:color="auto"/>
              <w:bottom w:val="single" w:sz="4" w:space="0" w:color="FFFFFF" w:themeColor="background1"/>
            </w:tcBorders>
            <w:shd w:val="clear" w:color="auto" w:fill="auto"/>
            <w:vAlign w:val="center"/>
          </w:tcPr>
          <w:p w14:paraId="6D782208" w14:textId="5C6EEA08"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14.8</w:t>
            </w:r>
            <w:r w:rsidR="001C5864" w:rsidRPr="006076FC">
              <w:rPr>
                <w:sz w:val="18"/>
                <w:szCs w:val="19"/>
                <w:lang w:val="en-GB"/>
              </w:rPr>
              <w:t xml:space="preserve"> ± </w:t>
            </w:r>
            <w:r w:rsidR="00563CFC" w:rsidRPr="006076FC">
              <w:rPr>
                <w:sz w:val="18"/>
                <w:szCs w:val="19"/>
                <w:lang w:val="en-GB"/>
              </w:rPr>
              <w:t>40.8</w:t>
            </w:r>
          </w:p>
        </w:tc>
        <w:tc>
          <w:tcPr>
            <w:tcW w:w="493" w:type="pct"/>
            <w:tcBorders>
              <w:top w:val="single" w:sz="4" w:space="0" w:color="auto"/>
              <w:bottom w:val="single" w:sz="4" w:space="0" w:color="FFFFFF" w:themeColor="background1"/>
            </w:tcBorders>
            <w:shd w:val="clear" w:color="auto" w:fill="auto"/>
            <w:vAlign w:val="center"/>
          </w:tcPr>
          <w:p w14:paraId="34BE78BB" w14:textId="546B45A0"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161.6</w:t>
            </w:r>
            <w:r w:rsidR="001C5864" w:rsidRPr="006076FC">
              <w:rPr>
                <w:sz w:val="18"/>
                <w:szCs w:val="19"/>
                <w:lang w:val="en-GB"/>
              </w:rPr>
              <w:t xml:space="preserve"> ± </w:t>
            </w:r>
            <w:r w:rsidRPr="006076FC">
              <w:rPr>
                <w:sz w:val="18"/>
                <w:szCs w:val="19"/>
                <w:lang w:val="en-GB"/>
              </w:rPr>
              <w:t>71.9</w:t>
            </w:r>
          </w:p>
        </w:tc>
        <w:tc>
          <w:tcPr>
            <w:tcW w:w="495" w:type="pct"/>
            <w:tcBorders>
              <w:top w:val="single" w:sz="4" w:space="0" w:color="auto"/>
              <w:bottom w:val="single" w:sz="4" w:space="0" w:color="FFFFFF" w:themeColor="background1"/>
            </w:tcBorders>
            <w:shd w:val="clear" w:color="auto" w:fill="auto"/>
            <w:vAlign w:val="center"/>
          </w:tcPr>
          <w:p w14:paraId="0A2A6019" w14:textId="63A72E0E"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185.6</w:t>
            </w:r>
            <w:r w:rsidR="001C5864" w:rsidRPr="006076FC">
              <w:rPr>
                <w:sz w:val="18"/>
                <w:szCs w:val="19"/>
                <w:lang w:val="en-GB"/>
              </w:rPr>
              <w:t xml:space="preserve"> ± </w:t>
            </w:r>
            <w:r w:rsidRPr="006076FC">
              <w:rPr>
                <w:sz w:val="18"/>
                <w:szCs w:val="19"/>
                <w:lang w:val="en-GB"/>
              </w:rPr>
              <w:t>94.7</w:t>
            </w:r>
          </w:p>
        </w:tc>
        <w:tc>
          <w:tcPr>
            <w:tcW w:w="551" w:type="pct"/>
            <w:tcBorders>
              <w:top w:val="single" w:sz="4" w:space="0" w:color="auto"/>
              <w:bottom w:val="single" w:sz="4" w:space="0" w:color="FFFFFF" w:themeColor="background1"/>
            </w:tcBorders>
            <w:shd w:val="clear" w:color="auto" w:fill="auto"/>
            <w:vAlign w:val="center"/>
          </w:tcPr>
          <w:p w14:paraId="16B56179" w14:textId="29AE6520"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24.0</w:t>
            </w:r>
            <w:r w:rsidR="001C5864" w:rsidRPr="006076FC">
              <w:rPr>
                <w:sz w:val="18"/>
                <w:szCs w:val="19"/>
                <w:lang w:val="en-GB"/>
              </w:rPr>
              <w:t xml:space="preserve"> ± </w:t>
            </w:r>
            <w:r w:rsidRPr="006076FC">
              <w:rPr>
                <w:sz w:val="18"/>
                <w:szCs w:val="19"/>
                <w:lang w:val="en-GB"/>
              </w:rPr>
              <w:t>33.3</w:t>
            </w:r>
          </w:p>
        </w:tc>
        <w:tc>
          <w:tcPr>
            <w:tcW w:w="611" w:type="pct"/>
            <w:tcBorders>
              <w:top w:val="single" w:sz="4" w:space="0" w:color="auto"/>
              <w:bottom w:val="single" w:sz="4" w:space="0" w:color="FFFFFF" w:themeColor="background1"/>
            </w:tcBorders>
            <w:shd w:val="clear" w:color="auto" w:fill="auto"/>
            <w:vAlign w:val="center"/>
          </w:tcPr>
          <w:p w14:paraId="47690FE3" w14:textId="6427E90A"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38.8</w:t>
            </w:r>
            <w:r w:rsidR="001C5864" w:rsidRPr="006076FC">
              <w:rPr>
                <w:sz w:val="18"/>
                <w:szCs w:val="19"/>
                <w:lang w:val="en-GB"/>
              </w:rPr>
              <w:t xml:space="preserve"> ± </w:t>
            </w:r>
            <w:r w:rsidRPr="006076FC">
              <w:rPr>
                <w:sz w:val="18"/>
                <w:szCs w:val="19"/>
                <w:lang w:val="en-GB"/>
              </w:rPr>
              <w:t>51.2</w:t>
            </w:r>
          </w:p>
        </w:tc>
        <w:tc>
          <w:tcPr>
            <w:tcW w:w="433" w:type="pct"/>
            <w:tcBorders>
              <w:top w:val="single" w:sz="4" w:space="0" w:color="auto"/>
              <w:bottom w:val="single" w:sz="4" w:space="0" w:color="FFFFFF" w:themeColor="background1"/>
            </w:tcBorders>
            <w:shd w:val="clear" w:color="auto" w:fill="auto"/>
            <w:vAlign w:val="center"/>
          </w:tcPr>
          <w:p w14:paraId="24934265"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1.08</w:t>
            </w:r>
          </w:p>
        </w:tc>
      </w:tr>
      <w:tr w:rsidR="004B2F71" w:rsidRPr="006076FC" w14:paraId="604A46B6"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46FBA8E0" w14:textId="2BA3AB8F"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MVPA 0</w:t>
            </w:r>
            <w:r w:rsidR="004B2F71" w:rsidRPr="006076FC">
              <w:rPr>
                <w:sz w:val="18"/>
                <w:szCs w:val="19"/>
                <w:lang w:val="en-GB"/>
              </w:rPr>
              <w:t>–</w:t>
            </w:r>
            <w:r w:rsidRPr="006076FC">
              <w:rPr>
                <w:sz w:val="18"/>
                <w:szCs w:val="19"/>
                <w:lang w:val="en-GB"/>
              </w:rPr>
              <w:t>10</w:t>
            </w:r>
            <w:r w:rsidR="004B2F71" w:rsidRPr="006076FC">
              <w:rPr>
                <w:sz w:val="18"/>
                <w:szCs w:val="19"/>
                <w:lang w:val="en-GB"/>
              </w:rPr>
              <w:t xml:space="preserve"> min </w:t>
            </w:r>
          </w:p>
          <w:p w14:paraId="3F8A69C6" w14:textId="643C1CB4"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(n/8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3C08A6F3" w14:textId="0458DD71"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195.1</w:t>
            </w:r>
            <w:r w:rsidR="001C5864" w:rsidRPr="006076FC">
              <w:rPr>
                <w:sz w:val="18"/>
                <w:szCs w:val="19"/>
                <w:lang w:val="en-GB"/>
              </w:rPr>
              <w:t xml:space="preserve"> ± </w:t>
            </w:r>
            <w:r w:rsidRPr="006076FC">
              <w:rPr>
                <w:sz w:val="18"/>
                <w:szCs w:val="19"/>
                <w:lang w:val="en-GB"/>
              </w:rPr>
              <w:t>70.1</w:t>
            </w:r>
          </w:p>
        </w:tc>
        <w:tc>
          <w:tcPr>
            <w:tcW w:w="440" w:type="pct"/>
            <w:tcBorders>
              <w:top w:val="single" w:sz="4" w:space="0" w:color="FFFFFF" w:themeColor="background1"/>
              <w:bottom w:val="single" w:sz="4" w:space="0" w:color="FFFFFF" w:themeColor="background1"/>
            </w:tcBorders>
            <w:shd w:val="clear" w:color="auto" w:fill="auto"/>
            <w:vAlign w:val="center"/>
          </w:tcPr>
          <w:p w14:paraId="32F97FD6" w14:textId="4067082B"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181.2</w:t>
            </w:r>
            <w:r w:rsidR="001C5864" w:rsidRPr="006076FC">
              <w:rPr>
                <w:sz w:val="18"/>
                <w:szCs w:val="19"/>
                <w:lang w:val="en-GB"/>
              </w:rPr>
              <w:t xml:space="preserve"> ± </w:t>
            </w:r>
            <w:r w:rsidRPr="006076FC">
              <w:rPr>
                <w:sz w:val="18"/>
                <w:szCs w:val="19"/>
                <w:lang w:val="en-GB"/>
              </w:rPr>
              <w:t>82.6</w:t>
            </w:r>
          </w:p>
        </w:tc>
        <w:tc>
          <w:tcPr>
            <w:tcW w:w="549" w:type="pct"/>
            <w:tcBorders>
              <w:top w:val="single" w:sz="4" w:space="0" w:color="FFFFFF" w:themeColor="background1"/>
              <w:bottom w:val="single" w:sz="4" w:space="0" w:color="FFFFFF" w:themeColor="background1"/>
            </w:tcBorders>
            <w:shd w:val="clear" w:color="auto" w:fill="auto"/>
            <w:vAlign w:val="center"/>
          </w:tcPr>
          <w:p w14:paraId="28A9FA21" w14:textId="1EDDAB3D"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13.9</w:t>
            </w:r>
            <w:r w:rsidR="001C5864" w:rsidRPr="006076FC">
              <w:rPr>
                <w:sz w:val="18"/>
                <w:szCs w:val="19"/>
                <w:lang w:val="en-GB"/>
              </w:rPr>
              <w:t xml:space="preserve"> ± </w:t>
            </w:r>
            <w:r w:rsidR="00563CFC" w:rsidRPr="006076FC">
              <w:rPr>
                <w:sz w:val="18"/>
                <w:szCs w:val="19"/>
                <w:lang w:val="en-GB"/>
              </w:rPr>
              <w:t>46.6</w:t>
            </w:r>
          </w:p>
        </w:tc>
        <w:tc>
          <w:tcPr>
            <w:tcW w:w="493" w:type="pct"/>
            <w:tcBorders>
              <w:top w:val="single" w:sz="4" w:space="0" w:color="FFFFFF" w:themeColor="background1"/>
              <w:bottom w:val="single" w:sz="4" w:space="0" w:color="FFFFFF" w:themeColor="background1"/>
            </w:tcBorders>
            <w:shd w:val="clear" w:color="auto" w:fill="auto"/>
            <w:vAlign w:val="center"/>
          </w:tcPr>
          <w:p w14:paraId="1BED7F1C" w14:textId="3344A592"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181.4</w:t>
            </w:r>
            <w:r w:rsidR="001C5864" w:rsidRPr="006076FC">
              <w:rPr>
                <w:sz w:val="18"/>
                <w:szCs w:val="19"/>
                <w:lang w:val="en-GB"/>
              </w:rPr>
              <w:t xml:space="preserve"> ± </w:t>
            </w:r>
            <w:r w:rsidRPr="006076FC">
              <w:rPr>
                <w:sz w:val="18"/>
                <w:szCs w:val="19"/>
                <w:lang w:val="en-GB"/>
              </w:rPr>
              <w:t>77.6</w:t>
            </w:r>
          </w:p>
        </w:tc>
        <w:tc>
          <w:tcPr>
            <w:tcW w:w="495" w:type="pct"/>
            <w:tcBorders>
              <w:top w:val="single" w:sz="4" w:space="0" w:color="FFFFFF" w:themeColor="background1"/>
              <w:bottom w:val="single" w:sz="4" w:space="0" w:color="FFFFFF" w:themeColor="background1"/>
            </w:tcBorders>
            <w:shd w:val="clear" w:color="auto" w:fill="auto"/>
            <w:vAlign w:val="center"/>
          </w:tcPr>
          <w:p w14:paraId="013214B7" w14:textId="24E88D66"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209.8</w:t>
            </w:r>
            <w:r w:rsidR="001C5864" w:rsidRPr="006076FC">
              <w:rPr>
                <w:sz w:val="18"/>
                <w:szCs w:val="19"/>
                <w:lang w:val="en-GB"/>
              </w:rPr>
              <w:t xml:space="preserve"> ± </w:t>
            </w:r>
            <w:r w:rsidRPr="006076FC">
              <w:rPr>
                <w:sz w:val="18"/>
                <w:szCs w:val="19"/>
                <w:lang w:val="en-GB"/>
              </w:rPr>
              <w:t>103.2</w:t>
            </w:r>
          </w:p>
        </w:tc>
        <w:tc>
          <w:tcPr>
            <w:tcW w:w="551" w:type="pct"/>
            <w:tcBorders>
              <w:top w:val="single" w:sz="4" w:space="0" w:color="FFFFFF" w:themeColor="background1"/>
              <w:bottom w:val="single" w:sz="4" w:space="0" w:color="FFFFFF" w:themeColor="background1"/>
            </w:tcBorders>
            <w:shd w:val="clear" w:color="auto" w:fill="auto"/>
            <w:vAlign w:val="center"/>
          </w:tcPr>
          <w:p w14:paraId="79516527" w14:textId="7D79C500"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28.4</w:t>
            </w:r>
            <w:r w:rsidR="001C5864" w:rsidRPr="006076FC">
              <w:rPr>
                <w:sz w:val="18"/>
                <w:szCs w:val="19"/>
                <w:lang w:val="en-GB"/>
              </w:rPr>
              <w:t xml:space="preserve"> ± </w:t>
            </w:r>
            <w:r w:rsidRPr="006076FC">
              <w:rPr>
                <w:sz w:val="18"/>
                <w:szCs w:val="19"/>
                <w:lang w:val="en-GB"/>
              </w:rPr>
              <w:t>29.4</w:t>
            </w:r>
          </w:p>
        </w:tc>
        <w:tc>
          <w:tcPr>
            <w:tcW w:w="611" w:type="pct"/>
            <w:tcBorders>
              <w:top w:val="single" w:sz="4" w:space="0" w:color="FFFFFF" w:themeColor="background1"/>
              <w:bottom w:val="single" w:sz="4" w:space="0" w:color="FFFFFF" w:themeColor="background1"/>
            </w:tcBorders>
            <w:shd w:val="clear" w:color="auto" w:fill="auto"/>
            <w:vAlign w:val="center"/>
          </w:tcPr>
          <w:p w14:paraId="42A27D9C" w14:textId="42339123"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42.3</w:t>
            </w:r>
            <w:r w:rsidR="001C5864" w:rsidRPr="006076FC">
              <w:rPr>
                <w:sz w:val="18"/>
                <w:szCs w:val="19"/>
                <w:lang w:val="en-GB"/>
              </w:rPr>
              <w:t xml:space="preserve"> ± </w:t>
            </w:r>
            <w:r w:rsidRPr="006076FC">
              <w:rPr>
                <w:sz w:val="18"/>
                <w:szCs w:val="19"/>
                <w:lang w:val="en-GB"/>
              </w:rPr>
              <w:t>49.5</w:t>
            </w:r>
          </w:p>
        </w:tc>
        <w:tc>
          <w:tcPr>
            <w:tcW w:w="433" w:type="pct"/>
            <w:tcBorders>
              <w:top w:val="single" w:sz="4" w:space="0" w:color="FFFFFF" w:themeColor="background1"/>
              <w:bottom w:val="single" w:sz="4" w:space="0" w:color="FFFFFF" w:themeColor="background1"/>
            </w:tcBorders>
            <w:shd w:val="clear" w:color="auto" w:fill="auto"/>
            <w:vAlign w:val="center"/>
          </w:tcPr>
          <w:p w14:paraId="6EB99306"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1.13</w:t>
            </w:r>
          </w:p>
        </w:tc>
      </w:tr>
      <w:tr w:rsidR="004B2F71" w:rsidRPr="006076FC" w14:paraId="1271D7D0"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1C87A5F0" w14:textId="36AD75D0"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MVPA 10+</w:t>
            </w:r>
            <w:r w:rsidR="004B2F71" w:rsidRPr="006076FC">
              <w:rPr>
                <w:sz w:val="18"/>
                <w:szCs w:val="19"/>
                <w:lang w:val="en-GB"/>
              </w:rPr>
              <w:t xml:space="preserve"> min </w:t>
            </w:r>
          </w:p>
          <w:p w14:paraId="1AF5984B" w14:textId="7126169B"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(n/8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5AE0403F" w14:textId="5E1BEFBF"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0.1</w:t>
            </w:r>
          </w:p>
        </w:tc>
        <w:tc>
          <w:tcPr>
            <w:tcW w:w="440" w:type="pct"/>
            <w:tcBorders>
              <w:top w:val="single" w:sz="4" w:space="0" w:color="FFFFFF" w:themeColor="background1"/>
              <w:bottom w:val="single" w:sz="4" w:space="0" w:color="FFFFFF" w:themeColor="background1"/>
            </w:tcBorders>
            <w:shd w:val="clear" w:color="auto" w:fill="auto"/>
            <w:vAlign w:val="center"/>
          </w:tcPr>
          <w:p w14:paraId="680DAA45" w14:textId="754D40F0"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0.2</w:t>
            </w:r>
          </w:p>
        </w:tc>
        <w:tc>
          <w:tcPr>
            <w:tcW w:w="549" w:type="pct"/>
            <w:tcBorders>
              <w:top w:val="single" w:sz="4" w:space="0" w:color="FFFFFF" w:themeColor="background1"/>
              <w:bottom w:val="single" w:sz="4" w:space="0" w:color="FFFFFF" w:themeColor="background1"/>
            </w:tcBorders>
            <w:shd w:val="clear" w:color="auto" w:fill="auto"/>
            <w:vAlign w:val="center"/>
          </w:tcPr>
          <w:p w14:paraId="6F49FCCB" w14:textId="2168953C"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493" w:type="pct"/>
            <w:tcBorders>
              <w:top w:val="single" w:sz="4" w:space="0" w:color="FFFFFF" w:themeColor="background1"/>
              <w:bottom w:val="single" w:sz="4" w:space="0" w:color="FFFFFF" w:themeColor="background1"/>
            </w:tcBorders>
            <w:shd w:val="clear" w:color="auto" w:fill="auto"/>
            <w:vAlign w:val="center"/>
          </w:tcPr>
          <w:p w14:paraId="0473EEE3" w14:textId="47E66762"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0.3</w:t>
            </w:r>
          </w:p>
        </w:tc>
        <w:tc>
          <w:tcPr>
            <w:tcW w:w="495" w:type="pct"/>
            <w:tcBorders>
              <w:top w:val="single" w:sz="4" w:space="0" w:color="FFFFFF" w:themeColor="background1"/>
              <w:bottom w:val="single" w:sz="4" w:space="0" w:color="FFFFFF" w:themeColor="background1"/>
            </w:tcBorders>
            <w:shd w:val="clear" w:color="auto" w:fill="auto"/>
            <w:vAlign w:val="center"/>
          </w:tcPr>
          <w:p w14:paraId="6EA026BF" w14:textId="72F5F2BE" w:rsidR="00563CFC" w:rsidRPr="006076FC" w:rsidRDefault="00563CFC" w:rsidP="008B2AB1">
            <w:pPr>
              <w:pStyle w:val="MDPI42tablebody"/>
              <w:autoSpaceDE w:val="0"/>
              <w:autoSpaceDN w:val="0"/>
              <w:spacing w:line="240" w:lineRule="auto"/>
              <w:rPr>
                <w:sz w:val="18"/>
                <w:szCs w:val="19"/>
                <w:highlight w:val="yellow"/>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551" w:type="pct"/>
            <w:tcBorders>
              <w:top w:val="single" w:sz="4" w:space="0" w:color="FFFFFF" w:themeColor="background1"/>
              <w:bottom w:val="single" w:sz="4" w:space="0" w:color="FFFFFF" w:themeColor="background1"/>
            </w:tcBorders>
            <w:shd w:val="clear" w:color="auto" w:fill="auto"/>
            <w:vAlign w:val="center"/>
          </w:tcPr>
          <w:p w14:paraId="10FB54A4" w14:textId="288531AD" w:rsidR="00563CFC" w:rsidRPr="006076FC" w:rsidRDefault="004B2F71" w:rsidP="008B2AB1">
            <w:pPr>
              <w:pStyle w:val="MDPI42tablebody"/>
              <w:autoSpaceDE w:val="0"/>
              <w:autoSpaceDN w:val="0"/>
              <w:spacing w:line="240" w:lineRule="auto"/>
              <w:rPr>
                <w:i/>
                <w:sz w:val="18"/>
                <w:szCs w:val="19"/>
                <w:lang w:val="en-GB"/>
              </w:rPr>
            </w:pPr>
            <w:r w:rsidRPr="006076FC">
              <w:rPr>
                <w:sz w:val="18"/>
                <w:szCs w:val="19"/>
                <w:lang w:val="en-GB"/>
              </w:rPr>
              <w:t>−</w:t>
            </w:r>
            <w:r w:rsidR="00563CFC" w:rsidRPr="006076FC">
              <w:rPr>
                <w:sz w:val="18"/>
                <w:szCs w:val="19"/>
                <w:lang w:val="en-GB"/>
              </w:rPr>
              <w:t>0.1</w:t>
            </w:r>
            <w:r w:rsidR="001C5864" w:rsidRPr="006076FC">
              <w:rPr>
                <w:sz w:val="18"/>
                <w:szCs w:val="19"/>
                <w:lang w:val="en-GB"/>
              </w:rPr>
              <w:t xml:space="preserve"> ± </w:t>
            </w:r>
            <w:r w:rsidR="00563CFC" w:rsidRPr="006076FC">
              <w:rPr>
                <w:sz w:val="18"/>
                <w:szCs w:val="19"/>
                <w:lang w:val="en-GB"/>
              </w:rPr>
              <w:t>0.3</w:t>
            </w:r>
          </w:p>
        </w:tc>
        <w:tc>
          <w:tcPr>
            <w:tcW w:w="611" w:type="pct"/>
            <w:tcBorders>
              <w:top w:val="single" w:sz="4" w:space="0" w:color="FFFFFF" w:themeColor="background1"/>
              <w:bottom w:val="single" w:sz="4" w:space="0" w:color="FFFFFF" w:themeColor="background1"/>
            </w:tcBorders>
            <w:shd w:val="clear" w:color="auto" w:fill="auto"/>
            <w:vAlign w:val="center"/>
          </w:tcPr>
          <w:p w14:paraId="14EAD6BF" w14:textId="4625CC97" w:rsidR="00563CFC" w:rsidRPr="006076FC" w:rsidRDefault="004B2F71" w:rsidP="008B2AB1">
            <w:pPr>
              <w:pStyle w:val="MDPI42tablebody"/>
              <w:autoSpaceDE w:val="0"/>
              <w:autoSpaceDN w:val="0"/>
              <w:spacing w:line="240" w:lineRule="auto"/>
              <w:rPr>
                <w:iCs/>
                <w:sz w:val="18"/>
                <w:szCs w:val="19"/>
                <w:lang w:val="en-GB"/>
              </w:rPr>
            </w:pPr>
            <w:r w:rsidRPr="006076FC">
              <w:rPr>
                <w:sz w:val="18"/>
                <w:szCs w:val="19"/>
                <w:lang w:val="en-GB"/>
              </w:rPr>
              <w:t>−</w:t>
            </w:r>
            <w:r w:rsidR="00563CFC" w:rsidRPr="006076FC">
              <w:rPr>
                <w:sz w:val="18"/>
                <w:szCs w:val="19"/>
                <w:lang w:val="en-GB"/>
              </w:rPr>
              <w:t>0.1</w:t>
            </w:r>
            <w:r w:rsidR="001C5864" w:rsidRPr="006076FC">
              <w:rPr>
                <w:sz w:val="18"/>
                <w:szCs w:val="19"/>
                <w:lang w:val="en-GB"/>
              </w:rPr>
              <w:t xml:space="preserve"> ± </w:t>
            </w:r>
            <w:r w:rsidR="00563CFC" w:rsidRPr="006076FC">
              <w:rPr>
                <w:sz w:val="18"/>
                <w:szCs w:val="19"/>
                <w:lang w:val="en-GB"/>
              </w:rPr>
              <w:t>0.4</w:t>
            </w:r>
          </w:p>
        </w:tc>
        <w:tc>
          <w:tcPr>
            <w:tcW w:w="433" w:type="pct"/>
            <w:tcBorders>
              <w:top w:val="single" w:sz="4" w:space="0" w:color="FFFFFF" w:themeColor="background1"/>
              <w:bottom w:val="single" w:sz="4" w:space="0" w:color="FFFFFF" w:themeColor="background1"/>
            </w:tcBorders>
            <w:shd w:val="clear" w:color="auto" w:fill="auto"/>
            <w:vAlign w:val="center"/>
          </w:tcPr>
          <w:p w14:paraId="103D1596"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0.47</w:t>
            </w:r>
          </w:p>
        </w:tc>
      </w:tr>
      <w:tr w:rsidR="004B2F71" w:rsidRPr="006076FC" w14:paraId="1C0AFA7B"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34710282" w14:textId="4875F11A"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0</w:t>
            </w:r>
            <w:r w:rsidR="004B2F71" w:rsidRPr="006076FC">
              <w:rPr>
                <w:sz w:val="18"/>
                <w:szCs w:val="19"/>
                <w:lang w:val="en-GB"/>
              </w:rPr>
              <w:t>–</w:t>
            </w:r>
            <w:r w:rsidRPr="006076FC">
              <w:rPr>
                <w:sz w:val="18"/>
                <w:szCs w:val="19"/>
                <w:lang w:val="en-GB"/>
              </w:rPr>
              <w:t>30</w:t>
            </w:r>
            <w:r w:rsidR="004B2F71" w:rsidRPr="006076FC">
              <w:rPr>
                <w:sz w:val="18"/>
                <w:szCs w:val="19"/>
                <w:lang w:val="en-GB"/>
              </w:rPr>
              <w:t xml:space="preserve"> min </w:t>
            </w:r>
          </w:p>
          <w:p w14:paraId="6E79F4B0" w14:textId="5D3E23C1"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57ACFE5F" w14:textId="62751843"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0.1</w:t>
            </w:r>
          </w:p>
        </w:tc>
        <w:tc>
          <w:tcPr>
            <w:tcW w:w="440" w:type="pct"/>
            <w:tcBorders>
              <w:top w:val="single" w:sz="4" w:space="0" w:color="FFFFFF" w:themeColor="background1"/>
              <w:bottom w:val="single" w:sz="4" w:space="0" w:color="FFFFFF" w:themeColor="background1"/>
            </w:tcBorders>
            <w:shd w:val="clear" w:color="auto" w:fill="auto"/>
            <w:vAlign w:val="center"/>
          </w:tcPr>
          <w:p w14:paraId="22A754DC" w14:textId="01885205"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0.1</w:t>
            </w:r>
          </w:p>
        </w:tc>
        <w:tc>
          <w:tcPr>
            <w:tcW w:w="549" w:type="pct"/>
            <w:tcBorders>
              <w:top w:val="single" w:sz="4" w:space="0" w:color="FFFFFF" w:themeColor="background1"/>
              <w:bottom w:val="single" w:sz="4" w:space="0" w:color="FFFFFF" w:themeColor="background1"/>
            </w:tcBorders>
            <w:shd w:val="clear" w:color="auto" w:fill="auto"/>
            <w:vAlign w:val="center"/>
          </w:tcPr>
          <w:p w14:paraId="086F474E" w14:textId="727D107D"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493" w:type="pct"/>
            <w:tcBorders>
              <w:top w:val="single" w:sz="4" w:space="0" w:color="FFFFFF" w:themeColor="background1"/>
              <w:bottom w:val="single" w:sz="4" w:space="0" w:color="FFFFFF" w:themeColor="background1"/>
            </w:tcBorders>
            <w:shd w:val="clear" w:color="auto" w:fill="auto"/>
            <w:vAlign w:val="center"/>
          </w:tcPr>
          <w:p w14:paraId="300F2479" w14:textId="52B14BC0"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0.1</w:t>
            </w:r>
          </w:p>
        </w:tc>
        <w:tc>
          <w:tcPr>
            <w:tcW w:w="495" w:type="pct"/>
            <w:tcBorders>
              <w:top w:val="single" w:sz="4" w:space="0" w:color="FFFFFF" w:themeColor="background1"/>
              <w:bottom w:val="single" w:sz="4" w:space="0" w:color="FFFFFF" w:themeColor="background1"/>
            </w:tcBorders>
            <w:shd w:val="clear" w:color="auto" w:fill="auto"/>
            <w:vAlign w:val="center"/>
          </w:tcPr>
          <w:p w14:paraId="4FF70515" w14:textId="711B0E3C"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0.2</w:t>
            </w:r>
            <w:r w:rsidR="001C5864" w:rsidRPr="006076FC">
              <w:rPr>
                <w:sz w:val="18"/>
                <w:szCs w:val="19"/>
                <w:lang w:val="en-GB"/>
              </w:rPr>
              <w:t xml:space="preserve"> ± </w:t>
            </w:r>
            <w:r w:rsidRPr="006076FC">
              <w:rPr>
                <w:sz w:val="18"/>
                <w:szCs w:val="19"/>
                <w:lang w:val="en-GB"/>
              </w:rPr>
              <w:t>0.1</w:t>
            </w:r>
          </w:p>
        </w:tc>
        <w:tc>
          <w:tcPr>
            <w:tcW w:w="551" w:type="pct"/>
            <w:tcBorders>
              <w:top w:val="single" w:sz="4" w:space="0" w:color="FFFFFF" w:themeColor="background1"/>
              <w:bottom w:val="single" w:sz="4" w:space="0" w:color="FFFFFF" w:themeColor="background1"/>
            </w:tcBorders>
            <w:shd w:val="clear" w:color="auto" w:fill="auto"/>
            <w:vAlign w:val="center"/>
          </w:tcPr>
          <w:p w14:paraId="528AC946" w14:textId="6E88DECC"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611" w:type="pct"/>
            <w:tcBorders>
              <w:top w:val="single" w:sz="4" w:space="0" w:color="FFFFFF" w:themeColor="background1"/>
              <w:bottom w:val="single" w:sz="4" w:space="0" w:color="FFFFFF" w:themeColor="background1"/>
            </w:tcBorders>
            <w:shd w:val="clear" w:color="auto" w:fill="auto"/>
            <w:vAlign w:val="center"/>
          </w:tcPr>
          <w:p w14:paraId="315869AF" w14:textId="672C1B4C"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433" w:type="pct"/>
            <w:tcBorders>
              <w:top w:val="single" w:sz="4" w:space="0" w:color="FFFFFF" w:themeColor="background1"/>
              <w:bottom w:val="single" w:sz="4" w:space="0" w:color="FFFFFF" w:themeColor="background1"/>
            </w:tcBorders>
            <w:shd w:val="clear" w:color="auto" w:fill="auto"/>
            <w:vAlign w:val="center"/>
          </w:tcPr>
          <w:p w14:paraId="27DB1D97"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0.00</w:t>
            </w:r>
          </w:p>
        </w:tc>
      </w:tr>
      <w:tr w:rsidR="004B2F71" w:rsidRPr="006076FC" w14:paraId="053FD33C" w14:textId="77777777" w:rsidTr="00895255">
        <w:trPr>
          <w:jc w:val="center"/>
        </w:trPr>
        <w:tc>
          <w:tcPr>
            <w:tcW w:w="989" w:type="pct"/>
            <w:tcBorders>
              <w:top w:val="single" w:sz="4" w:space="0" w:color="FFFFFF" w:themeColor="background1"/>
              <w:bottom w:val="single" w:sz="4" w:space="0" w:color="FFFFFF" w:themeColor="background1"/>
            </w:tcBorders>
            <w:shd w:val="clear" w:color="auto" w:fill="auto"/>
            <w:vAlign w:val="center"/>
          </w:tcPr>
          <w:p w14:paraId="6C38053E" w14:textId="33EE8F3C"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MVPA 0</w:t>
            </w:r>
            <w:r w:rsidR="004B2F71" w:rsidRPr="006076FC">
              <w:rPr>
                <w:sz w:val="18"/>
                <w:szCs w:val="19"/>
                <w:lang w:val="en-GB"/>
              </w:rPr>
              <w:t>–</w:t>
            </w:r>
            <w:r w:rsidRPr="006076FC">
              <w:rPr>
                <w:sz w:val="18"/>
                <w:szCs w:val="19"/>
                <w:lang w:val="en-GB"/>
              </w:rPr>
              <w:t>10</w:t>
            </w:r>
            <w:r w:rsidR="004B2F71" w:rsidRPr="006076FC">
              <w:rPr>
                <w:sz w:val="18"/>
                <w:szCs w:val="19"/>
                <w:lang w:val="en-GB"/>
              </w:rPr>
              <w:t xml:space="preserve"> min </w:t>
            </w:r>
            <w:r w:rsidRPr="006076FC">
              <w:rPr>
                <w:sz w:val="18"/>
                <w:szCs w:val="19"/>
                <w:lang w:val="en-GB"/>
              </w:rPr>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4" w:space="0" w:color="FFFFFF" w:themeColor="background1"/>
            </w:tcBorders>
            <w:shd w:val="clear" w:color="auto" w:fill="auto"/>
            <w:vAlign w:val="center"/>
          </w:tcPr>
          <w:p w14:paraId="3C2DFD15" w14:textId="42EF04EC"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0.6</w:t>
            </w:r>
            <w:r w:rsidR="001C5864" w:rsidRPr="006076FC">
              <w:rPr>
                <w:sz w:val="18"/>
                <w:szCs w:val="19"/>
                <w:lang w:val="en-GB"/>
              </w:rPr>
              <w:t xml:space="preserve"> ± </w:t>
            </w:r>
            <w:r w:rsidRPr="006076FC">
              <w:rPr>
                <w:sz w:val="18"/>
                <w:szCs w:val="19"/>
                <w:lang w:val="en-GB"/>
              </w:rPr>
              <w:t>0.2</w:t>
            </w:r>
          </w:p>
        </w:tc>
        <w:tc>
          <w:tcPr>
            <w:tcW w:w="440" w:type="pct"/>
            <w:tcBorders>
              <w:top w:val="single" w:sz="4" w:space="0" w:color="FFFFFF" w:themeColor="background1"/>
              <w:bottom w:val="single" w:sz="4" w:space="0" w:color="FFFFFF" w:themeColor="background1"/>
            </w:tcBorders>
            <w:shd w:val="clear" w:color="auto" w:fill="auto"/>
            <w:vAlign w:val="center"/>
          </w:tcPr>
          <w:p w14:paraId="4B52D549" w14:textId="24BF48F2"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0.7</w:t>
            </w:r>
            <w:r w:rsidR="001C5864" w:rsidRPr="006076FC">
              <w:rPr>
                <w:sz w:val="18"/>
                <w:szCs w:val="19"/>
                <w:lang w:val="en-GB"/>
              </w:rPr>
              <w:t xml:space="preserve"> ± </w:t>
            </w:r>
            <w:r w:rsidRPr="006076FC">
              <w:rPr>
                <w:sz w:val="18"/>
                <w:szCs w:val="19"/>
                <w:lang w:val="en-GB"/>
              </w:rPr>
              <w:t>0.3</w:t>
            </w:r>
          </w:p>
        </w:tc>
        <w:tc>
          <w:tcPr>
            <w:tcW w:w="549" w:type="pct"/>
            <w:tcBorders>
              <w:top w:val="single" w:sz="4" w:space="0" w:color="FFFFFF" w:themeColor="background1"/>
              <w:bottom w:val="single" w:sz="4" w:space="0" w:color="FFFFFF" w:themeColor="background1"/>
            </w:tcBorders>
            <w:shd w:val="clear" w:color="auto" w:fill="auto"/>
            <w:vAlign w:val="center"/>
          </w:tcPr>
          <w:p w14:paraId="43CD3660" w14:textId="0D511533"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0.1</w:t>
            </w:r>
            <w:r w:rsidR="001C5864" w:rsidRPr="006076FC">
              <w:rPr>
                <w:sz w:val="18"/>
                <w:szCs w:val="19"/>
                <w:lang w:val="en-GB"/>
              </w:rPr>
              <w:t xml:space="preserve"> ± </w:t>
            </w:r>
            <w:r w:rsidRPr="006076FC">
              <w:rPr>
                <w:sz w:val="18"/>
                <w:szCs w:val="19"/>
                <w:lang w:val="en-GB"/>
              </w:rPr>
              <w:t>0.2</w:t>
            </w:r>
          </w:p>
        </w:tc>
        <w:tc>
          <w:tcPr>
            <w:tcW w:w="493" w:type="pct"/>
            <w:tcBorders>
              <w:top w:val="single" w:sz="4" w:space="0" w:color="FFFFFF" w:themeColor="background1"/>
              <w:bottom w:val="single" w:sz="4" w:space="0" w:color="FFFFFF" w:themeColor="background1"/>
            </w:tcBorders>
            <w:shd w:val="clear" w:color="auto" w:fill="auto"/>
            <w:vAlign w:val="center"/>
          </w:tcPr>
          <w:p w14:paraId="32ABC715" w14:textId="720D5425"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0.7</w:t>
            </w:r>
            <w:r w:rsidR="001C5864" w:rsidRPr="006076FC">
              <w:rPr>
                <w:sz w:val="18"/>
                <w:szCs w:val="19"/>
                <w:lang w:val="en-GB"/>
              </w:rPr>
              <w:t xml:space="preserve"> ± </w:t>
            </w:r>
            <w:r w:rsidRPr="006076FC">
              <w:rPr>
                <w:sz w:val="18"/>
                <w:szCs w:val="19"/>
                <w:lang w:val="en-GB"/>
              </w:rPr>
              <w:t>0.2</w:t>
            </w:r>
          </w:p>
        </w:tc>
        <w:tc>
          <w:tcPr>
            <w:tcW w:w="495" w:type="pct"/>
            <w:tcBorders>
              <w:top w:val="single" w:sz="4" w:space="0" w:color="FFFFFF" w:themeColor="background1"/>
              <w:bottom w:val="single" w:sz="4" w:space="0" w:color="FFFFFF" w:themeColor="background1"/>
            </w:tcBorders>
            <w:shd w:val="clear" w:color="auto" w:fill="auto"/>
            <w:vAlign w:val="center"/>
          </w:tcPr>
          <w:p w14:paraId="0301520A" w14:textId="4069856A"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0.7</w:t>
            </w:r>
            <w:r w:rsidR="001C5864" w:rsidRPr="006076FC">
              <w:rPr>
                <w:sz w:val="18"/>
                <w:szCs w:val="19"/>
                <w:lang w:val="en-GB"/>
              </w:rPr>
              <w:t xml:space="preserve"> ± </w:t>
            </w:r>
            <w:r w:rsidRPr="006076FC">
              <w:rPr>
                <w:sz w:val="18"/>
                <w:szCs w:val="19"/>
                <w:lang w:val="en-GB"/>
              </w:rPr>
              <w:t>0.3</w:t>
            </w:r>
          </w:p>
        </w:tc>
        <w:tc>
          <w:tcPr>
            <w:tcW w:w="551" w:type="pct"/>
            <w:tcBorders>
              <w:top w:val="single" w:sz="4" w:space="0" w:color="FFFFFF" w:themeColor="background1"/>
              <w:bottom w:val="single" w:sz="4" w:space="0" w:color="FFFFFF" w:themeColor="background1"/>
            </w:tcBorders>
            <w:shd w:val="clear" w:color="auto" w:fill="auto"/>
            <w:vAlign w:val="center"/>
          </w:tcPr>
          <w:p w14:paraId="64B50234" w14:textId="6C15912B"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0.3</w:t>
            </w:r>
          </w:p>
        </w:tc>
        <w:tc>
          <w:tcPr>
            <w:tcW w:w="611" w:type="pct"/>
            <w:tcBorders>
              <w:top w:val="single" w:sz="4" w:space="0" w:color="FFFFFF" w:themeColor="background1"/>
              <w:bottom w:val="single" w:sz="4" w:space="0" w:color="FFFFFF" w:themeColor="background1"/>
            </w:tcBorders>
            <w:shd w:val="clear" w:color="auto" w:fill="auto"/>
            <w:vAlign w:val="center"/>
          </w:tcPr>
          <w:p w14:paraId="0F22640E" w14:textId="0FE1C49F" w:rsidR="00563CFC" w:rsidRPr="006076FC" w:rsidRDefault="004B2F71" w:rsidP="008B2AB1">
            <w:pPr>
              <w:pStyle w:val="MDPI42tablebody"/>
              <w:autoSpaceDE w:val="0"/>
              <w:autoSpaceDN w:val="0"/>
              <w:spacing w:line="240" w:lineRule="auto"/>
              <w:rPr>
                <w:sz w:val="18"/>
                <w:szCs w:val="19"/>
                <w:lang w:val="en-GB"/>
              </w:rPr>
            </w:pPr>
            <w:r w:rsidRPr="006076FC">
              <w:rPr>
                <w:sz w:val="18"/>
                <w:szCs w:val="19"/>
                <w:lang w:val="en-GB"/>
              </w:rPr>
              <w:t>−</w:t>
            </w:r>
            <w:r w:rsidR="00563CFC" w:rsidRPr="006076FC">
              <w:rPr>
                <w:sz w:val="18"/>
                <w:szCs w:val="19"/>
                <w:lang w:val="en-GB"/>
              </w:rPr>
              <w:t>0.1</w:t>
            </w:r>
            <w:r w:rsidR="001C5864" w:rsidRPr="006076FC">
              <w:rPr>
                <w:sz w:val="18"/>
                <w:szCs w:val="19"/>
                <w:lang w:val="en-GB"/>
              </w:rPr>
              <w:t xml:space="preserve"> ± </w:t>
            </w:r>
            <w:r w:rsidR="00563CFC" w:rsidRPr="006076FC">
              <w:rPr>
                <w:sz w:val="18"/>
                <w:szCs w:val="19"/>
                <w:lang w:val="en-GB"/>
              </w:rPr>
              <w:t>0.3</w:t>
            </w:r>
          </w:p>
        </w:tc>
        <w:tc>
          <w:tcPr>
            <w:tcW w:w="433" w:type="pct"/>
            <w:tcBorders>
              <w:top w:val="single" w:sz="4" w:space="0" w:color="FFFFFF" w:themeColor="background1"/>
              <w:bottom w:val="single" w:sz="4" w:space="0" w:color="FFFFFF" w:themeColor="background1"/>
            </w:tcBorders>
            <w:shd w:val="clear" w:color="auto" w:fill="auto"/>
            <w:vAlign w:val="center"/>
          </w:tcPr>
          <w:p w14:paraId="35652B6D"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0.41</w:t>
            </w:r>
          </w:p>
        </w:tc>
      </w:tr>
      <w:tr w:rsidR="004B2F71" w:rsidRPr="006076FC" w14:paraId="420E5A3E" w14:textId="77777777" w:rsidTr="00895255">
        <w:trPr>
          <w:jc w:val="center"/>
        </w:trPr>
        <w:tc>
          <w:tcPr>
            <w:tcW w:w="989" w:type="pct"/>
            <w:tcBorders>
              <w:top w:val="single" w:sz="4" w:space="0" w:color="FFFFFF" w:themeColor="background1"/>
              <w:bottom w:val="single" w:sz="8" w:space="0" w:color="auto"/>
            </w:tcBorders>
            <w:shd w:val="clear" w:color="auto" w:fill="auto"/>
            <w:vAlign w:val="center"/>
          </w:tcPr>
          <w:p w14:paraId="7C976814" w14:textId="61F9CEC1"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Total Time MVPA 10+</w:t>
            </w:r>
            <w:r w:rsidR="004B2F71" w:rsidRPr="006076FC">
              <w:rPr>
                <w:sz w:val="18"/>
                <w:szCs w:val="19"/>
                <w:lang w:val="en-GB"/>
              </w:rPr>
              <w:t xml:space="preserve"> min </w:t>
            </w:r>
            <w:r w:rsidRPr="006076FC">
              <w:rPr>
                <w:sz w:val="18"/>
                <w:szCs w:val="19"/>
                <w:lang w:val="en-GB"/>
              </w:rPr>
              <w:t>(hrs/8</w:t>
            </w:r>
            <w:r w:rsidR="00963C03">
              <w:rPr>
                <w:sz w:val="18"/>
                <w:szCs w:val="19"/>
                <w:lang w:val="en-GB"/>
              </w:rPr>
              <w:t xml:space="preserve"> h </w:t>
            </w:r>
            <w:r w:rsidRPr="006076FC">
              <w:rPr>
                <w:sz w:val="18"/>
                <w:szCs w:val="19"/>
                <w:lang w:val="en-GB"/>
              </w:rPr>
              <w:t>workday)</w:t>
            </w:r>
          </w:p>
        </w:tc>
        <w:tc>
          <w:tcPr>
            <w:tcW w:w="438" w:type="pct"/>
            <w:tcBorders>
              <w:top w:val="single" w:sz="4" w:space="0" w:color="FFFFFF" w:themeColor="background1"/>
              <w:bottom w:val="single" w:sz="8" w:space="0" w:color="auto"/>
            </w:tcBorders>
            <w:shd w:val="clear" w:color="auto" w:fill="auto"/>
            <w:vAlign w:val="center"/>
          </w:tcPr>
          <w:p w14:paraId="5780CBD0" w14:textId="74350117"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440" w:type="pct"/>
            <w:tcBorders>
              <w:top w:val="single" w:sz="4" w:space="0" w:color="FFFFFF" w:themeColor="background1"/>
              <w:bottom w:val="single" w:sz="8" w:space="0" w:color="auto"/>
            </w:tcBorders>
            <w:shd w:val="clear" w:color="auto" w:fill="auto"/>
            <w:vAlign w:val="center"/>
          </w:tcPr>
          <w:p w14:paraId="0317D0D8" w14:textId="7FD84D51"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549" w:type="pct"/>
            <w:tcBorders>
              <w:top w:val="single" w:sz="4" w:space="0" w:color="FFFFFF" w:themeColor="background1"/>
              <w:bottom w:val="single" w:sz="8" w:space="0" w:color="auto"/>
            </w:tcBorders>
            <w:shd w:val="clear" w:color="auto" w:fill="auto"/>
            <w:vAlign w:val="center"/>
          </w:tcPr>
          <w:p w14:paraId="43B39F9F" w14:textId="30C1D9DC"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493" w:type="pct"/>
            <w:tcBorders>
              <w:top w:val="single" w:sz="4" w:space="0" w:color="FFFFFF" w:themeColor="background1"/>
              <w:bottom w:val="single" w:sz="8" w:space="0" w:color="auto"/>
            </w:tcBorders>
            <w:shd w:val="clear" w:color="auto" w:fill="auto"/>
            <w:vAlign w:val="center"/>
          </w:tcPr>
          <w:p w14:paraId="5CFF7699" w14:textId="0FD3AB57"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495" w:type="pct"/>
            <w:tcBorders>
              <w:top w:val="single" w:sz="4" w:space="0" w:color="FFFFFF" w:themeColor="background1"/>
              <w:bottom w:val="single" w:sz="8" w:space="0" w:color="auto"/>
            </w:tcBorders>
            <w:shd w:val="clear" w:color="auto" w:fill="auto"/>
            <w:vAlign w:val="center"/>
          </w:tcPr>
          <w:p w14:paraId="4F75A246" w14:textId="0E15B5BA" w:rsidR="00563CFC" w:rsidRPr="006076FC" w:rsidRDefault="00563CFC" w:rsidP="008B2AB1">
            <w:pPr>
              <w:pStyle w:val="MDPI42tablebody"/>
              <w:autoSpaceDE w:val="0"/>
              <w:autoSpaceDN w:val="0"/>
              <w:spacing w:line="240" w:lineRule="auto"/>
              <w:rPr>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0.0</w:t>
            </w:r>
          </w:p>
        </w:tc>
        <w:tc>
          <w:tcPr>
            <w:tcW w:w="551" w:type="pct"/>
            <w:tcBorders>
              <w:top w:val="single" w:sz="4" w:space="0" w:color="FFFFFF" w:themeColor="background1"/>
              <w:bottom w:val="single" w:sz="8" w:space="0" w:color="auto"/>
            </w:tcBorders>
            <w:shd w:val="clear" w:color="auto" w:fill="auto"/>
            <w:vAlign w:val="center"/>
          </w:tcPr>
          <w:p w14:paraId="6EDF3756" w14:textId="1D9DD54E" w:rsidR="00563CFC" w:rsidRPr="006076FC" w:rsidRDefault="00563CFC" w:rsidP="008B2AB1">
            <w:pPr>
              <w:pStyle w:val="MDPI42tablebody"/>
              <w:autoSpaceDE w:val="0"/>
              <w:autoSpaceDN w:val="0"/>
              <w:spacing w:line="240" w:lineRule="auto"/>
              <w:rPr>
                <w:i/>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611" w:type="pct"/>
            <w:tcBorders>
              <w:top w:val="single" w:sz="4" w:space="0" w:color="FFFFFF" w:themeColor="background1"/>
              <w:bottom w:val="single" w:sz="8" w:space="0" w:color="auto"/>
            </w:tcBorders>
            <w:shd w:val="clear" w:color="auto" w:fill="auto"/>
            <w:vAlign w:val="center"/>
          </w:tcPr>
          <w:p w14:paraId="045ACB44" w14:textId="43E1717E" w:rsidR="00563CFC" w:rsidRPr="006076FC" w:rsidRDefault="00563CFC" w:rsidP="008B2AB1">
            <w:pPr>
              <w:pStyle w:val="MDPI42tablebody"/>
              <w:autoSpaceDE w:val="0"/>
              <w:autoSpaceDN w:val="0"/>
              <w:spacing w:line="240" w:lineRule="auto"/>
              <w:rPr>
                <w:iCs/>
                <w:sz w:val="18"/>
                <w:szCs w:val="19"/>
                <w:lang w:val="en-GB"/>
              </w:rPr>
            </w:pPr>
            <w:r w:rsidRPr="006076FC">
              <w:rPr>
                <w:sz w:val="18"/>
                <w:szCs w:val="19"/>
                <w:lang w:val="en-GB"/>
              </w:rPr>
              <w:t>0.0</w:t>
            </w:r>
            <w:r w:rsidR="001C5864" w:rsidRPr="006076FC">
              <w:rPr>
                <w:sz w:val="18"/>
                <w:szCs w:val="19"/>
                <w:lang w:val="en-GB"/>
              </w:rPr>
              <w:t xml:space="preserve"> ± </w:t>
            </w:r>
            <w:r w:rsidRPr="006076FC">
              <w:rPr>
                <w:sz w:val="18"/>
                <w:szCs w:val="19"/>
                <w:lang w:val="en-GB"/>
              </w:rPr>
              <w:t>0.1</w:t>
            </w:r>
          </w:p>
        </w:tc>
        <w:tc>
          <w:tcPr>
            <w:tcW w:w="433" w:type="pct"/>
            <w:tcBorders>
              <w:top w:val="single" w:sz="4" w:space="0" w:color="FFFFFF" w:themeColor="background1"/>
              <w:bottom w:val="single" w:sz="8" w:space="0" w:color="auto"/>
            </w:tcBorders>
            <w:shd w:val="clear" w:color="auto" w:fill="auto"/>
            <w:vAlign w:val="center"/>
          </w:tcPr>
          <w:p w14:paraId="2A34AE45" w14:textId="77777777" w:rsidR="00563CFC" w:rsidRPr="006076FC" w:rsidRDefault="00563CFC" w:rsidP="008B2AB1">
            <w:pPr>
              <w:pStyle w:val="MDPI42tablebody"/>
              <w:autoSpaceDE w:val="0"/>
              <w:autoSpaceDN w:val="0"/>
              <w:spacing w:line="240" w:lineRule="auto"/>
              <w:rPr>
                <w:i/>
                <w:sz w:val="18"/>
                <w:szCs w:val="19"/>
                <w:lang w:val="en-GB"/>
              </w:rPr>
            </w:pPr>
            <w:r w:rsidRPr="006076FC">
              <w:rPr>
                <w:i/>
                <w:sz w:val="18"/>
                <w:szCs w:val="19"/>
                <w:lang w:val="en-GB"/>
              </w:rPr>
              <w:t>0.00</w:t>
            </w:r>
          </w:p>
        </w:tc>
      </w:tr>
    </w:tbl>
    <w:p w14:paraId="57B8B982" w14:textId="34911585" w:rsidR="00563CFC" w:rsidRPr="006076FC" w:rsidRDefault="00563CFC" w:rsidP="008B2AB1">
      <w:pPr>
        <w:pStyle w:val="MDPI43tablefooter"/>
        <w:jc w:val="center"/>
        <w:rPr>
          <w:rFonts w:eastAsia="SimSun"/>
          <w:lang w:val="en-GB"/>
        </w:rPr>
      </w:pPr>
      <w:r w:rsidRPr="006076FC">
        <w:rPr>
          <w:lang w:val="en-GB"/>
        </w:rPr>
        <w:t>MVPA</w:t>
      </w:r>
      <w:r w:rsidR="004B2F71" w:rsidRPr="006076FC">
        <w:rPr>
          <w:lang w:val="en-GB"/>
        </w:rPr>
        <w:t>—</w:t>
      </w:r>
      <w:r w:rsidRPr="006076FC">
        <w:rPr>
          <w:lang w:val="en-GB"/>
        </w:rPr>
        <w:t>moderate-to-vigorous physical activity.</w:t>
      </w:r>
    </w:p>
    <w:p w14:paraId="64B18BDD" w14:textId="77777777" w:rsidR="00563CFC" w:rsidRPr="006076FC" w:rsidRDefault="00563CFC" w:rsidP="00563CFC">
      <w:pPr>
        <w:rPr>
          <w:rFonts w:eastAsia="SimSun"/>
          <w:highlight w:val="red"/>
          <w:lang w:val="en-GB"/>
        </w:rPr>
        <w:sectPr w:rsidR="00563CFC" w:rsidRPr="006076FC" w:rsidSect="00563CFC">
          <w:pgSz w:w="16838" w:h="11906" w:orient="landscape" w:code="9"/>
          <w:pgMar w:top="1417" w:right="1531" w:bottom="1077" w:left="1531" w:header="1020" w:footer="850" w:gutter="0"/>
          <w:cols w:space="425"/>
          <w:docGrid w:type="linesAndChars" w:linePitch="326"/>
        </w:sectPr>
      </w:pPr>
    </w:p>
    <w:p w14:paraId="0A4F7CBF" w14:textId="6B105C79" w:rsidR="00563CFC" w:rsidRPr="006076FC" w:rsidRDefault="008B2AB1" w:rsidP="008B2AB1">
      <w:pPr>
        <w:pStyle w:val="MDPI22heading2"/>
        <w:rPr>
          <w:color w:val="auto"/>
          <w:lang w:val="en-GB" w:eastAsia="en-US"/>
        </w:rPr>
      </w:pPr>
      <w:r w:rsidRPr="006076FC">
        <w:rPr>
          <w:lang w:val="en-GB"/>
        </w:rPr>
        <w:lastRenderedPageBreak/>
        <w:t xml:space="preserve">3.5. </w:t>
      </w:r>
      <w:r w:rsidR="00563CFC" w:rsidRPr="006076FC">
        <w:rPr>
          <w:lang w:val="en-GB"/>
        </w:rPr>
        <w:t>Vascular Function</w:t>
      </w:r>
    </w:p>
    <w:p w14:paraId="26716E99" w14:textId="3FE41768" w:rsidR="00563CFC" w:rsidRPr="006076FC" w:rsidRDefault="00563CFC" w:rsidP="008B2AB1">
      <w:pPr>
        <w:pStyle w:val="MDPI31text"/>
        <w:rPr>
          <w:bCs/>
          <w:lang w:val="en-GB"/>
        </w:rPr>
      </w:pPr>
      <w:r w:rsidRPr="006076FC">
        <w:rPr>
          <w:lang w:val="en-GB"/>
        </w:rPr>
        <w:t>Data for resting HR and BP are presented in Table S1. There were large effects observed for the change in SBP (</w:t>
      </w:r>
      <w:r w:rsidR="004B2F71" w:rsidRPr="006076FC">
        <w:rPr>
          <w:i/>
          <w:iCs/>
          <w:lang w:val="en-GB"/>
        </w:rPr>
        <w:t xml:space="preserve">d = </w:t>
      </w:r>
      <w:r w:rsidRPr="006076FC">
        <w:rPr>
          <w:lang w:val="en-GB"/>
        </w:rPr>
        <w:t>0.84) and MAP (</w:t>
      </w:r>
      <w:r w:rsidR="004B2F71" w:rsidRPr="006076FC">
        <w:rPr>
          <w:i/>
          <w:iCs/>
          <w:lang w:val="en-GB"/>
        </w:rPr>
        <w:t xml:space="preserve">d = </w:t>
      </w:r>
      <w:r w:rsidRPr="006076FC">
        <w:rPr>
          <w:lang w:val="en-GB"/>
        </w:rPr>
        <w:t>1.02) in favour of Control. The effect sizes for HR and DBP were small. Data for brachial and femoral artery FMD are presented in Table 5. Large effects were observed for the change in absolute (</w:t>
      </w:r>
      <w:r w:rsidR="004B2F71" w:rsidRPr="006076FC">
        <w:rPr>
          <w:i/>
          <w:iCs/>
          <w:lang w:val="en-GB"/>
        </w:rPr>
        <w:t xml:space="preserve">d = </w:t>
      </w:r>
      <w:r w:rsidRPr="006076FC">
        <w:rPr>
          <w:lang w:val="en-GB"/>
        </w:rPr>
        <w:t>0.88) and relative (</w:t>
      </w:r>
      <w:r w:rsidR="004B2F71" w:rsidRPr="006076FC">
        <w:rPr>
          <w:i/>
          <w:iCs/>
          <w:lang w:val="en-GB"/>
        </w:rPr>
        <w:t xml:space="preserve">d = </w:t>
      </w:r>
      <w:r w:rsidRPr="006076FC">
        <w:rPr>
          <w:lang w:val="en-GB"/>
        </w:rPr>
        <w:t xml:space="preserve">1.06) femoral artery FMD in favour of Intervention. The effect sizes for all other outcomes were small. </w:t>
      </w:r>
      <w:r w:rsidRPr="006076FC">
        <w:rPr>
          <w:bCs/>
          <w:lang w:val="en-GB"/>
        </w:rPr>
        <w:t>The effect sizes for all brachial artery FMD outcomes were medium or small.</w:t>
      </w:r>
    </w:p>
    <w:p w14:paraId="79BF1E13" w14:textId="77777777" w:rsidR="00244A4B" w:rsidRPr="006076FC" w:rsidRDefault="00244A4B" w:rsidP="008B2AB1">
      <w:pPr>
        <w:pStyle w:val="MDPI31text"/>
        <w:rPr>
          <w:bCs/>
          <w:lang w:val="en-GB"/>
        </w:rPr>
        <w:sectPr w:rsidR="00244A4B" w:rsidRPr="006076FC" w:rsidSect="00563CFC">
          <w:pgSz w:w="11906" w:h="16838" w:code="9"/>
          <w:pgMar w:top="1417" w:right="1531" w:bottom="1077" w:left="1531" w:header="1020" w:footer="850" w:gutter="0"/>
          <w:cols w:space="425"/>
          <w:docGrid w:type="lines" w:linePitch="326"/>
        </w:sectPr>
      </w:pPr>
    </w:p>
    <w:p w14:paraId="354A33A9" w14:textId="441BC3F0" w:rsidR="00244A4B" w:rsidRPr="006076FC" w:rsidRDefault="004B2F71" w:rsidP="004B2F71">
      <w:pPr>
        <w:pStyle w:val="MDPI41tablecaption"/>
        <w:rPr>
          <w:lang w:val="en-GB"/>
        </w:rPr>
      </w:pPr>
      <w:bookmarkStart w:id="3" w:name="_Toc519524078"/>
      <w:r w:rsidRPr="006076FC">
        <w:rPr>
          <w:b/>
          <w:bCs/>
          <w:lang w:val="en-GB"/>
        </w:rPr>
        <w:lastRenderedPageBreak/>
        <w:t xml:space="preserve">Table 5. </w:t>
      </w:r>
      <w:r w:rsidR="00244A4B" w:rsidRPr="006076FC">
        <w:rPr>
          <w:lang w:val="en-GB"/>
        </w:rPr>
        <w:t xml:space="preserve">Brachial and femoral artery flow-mediated dilation (FMD) at the start (PRE) and following (POST) the </w:t>
      </w:r>
      <w:proofErr w:type="gramStart"/>
      <w:r w:rsidR="00756DBF">
        <w:rPr>
          <w:lang w:val="en-GB"/>
        </w:rPr>
        <w:t>8 week</w:t>
      </w:r>
      <w:proofErr w:type="gramEnd"/>
      <w:r w:rsidR="00244A4B" w:rsidRPr="006076FC">
        <w:rPr>
          <w:lang w:val="en-GB"/>
        </w:rPr>
        <w:t xml:space="preserve"> Control and Intervention trials </w:t>
      </w:r>
      <w:r w:rsidR="00003DFB">
        <w:rPr>
          <w:lang w:val="en-GB"/>
        </w:rPr>
        <w:t xml:space="preserve">(mean </w:t>
      </w:r>
      <w:r w:rsidR="001C5864" w:rsidRPr="006076FC">
        <w:rPr>
          <w:lang w:val="en-GB"/>
        </w:rPr>
        <w:t xml:space="preserve">± </w:t>
      </w:r>
      <w:r w:rsidR="00244A4B" w:rsidRPr="006076FC">
        <w:rPr>
          <w:lang w:val="en-GB"/>
        </w:rPr>
        <w:t>SD).</w:t>
      </w:r>
      <w:bookmarkEnd w:id="3"/>
    </w:p>
    <w:tbl>
      <w:tblPr>
        <w:tblW w:w="4476" w:type="pct"/>
        <w:jc w:val="center"/>
        <w:tblBorders>
          <w:top w:val="single" w:sz="4" w:space="0" w:color="7F7F7F"/>
          <w:bottom w:val="single" w:sz="4" w:space="0" w:color="7F7F7F"/>
        </w:tblBorders>
        <w:tblLook w:val="04A0" w:firstRow="1" w:lastRow="0" w:firstColumn="1" w:lastColumn="0" w:noHBand="0" w:noVBand="1"/>
      </w:tblPr>
      <w:tblGrid>
        <w:gridCol w:w="2127"/>
        <w:gridCol w:w="1275"/>
        <w:gridCol w:w="1176"/>
        <w:gridCol w:w="1243"/>
        <w:gridCol w:w="1241"/>
        <w:gridCol w:w="1386"/>
        <w:gridCol w:w="1238"/>
        <w:gridCol w:w="1243"/>
        <w:gridCol w:w="1403"/>
      </w:tblGrid>
      <w:tr w:rsidR="004B2F71" w:rsidRPr="006076FC" w14:paraId="61890D39" w14:textId="77777777" w:rsidTr="00A971C9">
        <w:trPr>
          <w:jc w:val="center"/>
        </w:trPr>
        <w:tc>
          <w:tcPr>
            <w:tcW w:w="862" w:type="pct"/>
            <w:vMerge w:val="restart"/>
            <w:tcBorders>
              <w:top w:val="single" w:sz="8" w:space="0" w:color="auto"/>
              <w:right w:val="nil"/>
            </w:tcBorders>
            <w:shd w:val="clear" w:color="auto" w:fill="auto"/>
            <w:vAlign w:val="center"/>
          </w:tcPr>
          <w:p w14:paraId="7AAC9E0D" w14:textId="77777777" w:rsidR="00244A4B" w:rsidRPr="006076FC" w:rsidRDefault="00244A4B" w:rsidP="00244A4B">
            <w:pPr>
              <w:pStyle w:val="MDPI42tablebody"/>
              <w:autoSpaceDE w:val="0"/>
              <w:autoSpaceDN w:val="0"/>
              <w:spacing w:line="240" w:lineRule="auto"/>
              <w:rPr>
                <w:sz w:val="18"/>
                <w:lang w:val="en-GB"/>
              </w:rPr>
            </w:pPr>
          </w:p>
        </w:tc>
        <w:tc>
          <w:tcPr>
            <w:tcW w:w="994" w:type="pct"/>
            <w:gridSpan w:val="2"/>
            <w:tcBorders>
              <w:top w:val="single" w:sz="8" w:space="0" w:color="auto"/>
              <w:left w:val="nil"/>
              <w:bottom w:val="single" w:sz="4" w:space="0" w:color="FFFFFF" w:themeColor="background1"/>
              <w:right w:val="nil"/>
            </w:tcBorders>
            <w:shd w:val="clear" w:color="auto" w:fill="auto"/>
            <w:vAlign w:val="center"/>
          </w:tcPr>
          <w:p w14:paraId="4B3859C0"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Control</w:t>
            </w:r>
          </w:p>
        </w:tc>
        <w:tc>
          <w:tcPr>
            <w:tcW w:w="504" w:type="pct"/>
            <w:vMerge w:val="restart"/>
            <w:tcBorders>
              <w:top w:val="single" w:sz="8" w:space="0" w:color="auto"/>
              <w:left w:val="nil"/>
              <w:bottom w:val="single" w:sz="4" w:space="0" w:color="FFFFFF" w:themeColor="background1"/>
              <w:right w:val="nil"/>
            </w:tcBorders>
            <w:shd w:val="clear" w:color="auto" w:fill="auto"/>
            <w:vAlign w:val="center"/>
          </w:tcPr>
          <w:p w14:paraId="4BD7EC7F"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Within-</w:t>
            </w:r>
          </w:p>
          <w:p w14:paraId="3598A47F"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Group Differences</w:t>
            </w:r>
          </w:p>
        </w:tc>
        <w:tc>
          <w:tcPr>
            <w:tcW w:w="1065" w:type="pct"/>
            <w:gridSpan w:val="2"/>
            <w:tcBorders>
              <w:top w:val="single" w:sz="8" w:space="0" w:color="auto"/>
              <w:left w:val="nil"/>
              <w:bottom w:val="single" w:sz="4" w:space="0" w:color="FFFFFF" w:themeColor="background1"/>
              <w:right w:val="nil"/>
            </w:tcBorders>
            <w:shd w:val="clear" w:color="auto" w:fill="auto"/>
            <w:vAlign w:val="center"/>
          </w:tcPr>
          <w:p w14:paraId="3BEB663E"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Intervention</w:t>
            </w:r>
          </w:p>
        </w:tc>
        <w:tc>
          <w:tcPr>
            <w:tcW w:w="502" w:type="pct"/>
            <w:vMerge w:val="restart"/>
            <w:tcBorders>
              <w:top w:val="single" w:sz="8" w:space="0" w:color="auto"/>
              <w:left w:val="nil"/>
              <w:bottom w:val="single" w:sz="8" w:space="0" w:color="auto"/>
              <w:right w:val="nil"/>
            </w:tcBorders>
            <w:shd w:val="clear" w:color="auto" w:fill="auto"/>
            <w:vAlign w:val="center"/>
          </w:tcPr>
          <w:p w14:paraId="50BE24A6"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Within-</w:t>
            </w:r>
          </w:p>
          <w:p w14:paraId="2990E320" w14:textId="77777777" w:rsidR="00244A4B" w:rsidRPr="006076FC" w:rsidRDefault="00244A4B" w:rsidP="00244A4B">
            <w:pPr>
              <w:pStyle w:val="MDPI42tablebody"/>
              <w:autoSpaceDE w:val="0"/>
              <w:autoSpaceDN w:val="0"/>
              <w:spacing w:line="240" w:lineRule="auto"/>
              <w:rPr>
                <w:b/>
                <w:bCs/>
                <w:i/>
                <w:sz w:val="18"/>
                <w:szCs w:val="18"/>
                <w:lang w:val="en-GB"/>
              </w:rPr>
            </w:pPr>
            <w:r w:rsidRPr="006076FC">
              <w:rPr>
                <w:b/>
                <w:bCs/>
                <w:sz w:val="18"/>
                <w:szCs w:val="18"/>
                <w:lang w:val="en-GB"/>
              </w:rPr>
              <w:t>Group Differences</w:t>
            </w:r>
          </w:p>
        </w:tc>
        <w:tc>
          <w:tcPr>
            <w:tcW w:w="504" w:type="pct"/>
            <w:vMerge w:val="restart"/>
            <w:tcBorders>
              <w:top w:val="single" w:sz="8" w:space="0" w:color="auto"/>
              <w:left w:val="nil"/>
              <w:right w:val="nil"/>
            </w:tcBorders>
            <w:shd w:val="clear" w:color="auto" w:fill="auto"/>
            <w:vAlign w:val="center"/>
          </w:tcPr>
          <w:p w14:paraId="36660EE7"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Between-</w:t>
            </w:r>
          </w:p>
          <w:p w14:paraId="04568A50" w14:textId="77777777" w:rsidR="00244A4B" w:rsidRPr="006076FC" w:rsidRDefault="00244A4B" w:rsidP="00244A4B">
            <w:pPr>
              <w:pStyle w:val="MDPI42tablebody"/>
              <w:autoSpaceDE w:val="0"/>
              <w:autoSpaceDN w:val="0"/>
              <w:spacing w:line="240" w:lineRule="auto"/>
              <w:rPr>
                <w:b/>
                <w:bCs/>
                <w:i/>
                <w:sz w:val="18"/>
                <w:szCs w:val="18"/>
                <w:lang w:val="en-GB"/>
              </w:rPr>
            </w:pPr>
            <w:r w:rsidRPr="006076FC">
              <w:rPr>
                <w:b/>
                <w:bCs/>
                <w:sz w:val="18"/>
                <w:szCs w:val="18"/>
                <w:lang w:val="en-GB"/>
              </w:rPr>
              <w:t>Group Differences</w:t>
            </w:r>
          </w:p>
        </w:tc>
        <w:tc>
          <w:tcPr>
            <w:tcW w:w="569" w:type="pct"/>
            <w:vMerge w:val="restart"/>
            <w:tcBorders>
              <w:top w:val="single" w:sz="8" w:space="0" w:color="auto"/>
              <w:left w:val="nil"/>
              <w:right w:val="nil"/>
            </w:tcBorders>
            <w:shd w:val="clear" w:color="auto" w:fill="auto"/>
            <w:vAlign w:val="center"/>
          </w:tcPr>
          <w:p w14:paraId="0704E31A" w14:textId="77777777" w:rsidR="00244A4B" w:rsidRPr="006076FC" w:rsidRDefault="00244A4B" w:rsidP="00244A4B">
            <w:pPr>
              <w:pStyle w:val="MDPI42tablebody"/>
              <w:autoSpaceDE w:val="0"/>
              <w:autoSpaceDN w:val="0"/>
              <w:spacing w:line="240" w:lineRule="auto"/>
              <w:rPr>
                <w:b/>
                <w:bCs/>
                <w:i/>
                <w:sz w:val="18"/>
                <w:szCs w:val="18"/>
                <w:lang w:val="en-GB"/>
              </w:rPr>
            </w:pPr>
            <w:r w:rsidRPr="006076FC">
              <w:rPr>
                <w:b/>
                <w:bCs/>
                <w:iCs/>
                <w:sz w:val="18"/>
                <w:szCs w:val="18"/>
                <w:lang w:val="en-GB"/>
              </w:rPr>
              <w:t>Cohen’s</w:t>
            </w:r>
            <w:r w:rsidRPr="006076FC">
              <w:rPr>
                <w:b/>
                <w:bCs/>
                <w:i/>
                <w:sz w:val="18"/>
                <w:szCs w:val="18"/>
                <w:lang w:val="en-GB"/>
              </w:rPr>
              <w:t xml:space="preserve"> d</w:t>
            </w:r>
          </w:p>
        </w:tc>
      </w:tr>
      <w:tr w:rsidR="004B2F71" w:rsidRPr="006076FC" w14:paraId="1CDF526A" w14:textId="77777777" w:rsidTr="00A971C9">
        <w:trPr>
          <w:jc w:val="center"/>
        </w:trPr>
        <w:tc>
          <w:tcPr>
            <w:tcW w:w="862" w:type="pct"/>
            <w:vMerge/>
            <w:tcBorders>
              <w:bottom w:val="single" w:sz="4" w:space="0" w:color="auto"/>
              <w:right w:val="nil"/>
            </w:tcBorders>
            <w:shd w:val="clear" w:color="auto" w:fill="auto"/>
            <w:vAlign w:val="center"/>
          </w:tcPr>
          <w:p w14:paraId="61CD270F" w14:textId="77777777" w:rsidR="00244A4B" w:rsidRPr="006076FC" w:rsidRDefault="00244A4B" w:rsidP="00244A4B">
            <w:pPr>
              <w:pStyle w:val="MDPI42tablebody"/>
              <w:autoSpaceDE w:val="0"/>
              <w:autoSpaceDN w:val="0"/>
              <w:spacing w:line="240" w:lineRule="auto"/>
              <w:rPr>
                <w:sz w:val="18"/>
                <w:lang w:val="en-GB"/>
              </w:rPr>
            </w:pPr>
          </w:p>
        </w:tc>
        <w:tc>
          <w:tcPr>
            <w:tcW w:w="517" w:type="pct"/>
            <w:tcBorders>
              <w:top w:val="single" w:sz="4" w:space="0" w:color="FFFFFF" w:themeColor="background1"/>
              <w:left w:val="nil"/>
              <w:bottom w:val="single" w:sz="4" w:space="0" w:color="auto"/>
              <w:right w:val="nil"/>
            </w:tcBorders>
            <w:shd w:val="clear" w:color="auto" w:fill="auto"/>
            <w:vAlign w:val="center"/>
          </w:tcPr>
          <w:p w14:paraId="1660651C"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PRE</w:t>
            </w:r>
          </w:p>
        </w:tc>
        <w:tc>
          <w:tcPr>
            <w:tcW w:w="477" w:type="pct"/>
            <w:tcBorders>
              <w:top w:val="single" w:sz="4" w:space="0" w:color="FFFFFF" w:themeColor="background1"/>
              <w:left w:val="nil"/>
              <w:bottom w:val="single" w:sz="4" w:space="0" w:color="auto"/>
              <w:right w:val="nil"/>
            </w:tcBorders>
            <w:shd w:val="clear" w:color="auto" w:fill="auto"/>
            <w:vAlign w:val="center"/>
          </w:tcPr>
          <w:p w14:paraId="0B13A3EA"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POST</w:t>
            </w:r>
          </w:p>
        </w:tc>
        <w:tc>
          <w:tcPr>
            <w:tcW w:w="504" w:type="pct"/>
            <w:vMerge/>
            <w:tcBorders>
              <w:top w:val="single" w:sz="4" w:space="0" w:color="FFFFFF" w:themeColor="background1"/>
              <w:left w:val="nil"/>
              <w:bottom w:val="single" w:sz="4" w:space="0" w:color="auto"/>
              <w:right w:val="nil"/>
            </w:tcBorders>
            <w:shd w:val="clear" w:color="auto" w:fill="auto"/>
            <w:vAlign w:val="center"/>
          </w:tcPr>
          <w:p w14:paraId="0B83F917" w14:textId="77777777" w:rsidR="00244A4B" w:rsidRPr="006076FC" w:rsidRDefault="00244A4B" w:rsidP="00244A4B">
            <w:pPr>
              <w:pStyle w:val="MDPI42tablebody"/>
              <w:autoSpaceDE w:val="0"/>
              <w:autoSpaceDN w:val="0"/>
              <w:spacing w:line="240" w:lineRule="auto"/>
              <w:rPr>
                <w:b/>
                <w:bCs/>
                <w:sz w:val="18"/>
                <w:szCs w:val="18"/>
                <w:lang w:val="en-GB"/>
              </w:rPr>
            </w:pPr>
          </w:p>
        </w:tc>
        <w:tc>
          <w:tcPr>
            <w:tcW w:w="503" w:type="pct"/>
            <w:tcBorders>
              <w:top w:val="single" w:sz="4" w:space="0" w:color="FFFFFF" w:themeColor="background1"/>
              <w:left w:val="nil"/>
              <w:bottom w:val="single" w:sz="4" w:space="0" w:color="auto"/>
              <w:right w:val="nil"/>
            </w:tcBorders>
            <w:shd w:val="clear" w:color="auto" w:fill="auto"/>
            <w:vAlign w:val="center"/>
          </w:tcPr>
          <w:p w14:paraId="60F799DB"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PRE</w:t>
            </w:r>
          </w:p>
        </w:tc>
        <w:tc>
          <w:tcPr>
            <w:tcW w:w="562" w:type="pct"/>
            <w:tcBorders>
              <w:top w:val="single" w:sz="4" w:space="0" w:color="FFFFFF" w:themeColor="background1"/>
              <w:left w:val="nil"/>
              <w:bottom w:val="single" w:sz="4" w:space="0" w:color="auto"/>
              <w:right w:val="nil"/>
            </w:tcBorders>
            <w:shd w:val="clear" w:color="auto" w:fill="auto"/>
            <w:vAlign w:val="center"/>
          </w:tcPr>
          <w:p w14:paraId="15D650BC" w14:textId="77777777" w:rsidR="00244A4B" w:rsidRPr="006076FC" w:rsidRDefault="00244A4B" w:rsidP="00244A4B">
            <w:pPr>
              <w:pStyle w:val="MDPI42tablebody"/>
              <w:autoSpaceDE w:val="0"/>
              <w:autoSpaceDN w:val="0"/>
              <w:spacing w:line="240" w:lineRule="auto"/>
              <w:rPr>
                <w:b/>
                <w:bCs/>
                <w:sz w:val="18"/>
                <w:szCs w:val="18"/>
                <w:lang w:val="en-GB"/>
              </w:rPr>
            </w:pPr>
            <w:r w:rsidRPr="006076FC">
              <w:rPr>
                <w:b/>
                <w:bCs/>
                <w:sz w:val="18"/>
                <w:szCs w:val="18"/>
                <w:lang w:val="en-GB"/>
              </w:rPr>
              <w:t>POST</w:t>
            </w:r>
          </w:p>
        </w:tc>
        <w:tc>
          <w:tcPr>
            <w:tcW w:w="502" w:type="pct"/>
            <w:vMerge/>
            <w:tcBorders>
              <w:top w:val="single" w:sz="8" w:space="0" w:color="auto"/>
              <w:left w:val="nil"/>
              <w:bottom w:val="single" w:sz="4" w:space="0" w:color="auto"/>
              <w:right w:val="nil"/>
            </w:tcBorders>
            <w:shd w:val="clear" w:color="auto" w:fill="auto"/>
            <w:vAlign w:val="center"/>
          </w:tcPr>
          <w:p w14:paraId="59E3FE88" w14:textId="77777777" w:rsidR="00244A4B" w:rsidRPr="006076FC" w:rsidRDefault="00244A4B" w:rsidP="00244A4B">
            <w:pPr>
              <w:pStyle w:val="MDPI42tablebody"/>
              <w:autoSpaceDE w:val="0"/>
              <w:autoSpaceDN w:val="0"/>
              <w:spacing w:line="240" w:lineRule="auto"/>
              <w:rPr>
                <w:i/>
                <w:sz w:val="18"/>
                <w:szCs w:val="18"/>
                <w:lang w:val="en-GB"/>
              </w:rPr>
            </w:pPr>
          </w:p>
        </w:tc>
        <w:tc>
          <w:tcPr>
            <w:tcW w:w="504" w:type="pct"/>
            <w:vMerge/>
            <w:tcBorders>
              <w:left w:val="nil"/>
              <w:bottom w:val="single" w:sz="4" w:space="0" w:color="auto"/>
              <w:right w:val="nil"/>
            </w:tcBorders>
            <w:shd w:val="clear" w:color="auto" w:fill="auto"/>
            <w:vAlign w:val="center"/>
          </w:tcPr>
          <w:p w14:paraId="1AA89720" w14:textId="77777777" w:rsidR="00244A4B" w:rsidRPr="006076FC" w:rsidRDefault="00244A4B" w:rsidP="00244A4B">
            <w:pPr>
              <w:pStyle w:val="MDPI42tablebody"/>
              <w:autoSpaceDE w:val="0"/>
              <w:autoSpaceDN w:val="0"/>
              <w:spacing w:line="240" w:lineRule="auto"/>
              <w:rPr>
                <w:i/>
                <w:sz w:val="18"/>
                <w:szCs w:val="18"/>
                <w:lang w:val="en-GB"/>
              </w:rPr>
            </w:pPr>
          </w:p>
        </w:tc>
        <w:tc>
          <w:tcPr>
            <w:tcW w:w="569" w:type="pct"/>
            <w:vMerge/>
            <w:tcBorders>
              <w:left w:val="nil"/>
              <w:bottom w:val="single" w:sz="4" w:space="0" w:color="auto"/>
              <w:right w:val="nil"/>
            </w:tcBorders>
            <w:shd w:val="clear" w:color="auto" w:fill="auto"/>
            <w:vAlign w:val="center"/>
          </w:tcPr>
          <w:p w14:paraId="50BA79CB" w14:textId="77777777" w:rsidR="00244A4B" w:rsidRPr="006076FC" w:rsidRDefault="00244A4B" w:rsidP="00244A4B">
            <w:pPr>
              <w:pStyle w:val="MDPI42tablebody"/>
              <w:autoSpaceDE w:val="0"/>
              <w:autoSpaceDN w:val="0"/>
              <w:spacing w:line="240" w:lineRule="auto"/>
              <w:rPr>
                <w:i/>
                <w:sz w:val="18"/>
                <w:szCs w:val="18"/>
                <w:lang w:val="en-GB"/>
              </w:rPr>
            </w:pPr>
          </w:p>
        </w:tc>
      </w:tr>
      <w:tr w:rsidR="004B2F71" w:rsidRPr="006076FC" w14:paraId="5112735C" w14:textId="77777777" w:rsidTr="00A971C9">
        <w:trPr>
          <w:jc w:val="center"/>
        </w:trPr>
        <w:tc>
          <w:tcPr>
            <w:tcW w:w="862" w:type="pct"/>
            <w:tcBorders>
              <w:top w:val="single" w:sz="4" w:space="0" w:color="auto"/>
              <w:bottom w:val="single" w:sz="4" w:space="0" w:color="auto"/>
              <w:right w:val="nil"/>
            </w:tcBorders>
            <w:shd w:val="clear" w:color="auto" w:fill="auto"/>
            <w:vAlign w:val="center"/>
          </w:tcPr>
          <w:p w14:paraId="3E69750A"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 xml:space="preserve">Brachial Artery </w:t>
            </w:r>
          </w:p>
        </w:tc>
        <w:tc>
          <w:tcPr>
            <w:tcW w:w="517" w:type="pct"/>
            <w:tcBorders>
              <w:top w:val="single" w:sz="4" w:space="0" w:color="auto"/>
              <w:left w:val="nil"/>
              <w:bottom w:val="single" w:sz="4" w:space="0" w:color="auto"/>
              <w:right w:val="nil"/>
            </w:tcBorders>
            <w:shd w:val="clear" w:color="auto" w:fill="auto"/>
            <w:vAlign w:val="center"/>
          </w:tcPr>
          <w:p w14:paraId="6EBBD3E0" w14:textId="77777777" w:rsidR="00244A4B" w:rsidRPr="006076FC" w:rsidRDefault="00244A4B" w:rsidP="00244A4B">
            <w:pPr>
              <w:pStyle w:val="MDPI42tablebody"/>
              <w:autoSpaceDE w:val="0"/>
              <w:autoSpaceDN w:val="0"/>
              <w:spacing w:line="240" w:lineRule="auto"/>
              <w:rPr>
                <w:sz w:val="18"/>
                <w:szCs w:val="18"/>
                <w:lang w:val="en-GB"/>
              </w:rPr>
            </w:pPr>
          </w:p>
        </w:tc>
        <w:tc>
          <w:tcPr>
            <w:tcW w:w="477" w:type="pct"/>
            <w:tcBorders>
              <w:top w:val="single" w:sz="4" w:space="0" w:color="auto"/>
              <w:left w:val="nil"/>
              <w:bottom w:val="single" w:sz="4" w:space="0" w:color="auto"/>
              <w:right w:val="nil"/>
            </w:tcBorders>
            <w:shd w:val="clear" w:color="auto" w:fill="auto"/>
            <w:vAlign w:val="center"/>
          </w:tcPr>
          <w:p w14:paraId="36BC3103" w14:textId="77777777" w:rsidR="00244A4B" w:rsidRPr="006076FC" w:rsidRDefault="00244A4B" w:rsidP="00244A4B">
            <w:pPr>
              <w:pStyle w:val="MDPI42tablebody"/>
              <w:autoSpaceDE w:val="0"/>
              <w:autoSpaceDN w:val="0"/>
              <w:spacing w:line="240" w:lineRule="auto"/>
              <w:rPr>
                <w:sz w:val="18"/>
                <w:szCs w:val="18"/>
                <w:lang w:val="en-GB"/>
              </w:rPr>
            </w:pPr>
          </w:p>
        </w:tc>
        <w:tc>
          <w:tcPr>
            <w:tcW w:w="504" w:type="pct"/>
            <w:tcBorders>
              <w:top w:val="single" w:sz="4" w:space="0" w:color="auto"/>
              <w:left w:val="nil"/>
              <w:bottom w:val="single" w:sz="4" w:space="0" w:color="auto"/>
              <w:right w:val="nil"/>
            </w:tcBorders>
            <w:shd w:val="clear" w:color="auto" w:fill="auto"/>
            <w:vAlign w:val="center"/>
          </w:tcPr>
          <w:p w14:paraId="6CB104A6" w14:textId="77777777" w:rsidR="00244A4B" w:rsidRPr="006076FC" w:rsidRDefault="00244A4B" w:rsidP="00244A4B">
            <w:pPr>
              <w:pStyle w:val="MDPI42tablebody"/>
              <w:autoSpaceDE w:val="0"/>
              <w:autoSpaceDN w:val="0"/>
              <w:spacing w:line="240" w:lineRule="auto"/>
              <w:rPr>
                <w:sz w:val="18"/>
                <w:szCs w:val="18"/>
                <w:lang w:val="en-GB"/>
              </w:rPr>
            </w:pPr>
          </w:p>
        </w:tc>
        <w:tc>
          <w:tcPr>
            <w:tcW w:w="503" w:type="pct"/>
            <w:tcBorders>
              <w:top w:val="single" w:sz="4" w:space="0" w:color="FFFFFF"/>
              <w:left w:val="nil"/>
              <w:bottom w:val="single" w:sz="4" w:space="0" w:color="auto"/>
              <w:right w:val="nil"/>
            </w:tcBorders>
            <w:shd w:val="clear" w:color="auto" w:fill="auto"/>
            <w:vAlign w:val="center"/>
          </w:tcPr>
          <w:p w14:paraId="5E0C35DC" w14:textId="77777777" w:rsidR="00244A4B" w:rsidRPr="006076FC" w:rsidRDefault="00244A4B" w:rsidP="00244A4B">
            <w:pPr>
              <w:pStyle w:val="MDPI42tablebody"/>
              <w:autoSpaceDE w:val="0"/>
              <w:autoSpaceDN w:val="0"/>
              <w:spacing w:line="240" w:lineRule="auto"/>
              <w:rPr>
                <w:sz w:val="18"/>
                <w:szCs w:val="18"/>
                <w:lang w:val="en-GB"/>
              </w:rPr>
            </w:pPr>
          </w:p>
        </w:tc>
        <w:tc>
          <w:tcPr>
            <w:tcW w:w="562" w:type="pct"/>
            <w:tcBorders>
              <w:top w:val="single" w:sz="4" w:space="0" w:color="FFFFFF"/>
              <w:left w:val="nil"/>
              <w:bottom w:val="single" w:sz="4" w:space="0" w:color="auto"/>
              <w:right w:val="nil"/>
            </w:tcBorders>
            <w:shd w:val="clear" w:color="auto" w:fill="auto"/>
            <w:vAlign w:val="center"/>
          </w:tcPr>
          <w:p w14:paraId="157B25F2" w14:textId="77777777" w:rsidR="00244A4B" w:rsidRPr="006076FC" w:rsidRDefault="00244A4B" w:rsidP="00244A4B">
            <w:pPr>
              <w:pStyle w:val="MDPI42tablebody"/>
              <w:autoSpaceDE w:val="0"/>
              <w:autoSpaceDN w:val="0"/>
              <w:spacing w:line="240" w:lineRule="auto"/>
              <w:rPr>
                <w:sz w:val="18"/>
                <w:szCs w:val="18"/>
                <w:lang w:val="en-GB"/>
              </w:rPr>
            </w:pPr>
          </w:p>
        </w:tc>
        <w:tc>
          <w:tcPr>
            <w:tcW w:w="502" w:type="pct"/>
            <w:tcBorders>
              <w:top w:val="single" w:sz="4" w:space="0" w:color="auto"/>
              <w:left w:val="nil"/>
              <w:bottom w:val="single" w:sz="4" w:space="0" w:color="auto"/>
              <w:right w:val="nil"/>
            </w:tcBorders>
            <w:shd w:val="clear" w:color="auto" w:fill="auto"/>
            <w:vAlign w:val="center"/>
          </w:tcPr>
          <w:p w14:paraId="306B7368" w14:textId="77777777" w:rsidR="00244A4B" w:rsidRPr="006076FC" w:rsidRDefault="00244A4B" w:rsidP="00244A4B">
            <w:pPr>
              <w:pStyle w:val="MDPI42tablebody"/>
              <w:autoSpaceDE w:val="0"/>
              <w:autoSpaceDN w:val="0"/>
              <w:spacing w:line="240" w:lineRule="auto"/>
              <w:rPr>
                <w:i/>
                <w:sz w:val="18"/>
                <w:szCs w:val="18"/>
                <w:lang w:val="en-GB"/>
              </w:rPr>
            </w:pPr>
          </w:p>
        </w:tc>
        <w:tc>
          <w:tcPr>
            <w:tcW w:w="504" w:type="pct"/>
            <w:tcBorders>
              <w:top w:val="single" w:sz="4" w:space="0" w:color="auto"/>
              <w:left w:val="nil"/>
              <w:bottom w:val="single" w:sz="4" w:space="0" w:color="auto"/>
              <w:right w:val="nil"/>
            </w:tcBorders>
            <w:shd w:val="clear" w:color="auto" w:fill="auto"/>
            <w:vAlign w:val="center"/>
          </w:tcPr>
          <w:p w14:paraId="253722FE" w14:textId="77777777" w:rsidR="00244A4B" w:rsidRPr="006076FC" w:rsidRDefault="00244A4B" w:rsidP="00244A4B">
            <w:pPr>
              <w:pStyle w:val="MDPI42tablebody"/>
              <w:autoSpaceDE w:val="0"/>
              <w:autoSpaceDN w:val="0"/>
              <w:spacing w:line="240" w:lineRule="auto"/>
              <w:rPr>
                <w:i/>
                <w:sz w:val="18"/>
                <w:szCs w:val="18"/>
                <w:lang w:val="en-GB"/>
              </w:rPr>
            </w:pPr>
          </w:p>
        </w:tc>
        <w:tc>
          <w:tcPr>
            <w:tcW w:w="569" w:type="pct"/>
            <w:tcBorders>
              <w:top w:val="single" w:sz="4" w:space="0" w:color="auto"/>
              <w:left w:val="nil"/>
              <w:bottom w:val="single" w:sz="4" w:space="0" w:color="auto"/>
              <w:right w:val="nil"/>
            </w:tcBorders>
            <w:shd w:val="clear" w:color="auto" w:fill="auto"/>
            <w:vAlign w:val="center"/>
          </w:tcPr>
          <w:p w14:paraId="4F462551" w14:textId="77777777" w:rsidR="00244A4B" w:rsidRPr="006076FC" w:rsidRDefault="00244A4B" w:rsidP="00244A4B">
            <w:pPr>
              <w:pStyle w:val="MDPI42tablebody"/>
              <w:autoSpaceDE w:val="0"/>
              <w:autoSpaceDN w:val="0"/>
              <w:spacing w:line="240" w:lineRule="auto"/>
              <w:rPr>
                <w:i/>
                <w:sz w:val="18"/>
                <w:szCs w:val="18"/>
                <w:lang w:val="en-GB"/>
              </w:rPr>
            </w:pPr>
          </w:p>
        </w:tc>
      </w:tr>
      <w:tr w:rsidR="004B2F71" w:rsidRPr="006076FC" w14:paraId="19E0B526" w14:textId="77777777" w:rsidTr="00A971C9">
        <w:trPr>
          <w:trHeight w:val="312"/>
          <w:jc w:val="center"/>
        </w:trPr>
        <w:tc>
          <w:tcPr>
            <w:tcW w:w="862" w:type="pct"/>
            <w:tcBorders>
              <w:top w:val="single" w:sz="4" w:space="0" w:color="auto"/>
              <w:bottom w:val="single" w:sz="4" w:space="0" w:color="FFFFFF" w:themeColor="background1"/>
              <w:right w:val="nil"/>
            </w:tcBorders>
            <w:shd w:val="clear" w:color="auto" w:fill="auto"/>
            <w:vAlign w:val="center"/>
            <w:hideMark/>
          </w:tcPr>
          <w:p w14:paraId="4BE06F95"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Baseline Diameter (cm)</w:t>
            </w:r>
          </w:p>
        </w:tc>
        <w:tc>
          <w:tcPr>
            <w:tcW w:w="517" w:type="pct"/>
            <w:tcBorders>
              <w:top w:val="single" w:sz="4" w:space="0" w:color="auto"/>
              <w:left w:val="nil"/>
              <w:bottom w:val="single" w:sz="4" w:space="0" w:color="FFFFFF" w:themeColor="background1"/>
              <w:right w:val="nil"/>
            </w:tcBorders>
            <w:shd w:val="clear" w:color="auto" w:fill="auto"/>
            <w:vAlign w:val="center"/>
          </w:tcPr>
          <w:p w14:paraId="7C2574D4" w14:textId="7D8692C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0.34</w:t>
            </w:r>
            <w:r w:rsidR="001C5864" w:rsidRPr="006076FC">
              <w:rPr>
                <w:sz w:val="18"/>
                <w:szCs w:val="18"/>
                <w:lang w:val="en-GB"/>
              </w:rPr>
              <w:t xml:space="preserve"> ± </w:t>
            </w:r>
            <w:r w:rsidRPr="006076FC">
              <w:rPr>
                <w:sz w:val="18"/>
                <w:szCs w:val="18"/>
                <w:lang w:val="en-GB"/>
              </w:rPr>
              <w:t>0.09</w:t>
            </w:r>
          </w:p>
        </w:tc>
        <w:tc>
          <w:tcPr>
            <w:tcW w:w="477" w:type="pct"/>
            <w:tcBorders>
              <w:top w:val="single" w:sz="4" w:space="0" w:color="auto"/>
              <w:left w:val="nil"/>
              <w:bottom w:val="single" w:sz="4" w:space="0" w:color="FFFFFF" w:themeColor="background1"/>
              <w:right w:val="nil"/>
            </w:tcBorders>
            <w:shd w:val="clear" w:color="auto" w:fill="auto"/>
            <w:vAlign w:val="center"/>
          </w:tcPr>
          <w:p w14:paraId="43FFD0B7" w14:textId="292ED739"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0.34</w:t>
            </w:r>
            <w:r w:rsidR="001C5864" w:rsidRPr="006076FC">
              <w:rPr>
                <w:sz w:val="18"/>
                <w:szCs w:val="18"/>
                <w:lang w:val="en-GB"/>
              </w:rPr>
              <w:t xml:space="preserve"> ± </w:t>
            </w:r>
            <w:r w:rsidRPr="006076FC">
              <w:rPr>
                <w:sz w:val="18"/>
                <w:szCs w:val="18"/>
                <w:lang w:val="en-GB"/>
              </w:rPr>
              <w:t>0.09</w:t>
            </w:r>
          </w:p>
        </w:tc>
        <w:tc>
          <w:tcPr>
            <w:tcW w:w="504" w:type="pct"/>
            <w:tcBorders>
              <w:top w:val="single" w:sz="4" w:space="0" w:color="auto"/>
              <w:left w:val="nil"/>
              <w:bottom w:val="single" w:sz="4" w:space="0" w:color="FFFFFF" w:themeColor="background1"/>
              <w:right w:val="nil"/>
            </w:tcBorders>
            <w:shd w:val="clear" w:color="auto" w:fill="auto"/>
            <w:vAlign w:val="center"/>
          </w:tcPr>
          <w:p w14:paraId="47F6E54E" w14:textId="6FBFEC5E"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0.00</w:t>
            </w:r>
            <w:r w:rsidR="001C5864" w:rsidRPr="006076FC">
              <w:rPr>
                <w:sz w:val="18"/>
                <w:szCs w:val="18"/>
                <w:lang w:val="en-GB"/>
              </w:rPr>
              <w:t xml:space="preserve"> ± </w:t>
            </w:r>
            <w:r w:rsidRPr="006076FC">
              <w:rPr>
                <w:sz w:val="18"/>
                <w:szCs w:val="18"/>
                <w:lang w:val="en-GB"/>
              </w:rPr>
              <w:t>0.02</w:t>
            </w:r>
          </w:p>
        </w:tc>
        <w:tc>
          <w:tcPr>
            <w:tcW w:w="503" w:type="pct"/>
            <w:tcBorders>
              <w:top w:val="single" w:sz="4" w:space="0" w:color="auto"/>
              <w:left w:val="nil"/>
              <w:bottom w:val="single" w:sz="4" w:space="0" w:color="FFFFFF" w:themeColor="background1"/>
              <w:right w:val="nil"/>
            </w:tcBorders>
            <w:shd w:val="clear" w:color="auto" w:fill="auto"/>
            <w:vAlign w:val="center"/>
          </w:tcPr>
          <w:p w14:paraId="65C7BF98" w14:textId="7BCE3C44"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0.36</w:t>
            </w:r>
            <w:r w:rsidR="001C5864" w:rsidRPr="006076FC">
              <w:rPr>
                <w:sz w:val="18"/>
                <w:szCs w:val="18"/>
                <w:lang w:val="en-GB"/>
              </w:rPr>
              <w:t xml:space="preserve"> ± </w:t>
            </w:r>
            <w:r w:rsidRPr="006076FC">
              <w:rPr>
                <w:sz w:val="18"/>
                <w:szCs w:val="18"/>
                <w:lang w:val="en-GB"/>
              </w:rPr>
              <w:t>0.08</w:t>
            </w:r>
          </w:p>
        </w:tc>
        <w:tc>
          <w:tcPr>
            <w:tcW w:w="562" w:type="pct"/>
            <w:tcBorders>
              <w:top w:val="single" w:sz="4" w:space="0" w:color="auto"/>
              <w:left w:val="nil"/>
              <w:bottom w:val="single" w:sz="4" w:space="0" w:color="FFFFFF" w:themeColor="background1"/>
              <w:right w:val="nil"/>
            </w:tcBorders>
            <w:shd w:val="clear" w:color="auto" w:fill="auto"/>
            <w:vAlign w:val="center"/>
          </w:tcPr>
          <w:p w14:paraId="3B0E1764" w14:textId="1BE46569"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0.35</w:t>
            </w:r>
            <w:r w:rsidR="001C5864" w:rsidRPr="006076FC">
              <w:rPr>
                <w:sz w:val="18"/>
                <w:szCs w:val="18"/>
                <w:lang w:val="en-GB"/>
              </w:rPr>
              <w:t xml:space="preserve"> ± </w:t>
            </w:r>
            <w:r w:rsidRPr="006076FC">
              <w:rPr>
                <w:sz w:val="18"/>
                <w:szCs w:val="18"/>
                <w:lang w:val="en-GB"/>
              </w:rPr>
              <w:t>0.09</w:t>
            </w:r>
          </w:p>
        </w:tc>
        <w:tc>
          <w:tcPr>
            <w:tcW w:w="502" w:type="pct"/>
            <w:tcBorders>
              <w:top w:val="single" w:sz="4" w:space="0" w:color="auto"/>
              <w:left w:val="nil"/>
              <w:bottom w:val="single" w:sz="4" w:space="0" w:color="FFFFFF" w:themeColor="background1"/>
              <w:right w:val="nil"/>
            </w:tcBorders>
            <w:shd w:val="clear" w:color="auto" w:fill="auto"/>
            <w:vAlign w:val="center"/>
          </w:tcPr>
          <w:p w14:paraId="26A423C2" w14:textId="3A009797" w:rsidR="00244A4B" w:rsidRPr="00E50D6C" w:rsidRDefault="004B2F71" w:rsidP="00244A4B">
            <w:pPr>
              <w:pStyle w:val="MDPI42tablebody"/>
              <w:autoSpaceDE w:val="0"/>
              <w:autoSpaceDN w:val="0"/>
              <w:spacing w:line="240" w:lineRule="auto"/>
              <w:rPr>
                <w:i/>
                <w:sz w:val="18"/>
                <w:szCs w:val="18"/>
                <w:lang w:val="en-GB"/>
              </w:rPr>
            </w:pPr>
            <w:r w:rsidRPr="00E50D6C">
              <w:rPr>
                <w:sz w:val="18"/>
                <w:szCs w:val="18"/>
                <w:lang w:val="en-GB"/>
              </w:rPr>
              <w:t>−</w:t>
            </w:r>
            <w:r w:rsidR="00244A4B" w:rsidRPr="00E50D6C">
              <w:rPr>
                <w:sz w:val="18"/>
                <w:szCs w:val="18"/>
                <w:lang w:val="en-GB"/>
              </w:rPr>
              <w:t>0.01</w:t>
            </w:r>
            <w:r w:rsidR="001C5864" w:rsidRPr="00E50D6C">
              <w:rPr>
                <w:sz w:val="18"/>
                <w:szCs w:val="18"/>
                <w:lang w:val="en-GB"/>
              </w:rPr>
              <w:t xml:space="preserve"> ± </w:t>
            </w:r>
            <w:r w:rsidR="00244A4B" w:rsidRPr="00E50D6C">
              <w:rPr>
                <w:sz w:val="18"/>
                <w:szCs w:val="18"/>
                <w:lang w:val="en-GB"/>
              </w:rPr>
              <w:t>0.02</w:t>
            </w:r>
          </w:p>
        </w:tc>
        <w:tc>
          <w:tcPr>
            <w:tcW w:w="504" w:type="pct"/>
            <w:tcBorders>
              <w:top w:val="single" w:sz="4" w:space="0" w:color="auto"/>
              <w:left w:val="nil"/>
              <w:bottom w:val="single" w:sz="4" w:space="0" w:color="FFFFFF" w:themeColor="background1"/>
              <w:right w:val="nil"/>
            </w:tcBorders>
            <w:shd w:val="clear" w:color="auto" w:fill="auto"/>
            <w:vAlign w:val="center"/>
          </w:tcPr>
          <w:p w14:paraId="01FC8772" w14:textId="0A39258E" w:rsidR="00244A4B" w:rsidRPr="00E50D6C" w:rsidRDefault="004B2F71" w:rsidP="00244A4B">
            <w:pPr>
              <w:pStyle w:val="MDPI42tablebody"/>
              <w:autoSpaceDE w:val="0"/>
              <w:autoSpaceDN w:val="0"/>
              <w:spacing w:line="240" w:lineRule="auto"/>
              <w:rPr>
                <w:i/>
                <w:sz w:val="18"/>
                <w:szCs w:val="18"/>
                <w:lang w:val="en-GB"/>
              </w:rPr>
            </w:pPr>
            <w:r w:rsidRPr="00E50D6C">
              <w:rPr>
                <w:sz w:val="18"/>
                <w:szCs w:val="18"/>
                <w:lang w:val="en-GB"/>
              </w:rPr>
              <w:t>−</w:t>
            </w:r>
            <w:r w:rsidR="00244A4B" w:rsidRPr="00E50D6C">
              <w:rPr>
                <w:sz w:val="18"/>
                <w:szCs w:val="18"/>
                <w:lang w:val="en-GB"/>
              </w:rPr>
              <w:t>0.01</w:t>
            </w:r>
            <w:r w:rsidR="001C5864" w:rsidRPr="00E50D6C">
              <w:rPr>
                <w:sz w:val="18"/>
                <w:szCs w:val="18"/>
                <w:lang w:val="en-GB"/>
              </w:rPr>
              <w:t xml:space="preserve"> ± </w:t>
            </w:r>
            <w:r w:rsidR="00244A4B" w:rsidRPr="00E50D6C">
              <w:rPr>
                <w:sz w:val="18"/>
                <w:szCs w:val="18"/>
                <w:lang w:val="en-GB"/>
              </w:rPr>
              <w:t>0.03</w:t>
            </w:r>
          </w:p>
        </w:tc>
        <w:tc>
          <w:tcPr>
            <w:tcW w:w="569" w:type="pct"/>
            <w:tcBorders>
              <w:top w:val="single" w:sz="4" w:space="0" w:color="auto"/>
              <w:left w:val="nil"/>
              <w:bottom w:val="single" w:sz="4" w:space="0" w:color="FFFFFF" w:themeColor="background1"/>
              <w:right w:val="nil"/>
            </w:tcBorders>
            <w:shd w:val="clear" w:color="auto" w:fill="auto"/>
            <w:vAlign w:val="center"/>
          </w:tcPr>
          <w:p w14:paraId="4FE4DC35"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0.52</w:t>
            </w:r>
          </w:p>
        </w:tc>
      </w:tr>
      <w:tr w:rsidR="004B2F71" w:rsidRPr="006076FC" w14:paraId="299A67E8" w14:textId="77777777" w:rsidTr="00A971C9">
        <w:trPr>
          <w:trHeight w:val="312"/>
          <w:jc w:val="center"/>
        </w:trPr>
        <w:tc>
          <w:tcPr>
            <w:tcW w:w="862" w:type="pct"/>
            <w:tcBorders>
              <w:top w:val="single" w:sz="4" w:space="0" w:color="FFFFFF" w:themeColor="background1"/>
              <w:bottom w:val="single" w:sz="4" w:space="0" w:color="FFFFFF" w:themeColor="background1"/>
              <w:right w:val="nil"/>
            </w:tcBorders>
            <w:shd w:val="clear" w:color="auto" w:fill="auto"/>
            <w:vAlign w:val="center"/>
          </w:tcPr>
          <w:p w14:paraId="5C923FC1"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FMD (%)</w:t>
            </w:r>
          </w:p>
        </w:tc>
        <w:tc>
          <w:tcPr>
            <w:tcW w:w="517" w:type="pct"/>
            <w:tcBorders>
              <w:top w:val="single" w:sz="4" w:space="0" w:color="FFFFFF" w:themeColor="background1"/>
              <w:left w:val="nil"/>
              <w:bottom w:val="single" w:sz="4" w:space="0" w:color="FFFFFF" w:themeColor="background1"/>
              <w:right w:val="nil"/>
            </w:tcBorders>
            <w:shd w:val="clear" w:color="auto" w:fill="auto"/>
            <w:vAlign w:val="center"/>
          </w:tcPr>
          <w:p w14:paraId="71A4BDDB" w14:textId="7CB49CBC"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6.1</w:t>
            </w:r>
            <w:r w:rsidR="001C5864" w:rsidRPr="006076FC">
              <w:rPr>
                <w:sz w:val="18"/>
                <w:szCs w:val="18"/>
                <w:lang w:val="en-GB"/>
              </w:rPr>
              <w:t xml:space="preserve"> ± </w:t>
            </w:r>
            <w:r w:rsidRPr="006076FC">
              <w:rPr>
                <w:sz w:val="18"/>
                <w:szCs w:val="18"/>
                <w:lang w:val="en-GB"/>
              </w:rPr>
              <w:t>3.6</w:t>
            </w:r>
          </w:p>
        </w:tc>
        <w:tc>
          <w:tcPr>
            <w:tcW w:w="477" w:type="pct"/>
            <w:tcBorders>
              <w:top w:val="single" w:sz="4" w:space="0" w:color="FFFFFF" w:themeColor="background1"/>
              <w:left w:val="nil"/>
              <w:bottom w:val="single" w:sz="4" w:space="0" w:color="FFFFFF" w:themeColor="background1"/>
              <w:right w:val="nil"/>
            </w:tcBorders>
            <w:shd w:val="clear" w:color="auto" w:fill="auto"/>
            <w:vAlign w:val="center"/>
          </w:tcPr>
          <w:p w14:paraId="5814663B" w14:textId="3B524FC4"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7.3</w:t>
            </w:r>
            <w:r w:rsidR="001C5864" w:rsidRPr="006076FC">
              <w:rPr>
                <w:sz w:val="18"/>
                <w:szCs w:val="18"/>
                <w:lang w:val="en-GB"/>
              </w:rPr>
              <w:t xml:space="preserve"> ± </w:t>
            </w:r>
            <w:r w:rsidRPr="006076FC">
              <w:rPr>
                <w:sz w:val="18"/>
                <w:szCs w:val="18"/>
                <w:lang w:val="en-GB"/>
              </w:rPr>
              <w:t>4.3</w:t>
            </w:r>
          </w:p>
        </w:tc>
        <w:tc>
          <w:tcPr>
            <w:tcW w:w="504" w:type="pct"/>
            <w:tcBorders>
              <w:top w:val="single" w:sz="4" w:space="0" w:color="FFFFFF" w:themeColor="background1"/>
              <w:left w:val="nil"/>
              <w:bottom w:val="single" w:sz="4" w:space="0" w:color="FFFFFF" w:themeColor="background1"/>
              <w:right w:val="nil"/>
            </w:tcBorders>
            <w:shd w:val="clear" w:color="auto" w:fill="auto"/>
            <w:vAlign w:val="center"/>
          </w:tcPr>
          <w:p w14:paraId="21A2C006" w14:textId="06D6D349"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1.2</w:t>
            </w:r>
            <w:r w:rsidR="001C5864" w:rsidRPr="006076FC">
              <w:rPr>
                <w:sz w:val="18"/>
                <w:szCs w:val="18"/>
                <w:lang w:val="en-GB"/>
              </w:rPr>
              <w:t xml:space="preserve"> ± </w:t>
            </w:r>
            <w:r w:rsidRPr="006076FC">
              <w:rPr>
                <w:sz w:val="18"/>
                <w:szCs w:val="18"/>
                <w:lang w:val="en-GB"/>
              </w:rPr>
              <w:t>3.4</w:t>
            </w:r>
          </w:p>
        </w:tc>
        <w:tc>
          <w:tcPr>
            <w:tcW w:w="503" w:type="pct"/>
            <w:tcBorders>
              <w:top w:val="single" w:sz="4" w:space="0" w:color="FFFFFF" w:themeColor="background1"/>
              <w:left w:val="nil"/>
              <w:bottom w:val="single" w:sz="4" w:space="0" w:color="FFFFFF" w:themeColor="background1"/>
              <w:right w:val="nil"/>
            </w:tcBorders>
            <w:shd w:val="clear" w:color="auto" w:fill="auto"/>
            <w:vAlign w:val="center"/>
          </w:tcPr>
          <w:p w14:paraId="7BAD70CE" w14:textId="5882606C"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6.5</w:t>
            </w:r>
            <w:r w:rsidR="001C5864" w:rsidRPr="006076FC">
              <w:rPr>
                <w:sz w:val="18"/>
                <w:szCs w:val="18"/>
                <w:lang w:val="en-GB"/>
              </w:rPr>
              <w:t xml:space="preserve"> ± </w:t>
            </w:r>
            <w:r w:rsidRPr="006076FC">
              <w:rPr>
                <w:sz w:val="18"/>
                <w:szCs w:val="18"/>
                <w:lang w:val="en-GB"/>
              </w:rPr>
              <w:t>3.9</w:t>
            </w:r>
          </w:p>
        </w:tc>
        <w:tc>
          <w:tcPr>
            <w:tcW w:w="562" w:type="pct"/>
            <w:tcBorders>
              <w:top w:val="single" w:sz="4" w:space="0" w:color="FFFFFF" w:themeColor="background1"/>
              <w:left w:val="nil"/>
              <w:bottom w:val="single" w:sz="4" w:space="0" w:color="FFFFFF" w:themeColor="background1"/>
              <w:right w:val="nil"/>
            </w:tcBorders>
            <w:shd w:val="clear" w:color="auto" w:fill="auto"/>
            <w:vAlign w:val="center"/>
          </w:tcPr>
          <w:p w14:paraId="47CD8BBE" w14:textId="254037C8"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7.9</w:t>
            </w:r>
            <w:r w:rsidR="001C5864" w:rsidRPr="006076FC">
              <w:rPr>
                <w:sz w:val="18"/>
                <w:szCs w:val="18"/>
                <w:lang w:val="en-GB"/>
              </w:rPr>
              <w:t xml:space="preserve"> ± </w:t>
            </w:r>
            <w:r w:rsidRPr="006076FC">
              <w:rPr>
                <w:sz w:val="18"/>
                <w:szCs w:val="18"/>
                <w:lang w:val="en-GB"/>
              </w:rPr>
              <w:t>4.5</w:t>
            </w:r>
          </w:p>
        </w:tc>
        <w:tc>
          <w:tcPr>
            <w:tcW w:w="502" w:type="pct"/>
            <w:tcBorders>
              <w:top w:val="single" w:sz="4" w:space="0" w:color="FFFFFF" w:themeColor="background1"/>
              <w:left w:val="nil"/>
              <w:bottom w:val="single" w:sz="4" w:space="0" w:color="FFFFFF" w:themeColor="background1"/>
              <w:right w:val="nil"/>
            </w:tcBorders>
            <w:shd w:val="clear" w:color="auto" w:fill="auto"/>
            <w:vAlign w:val="center"/>
          </w:tcPr>
          <w:p w14:paraId="3376CA12" w14:textId="01684649"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1.4</w:t>
            </w:r>
            <w:r w:rsidR="001C5864" w:rsidRPr="00E50D6C">
              <w:rPr>
                <w:sz w:val="18"/>
                <w:szCs w:val="18"/>
                <w:lang w:val="en-GB"/>
              </w:rPr>
              <w:t xml:space="preserve"> ± </w:t>
            </w:r>
            <w:r w:rsidRPr="00E50D6C">
              <w:rPr>
                <w:sz w:val="18"/>
                <w:szCs w:val="18"/>
                <w:lang w:val="en-GB"/>
              </w:rPr>
              <w:t>5.8</w:t>
            </w:r>
          </w:p>
        </w:tc>
        <w:tc>
          <w:tcPr>
            <w:tcW w:w="504" w:type="pct"/>
            <w:tcBorders>
              <w:top w:val="single" w:sz="4" w:space="0" w:color="FFFFFF" w:themeColor="background1"/>
              <w:left w:val="nil"/>
              <w:bottom w:val="single" w:sz="4" w:space="0" w:color="FFFFFF" w:themeColor="background1"/>
              <w:right w:val="nil"/>
            </w:tcBorders>
            <w:shd w:val="clear" w:color="auto" w:fill="auto"/>
            <w:vAlign w:val="center"/>
          </w:tcPr>
          <w:p w14:paraId="6F32EA68" w14:textId="440CC661"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0.2</w:t>
            </w:r>
            <w:r w:rsidR="001C5864" w:rsidRPr="00E50D6C">
              <w:rPr>
                <w:sz w:val="18"/>
                <w:szCs w:val="18"/>
                <w:lang w:val="en-GB"/>
              </w:rPr>
              <w:t xml:space="preserve"> ± </w:t>
            </w:r>
            <w:r w:rsidRPr="00E50D6C">
              <w:rPr>
                <w:sz w:val="18"/>
                <w:szCs w:val="18"/>
                <w:lang w:val="en-GB"/>
              </w:rPr>
              <w:t>6.2</w:t>
            </w:r>
          </w:p>
        </w:tc>
        <w:tc>
          <w:tcPr>
            <w:tcW w:w="569" w:type="pct"/>
            <w:tcBorders>
              <w:top w:val="single" w:sz="4" w:space="0" w:color="FFFFFF" w:themeColor="background1"/>
              <w:left w:val="nil"/>
              <w:bottom w:val="single" w:sz="4" w:space="0" w:color="FFFFFF" w:themeColor="background1"/>
              <w:right w:val="nil"/>
            </w:tcBorders>
            <w:shd w:val="clear" w:color="auto" w:fill="auto"/>
            <w:vAlign w:val="center"/>
          </w:tcPr>
          <w:p w14:paraId="0F5777C5"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0.04</w:t>
            </w:r>
          </w:p>
        </w:tc>
      </w:tr>
      <w:tr w:rsidR="004B2F71" w:rsidRPr="006076FC" w14:paraId="7E2D015A" w14:textId="77777777" w:rsidTr="00A971C9">
        <w:trPr>
          <w:trHeight w:val="312"/>
          <w:jc w:val="center"/>
        </w:trPr>
        <w:tc>
          <w:tcPr>
            <w:tcW w:w="862" w:type="pct"/>
            <w:tcBorders>
              <w:top w:val="single" w:sz="4" w:space="0" w:color="FFFFFF" w:themeColor="background1"/>
              <w:bottom w:val="single" w:sz="4" w:space="0" w:color="FFFFFF" w:themeColor="background1"/>
            </w:tcBorders>
            <w:shd w:val="clear" w:color="auto" w:fill="auto"/>
            <w:vAlign w:val="center"/>
          </w:tcPr>
          <w:p w14:paraId="2390F09F"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Absolute FMD (cm)</w:t>
            </w:r>
          </w:p>
        </w:tc>
        <w:tc>
          <w:tcPr>
            <w:tcW w:w="517" w:type="pct"/>
            <w:tcBorders>
              <w:top w:val="single" w:sz="4" w:space="0" w:color="FFFFFF" w:themeColor="background1"/>
              <w:bottom w:val="single" w:sz="4" w:space="0" w:color="FFFFFF" w:themeColor="background1"/>
            </w:tcBorders>
            <w:shd w:val="clear" w:color="auto" w:fill="auto"/>
            <w:vAlign w:val="center"/>
          </w:tcPr>
          <w:p w14:paraId="0A6BC63A" w14:textId="1D9AAF01"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0.02</w:t>
            </w:r>
            <w:r w:rsidR="001C5864" w:rsidRPr="006076FC">
              <w:rPr>
                <w:sz w:val="18"/>
                <w:szCs w:val="18"/>
                <w:lang w:val="en-GB"/>
              </w:rPr>
              <w:t xml:space="preserve"> ± </w:t>
            </w:r>
            <w:r w:rsidRPr="006076FC">
              <w:rPr>
                <w:sz w:val="18"/>
                <w:szCs w:val="18"/>
                <w:lang w:val="en-GB"/>
              </w:rPr>
              <w:t>0.01</w:t>
            </w:r>
          </w:p>
        </w:tc>
        <w:tc>
          <w:tcPr>
            <w:tcW w:w="477" w:type="pct"/>
            <w:tcBorders>
              <w:top w:val="single" w:sz="4" w:space="0" w:color="FFFFFF" w:themeColor="background1"/>
              <w:bottom w:val="single" w:sz="4" w:space="0" w:color="FFFFFF" w:themeColor="background1"/>
            </w:tcBorders>
            <w:shd w:val="clear" w:color="auto" w:fill="auto"/>
            <w:vAlign w:val="center"/>
          </w:tcPr>
          <w:p w14:paraId="63A056F7" w14:textId="5BB9AE7F"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0.02</w:t>
            </w:r>
            <w:r w:rsidR="001C5864" w:rsidRPr="006076FC">
              <w:rPr>
                <w:sz w:val="18"/>
                <w:szCs w:val="18"/>
                <w:lang w:val="en-GB"/>
              </w:rPr>
              <w:t xml:space="preserve"> ± </w:t>
            </w:r>
            <w:r w:rsidRPr="006076FC">
              <w:rPr>
                <w:sz w:val="18"/>
                <w:szCs w:val="18"/>
                <w:lang w:val="en-GB"/>
              </w:rPr>
              <w:t>0.01</w:t>
            </w:r>
          </w:p>
        </w:tc>
        <w:tc>
          <w:tcPr>
            <w:tcW w:w="504" w:type="pct"/>
            <w:tcBorders>
              <w:top w:val="single" w:sz="4" w:space="0" w:color="FFFFFF" w:themeColor="background1"/>
              <w:bottom w:val="single" w:sz="4" w:space="0" w:color="FFFFFF" w:themeColor="background1"/>
            </w:tcBorders>
            <w:shd w:val="clear" w:color="auto" w:fill="auto"/>
            <w:vAlign w:val="center"/>
          </w:tcPr>
          <w:p w14:paraId="19352EE7" w14:textId="212CB84D"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0.00</w:t>
            </w:r>
            <w:r w:rsidR="001C5864" w:rsidRPr="006076FC">
              <w:rPr>
                <w:sz w:val="18"/>
                <w:szCs w:val="18"/>
                <w:lang w:val="en-GB"/>
              </w:rPr>
              <w:t xml:space="preserve"> ± </w:t>
            </w:r>
            <w:r w:rsidRPr="006076FC">
              <w:rPr>
                <w:sz w:val="18"/>
                <w:szCs w:val="18"/>
                <w:lang w:val="en-GB"/>
              </w:rPr>
              <w:t>0.01</w:t>
            </w:r>
          </w:p>
        </w:tc>
        <w:tc>
          <w:tcPr>
            <w:tcW w:w="503" w:type="pct"/>
            <w:tcBorders>
              <w:top w:val="single" w:sz="4" w:space="0" w:color="FFFFFF" w:themeColor="background1"/>
              <w:bottom w:val="single" w:sz="4" w:space="0" w:color="FFFFFF" w:themeColor="background1"/>
            </w:tcBorders>
            <w:shd w:val="clear" w:color="auto" w:fill="auto"/>
            <w:vAlign w:val="center"/>
          </w:tcPr>
          <w:p w14:paraId="28552059" w14:textId="648FA734"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0.02</w:t>
            </w:r>
            <w:r w:rsidR="001C5864" w:rsidRPr="006076FC">
              <w:rPr>
                <w:sz w:val="18"/>
                <w:szCs w:val="18"/>
                <w:lang w:val="en-GB"/>
              </w:rPr>
              <w:t xml:space="preserve"> ± </w:t>
            </w:r>
            <w:r w:rsidRPr="006076FC">
              <w:rPr>
                <w:sz w:val="18"/>
                <w:szCs w:val="18"/>
                <w:lang w:val="en-GB"/>
              </w:rPr>
              <w:t>0.01</w:t>
            </w:r>
          </w:p>
        </w:tc>
        <w:tc>
          <w:tcPr>
            <w:tcW w:w="562" w:type="pct"/>
            <w:tcBorders>
              <w:top w:val="single" w:sz="4" w:space="0" w:color="FFFFFF" w:themeColor="background1"/>
              <w:bottom w:val="single" w:sz="4" w:space="0" w:color="FFFFFF" w:themeColor="background1"/>
            </w:tcBorders>
            <w:shd w:val="clear" w:color="auto" w:fill="auto"/>
            <w:vAlign w:val="center"/>
          </w:tcPr>
          <w:p w14:paraId="64C6B44C" w14:textId="23AD0A34"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0.03</w:t>
            </w:r>
            <w:r w:rsidR="001C5864" w:rsidRPr="006076FC">
              <w:rPr>
                <w:sz w:val="18"/>
                <w:szCs w:val="18"/>
                <w:lang w:val="en-GB"/>
              </w:rPr>
              <w:t xml:space="preserve"> ± </w:t>
            </w:r>
            <w:r w:rsidRPr="006076FC">
              <w:rPr>
                <w:sz w:val="18"/>
                <w:szCs w:val="18"/>
                <w:lang w:val="en-GB"/>
              </w:rPr>
              <w:t>0.01</w:t>
            </w:r>
          </w:p>
        </w:tc>
        <w:tc>
          <w:tcPr>
            <w:tcW w:w="502" w:type="pct"/>
            <w:tcBorders>
              <w:top w:val="single" w:sz="4" w:space="0" w:color="FFFFFF" w:themeColor="background1"/>
              <w:bottom w:val="single" w:sz="4" w:space="0" w:color="FFFFFF" w:themeColor="background1"/>
            </w:tcBorders>
            <w:shd w:val="clear" w:color="auto" w:fill="auto"/>
            <w:vAlign w:val="center"/>
          </w:tcPr>
          <w:p w14:paraId="35FFA9C4" w14:textId="3853E73B"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0.01</w:t>
            </w:r>
            <w:r w:rsidR="001C5864" w:rsidRPr="00E50D6C">
              <w:rPr>
                <w:sz w:val="18"/>
                <w:szCs w:val="18"/>
                <w:lang w:val="en-GB"/>
              </w:rPr>
              <w:t xml:space="preserve"> ± </w:t>
            </w:r>
            <w:r w:rsidRPr="00E50D6C">
              <w:rPr>
                <w:sz w:val="18"/>
                <w:szCs w:val="18"/>
                <w:lang w:val="en-GB"/>
              </w:rPr>
              <w:t>0.02</w:t>
            </w:r>
          </w:p>
        </w:tc>
        <w:tc>
          <w:tcPr>
            <w:tcW w:w="504" w:type="pct"/>
            <w:tcBorders>
              <w:top w:val="single" w:sz="4" w:space="0" w:color="FFFFFF" w:themeColor="background1"/>
              <w:bottom w:val="single" w:sz="4" w:space="0" w:color="FFFFFF" w:themeColor="background1"/>
            </w:tcBorders>
            <w:shd w:val="clear" w:color="auto" w:fill="auto"/>
            <w:vAlign w:val="center"/>
          </w:tcPr>
          <w:p w14:paraId="2C209C18" w14:textId="2E314089"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0.01</w:t>
            </w:r>
            <w:r w:rsidR="001C5864" w:rsidRPr="00E50D6C">
              <w:rPr>
                <w:sz w:val="18"/>
                <w:szCs w:val="18"/>
                <w:lang w:val="en-GB"/>
              </w:rPr>
              <w:t xml:space="preserve"> ± </w:t>
            </w:r>
            <w:r w:rsidRPr="00E50D6C">
              <w:rPr>
                <w:sz w:val="18"/>
                <w:szCs w:val="18"/>
                <w:lang w:val="en-GB"/>
              </w:rPr>
              <w:t>0.02</w:t>
            </w:r>
          </w:p>
        </w:tc>
        <w:tc>
          <w:tcPr>
            <w:tcW w:w="569" w:type="pct"/>
            <w:tcBorders>
              <w:top w:val="single" w:sz="4" w:space="0" w:color="FFFFFF" w:themeColor="background1"/>
              <w:bottom w:val="single" w:sz="4" w:space="0" w:color="FFFFFF" w:themeColor="background1"/>
            </w:tcBorders>
            <w:shd w:val="clear" w:color="auto" w:fill="auto"/>
            <w:vAlign w:val="center"/>
          </w:tcPr>
          <w:p w14:paraId="7A112107"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0.66</w:t>
            </w:r>
          </w:p>
        </w:tc>
      </w:tr>
      <w:tr w:rsidR="004B2F71" w:rsidRPr="006076FC" w14:paraId="25AC7EB7" w14:textId="77777777" w:rsidTr="00A971C9">
        <w:trPr>
          <w:jc w:val="center"/>
        </w:trPr>
        <w:tc>
          <w:tcPr>
            <w:tcW w:w="862" w:type="pct"/>
            <w:tcBorders>
              <w:top w:val="single" w:sz="4" w:space="0" w:color="FFFFFF" w:themeColor="background1"/>
              <w:bottom w:val="single" w:sz="4" w:space="0" w:color="auto"/>
            </w:tcBorders>
            <w:shd w:val="clear" w:color="auto" w:fill="auto"/>
            <w:vAlign w:val="center"/>
          </w:tcPr>
          <w:p w14:paraId="1F99C49F"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 xml:space="preserve">SR AUC </w:t>
            </w:r>
          </w:p>
          <w:p w14:paraId="6918C307" w14:textId="3D6E0A0B" w:rsidR="00244A4B" w:rsidRPr="006076FC" w:rsidRDefault="00244A4B" w:rsidP="004B2F71">
            <w:pPr>
              <w:pStyle w:val="MDPI42tablebody"/>
              <w:autoSpaceDE w:val="0"/>
              <w:autoSpaceDN w:val="0"/>
              <w:spacing w:line="240" w:lineRule="auto"/>
              <w:rPr>
                <w:sz w:val="18"/>
                <w:szCs w:val="18"/>
                <w:lang w:val="en-GB"/>
              </w:rPr>
            </w:pPr>
            <w:r w:rsidRPr="006076FC">
              <w:rPr>
                <w:sz w:val="18"/>
                <w:szCs w:val="18"/>
                <w:lang w:val="en-GB"/>
              </w:rPr>
              <w:t>(s</w:t>
            </w:r>
            <w:r w:rsidR="004B2F71" w:rsidRPr="006076FC">
              <w:rPr>
                <w:sz w:val="18"/>
                <w:szCs w:val="18"/>
                <w:vertAlign w:val="superscript"/>
                <w:lang w:val="en-GB"/>
              </w:rPr>
              <w:t>−</w:t>
            </w:r>
            <w:r w:rsidRPr="006076FC">
              <w:rPr>
                <w:sz w:val="18"/>
                <w:szCs w:val="18"/>
                <w:vertAlign w:val="superscript"/>
                <w:lang w:val="en-GB"/>
              </w:rPr>
              <w:t>1</w:t>
            </w:r>
            <w:r w:rsidRPr="006076FC">
              <w:rPr>
                <w:sz w:val="18"/>
                <w:szCs w:val="18"/>
                <w:lang w:val="en-GB"/>
              </w:rPr>
              <w:t xml:space="preserve"> </w:t>
            </w:r>
            <w:r w:rsidR="004B2F71" w:rsidRPr="006076FC">
              <w:rPr>
                <w:sz w:val="18"/>
                <w:szCs w:val="18"/>
                <w:lang w:val="en-GB"/>
              </w:rPr>
              <w:t>×</w:t>
            </w:r>
            <w:r w:rsidRPr="006076FC">
              <w:rPr>
                <w:sz w:val="18"/>
                <w:szCs w:val="18"/>
                <w:lang w:val="en-GB"/>
              </w:rPr>
              <w:t xml:space="preserve"> 10</w:t>
            </w:r>
            <w:r w:rsidRPr="006076FC">
              <w:rPr>
                <w:sz w:val="18"/>
                <w:szCs w:val="18"/>
                <w:vertAlign w:val="superscript"/>
                <w:lang w:val="en-GB"/>
              </w:rPr>
              <w:t>3</w:t>
            </w:r>
            <w:r w:rsidRPr="006076FC">
              <w:rPr>
                <w:sz w:val="18"/>
                <w:szCs w:val="18"/>
                <w:lang w:val="en-GB"/>
              </w:rPr>
              <w:t>)</w:t>
            </w:r>
          </w:p>
        </w:tc>
        <w:tc>
          <w:tcPr>
            <w:tcW w:w="517" w:type="pct"/>
            <w:tcBorders>
              <w:top w:val="single" w:sz="4" w:space="0" w:color="FFFFFF" w:themeColor="background1"/>
              <w:bottom w:val="single" w:sz="4" w:space="0" w:color="auto"/>
            </w:tcBorders>
            <w:shd w:val="clear" w:color="auto" w:fill="auto"/>
            <w:vAlign w:val="center"/>
          </w:tcPr>
          <w:p w14:paraId="75FED761" w14:textId="48B5D073"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23.58</w:t>
            </w:r>
            <w:r w:rsidR="001C5864" w:rsidRPr="006076FC">
              <w:rPr>
                <w:sz w:val="18"/>
                <w:szCs w:val="18"/>
                <w:lang w:val="en-GB"/>
              </w:rPr>
              <w:t xml:space="preserve"> ± </w:t>
            </w:r>
            <w:r w:rsidRPr="006076FC">
              <w:rPr>
                <w:sz w:val="18"/>
                <w:szCs w:val="18"/>
                <w:lang w:val="en-GB"/>
              </w:rPr>
              <w:t>12.34</w:t>
            </w:r>
          </w:p>
        </w:tc>
        <w:tc>
          <w:tcPr>
            <w:tcW w:w="477" w:type="pct"/>
            <w:tcBorders>
              <w:top w:val="single" w:sz="4" w:space="0" w:color="FFFFFF" w:themeColor="background1"/>
              <w:bottom w:val="single" w:sz="4" w:space="0" w:color="auto"/>
            </w:tcBorders>
            <w:shd w:val="clear" w:color="auto" w:fill="auto"/>
            <w:vAlign w:val="center"/>
          </w:tcPr>
          <w:p w14:paraId="4C999D66" w14:textId="704F0FBC"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26.09</w:t>
            </w:r>
            <w:r w:rsidR="001C5864" w:rsidRPr="006076FC">
              <w:rPr>
                <w:sz w:val="18"/>
                <w:szCs w:val="18"/>
                <w:lang w:val="en-GB"/>
              </w:rPr>
              <w:t xml:space="preserve"> ± </w:t>
            </w:r>
            <w:r w:rsidRPr="006076FC">
              <w:rPr>
                <w:sz w:val="18"/>
                <w:szCs w:val="18"/>
                <w:lang w:val="en-GB"/>
              </w:rPr>
              <w:t>9.06</w:t>
            </w:r>
          </w:p>
        </w:tc>
        <w:tc>
          <w:tcPr>
            <w:tcW w:w="504" w:type="pct"/>
            <w:tcBorders>
              <w:top w:val="single" w:sz="4" w:space="0" w:color="FFFFFF" w:themeColor="background1"/>
              <w:bottom w:val="single" w:sz="4" w:space="0" w:color="auto"/>
            </w:tcBorders>
            <w:shd w:val="clear" w:color="auto" w:fill="auto"/>
            <w:vAlign w:val="center"/>
          </w:tcPr>
          <w:p w14:paraId="3C3820F4" w14:textId="53865161"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2.50</w:t>
            </w:r>
            <w:r w:rsidR="001C5864" w:rsidRPr="006076FC">
              <w:rPr>
                <w:sz w:val="18"/>
                <w:szCs w:val="18"/>
                <w:lang w:val="en-GB"/>
              </w:rPr>
              <w:t xml:space="preserve"> ± </w:t>
            </w:r>
            <w:r w:rsidRPr="006076FC">
              <w:rPr>
                <w:sz w:val="18"/>
                <w:szCs w:val="18"/>
                <w:lang w:val="en-GB"/>
              </w:rPr>
              <w:t>10.95</w:t>
            </w:r>
          </w:p>
        </w:tc>
        <w:tc>
          <w:tcPr>
            <w:tcW w:w="503" w:type="pct"/>
            <w:tcBorders>
              <w:top w:val="single" w:sz="4" w:space="0" w:color="FFFFFF" w:themeColor="background1"/>
              <w:bottom w:val="single" w:sz="4" w:space="0" w:color="auto"/>
            </w:tcBorders>
            <w:shd w:val="clear" w:color="auto" w:fill="auto"/>
            <w:vAlign w:val="center"/>
          </w:tcPr>
          <w:p w14:paraId="505514BF" w14:textId="3489A353"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27.15</w:t>
            </w:r>
            <w:r w:rsidR="001C5864" w:rsidRPr="006076FC">
              <w:rPr>
                <w:sz w:val="18"/>
                <w:szCs w:val="18"/>
                <w:lang w:val="en-GB"/>
              </w:rPr>
              <w:t xml:space="preserve"> ± </w:t>
            </w:r>
            <w:r w:rsidRPr="006076FC">
              <w:rPr>
                <w:sz w:val="18"/>
                <w:szCs w:val="18"/>
                <w:lang w:val="en-GB"/>
              </w:rPr>
              <w:t>16.07</w:t>
            </w:r>
          </w:p>
        </w:tc>
        <w:tc>
          <w:tcPr>
            <w:tcW w:w="562" w:type="pct"/>
            <w:tcBorders>
              <w:top w:val="single" w:sz="4" w:space="0" w:color="FFFFFF" w:themeColor="background1"/>
              <w:bottom w:val="single" w:sz="4" w:space="0" w:color="auto"/>
            </w:tcBorders>
            <w:shd w:val="clear" w:color="auto" w:fill="auto"/>
            <w:vAlign w:val="center"/>
          </w:tcPr>
          <w:p w14:paraId="6B09B0A3" w14:textId="2B1CAA6D" w:rsidR="00244A4B" w:rsidRPr="006076FC" w:rsidRDefault="00244A4B" w:rsidP="00244A4B">
            <w:pPr>
              <w:pStyle w:val="MDPI42tablebody"/>
              <w:autoSpaceDE w:val="0"/>
              <w:autoSpaceDN w:val="0"/>
              <w:spacing w:line="240" w:lineRule="auto"/>
              <w:rPr>
                <w:sz w:val="18"/>
                <w:szCs w:val="18"/>
                <w:highlight w:val="yellow"/>
                <w:lang w:val="en-GB"/>
              </w:rPr>
            </w:pPr>
            <w:r w:rsidRPr="006076FC">
              <w:rPr>
                <w:sz w:val="18"/>
                <w:szCs w:val="18"/>
                <w:lang w:val="en-GB"/>
              </w:rPr>
              <w:t>26.18</w:t>
            </w:r>
            <w:r w:rsidR="001C5864" w:rsidRPr="006076FC">
              <w:rPr>
                <w:sz w:val="18"/>
                <w:szCs w:val="18"/>
                <w:lang w:val="en-GB"/>
              </w:rPr>
              <w:t xml:space="preserve"> ± </w:t>
            </w:r>
            <w:r w:rsidRPr="006076FC">
              <w:rPr>
                <w:sz w:val="18"/>
                <w:szCs w:val="18"/>
                <w:lang w:val="en-GB"/>
              </w:rPr>
              <w:t>12.20</w:t>
            </w:r>
          </w:p>
        </w:tc>
        <w:tc>
          <w:tcPr>
            <w:tcW w:w="502" w:type="pct"/>
            <w:tcBorders>
              <w:top w:val="single" w:sz="4" w:space="0" w:color="FFFFFF" w:themeColor="background1"/>
              <w:bottom w:val="single" w:sz="4" w:space="0" w:color="auto"/>
            </w:tcBorders>
            <w:shd w:val="clear" w:color="auto" w:fill="auto"/>
            <w:vAlign w:val="center"/>
          </w:tcPr>
          <w:p w14:paraId="6DCA4177" w14:textId="7F6F13CF" w:rsidR="00244A4B" w:rsidRPr="00E50D6C" w:rsidRDefault="004B2F71" w:rsidP="00244A4B">
            <w:pPr>
              <w:pStyle w:val="MDPI42tablebody"/>
              <w:autoSpaceDE w:val="0"/>
              <w:autoSpaceDN w:val="0"/>
              <w:spacing w:line="240" w:lineRule="auto"/>
              <w:rPr>
                <w:i/>
                <w:sz w:val="18"/>
                <w:szCs w:val="18"/>
                <w:lang w:val="en-GB"/>
              </w:rPr>
            </w:pPr>
            <w:r w:rsidRPr="00E50D6C">
              <w:rPr>
                <w:sz w:val="18"/>
                <w:szCs w:val="18"/>
                <w:lang w:val="en-GB"/>
              </w:rPr>
              <w:t>−</w:t>
            </w:r>
            <w:r w:rsidR="00244A4B" w:rsidRPr="00E50D6C">
              <w:rPr>
                <w:sz w:val="18"/>
                <w:szCs w:val="18"/>
                <w:lang w:val="en-GB"/>
              </w:rPr>
              <w:t>0.97</w:t>
            </w:r>
            <w:r w:rsidR="001C5864" w:rsidRPr="00E50D6C">
              <w:rPr>
                <w:sz w:val="18"/>
                <w:szCs w:val="18"/>
                <w:lang w:val="en-GB"/>
              </w:rPr>
              <w:t xml:space="preserve"> ± </w:t>
            </w:r>
            <w:r w:rsidR="00244A4B" w:rsidRPr="00E50D6C">
              <w:rPr>
                <w:sz w:val="18"/>
                <w:szCs w:val="18"/>
                <w:lang w:val="en-GB"/>
              </w:rPr>
              <w:t>18.86</w:t>
            </w:r>
          </w:p>
        </w:tc>
        <w:tc>
          <w:tcPr>
            <w:tcW w:w="504" w:type="pct"/>
            <w:tcBorders>
              <w:top w:val="single" w:sz="4" w:space="0" w:color="FFFFFF" w:themeColor="background1"/>
              <w:bottom w:val="single" w:sz="4" w:space="0" w:color="auto"/>
            </w:tcBorders>
            <w:shd w:val="clear" w:color="auto" w:fill="auto"/>
            <w:vAlign w:val="center"/>
          </w:tcPr>
          <w:p w14:paraId="033E73EF" w14:textId="2819DC0E" w:rsidR="00244A4B" w:rsidRPr="00E50D6C" w:rsidRDefault="004B2F71" w:rsidP="00244A4B">
            <w:pPr>
              <w:pStyle w:val="MDPI42tablebody"/>
              <w:autoSpaceDE w:val="0"/>
              <w:autoSpaceDN w:val="0"/>
              <w:spacing w:line="240" w:lineRule="auto"/>
              <w:rPr>
                <w:i/>
                <w:sz w:val="18"/>
                <w:szCs w:val="18"/>
                <w:lang w:val="en-GB"/>
              </w:rPr>
            </w:pPr>
            <w:r w:rsidRPr="00E50D6C">
              <w:rPr>
                <w:sz w:val="18"/>
                <w:szCs w:val="18"/>
                <w:lang w:val="en-GB"/>
              </w:rPr>
              <w:t>−</w:t>
            </w:r>
            <w:r w:rsidR="00244A4B" w:rsidRPr="00E50D6C">
              <w:rPr>
                <w:sz w:val="18"/>
                <w:szCs w:val="18"/>
                <w:lang w:val="en-GB"/>
              </w:rPr>
              <w:t>3.48</w:t>
            </w:r>
            <w:r w:rsidR="001C5864" w:rsidRPr="00E50D6C">
              <w:rPr>
                <w:sz w:val="18"/>
                <w:szCs w:val="18"/>
                <w:lang w:val="en-GB"/>
              </w:rPr>
              <w:t xml:space="preserve"> ± </w:t>
            </w:r>
            <w:r w:rsidR="00244A4B" w:rsidRPr="00E50D6C">
              <w:rPr>
                <w:sz w:val="18"/>
                <w:szCs w:val="18"/>
                <w:lang w:val="en-GB"/>
              </w:rPr>
              <w:t>19.89</w:t>
            </w:r>
          </w:p>
        </w:tc>
        <w:tc>
          <w:tcPr>
            <w:tcW w:w="569" w:type="pct"/>
            <w:tcBorders>
              <w:top w:val="single" w:sz="4" w:space="0" w:color="FFFFFF" w:themeColor="background1"/>
              <w:bottom w:val="single" w:sz="4" w:space="0" w:color="auto"/>
            </w:tcBorders>
            <w:shd w:val="clear" w:color="auto" w:fill="auto"/>
            <w:vAlign w:val="center"/>
          </w:tcPr>
          <w:p w14:paraId="0DF25B7D"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0.23</w:t>
            </w:r>
          </w:p>
        </w:tc>
      </w:tr>
      <w:tr w:rsidR="004B2F71" w:rsidRPr="006076FC" w14:paraId="3F746EF6" w14:textId="77777777" w:rsidTr="00A971C9">
        <w:trPr>
          <w:jc w:val="center"/>
        </w:trPr>
        <w:tc>
          <w:tcPr>
            <w:tcW w:w="862" w:type="pct"/>
            <w:tcBorders>
              <w:top w:val="single" w:sz="4" w:space="0" w:color="auto"/>
              <w:bottom w:val="single" w:sz="4" w:space="0" w:color="auto"/>
            </w:tcBorders>
            <w:shd w:val="clear" w:color="auto" w:fill="auto"/>
            <w:vAlign w:val="center"/>
          </w:tcPr>
          <w:p w14:paraId="6585F4B7"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 xml:space="preserve">Femoral Artery </w:t>
            </w:r>
          </w:p>
        </w:tc>
        <w:tc>
          <w:tcPr>
            <w:tcW w:w="517" w:type="pct"/>
            <w:tcBorders>
              <w:top w:val="single" w:sz="4" w:space="0" w:color="auto"/>
              <w:bottom w:val="single" w:sz="4" w:space="0" w:color="auto"/>
            </w:tcBorders>
            <w:shd w:val="clear" w:color="auto" w:fill="auto"/>
            <w:vAlign w:val="center"/>
          </w:tcPr>
          <w:p w14:paraId="5F0A0032" w14:textId="77777777" w:rsidR="00244A4B" w:rsidRPr="006076FC" w:rsidRDefault="00244A4B" w:rsidP="00244A4B">
            <w:pPr>
              <w:pStyle w:val="MDPI42tablebody"/>
              <w:autoSpaceDE w:val="0"/>
              <w:autoSpaceDN w:val="0"/>
              <w:spacing w:line="240" w:lineRule="auto"/>
              <w:rPr>
                <w:sz w:val="18"/>
                <w:szCs w:val="18"/>
                <w:lang w:val="en-GB"/>
              </w:rPr>
            </w:pPr>
          </w:p>
        </w:tc>
        <w:tc>
          <w:tcPr>
            <w:tcW w:w="477" w:type="pct"/>
            <w:tcBorders>
              <w:top w:val="single" w:sz="4" w:space="0" w:color="auto"/>
              <w:bottom w:val="single" w:sz="4" w:space="0" w:color="auto"/>
            </w:tcBorders>
            <w:shd w:val="clear" w:color="auto" w:fill="auto"/>
            <w:vAlign w:val="center"/>
          </w:tcPr>
          <w:p w14:paraId="1DB677B3" w14:textId="77777777" w:rsidR="00244A4B" w:rsidRPr="006076FC" w:rsidRDefault="00244A4B" w:rsidP="00244A4B">
            <w:pPr>
              <w:pStyle w:val="MDPI42tablebody"/>
              <w:autoSpaceDE w:val="0"/>
              <w:autoSpaceDN w:val="0"/>
              <w:spacing w:line="240" w:lineRule="auto"/>
              <w:rPr>
                <w:sz w:val="18"/>
                <w:szCs w:val="18"/>
                <w:lang w:val="en-GB"/>
              </w:rPr>
            </w:pPr>
          </w:p>
        </w:tc>
        <w:tc>
          <w:tcPr>
            <w:tcW w:w="504" w:type="pct"/>
            <w:tcBorders>
              <w:top w:val="single" w:sz="4" w:space="0" w:color="auto"/>
              <w:bottom w:val="single" w:sz="4" w:space="0" w:color="auto"/>
            </w:tcBorders>
            <w:shd w:val="clear" w:color="auto" w:fill="auto"/>
            <w:vAlign w:val="center"/>
          </w:tcPr>
          <w:p w14:paraId="7C1AD954" w14:textId="77777777" w:rsidR="00244A4B" w:rsidRPr="006076FC" w:rsidRDefault="00244A4B" w:rsidP="00244A4B">
            <w:pPr>
              <w:pStyle w:val="MDPI42tablebody"/>
              <w:autoSpaceDE w:val="0"/>
              <w:autoSpaceDN w:val="0"/>
              <w:spacing w:line="240" w:lineRule="auto"/>
              <w:rPr>
                <w:sz w:val="18"/>
                <w:szCs w:val="18"/>
                <w:lang w:val="en-GB"/>
              </w:rPr>
            </w:pPr>
          </w:p>
        </w:tc>
        <w:tc>
          <w:tcPr>
            <w:tcW w:w="503" w:type="pct"/>
            <w:tcBorders>
              <w:top w:val="single" w:sz="4" w:space="0" w:color="auto"/>
              <w:bottom w:val="single" w:sz="4" w:space="0" w:color="auto"/>
            </w:tcBorders>
            <w:shd w:val="clear" w:color="auto" w:fill="auto"/>
            <w:vAlign w:val="center"/>
          </w:tcPr>
          <w:p w14:paraId="2D105A69" w14:textId="77777777" w:rsidR="00244A4B" w:rsidRPr="006076FC" w:rsidRDefault="00244A4B" w:rsidP="00244A4B">
            <w:pPr>
              <w:pStyle w:val="MDPI42tablebody"/>
              <w:autoSpaceDE w:val="0"/>
              <w:autoSpaceDN w:val="0"/>
              <w:spacing w:line="240" w:lineRule="auto"/>
              <w:rPr>
                <w:sz w:val="18"/>
                <w:szCs w:val="18"/>
                <w:lang w:val="en-GB"/>
              </w:rPr>
            </w:pPr>
          </w:p>
        </w:tc>
        <w:tc>
          <w:tcPr>
            <w:tcW w:w="562" w:type="pct"/>
            <w:tcBorders>
              <w:top w:val="single" w:sz="4" w:space="0" w:color="auto"/>
              <w:bottom w:val="single" w:sz="4" w:space="0" w:color="auto"/>
            </w:tcBorders>
            <w:shd w:val="clear" w:color="auto" w:fill="auto"/>
            <w:vAlign w:val="center"/>
          </w:tcPr>
          <w:p w14:paraId="67694163" w14:textId="77777777" w:rsidR="00244A4B" w:rsidRPr="006076FC" w:rsidRDefault="00244A4B" w:rsidP="00244A4B">
            <w:pPr>
              <w:pStyle w:val="MDPI42tablebody"/>
              <w:autoSpaceDE w:val="0"/>
              <w:autoSpaceDN w:val="0"/>
              <w:spacing w:line="240" w:lineRule="auto"/>
              <w:rPr>
                <w:sz w:val="18"/>
                <w:szCs w:val="18"/>
                <w:lang w:val="en-GB"/>
              </w:rPr>
            </w:pPr>
          </w:p>
        </w:tc>
        <w:tc>
          <w:tcPr>
            <w:tcW w:w="502" w:type="pct"/>
            <w:tcBorders>
              <w:top w:val="single" w:sz="4" w:space="0" w:color="auto"/>
              <w:bottom w:val="single" w:sz="4" w:space="0" w:color="auto"/>
            </w:tcBorders>
            <w:shd w:val="clear" w:color="auto" w:fill="auto"/>
            <w:vAlign w:val="center"/>
          </w:tcPr>
          <w:p w14:paraId="4BFE6B99" w14:textId="77777777" w:rsidR="00244A4B" w:rsidRPr="00E50D6C" w:rsidRDefault="00244A4B" w:rsidP="00244A4B">
            <w:pPr>
              <w:pStyle w:val="MDPI42tablebody"/>
              <w:autoSpaceDE w:val="0"/>
              <w:autoSpaceDN w:val="0"/>
              <w:spacing w:line="240" w:lineRule="auto"/>
              <w:rPr>
                <w:i/>
                <w:sz w:val="18"/>
                <w:szCs w:val="18"/>
                <w:lang w:val="en-GB"/>
              </w:rPr>
            </w:pPr>
          </w:p>
        </w:tc>
        <w:tc>
          <w:tcPr>
            <w:tcW w:w="504" w:type="pct"/>
            <w:tcBorders>
              <w:top w:val="single" w:sz="4" w:space="0" w:color="auto"/>
              <w:bottom w:val="single" w:sz="4" w:space="0" w:color="auto"/>
            </w:tcBorders>
            <w:shd w:val="clear" w:color="auto" w:fill="auto"/>
            <w:vAlign w:val="center"/>
          </w:tcPr>
          <w:p w14:paraId="7A72B75A" w14:textId="77777777" w:rsidR="00244A4B" w:rsidRPr="00E50D6C" w:rsidRDefault="00244A4B" w:rsidP="00244A4B">
            <w:pPr>
              <w:pStyle w:val="MDPI42tablebody"/>
              <w:autoSpaceDE w:val="0"/>
              <w:autoSpaceDN w:val="0"/>
              <w:spacing w:line="240" w:lineRule="auto"/>
              <w:rPr>
                <w:i/>
                <w:sz w:val="18"/>
                <w:szCs w:val="18"/>
                <w:lang w:val="en-GB"/>
              </w:rPr>
            </w:pPr>
          </w:p>
        </w:tc>
        <w:tc>
          <w:tcPr>
            <w:tcW w:w="569" w:type="pct"/>
            <w:tcBorders>
              <w:top w:val="single" w:sz="4" w:space="0" w:color="auto"/>
              <w:bottom w:val="single" w:sz="4" w:space="0" w:color="auto"/>
            </w:tcBorders>
            <w:shd w:val="clear" w:color="auto" w:fill="auto"/>
            <w:vAlign w:val="center"/>
          </w:tcPr>
          <w:p w14:paraId="1DF0F1AE" w14:textId="77777777" w:rsidR="00244A4B" w:rsidRPr="00E50D6C" w:rsidRDefault="00244A4B" w:rsidP="00244A4B">
            <w:pPr>
              <w:pStyle w:val="MDPI42tablebody"/>
              <w:autoSpaceDE w:val="0"/>
              <w:autoSpaceDN w:val="0"/>
              <w:spacing w:line="240" w:lineRule="auto"/>
              <w:rPr>
                <w:i/>
                <w:sz w:val="18"/>
                <w:szCs w:val="18"/>
                <w:lang w:val="en-GB"/>
              </w:rPr>
            </w:pPr>
          </w:p>
        </w:tc>
      </w:tr>
      <w:tr w:rsidR="004B2F71" w:rsidRPr="006076FC" w14:paraId="614910C1" w14:textId="77777777" w:rsidTr="00A971C9">
        <w:trPr>
          <w:trHeight w:val="312"/>
          <w:jc w:val="center"/>
        </w:trPr>
        <w:tc>
          <w:tcPr>
            <w:tcW w:w="862" w:type="pct"/>
            <w:tcBorders>
              <w:top w:val="single" w:sz="4" w:space="0" w:color="auto"/>
              <w:bottom w:val="single" w:sz="4" w:space="0" w:color="FFFFFF" w:themeColor="background1"/>
            </w:tcBorders>
            <w:shd w:val="clear" w:color="auto" w:fill="auto"/>
            <w:vAlign w:val="center"/>
          </w:tcPr>
          <w:p w14:paraId="70D1A988"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Baseline Diameter (cm)</w:t>
            </w:r>
          </w:p>
        </w:tc>
        <w:tc>
          <w:tcPr>
            <w:tcW w:w="517" w:type="pct"/>
            <w:tcBorders>
              <w:top w:val="single" w:sz="4" w:space="0" w:color="auto"/>
              <w:bottom w:val="single" w:sz="4" w:space="0" w:color="FFFFFF" w:themeColor="background1"/>
            </w:tcBorders>
            <w:shd w:val="clear" w:color="auto" w:fill="auto"/>
            <w:vAlign w:val="center"/>
          </w:tcPr>
          <w:p w14:paraId="3661C243" w14:textId="1EC5B750"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0.63</w:t>
            </w:r>
            <w:r w:rsidR="001C5864" w:rsidRPr="006076FC">
              <w:rPr>
                <w:sz w:val="18"/>
                <w:szCs w:val="18"/>
                <w:lang w:val="en-GB"/>
              </w:rPr>
              <w:t xml:space="preserve"> ± </w:t>
            </w:r>
            <w:r w:rsidRPr="006076FC">
              <w:rPr>
                <w:sz w:val="18"/>
                <w:szCs w:val="18"/>
                <w:lang w:val="en-GB"/>
              </w:rPr>
              <w:t>0.15</w:t>
            </w:r>
          </w:p>
        </w:tc>
        <w:tc>
          <w:tcPr>
            <w:tcW w:w="477" w:type="pct"/>
            <w:tcBorders>
              <w:top w:val="single" w:sz="4" w:space="0" w:color="auto"/>
              <w:bottom w:val="single" w:sz="4" w:space="0" w:color="FFFFFF" w:themeColor="background1"/>
            </w:tcBorders>
            <w:shd w:val="clear" w:color="auto" w:fill="auto"/>
            <w:vAlign w:val="center"/>
          </w:tcPr>
          <w:p w14:paraId="5F6667EB" w14:textId="4A4036E6"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0.61</w:t>
            </w:r>
            <w:r w:rsidR="001C5864" w:rsidRPr="006076FC">
              <w:rPr>
                <w:sz w:val="18"/>
                <w:szCs w:val="18"/>
                <w:lang w:val="en-GB"/>
              </w:rPr>
              <w:t xml:space="preserve"> ± </w:t>
            </w:r>
            <w:r w:rsidRPr="006076FC">
              <w:rPr>
                <w:sz w:val="18"/>
                <w:szCs w:val="18"/>
                <w:lang w:val="en-GB"/>
              </w:rPr>
              <w:t>0.12</w:t>
            </w:r>
          </w:p>
        </w:tc>
        <w:tc>
          <w:tcPr>
            <w:tcW w:w="504" w:type="pct"/>
            <w:tcBorders>
              <w:top w:val="single" w:sz="4" w:space="0" w:color="auto"/>
              <w:bottom w:val="single" w:sz="4" w:space="0" w:color="FFFFFF" w:themeColor="background1"/>
            </w:tcBorders>
            <w:shd w:val="clear" w:color="auto" w:fill="auto"/>
            <w:vAlign w:val="center"/>
          </w:tcPr>
          <w:p w14:paraId="76AD8B91" w14:textId="30FDEFAB" w:rsidR="00244A4B" w:rsidRPr="006076FC" w:rsidRDefault="004B2F71" w:rsidP="00244A4B">
            <w:pPr>
              <w:pStyle w:val="MDPI42tablebody"/>
              <w:autoSpaceDE w:val="0"/>
              <w:autoSpaceDN w:val="0"/>
              <w:spacing w:line="240" w:lineRule="auto"/>
              <w:rPr>
                <w:sz w:val="18"/>
                <w:szCs w:val="18"/>
                <w:lang w:val="en-GB"/>
              </w:rPr>
            </w:pPr>
            <w:r w:rsidRPr="006076FC">
              <w:rPr>
                <w:sz w:val="18"/>
                <w:szCs w:val="18"/>
                <w:lang w:val="en-GB"/>
              </w:rPr>
              <w:t>−</w:t>
            </w:r>
            <w:r w:rsidR="00244A4B" w:rsidRPr="006076FC">
              <w:rPr>
                <w:sz w:val="18"/>
                <w:szCs w:val="18"/>
                <w:lang w:val="en-GB"/>
              </w:rPr>
              <w:t>0.02</w:t>
            </w:r>
            <w:r w:rsidR="001C5864" w:rsidRPr="006076FC">
              <w:rPr>
                <w:sz w:val="18"/>
                <w:szCs w:val="18"/>
                <w:lang w:val="en-GB"/>
              </w:rPr>
              <w:t xml:space="preserve"> ± </w:t>
            </w:r>
            <w:r w:rsidR="00244A4B" w:rsidRPr="006076FC">
              <w:rPr>
                <w:sz w:val="18"/>
                <w:szCs w:val="18"/>
                <w:lang w:val="en-GB"/>
              </w:rPr>
              <w:t>0.05</w:t>
            </w:r>
          </w:p>
        </w:tc>
        <w:tc>
          <w:tcPr>
            <w:tcW w:w="503" w:type="pct"/>
            <w:tcBorders>
              <w:top w:val="single" w:sz="4" w:space="0" w:color="auto"/>
              <w:bottom w:val="single" w:sz="4" w:space="0" w:color="FFFFFF" w:themeColor="background1"/>
            </w:tcBorders>
            <w:shd w:val="clear" w:color="auto" w:fill="auto"/>
            <w:vAlign w:val="center"/>
          </w:tcPr>
          <w:p w14:paraId="7AD03AC6" w14:textId="600258AF"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0.62</w:t>
            </w:r>
            <w:r w:rsidR="001C5864" w:rsidRPr="006076FC">
              <w:rPr>
                <w:sz w:val="18"/>
                <w:szCs w:val="18"/>
                <w:lang w:val="en-GB"/>
              </w:rPr>
              <w:t xml:space="preserve"> ± </w:t>
            </w:r>
            <w:r w:rsidRPr="006076FC">
              <w:rPr>
                <w:sz w:val="18"/>
                <w:szCs w:val="18"/>
                <w:lang w:val="en-GB"/>
              </w:rPr>
              <w:t>0.14</w:t>
            </w:r>
          </w:p>
        </w:tc>
        <w:tc>
          <w:tcPr>
            <w:tcW w:w="562" w:type="pct"/>
            <w:tcBorders>
              <w:top w:val="single" w:sz="4" w:space="0" w:color="auto"/>
              <w:bottom w:val="single" w:sz="4" w:space="0" w:color="FFFFFF" w:themeColor="background1"/>
            </w:tcBorders>
            <w:shd w:val="clear" w:color="auto" w:fill="auto"/>
            <w:vAlign w:val="center"/>
          </w:tcPr>
          <w:p w14:paraId="216BBCEF" w14:textId="0BC15E3B"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0.61</w:t>
            </w:r>
            <w:r w:rsidR="001C5864" w:rsidRPr="006076FC">
              <w:rPr>
                <w:sz w:val="18"/>
                <w:szCs w:val="18"/>
                <w:lang w:val="en-GB"/>
              </w:rPr>
              <w:t xml:space="preserve"> ± </w:t>
            </w:r>
            <w:r w:rsidRPr="006076FC">
              <w:rPr>
                <w:sz w:val="18"/>
                <w:szCs w:val="18"/>
                <w:lang w:val="en-GB"/>
              </w:rPr>
              <w:t>0.15</w:t>
            </w:r>
          </w:p>
        </w:tc>
        <w:tc>
          <w:tcPr>
            <w:tcW w:w="502" w:type="pct"/>
            <w:tcBorders>
              <w:top w:val="single" w:sz="4" w:space="0" w:color="auto"/>
              <w:bottom w:val="single" w:sz="4" w:space="0" w:color="FFFFFF" w:themeColor="background1"/>
            </w:tcBorders>
            <w:shd w:val="clear" w:color="auto" w:fill="auto"/>
            <w:vAlign w:val="center"/>
          </w:tcPr>
          <w:p w14:paraId="3D3BF22B" w14:textId="4BE306B5" w:rsidR="00244A4B" w:rsidRPr="00E50D6C" w:rsidRDefault="004B2F71" w:rsidP="00244A4B">
            <w:pPr>
              <w:pStyle w:val="MDPI42tablebody"/>
              <w:autoSpaceDE w:val="0"/>
              <w:autoSpaceDN w:val="0"/>
              <w:spacing w:line="240" w:lineRule="auto"/>
              <w:rPr>
                <w:i/>
                <w:sz w:val="18"/>
                <w:szCs w:val="18"/>
                <w:lang w:val="en-GB"/>
              </w:rPr>
            </w:pPr>
            <w:r w:rsidRPr="00E50D6C">
              <w:rPr>
                <w:sz w:val="18"/>
                <w:szCs w:val="18"/>
                <w:lang w:val="en-GB"/>
              </w:rPr>
              <w:t>−</w:t>
            </w:r>
            <w:r w:rsidR="00244A4B" w:rsidRPr="00E50D6C">
              <w:rPr>
                <w:sz w:val="18"/>
                <w:szCs w:val="18"/>
                <w:lang w:val="en-GB"/>
              </w:rPr>
              <w:t>0.01</w:t>
            </w:r>
            <w:r w:rsidR="001C5864" w:rsidRPr="00E50D6C">
              <w:rPr>
                <w:sz w:val="18"/>
                <w:szCs w:val="18"/>
                <w:lang w:val="en-GB"/>
              </w:rPr>
              <w:t xml:space="preserve"> ± </w:t>
            </w:r>
            <w:r w:rsidR="00244A4B" w:rsidRPr="00E50D6C">
              <w:rPr>
                <w:sz w:val="18"/>
                <w:szCs w:val="18"/>
                <w:lang w:val="en-GB"/>
              </w:rPr>
              <w:t>0.03</w:t>
            </w:r>
          </w:p>
        </w:tc>
        <w:tc>
          <w:tcPr>
            <w:tcW w:w="504" w:type="pct"/>
            <w:tcBorders>
              <w:top w:val="single" w:sz="4" w:space="0" w:color="auto"/>
              <w:bottom w:val="single" w:sz="4" w:space="0" w:color="FFFFFF" w:themeColor="background1"/>
            </w:tcBorders>
            <w:shd w:val="clear" w:color="auto" w:fill="auto"/>
            <w:vAlign w:val="center"/>
          </w:tcPr>
          <w:p w14:paraId="3FC63131" w14:textId="1F47B4FC"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0.01</w:t>
            </w:r>
            <w:r w:rsidR="001C5864" w:rsidRPr="00E50D6C">
              <w:rPr>
                <w:sz w:val="18"/>
                <w:szCs w:val="18"/>
                <w:lang w:val="en-GB"/>
              </w:rPr>
              <w:t xml:space="preserve"> ± </w:t>
            </w:r>
            <w:r w:rsidRPr="00E50D6C">
              <w:rPr>
                <w:sz w:val="18"/>
                <w:szCs w:val="18"/>
                <w:lang w:val="en-GB"/>
              </w:rPr>
              <w:t>0.06</w:t>
            </w:r>
          </w:p>
        </w:tc>
        <w:tc>
          <w:tcPr>
            <w:tcW w:w="569" w:type="pct"/>
            <w:tcBorders>
              <w:top w:val="single" w:sz="4" w:space="0" w:color="auto"/>
              <w:bottom w:val="single" w:sz="4" w:space="0" w:color="FFFFFF" w:themeColor="background1"/>
            </w:tcBorders>
            <w:shd w:val="clear" w:color="auto" w:fill="auto"/>
            <w:vAlign w:val="center"/>
          </w:tcPr>
          <w:p w14:paraId="3159E8E9"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0.25</w:t>
            </w:r>
          </w:p>
        </w:tc>
      </w:tr>
      <w:tr w:rsidR="004B2F71" w:rsidRPr="006076FC" w14:paraId="5D96AF33" w14:textId="77777777" w:rsidTr="00A971C9">
        <w:trPr>
          <w:trHeight w:val="312"/>
          <w:jc w:val="center"/>
        </w:trPr>
        <w:tc>
          <w:tcPr>
            <w:tcW w:w="862" w:type="pct"/>
            <w:tcBorders>
              <w:top w:val="single" w:sz="4" w:space="0" w:color="FFFFFF" w:themeColor="background1"/>
              <w:bottom w:val="single" w:sz="4" w:space="0" w:color="FFFFFF" w:themeColor="background1"/>
            </w:tcBorders>
            <w:shd w:val="clear" w:color="auto" w:fill="auto"/>
            <w:vAlign w:val="center"/>
          </w:tcPr>
          <w:p w14:paraId="4B149B59"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FMD (%)</w:t>
            </w:r>
          </w:p>
        </w:tc>
        <w:tc>
          <w:tcPr>
            <w:tcW w:w="517" w:type="pct"/>
            <w:tcBorders>
              <w:top w:val="single" w:sz="4" w:space="0" w:color="FFFFFF" w:themeColor="background1"/>
              <w:bottom w:val="single" w:sz="4" w:space="0" w:color="FFFFFF" w:themeColor="background1"/>
            </w:tcBorders>
            <w:shd w:val="clear" w:color="auto" w:fill="auto"/>
            <w:vAlign w:val="center"/>
          </w:tcPr>
          <w:p w14:paraId="70987A00" w14:textId="45C740A5"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6.5</w:t>
            </w:r>
            <w:r w:rsidR="001C5864" w:rsidRPr="006076FC">
              <w:rPr>
                <w:sz w:val="18"/>
                <w:szCs w:val="18"/>
                <w:lang w:val="en-GB"/>
              </w:rPr>
              <w:t xml:space="preserve"> ± </w:t>
            </w:r>
            <w:r w:rsidRPr="006076FC">
              <w:rPr>
                <w:sz w:val="18"/>
                <w:szCs w:val="18"/>
                <w:lang w:val="en-GB"/>
              </w:rPr>
              <w:t>2.7</w:t>
            </w:r>
          </w:p>
        </w:tc>
        <w:tc>
          <w:tcPr>
            <w:tcW w:w="477" w:type="pct"/>
            <w:tcBorders>
              <w:top w:val="single" w:sz="4" w:space="0" w:color="FFFFFF" w:themeColor="background1"/>
              <w:bottom w:val="single" w:sz="4" w:space="0" w:color="FFFFFF" w:themeColor="background1"/>
            </w:tcBorders>
            <w:shd w:val="clear" w:color="auto" w:fill="auto"/>
            <w:vAlign w:val="center"/>
          </w:tcPr>
          <w:p w14:paraId="248D3595" w14:textId="2E5D3C74"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5.9</w:t>
            </w:r>
            <w:r w:rsidR="001C5864" w:rsidRPr="006076FC">
              <w:rPr>
                <w:sz w:val="18"/>
                <w:szCs w:val="18"/>
                <w:lang w:val="en-GB"/>
              </w:rPr>
              <w:t xml:space="preserve"> ± </w:t>
            </w:r>
            <w:r w:rsidRPr="006076FC">
              <w:rPr>
                <w:sz w:val="18"/>
                <w:szCs w:val="18"/>
                <w:lang w:val="en-GB"/>
              </w:rPr>
              <w:t>4.3</w:t>
            </w:r>
          </w:p>
        </w:tc>
        <w:tc>
          <w:tcPr>
            <w:tcW w:w="504" w:type="pct"/>
            <w:tcBorders>
              <w:top w:val="single" w:sz="4" w:space="0" w:color="FFFFFF" w:themeColor="background1"/>
              <w:bottom w:val="single" w:sz="4" w:space="0" w:color="FFFFFF" w:themeColor="background1"/>
            </w:tcBorders>
            <w:shd w:val="clear" w:color="auto" w:fill="auto"/>
            <w:vAlign w:val="center"/>
          </w:tcPr>
          <w:p w14:paraId="584D580A" w14:textId="38577D3C" w:rsidR="00244A4B" w:rsidRPr="006076FC" w:rsidRDefault="004B2F71" w:rsidP="00244A4B">
            <w:pPr>
              <w:pStyle w:val="MDPI42tablebody"/>
              <w:autoSpaceDE w:val="0"/>
              <w:autoSpaceDN w:val="0"/>
              <w:spacing w:line="240" w:lineRule="auto"/>
              <w:rPr>
                <w:sz w:val="18"/>
                <w:szCs w:val="18"/>
                <w:lang w:val="en-GB"/>
              </w:rPr>
            </w:pPr>
            <w:r w:rsidRPr="006076FC">
              <w:rPr>
                <w:sz w:val="18"/>
                <w:szCs w:val="18"/>
                <w:lang w:val="en-GB"/>
              </w:rPr>
              <w:t>−</w:t>
            </w:r>
            <w:r w:rsidR="00244A4B" w:rsidRPr="006076FC">
              <w:rPr>
                <w:sz w:val="18"/>
                <w:szCs w:val="18"/>
                <w:lang w:val="en-GB"/>
              </w:rPr>
              <w:t>0.6</w:t>
            </w:r>
            <w:r w:rsidR="001C5864" w:rsidRPr="006076FC">
              <w:rPr>
                <w:sz w:val="18"/>
                <w:szCs w:val="18"/>
                <w:lang w:val="en-GB"/>
              </w:rPr>
              <w:t xml:space="preserve"> ± </w:t>
            </w:r>
            <w:r w:rsidR="00244A4B" w:rsidRPr="006076FC">
              <w:rPr>
                <w:sz w:val="18"/>
                <w:szCs w:val="18"/>
                <w:lang w:val="en-GB"/>
              </w:rPr>
              <w:t>4.4</w:t>
            </w:r>
          </w:p>
        </w:tc>
        <w:tc>
          <w:tcPr>
            <w:tcW w:w="503" w:type="pct"/>
            <w:tcBorders>
              <w:top w:val="single" w:sz="4" w:space="0" w:color="FFFFFF" w:themeColor="background1"/>
              <w:bottom w:val="single" w:sz="4" w:space="0" w:color="FFFFFF" w:themeColor="background1"/>
            </w:tcBorders>
            <w:shd w:val="clear" w:color="auto" w:fill="auto"/>
            <w:vAlign w:val="center"/>
          </w:tcPr>
          <w:p w14:paraId="2A375957" w14:textId="73B76B4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5.3</w:t>
            </w:r>
            <w:r w:rsidR="001C5864" w:rsidRPr="006076FC">
              <w:rPr>
                <w:sz w:val="18"/>
                <w:szCs w:val="18"/>
                <w:lang w:val="en-GB"/>
              </w:rPr>
              <w:t xml:space="preserve"> ± </w:t>
            </w:r>
            <w:r w:rsidRPr="006076FC">
              <w:rPr>
                <w:sz w:val="18"/>
                <w:szCs w:val="18"/>
                <w:lang w:val="en-GB"/>
              </w:rPr>
              <w:t>3.2</w:t>
            </w:r>
          </w:p>
        </w:tc>
        <w:tc>
          <w:tcPr>
            <w:tcW w:w="562" w:type="pct"/>
            <w:tcBorders>
              <w:top w:val="single" w:sz="4" w:space="0" w:color="FFFFFF" w:themeColor="background1"/>
              <w:bottom w:val="single" w:sz="4" w:space="0" w:color="FFFFFF" w:themeColor="background1"/>
            </w:tcBorders>
            <w:shd w:val="clear" w:color="auto" w:fill="auto"/>
            <w:vAlign w:val="center"/>
          </w:tcPr>
          <w:p w14:paraId="286B330D" w14:textId="0FF19752"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10.5</w:t>
            </w:r>
            <w:r w:rsidR="001C5864" w:rsidRPr="006076FC">
              <w:rPr>
                <w:sz w:val="18"/>
                <w:szCs w:val="18"/>
                <w:lang w:val="en-GB"/>
              </w:rPr>
              <w:t xml:space="preserve"> ± </w:t>
            </w:r>
            <w:r w:rsidRPr="006076FC">
              <w:rPr>
                <w:sz w:val="18"/>
                <w:szCs w:val="18"/>
                <w:lang w:val="en-GB"/>
              </w:rPr>
              <w:t>6.3</w:t>
            </w:r>
          </w:p>
        </w:tc>
        <w:tc>
          <w:tcPr>
            <w:tcW w:w="502" w:type="pct"/>
            <w:tcBorders>
              <w:top w:val="single" w:sz="4" w:space="0" w:color="FFFFFF" w:themeColor="background1"/>
              <w:bottom w:val="single" w:sz="4" w:space="0" w:color="FFFFFF" w:themeColor="background1"/>
            </w:tcBorders>
            <w:shd w:val="clear" w:color="auto" w:fill="auto"/>
            <w:vAlign w:val="center"/>
          </w:tcPr>
          <w:p w14:paraId="33924866" w14:textId="3211A3D1"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5.2</w:t>
            </w:r>
            <w:r w:rsidR="001C5864" w:rsidRPr="00E50D6C">
              <w:rPr>
                <w:sz w:val="18"/>
                <w:szCs w:val="18"/>
                <w:lang w:val="en-GB"/>
              </w:rPr>
              <w:t xml:space="preserve"> ± </w:t>
            </w:r>
            <w:r w:rsidRPr="00E50D6C">
              <w:rPr>
                <w:sz w:val="18"/>
                <w:szCs w:val="18"/>
                <w:lang w:val="en-GB"/>
              </w:rPr>
              <w:t>6.7</w:t>
            </w:r>
          </w:p>
        </w:tc>
        <w:tc>
          <w:tcPr>
            <w:tcW w:w="504" w:type="pct"/>
            <w:tcBorders>
              <w:top w:val="single" w:sz="4" w:space="0" w:color="FFFFFF" w:themeColor="background1"/>
              <w:bottom w:val="single" w:sz="4" w:space="0" w:color="FFFFFF" w:themeColor="background1"/>
            </w:tcBorders>
            <w:shd w:val="clear" w:color="auto" w:fill="auto"/>
            <w:vAlign w:val="center"/>
          </w:tcPr>
          <w:p w14:paraId="0DF04042" w14:textId="79CDB620"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5.8</w:t>
            </w:r>
            <w:r w:rsidR="001C5864" w:rsidRPr="00E50D6C">
              <w:rPr>
                <w:sz w:val="18"/>
                <w:szCs w:val="18"/>
                <w:lang w:val="en-GB"/>
              </w:rPr>
              <w:t xml:space="preserve"> ± </w:t>
            </w:r>
            <w:r w:rsidRPr="00E50D6C">
              <w:rPr>
                <w:sz w:val="18"/>
                <w:szCs w:val="18"/>
                <w:lang w:val="en-GB"/>
              </w:rPr>
              <w:t>6.9</w:t>
            </w:r>
          </w:p>
        </w:tc>
        <w:tc>
          <w:tcPr>
            <w:tcW w:w="569" w:type="pct"/>
            <w:tcBorders>
              <w:top w:val="single" w:sz="4" w:space="0" w:color="FFFFFF" w:themeColor="background1"/>
              <w:bottom w:val="single" w:sz="4" w:space="0" w:color="FFFFFF" w:themeColor="background1"/>
            </w:tcBorders>
            <w:shd w:val="clear" w:color="auto" w:fill="auto"/>
            <w:vAlign w:val="center"/>
          </w:tcPr>
          <w:p w14:paraId="54DDD73A"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1.06</w:t>
            </w:r>
          </w:p>
        </w:tc>
      </w:tr>
      <w:tr w:rsidR="004B2F71" w:rsidRPr="006076FC" w14:paraId="18304C17" w14:textId="77777777" w:rsidTr="00A971C9">
        <w:trPr>
          <w:trHeight w:val="312"/>
          <w:jc w:val="center"/>
        </w:trPr>
        <w:tc>
          <w:tcPr>
            <w:tcW w:w="862" w:type="pct"/>
            <w:tcBorders>
              <w:top w:val="single" w:sz="4" w:space="0" w:color="FFFFFF" w:themeColor="background1"/>
              <w:bottom w:val="single" w:sz="4" w:space="0" w:color="FFFFFF" w:themeColor="background1"/>
            </w:tcBorders>
            <w:shd w:val="clear" w:color="auto" w:fill="auto"/>
            <w:vAlign w:val="center"/>
          </w:tcPr>
          <w:p w14:paraId="78CC1D47"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Absolute FMD (cm)</w:t>
            </w:r>
          </w:p>
        </w:tc>
        <w:tc>
          <w:tcPr>
            <w:tcW w:w="517" w:type="pct"/>
            <w:tcBorders>
              <w:top w:val="single" w:sz="4" w:space="0" w:color="FFFFFF" w:themeColor="background1"/>
              <w:bottom w:val="single" w:sz="4" w:space="0" w:color="FFFFFF" w:themeColor="background1"/>
            </w:tcBorders>
            <w:shd w:val="clear" w:color="auto" w:fill="auto"/>
            <w:vAlign w:val="center"/>
          </w:tcPr>
          <w:p w14:paraId="498C2042" w14:textId="5CD307F0"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0.04</w:t>
            </w:r>
            <w:r w:rsidR="001C5864" w:rsidRPr="006076FC">
              <w:rPr>
                <w:sz w:val="18"/>
                <w:szCs w:val="18"/>
                <w:lang w:val="en-GB"/>
              </w:rPr>
              <w:t xml:space="preserve"> ± </w:t>
            </w:r>
            <w:r w:rsidRPr="006076FC">
              <w:rPr>
                <w:sz w:val="18"/>
                <w:szCs w:val="18"/>
                <w:lang w:val="en-GB"/>
              </w:rPr>
              <w:t>0.01</w:t>
            </w:r>
          </w:p>
        </w:tc>
        <w:tc>
          <w:tcPr>
            <w:tcW w:w="477" w:type="pct"/>
            <w:tcBorders>
              <w:top w:val="single" w:sz="4" w:space="0" w:color="FFFFFF" w:themeColor="background1"/>
              <w:bottom w:val="single" w:sz="4" w:space="0" w:color="FFFFFF" w:themeColor="background1"/>
            </w:tcBorders>
            <w:shd w:val="clear" w:color="auto" w:fill="auto"/>
            <w:vAlign w:val="center"/>
          </w:tcPr>
          <w:p w14:paraId="1FBE5A5F" w14:textId="21916B62"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0.04</w:t>
            </w:r>
            <w:r w:rsidR="001C5864" w:rsidRPr="006076FC">
              <w:rPr>
                <w:sz w:val="18"/>
                <w:szCs w:val="18"/>
                <w:lang w:val="en-GB"/>
              </w:rPr>
              <w:t xml:space="preserve"> ± </w:t>
            </w:r>
            <w:r w:rsidRPr="006076FC">
              <w:rPr>
                <w:sz w:val="18"/>
                <w:szCs w:val="18"/>
                <w:lang w:val="en-GB"/>
              </w:rPr>
              <w:t>0.02</w:t>
            </w:r>
          </w:p>
        </w:tc>
        <w:tc>
          <w:tcPr>
            <w:tcW w:w="504" w:type="pct"/>
            <w:tcBorders>
              <w:top w:val="single" w:sz="4" w:space="0" w:color="FFFFFF" w:themeColor="background1"/>
              <w:bottom w:val="single" w:sz="4" w:space="0" w:color="FFFFFF" w:themeColor="background1"/>
            </w:tcBorders>
            <w:shd w:val="clear" w:color="auto" w:fill="auto"/>
            <w:vAlign w:val="center"/>
          </w:tcPr>
          <w:p w14:paraId="649DB28B" w14:textId="109EADEA"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0.00</w:t>
            </w:r>
            <w:r w:rsidR="001C5864" w:rsidRPr="006076FC">
              <w:rPr>
                <w:sz w:val="18"/>
                <w:szCs w:val="18"/>
                <w:lang w:val="en-GB"/>
              </w:rPr>
              <w:t xml:space="preserve"> ± </w:t>
            </w:r>
            <w:r w:rsidRPr="006076FC">
              <w:rPr>
                <w:sz w:val="18"/>
                <w:szCs w:val="18"/>
                <w:lang w:val="en-GB"/>
              </w:rPr>
              <w:t>0.03</w:t>
            </w:r>
          </w:p>
        </w:tc>
        <w:tc>
          <w:tcPr>
            <w:tcW w:w="503" w:type="pct"/>
            <w:tcBorders>
              <w:top w:val="single" w:sz="4" w:space="0" w:color="FFFFFF" w:themeColor="background1"/>
              <w:bottom w:val="single" w:sz="4" w:space="0" w:color="FFFFFF" w:themeColor="background1"/>
            </w:tcBorders>
            <w:shd w:val="clear" w:color="auto" w:fill="auto"/>
            <w:vAlign w:val="center"/>
          </w:tcPr>
          <w:p w14:paraId="10D77C01" w14:textId="5A83F153"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0.03</w:t>
            </w:r>
            <w:r w:rsidR="001C5864" w:rsidRPr="006076FC">
              <w:rPr>
                <w:sz w:val="18"/>
                <w:szCs w:val="18"/>
                <w:lang w:val="en-GB"/>
              </w:rPr>
              <w:t xml:space="preserve"> ± </w:t>
            </w:r>
            <w:r w:rsidRPr="006076FC">
              <w:rPr>
                <w:sz w:val="18"/>
                <w:szCs w:val="18"/>
                <w:lang w:val="en-GB"/>
              </w:rPr>
              <w:t>0.02</w:t>
            </w:r>
          </w:p>
        </w:tc>
        <w:tc>
          <w:tcPr>
            <w:tcW w:w="562" w:type="pct"/>
            <w:tcBorders>
              <w:top w:val="single" w:sz="4" w:space="0" w:color="FFFFFF" w:themeColor="background1"/>
              <w:bottom w:val="single" w:sz="4" w:space="0" w:color="FFFFFF" w:themeColor="background1"/>
            </w:tcBorders>
            <w:shd w:val="clear" w:color="auto" w:fill="auto"/>
            <w:vAlign w:val="center"/>
          </w:tcPr>
          <w:p w14:paraId="35BCEF5B" w14:textId="0204CEAD"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0.06</w:t>
            </w:r>
            <w:r w:rsidR="001C5864" w:rsidRPr="006076FC">
              <w:rPr>
                <w:sz w:val="18"/>
                <w:szCs w:val="18"/>
                <w:lang w:val="en-GB"/>
              </w:rPr>
              <w:t xml:space="preserve"> ± </w:t>
            </w:r>
            <w:r w:rsidRPr="006076FC">
              <w:rPr>
                <w:sz w:val="18"/>
                <w:szCs w:val="18"/>
                <w:lang w:val="en-GB"/>
              </w:rPr>
              <w:t>0.03</w:t>
            </w:r>
          </w:p>
        </w:tc>
        <w:tc>
          <w:tcPr>
            <w:tcW w:w="502" w:type="pct"/>
            <w:tcBorders>
              <w:top w:val="single" w:sz="4" w:space="0" w:color="FFFFFF" w:themeColor="background1"/>
              <w:bottom w:val="single" w:sz="4" w:space="0" w:color="FFFFFF" w:themeColor="background1"/>
            </w:tcBorders>
            <w:shd w:val="clear" w:color="auto" w:fill="auto"/>
            <w:vAlign w:val="center"/>
          </w:tcPr>
          <w:p w14:paraId="2C374A5B" w14:textId="08163BD2"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0.03</w:t>
            </w:r>
            <w:r w:rsidR="001C5864" w:rsidRPr="00E50D6C">
              <w:rPr>
                <w:sz w:val="18"/>
                <w:szCs w:val="18"/>
                <w:lang w:val="en-GB"/>
              </w:rPr>
              <w:t xml:space="preserve"> ± </w:t>
            </w:r>
            <w:r w:rsidRPr="00E50D6C">
              <w:rPr>
                <w:sz w:val="18"/>
                <w:szCs w:val="18"/>
                <w:lang w:val="en-GB"/>
              </w:rPr>
              <w:t>0.04</w:t>
            </w:r>
          </w:p>
        </w:tc>
        <w:tc>
          <w:tcPr>
            <w:tcW w:w="504" w:type="pct"/>
            <w:tcBorders>
              <w:top w:val="single" w:sz="4" w:space="0" w:color="FFFFFF" w:themeColor="background1"/>
              <w:bottom w:val="single" w:sz="4" w:space="0" w:color="FFFFFF" w:themeColor="background1"/>
            </w:tcBorders>
            <w:shd w:val="clear" w:color="auto" w:fill="auto"/>
            <w:vAlign w:val="center"/>
          </w:tcPr>
          <w:p w14:paraId="602C45CC" w14:textId="521691CE" w:rsidR="00244A4B" w:rsidRPr="00E50D6C" w:rsidRDefault="00244A4B" w:rsidP="00244A4B">
            <w:pPr>
              <w:pStyle w:val="MDPI42tablebody"/>
              <w:autoSpaceDE w:val="0"/>
              <w:autoSpaceDN w:val="0"/>
              <w:spacing w:line="240" w:lineRule="auto"/>
              <w:rPr>
                <w:i/>
                <w:sz w:val="18"/>
                <w:szCs w:val="18"/>
                <w:lang w:val="en-GB"/>
              </w:rPr>
            </w:pPr>
            <w:r w:rsidRPr="00E50D6C">
              <w:rPr>
                <w:sz w:val="18"/>
                <w:szCs w:val="18"/>
                <w:lang w:val="en-GB"/>
              </w:rPr>
              <w:t>0.03</w:t>
            </w:r>
            <w:r w:rsidR="001C5864" w:rsidRPr="00E50D6C">
              <w:rPr>
                <w:sz w:val="18"/>
                <w:szCs w:val="18"/>
                <w:lang w:val="en-GB"/>
              </w:rPr>
              <w:t xml:space="preserve"> ± </w:t>
            </w:r>
            <w:r w:rsidRPr="00E50D6C">
              <w:rPr>
                <w:sz w:val="18"/>
                <w:szCs w:val="18"/>
                <w:lang w:val="en-GB"/>
              </w:rPr>
              <w:t>0.05</w:t>
            </w:r>
          </w:p>
        </w:tc>
        <w:tc>
          <w:tcPr>
            <w:tcW w:w="569" w:type="pct"/>
            <w:tcBorders>
              <w:top w:val="single" w:sz="4" w:space="0" w:color="FFFFFF" w:themeColor="background1"/>
              <w:bottom w:val="single" w:sz="4" w:space="0" w:color="FFFFFF" w:themeColor="background1"/>
            </w:tcBorders>
            <w:shd w:val="clear" w:color="auto" w:fill="auto"/>
            <w:vAlign w:val="center"/>
          </w:tcPr>
          <w:p w14:paraId="1D7E7A8E" w14:textId="77777777" w:rsidR="00244A4B" w:rsidRPr="00E50D6C" w:rsidRDefault="00244A4B" w:rsidP="00244A4B">
            <w:pPr>
              <w:pStyle w:val="MDPI42tablebody"/>
              <w:autoSpaceDE w:val="0"/>
              <w:autoSpaceDN w:val="0"/>
              <w:spacing w:line="240" w:lineRule="auto"/>
              <w:rPr>
                <w:i/>
                <w:sz w:val="18"/>
                <w:szCs w:val="18"/>
                <w:lang w:val="en-GB"/>
              </w:rPr>
            </w:pPr>
            <w:r w:rsidRPr="00E50D6C">
              <w:rPr>
                <w:i/>
                <w:sz w:val="18"/>
                <w:szCs w:val="18"/>
                <w:lang w:val="en-GB"/>
              </w:rPr>
              <w:t>0.88</w:t>
            </w:r>
          </w:p>
        </w:tc>
      </w:tr>
      <w:tr w:rsidR="004B2F71" w:rsidRPr="006076FC" w14:paraId="4D3CC58A" w14:textId="77777777" w:rsidTr="00A971C9">
        <w:trPr>
          <w:jc w:val="center"/>
        </w:trPr>
        <w:tc>
          <w:tcPr>
            <w:tcW w:w="862" w:type="pct"/>
            <w:tcBorders>
              <w:top w:val="single" w:sz="4" w:space="0" w:color="FFFFFF" w:themeColor="background1"/>
              <w:bottom w:val="single" w:sz="8" w:space="0" w:color="auto"/>
            </w:tcBorders>
            <w:shd w:val="clear" w:color="auto" w:fill="auto"/>
            <w:vAlign w:val="center"/>
          </w:tcPr>
          <w:p w14:paraId="0FE3D22B" w14:textId="77777777"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 xml:space="preserve">SR AUC </w:t>
            </w:r>
          </w:p>
          <w:p w14:paraId="32027DDC" w14:textId="3558E8B5" w:rsidR="00244A4B" w:rsidRPr="006076FC" w:rsidRDefault="00244A4B" w:rsidP="004B2F71">
            <w:pPr>
              <w:pStyle w:val="MDPI42tablebody"/>
              <w:autoSpaceDE w:val="0"/>
              <w:autoSpaceDN w:val="0"/>
              <w:spacing w:line="240" w:lineRule="auto"/>
              <w:rPr>
                <w:sz w:val="18"/>
                <w:szCs w:val="18"/>
                <w:lang w:val="en-GB"/>
              </w:rPr>
            </w:pPr>
            <w:r w:rsidRPr="006076FC">
              <w:rPr>
                <w:sz w:val="18"/>
                <w:szCs w:val="18"/>
                <w:lang w:val="en-GB"/>
              </w:rPr>
              <w:t>(s</w:t>
            </w:r>
            <w:r w:rsidR="004B2F71" w:rsidRPr="006076FC">
              <w:rPr>
                <w:sz w:val="18"/>
                <w:szCs w:val="18"/>
                <w:vertAlign w:val="superscript"/>
                <w:lang w:val="en-GB"/>
              </w:rPr>
              <w:t>−</w:t>
            </w:r>
            <w:r w:rsidRPr="006076FC">
              <w:rPr>
                <w:sz w:val="18"/>
                <w:szCs w:val="18"/>
                <w:vertAlign w:val="superscript"/>
                <w:lang w:val="en-GB"/>
              </w:rPr>
              <w:t>1</w:t>
            </w:r>
            <w:r w:rsidRPr="006076FC">
              <w:rPr>
                <w:sz w:val="18"/>
                <w:szCs w:val="18"/>
                <w:lang w:val="en-GB"/>
              </w:rPr>
              <w:t xml:space="preserve"> </w:t>
            </w:r>
            <w:r w:rsidR="004B2F71" w:rsidRPr="006076FC">
              <w:rPr>
                <w:sz w:val="18"/>
                <w:szCs w:val="18"/>
                <w:lang w:val="en-GB"/>
              </w:rPr>
              <w:t>×</w:t>
            </w:r>
            <w:r w:rsidRPr="006076FC">
              <w:rPr>
                <w:sz w:val="18"/>
                <w:szCs w:val="18"/>
                <w:lang w:val="en-GB"/>
              </w:rPr>
              <w:t xml:space="preserve"> 10</w:t>
            </w:r>
            <w:r w:rsidRPr="006076FC">
              <w:rPr>
                <w:sz w:val="18"/>
                <w:szCs w:val="18"/>
                <w:vertAlign w:val="superscript"/>
                <w:lang w:val="en-GB"/>
              </w:rPr>
              <w:t>3</w:t>
            </w:r>
            <w:r w:rsidRPr="006076FC">
              <w:rPr>
                <w:sz w:val="18"/>
                <w:szCs w:val="18"/>
                <w:lang w:val="en-GB"/>
              </w:rPr>
              <w:t>)</w:t>
            </w:r>
          </w:p>
        </w:tc>
        <w:tc>
          <w:tcPr>
            <w:tcW w:w="517" w:type="pct"/>
            <w:tcBorders>
              <w:top w:val="single" w:sz="4" w:space="0" w:color="FFFFFF" w:themeColor="background1"/>
              <w:bottom w:val="single" w:sz="8" w:space="0" w:color="auto"/>
            </w:tcBorders>
            <w:shd w:val="clear" w:color="auto" w:fill="auto"/>
            <w:vAlign w:val="center"/>
          </w:tcPr>
          <w:p w14:paraId="24A32A47" w14:textId="4203BC32"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19.27</w:t>
            </w:r>
            <w:r w:rsidR="001C5864" w:rsidRPr="006076FC">
              <w:rPr>
                <w:sz w:val="18"/>
                <w:szCs w:val="18"/>
                <w:lang w:val="en-GB"/>
              </w:rPr>
              <w:t xml:space="preserve"> ± </w:t>
            </w:r>
            <w:r w:rsidRPr="006076FC">
              <w:rPr>
                <w:sz w:val="18"/>
                <w:szCs w:val="18"/>
                <w:lang w:val="en-GB"/>
              </w:rPr>
              <w:t>10.89</w:t>
            </w:r>
          </w:p>
        </w:tc>
        <w:tc>
          <w:tcPr>
            <w:tcW w:w="477" w:type="pct"/>
            <w:tcBorders>
              <w:top w:val="single" w:sz="4" w:space="0" w:color="FFFFFF" w:themeColor="background1"/>
              <w:bottom w:val="single" w:sz="8" w:space="0" w:color="auto"/>
            </w:tcBorders>
            <w:shd w:val="clear" w:color="auto" w:fill="auto"/>
            <w:vAlign w:val="center"/>
          </w:tcPr>
          <w:p w14:paraId="2299B8F7" w14:textId="4E72AC1B"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16.86</w:t>
            </w:r>
            <w:r w:rsidR="001C5864" w:rsidRPr="006076FC">
              <w:rPr>
                <w:sz w:val="18"/>
                <w:szCs w:val="18"/>
                <w:lang w:val="en-GB"/>
              </w:rPr>
              <w:t xml:space="preserve"> ± </w:t>
            </w:r>
            <w:r w:rsidRPr="006076FC">
              <w:rPr>
                <w:sz w:val="18"/>
                <w:szCs w:val="18"/>
                <w:lang w:val="en-GB"/>
              </w:rPr>
              <w:t>5.89</w:t>
            </w:r>
          </w:p>
        </w:tc>
        <w:tc>
          <w:tcPr>
            <w:tcW w:w="504" w:type="pct"/>
            <w:tcBorders>
              <w:top w:val="single" w:sz="4" w:space="0" w:color="FFFFFF" w:themeColor="background1"/>
              <w:bottom w:val="single" w:sz="8" w:space="0" w:color="auto"/>
            </w:tcBorders>
            <w:shd w:val="clear" w:color="auto" w:fill="auto"/>
            <w:vAlign w:val="center"/>
          </w:tcPr>
          <w:p w14:paraId="7E59A708" w14:textId="46F98ACA" w:rsidR="00244A4B" w:rsidRPr="006076FC" w:rsidRDefault="004B2F71" w:rsidP="00244A4B">
            <w:pPr>
              <w:pStyle w:val="MDPI42tablebody"/>
              <w:autoSpaceDE w:val="0"/>
              <w:autoSpaceDN w:val="0"/>
              <w:spacing w:line="240" w:lineRule="auto"/>
              <w:rPr>
                <w:sz w:val="18"/>
                <w:szCs w:val="18"/>
                <w:lang w:val="en-GB"/>
              </w:rPr>
            </w:pPr>
            <w:r w:rsidRPr="006076FC">
              <w:rPr>
                <w:sz w:val="18"/>
                <w:szCs w:val="18"/>
                <w:lang w:val="en-GB"/>
              </w:rPr>
              <w:t>−</w:t>
            </w:r>
            <w:r w:rsidR="00244A4B" w:rsidRPr="006076FC">
              <w:rPr>
                <w:sz w:val="18"/>
                <w:szCs w:val="18"/>
                <w:lang w:val="en-GB"/>
              </w:rPr>
              <w:t>2.41</w:t>
            </w:r>
            <w:r w:rsidR="001C5864" w:rsidRPr="006076FC">
              <w:rPr>
                <w:sz w:val="18"/>
                <w:szCs w:val="18"/>
                <w:lang w:val="en-GB"/>
              </w:rPr>
              <w:t xml:space="preserve"> ± </w:t>
            </w:r>
            <w:r w:rsidR="00244A4B" w:rsidRPr="006076FC">
              <w:rPr>
                <w:sz w:val="18"/>
                <w:szCs w:val="18"/>
                <w:lang w:val="en-GB"/>
              </w:rPr>
              <w:t>9.88</w:t>
            </w:r>
          </w:p>
        </w:tc>
        <w:tc>
          <w:tcPr>
            <w:tcW w:w="503" w:type="pct"/>
            <w:tcBorders>
              <w:top w:val="single" w:sz="4" w:space="0" w:color="FFFFFF" w:themeColor="background1"/>
              <w:bottom w:val="single" w:sz="8" w:space="0" w:color="auto"/>
            </w:tcBorders>
            <w:shd w:val="clear" w:color="auto" w:fill="auto"/>
            <w:vAlign w:val="center"/>
          </w:tcPr>
          <w:p w14:paraId="5069CCCD" w14:textId="758CB521"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19.21</w:t>
            </w:r>
            <w:r w:rsidR="001C5864" w:rsidRPr="006076FC">
              <w:rPr>
                <w:sz w:val="18"/>
                <w:szCs w:val="18"/>
                <w:lang w:val="en-GB"/>
              </w:rPr>
              <w:t xml:space="preserve"> ± </w:t>
            </w:r>
            <w:r w:rsidRPr="006076FC">
              <w:rPr>
                <w:sz w:val="18"/>
                <w:szCs w:val="18"/>
                <w:lang w:val="en-GB"/>
              </w:rPr>
              <w:t>12.26</w:t>
            </w:r>
          </w:p>
        </w:tc>
        <w:tc>
          <w:tcPr>
            <w:tcW w:w="562" w:type="pct"/>
            <w:tcBorders>
              <w:top w:val="single" w:sz="4" w:space="0" w:color="FFFFFF" w:themeColor="background1"/>
              <w:bottom w:val="single" w:sz="8" w:space="0" w:color="auto"/>
            </w:tcBorders>
            <w:shd w:val="clear" w:color="auto" w:fill="auto"/>
            <w:vAlign w:val="center"/>
          </w:tcPr>
          <w:p w14:paraId="05E2A7B9" w14:textId="530D6BA2" w:rsidR="00244A4B" w:rsidRPr="006076FC" w:rsidRDefault="00244A4B" w:rsidP="00244A4B">
            <w:pPr>
              <w:pStyle w:val="MDPI42tablebody"/>
              <w:autoSpaceDE w:val="0"/>
              <w:autoSpaceDN w:val="0"/>
              <w:spacing w:line="240" w:lineRule="auto"/>
              <w:rPr>
                <w:sz w:val="18"/>
                <w:szCs w:val="18"/>
                <w:lang w:val="en-GB"/>
              </w:rPr>
            </w:pPr>
            <w:r w:rsidRPr="006076FC">
              <w:rPr>
                <w:sz w:val="18"/>
                <w:szCs w:val="18"/>
                <w:lang w:val="en-GB"/>
              </w:rPr>
              <w:t>20.16</w:t>
            </w:r>
            <w:r w:rsidR="001C5864" w:rsidRPr="006076FC">
              <w:rPr>
                <w:sz w:val="18"/>
                <w:szCs w:val="18"/>
                <w:lang w:val="en-GB"/>
              </w:rPr>
              <w:t xml:space="preserve"> ± </w:t>
            </w:r>
            <w:r w:rsidRPr="006076FC">
              <w:rPr>
                <w:sz w:val="18"/>
                <w:szCs w:val="18"/>
                <w:lang w:val="en-GB"/>
              </w:rPr>
              <w:t>11.08</w:t>
            </w:r>
          </w:p>
        </w:tc>
        <w:tc>
          <w:tcPr>
            <w:tcW w:w="502" w:type="pct"/>
            <w:tcBorders>
              <w:top w:val="single" w:sz="4" w:space="0" w:color="FFFFFF" w:themeColor="background1"/>
              <w:bottom w:val="single" w:sz="8" w:space="0" w:color="auto"/>
            </w:tcBorders>
            <w:shd w:val="clear" w:color="auto" w:fill="auto"/>
            <w:vAlign w:val="center"/>
          </w:tcPr>
          <w:p w14:paraId="6349101D" w14:textId="6D6D5527" w:rsidR="00244A4B" w:rsidRPr="006076FC" w:rsidRDefault="00244A4B" w:rsidP="00244A4B">
            <w:pPr>
              <w:pStyle w:val="MDPI42tablebody"/>
              <w:autoSpaceDE w:val="0"/>
              <w:autoSpaceDN w:val="0"/>
              <w:spacing w:line="240" w:lineRule="auto"/>
              <w:rPr>
                <w:i/>
                <w:sz w:val="18"/>
                <w:szCs w:val="18"/>
                <w:lang w:val="en-GB"/>
              </w:rPr>
            </w:pPr>
            <w:r w:rsidRPr="006076FC">
              <w:rPr>
                <w:sz w:val="18"/>
                <w:szCs w:val="18"/>
                <w:lang w:val="en-GB"/>
              </w:rPr>
              <w:t>0.95</w:t>
            </w:r>
            <w:r w:rsidR="001C5864" w:rsidRPr="006076FC">
              <w:rPr>
                <w:sz w:val="18"/>
                <w:szCs w:val="18"/>
                <w:lang w:val="en-GB"/>
              </w:rPr>
              <w:t xml:space="preserve"> ± </w:t>
            </w:r>
            <w:r w:rsidRPr="006076FC">
              <w:rPr>
                <w:sz w:val="18"/>
                <w:szCs w:val="18"/>
                <w:lang w:val="en-GB"/>
              </w:rPr>
              <w:t>12.42</w:t>
            </w:r>
          </w:p>
        </w:tc>
        <w:tc>
          <w:tcPr>
            <w:tcW w:w="504" w:type="pct"/>
            <w:tcBorders>
              <w:top w:val="single" w:sz="4" w:space="0" w:color="FFFFFF" w:themeColor="background1"/>
              <w:bottom w:val="single" w:sz="8" w:space="0" w:color="auto"/>
            </w:tcBorders>
            <w:shd w:val="clear" w:color="auto" w:fill="auto"/>
            <w:vAlign w:val="center"/>
          </w:tcPr>
          <w:p w14:paraId="04FC1350" w14:textId="45BF9B55" w:rsidR="00244A4B" w:rsidRPr="006076FC" w:rsidRDefault="00244A4B" w:rsidP="00244A4B">
            <w:pPr>
              <w:pStyle w:val="MDPI42tablebody"/>
              <w:autoSpaceDE w:val="0"/>
              <w:autoSpaceDN w:val="0"/>
              <w:spacing w:line="240" w:lineRule="auto"/>
              <w:rPr>
                <w:i/>
                <w:sz w:val="18"/>
                <w:szCs w:val="18"/>
                <w:lang w:val="en-GB"/>
              </w:rPr>
            </w:pPr>
            <w:r w:rsidRPr="006076FC">
              <w:rPr>
                <w:sz w:val="18"/>
                <w:szCs w:val="18"/>
                <w:lang w:val="en-GB"/>
              </w:rPr>
              <w:t>3.37</w:t>
            </w:r>
            <w:r w:rsidR="001C5864" w:rsidRPr="006076FC">
              <w:rPr>
                <w:sz w:val="18"/>
                <w:szCs w:val="18"/>
                <w:lang w:val="en-GB"/>
              </w:rPr>
              <w:t xml:space="preserve"> ± </w:t>
            </w:r>
            <w:r w:rsidRPr="006076FC">
              <w:rPr>
                <w:sz w:val="18"/>
                <w:szCs w:val="18"/>
                <w:lang w:val="en-GB"/>
              </w:rPr>
              <w:t>12.70</w:t>
            </w:r>
          </w:p>
        </w:tc>
        <w:tc>
          <w:tcPr>
            <w:tcW w:w="569" w:type="pct"/>
            <w:tcBorders>
              <w:top w:val="single" w:sz="4" w:space="0" w:color="FFFFFF" w:themeColor="background1"/>
              <w:bottom w:val="single" w:sz="8" w:space="0" w:color="auto"/>
            </w:tcBorders>
            <w:shd w:val="clear" w:color="auto" w:fill="auto"/>
            <w:vAlign w:val="center"/>
          </w:tcPr>
          <w:p w14:paraId="557D9151" w14:textId="77777777" w:rsidR="00244A4B" w:rsidRPr="006076FC" w:rsidRDefault="00244A4B" w:rsidP="00244A4B">
            <w:pPr>
              <w:pStyle w:val="MDPI42tablebody"/>
              <w:autoSpaceDE w:val="0"/>
              <w:autoSpaceDN w:val="0"/>
              <w:spacing w:line="240" w:lineRule="auto"/>
              <w:rPr>
                <w:i/>
                <w:sz w:val="18"/>
                <w:szCs w:val="18"/>
                <w:lang w:val="en-GB"/>
              </w:rPr>
            </w:pPr>
            <w:r w:rsidRPr="006076FC">
              <w:rPr>
                <w:i/>
                <w:sz w:val="18"/>
                <w:szCs w:val="18"/>
                <w:lang w:val="en-GB"/>
              </w:rPr>
              <w:t>0.31</w:t>
            </w:r>
          </w:p>
        </w:tc>
      </w:tr>
    </w:tbl>
    <w:p w14:paraId="2F73154D" w14:textId="086576F8" w:rsidR="00244A4B" w:rsidRPr="006076FC" w:rsidRDefault="00244A4B" w:rsidP="00244A4B">
      <w:pPr>
        <w:pStyle w:val="MDPI43tablefooter"/>
        <w:jc w:val="center"/>
        <w:rPr>
          <w:lang w:val="en-GB"/>
        </w:rPr>
      </w:pPr>
      <w:r w:rsidRPr="006076FC">
        <w:rPr>
          <w:lang w:val="en-GB"/>
        </w:rPr>
        <w:t>SR</w:t>
      </w:r>
      <w:r w:rsidR="00C5303B" w:rsidRPr="006076FC">
        <w:rPr>
          <w:lang w:val="en-GB"/>
        </w:rPr>
        <w:t>—</w:t>
      </w:r>
      <w:r w:rsidRPr="006076FC">
        <w:rPr>
          <w:lang w:val="en-GB"/>
        </w:rPr>
        <w:t>shear rate; AUC</w:t>
      </w:r>
      <w:r w:rsidR="00C5303B" w:rsidRPr="006076FC">
        <w:rPr>
          <w:lang w:val="en-GB"/>
        </w:rPr>
        <w:t>—</w:t>
      </w:r>
      <w:r w:rsidRPr="006076FC">
        <w:rPr>
          <w:lang w:val="en-GB"/>
        </w:rPr>
        <w:t>area under the curve.</w:t>
      </w:r>
    </w:p>
    <w:p w14:paraId="54F236E1" w14:textId="77777777" w:rsidR="00244A4B" w:rsidRPr="006076FC" w:rsidRDefault="00244A4B" w:rsidP="008B2AB1">
      <w:pPr>
        <w:pStyle w:val="MDPI31text"/>
        <w:rPr>
          <w:bCs/>
          <w:lang w:val="en-GB"/>
        </w:rPr>
      </w:pPr>
    </w:p>
    <w:p w14:paraId="6B304168" w14:textId="77777777" w:rsidR="00244A4B" w:rsidRPr="006076FC" w:rsidRDefault="00244A4B" w:rsidP="008B2AB1">
      <w:pPr>
        <w:pStyle w:val="MDPI31text"/>
        <w:rPr>
          <w:bCs/>
          <w:lang w:val="en-GB"/>
        </w:rPr>
        <w:sectPr w:rsidR="00244A4B" w:rsidRPr="006076FC" w:rsidSect="00244A4B">
          <w:pgSz w:w="16838" w:h="11906" w:orient="landscape" w:code="9"/>
          <w:pgMar w:top="1417" w:right="1531" w:bottom="1077" w:left="1531" w:header="1020" w:footer="850" w:gutter="0"/>
          <w:cols w:space="425"/>
          <w:docGrid w:type="linesAndChars" w:linePitch="326"/>
        </w:sectPr>
      </w:pPr>
    </w:p>
    <w:p w14:paraId="7B7C9EF6" w14:textId="27EF00FB" w:rsidR="00563CFC" w:rsidRPr="006076FC" w:rsidRDefault="00244A4B" w:rsidP="00244A4B">
      <w:pPr>
        <w:pStyle w:val="MDPI22heading2"/>
        <w:rPr>
          <w:color w:val="auto"/>
          <w:lang w:val="en-GB" w:eastAsia="en-US"/>
        </w:rPr>
      </w:pPr>
      <w:r w:rsidRPr="006076FC">
        <w:rPr>
          <w:lang w:val="en-GB"/>
        </w:rPr>
        <w:lastRenderedPageBreak/>
        <w:t xml:space="preserve">3.6. </w:t>
      </w:r>
      <w:r w:rsidR="00563CFC" w:rsidRPr="006076FC">
        <w:rPr>
          <w:lang w:val="en-GB"/>
        </w:rPr>
        <w:t>Cerebrovascular Function</w:t>
      </w:r>
    </w:p>
    <w:p w14:paraId="76EB2F7C" w14:textId="474813C1" w:rsidR="00563CFC" w:rsidRPr="006076FC" w:rsidRDefault="00563CFC" w:rsidP="00244A4B">
      <w:pPr>
        <w:pStyle w:val="MDPI31text"/>
        <w:rPr>
          <w:lang w:val="en-GB"/>
        </w:rPr>
      </w:pPr>
      <w:r w:rsidRPr="006076FC">
        <w:rPr>
          <w:lang w:val="en-GB"/>
        </w:rPr>
        <w:t xml:space="preserve">Data for resting CBF are presented in Table S1. </w:t>
      </w:r>
      <w:r w:rsidRPr="006076FC">
        <w:rPr>
          <w:bCs/>
          <w:lang w:val="en-GB"/>
        </w:rPr>
        <w:t>The effect sizes for all CBF outcomes were small</w:t>
      </w:r>
      <w:r w:rsidRPr="006076FC">
        <w:rPr>
          <w:lang w:val="en-GB"/>
        </w:rPr>
        <w:t xml:space="preserve">. Data for CA, CVR and NVC are presented in Table S2. For CA, in the LF </w:t>
      </w:r>
      <w:r w:rsidRPr="00E50D6C">
        <w:rPr>
          <w:lang w:val="en-GB"/>
        </w:rPr>
        <w:t>squats (5</w:t>
      </w:r>
      <w:r w:rsidR="00FA0A34" w:rsidRPr="00E50D6C">
        <w:rPr>
          <w:lang w:val="en-GB"/>
        </w:rPr>
        <w:t xml:space="preserve"> </w:t>
      </w:r>
      <w:r w:rsidRPr="00E50D6C">
        <w:rPr>
          <w:lang w:val="en-GB"/>
        </w:rPr>
        <w:t>s squat, 5</w:t>
      </w:r>
      <w:r w:rsidR="00FA0A34" w:rsidRPr="00E50D6C">
        <w:rPr>
          <w:lang w:val="en-GB"/>
        </w:rPr>
        <w:t xml:space="preserve"> </w:t>
      </w:r>
      <w:r w:rsidRPr="00E50D6C">
        <w:rPr>
          <w:lang w:val="en-GB"/>
        </w:rPr>
        <w:t>s</w:t>
      </w:r>
      <w:r w:rsidR="00FA0A34" w:rsidRPr="00E50D6C">
        <w:rPr>
          <w:lang w:val="en-GB"/>
        </w:rPr>
        <w:t xml:space="preserve"> </w:t>
      </w:r>
      <w:r w:rsidRPr="00E50D6C">
        <w:rPr>
          <w:lang w:val="en-GB"/>
        </w:rPr>
        <w:t>stand) large effects were observed for the change in gain (</w:t>
      </w:r>
      <w:r w:rsidR="004B2F71" w:rsidRPr="00E50D6C">
        <w:rPr>
          <w:i/>
          <w:iCs/>
          <w:lang w:val="en-GB"/>
        </w:rPr>
        <w:t xml:space="preserve">d = </w:t>
      </w:r>
      <w:r w:rsidRPr="00E50D6C">
        <w:rPr>
          <w:lang w:val="en-GB"/>
        </w:rPr>
        <w:t>1.25) and normalised gain (</w:t>
      </w:r>
      <w:r w:rsidR="004B2F71" w:rsidRPr="00E50D6C">
        <w:rPr>
          <w:i/>
          <w:iCs/>
          <w:lang w:val="en-GB"/>
        </w:rPr>
        <w:t xml:space="preserve">d = </w:t>
      </w:r>
      <w:r w:rsidRPr="00E50D6C">
        <w:rPr>
          <w:lang w:val="en-GB"/>
        </w:rPr>
        <w:t>0.91) in favour</w:t>
      </w:r>
      <w:r w:rsidRPr="006076FC">
        <w:rPr>
          <w:lang w:val="en-GB"/>
        </w:rPr>
        <w:t xml:space="preserve"> of Control. Effect sizes for all other CA outcomes, and for all NVC and CVR outcomes were medium or small.</w:t>
      </w:r>
    </w:p>
    <w:p w14:paraId="3789AC72" w14:textId="14E96C4D" w:rsidR="00563CFC" w:rsidRPr="006076FC" w:rsidRDefault="00244A4B" w:rsidP="00244A4B">
      <w:pPr>
        <w:pStyle w:val="MDPI22heading2"/>
        <w:rPr>
          <w:lang w:val="en-GB"/>
        </w:rPr>
      </w:pPr>
      <w:r w:rsidRPr="006076FC">
        <w:rPr>
          <w:lang w:val="en-GB"/>
        </w:rPr>
        <w:t xml:space="preserve">3.7. </w:t>
      </w:r>
      <w:r w:rsidR="00563CFC" w:rsidRPr="006076FC">
        <w:rPr>
          <w:lang w:val="en-GB"/>
        </w:rPr>
        <w:t>Mood and Work Productivity</w:t>
      </w:r>
    </w:p>
    <w:p w14:paraId="37A969C1" w14:textId="7B8805E7" w:rsidR="00563CFC" w:rsidRPr="006076FC" w:rsidRDefault="00563CFC" w:rsidP="00244A4B">
      <w:pPr>
        <w:pStyle w:val="MDPI31text"/>
        <w:rPr>
          <w:lang w:val="en-GB"/>
        </w:rPr>
      </w:pPr>
      <w:r w:rsidRPr="006076FC">
        <w:rPr>
          <w:lang w:val="en-GB"/>
        </w:rPr>
        <w:t>Mood and work productivity data are presented in Table S3. Effect sizes for all measures of mood and work productivity were medium or small.</w:t>
      </w:r>
    </w:p>
    <w:p w14:paraId="78E3D7E3" w14:textId="4C3136B7" w:rsidR="00563CFC" w:rsidRPr="006076FC" w:rsidRDefault="00244A4B" w:rsidP="00244A4B">
      <w:pPr>
        <w:pStyle w:val="MDPI21heading1"/>
        <w:rPr>
          <w:lang w:val="en-GB"/>
        </w:rPr>
      </w:pPr>
      <w:r w:rsidRPr="006076FC">
        <w:rPr>
          <w:lang w:val="en-GB"/>
        </w:rPr>
        <w:t xml:space="preserve">4. </w:t>
      </w:r>
      <w:r w:rsidR="00563CFC" w:rsidRPr="006076FC">
        <w:rPr>
          <w:lang w:val="en-GB"/>
        </w:rPr>
        <w:t>Discussion</w:t>
      </w:r>
    </w:p>
    <w:p w14:paraId="57DE1241" w14:textId="332AB233" w:rsidR="00563CFC" w:rsidRPr="006076FC" w:rsidRDefault="00563CFC" w:rsidP="00244A4B">
      <w:pPr>
        <w:pStyle w:val="MDPI31text"/>
        <w:rPr>
          <w:color w:val="auto"/>
          <w:lang w:val="en-GB" w:eastAsia="en-US"/>
        </w:rPr>
      </w:pPr>
      <w:r w:rsidRPr="006076FC">
        <w:rPr>
          <w:lang w:val="en-GB"/>
        </w:rPr>
        <w:t>This study assessed the acceptability and feasibility of implementing an e-health prompting software to promote a reduction in total and prolonged sitting time among university-based UK office workers. Secondary aims were to describe preliminary changes in sitting, standing and stepping time, in addition to aspects of health, mood and work productivity after using the software. Firstly, the trial was feasible to deliver with this cohort, with a low dropout rate, and successful collection of outcome variable data. However, qualitative findings from participant interviews suggest that this method of implementing the e-health software may not be an acceptable strategy in university office workers. Indeed, a lack of autonomy when using the software and disruption to workflow may compromise its use in the long</w:t>
      </w:r>
      <w:r w:rsidR="00964F81">
        <w:rPr>
          <w:lang w:val="en-GB"/>
        </w:rPr>
        <w:t xml:space="preserve"> </w:t>
      </w:r>
      <w:r w:rsidRPr="006076FC">
        <w:rPr>
          <w:lang w:val="en-GB"/>
        </w:rPr>
        <w:t>term with this cohort. This indicates adaptations to the prompting feature of the software may be required and should be subsequently explored in future research. Nonetheless, our preliminary data indicate that the e-health software may improve the patterning of activity accrued during work hours, with increases in the number of standing and stepping bouts participants completed, and may also improve femoral artery function, a marker of cardiovascular health.</w:t>
      </w:r>
    </w:p>
    <w:p w14:paraId="2CF59EB5" w14:textId="04CFD3F9" w:rsidR="00563CFC" w:rsidRPr="006076FC" w:rsidRDefault="00563CFC" w:rsidP="00244A4B">
      <w:pPr>
        <w:pStyle w:val="MDPI31text"/>
        <w:rPr>
          <w:lang w:val="en-GB"/>
        </w:rPr>
      </w:pPr>
      <w:r w:rsidRPr="006076FC">
        <w:rPr>
          <w:lang w:val="en-GB"/>
        </w:rPr>
        <w:t xml:space="preserve">The trial was feasible to implement in this population of university-based office workers. The retention rate during </w:t>
      </w:r>
      <w:r w:rsidR="00B42F49">
        <w:rPr>
          <w:lang w:val="en-GB"/>
        </w:rPr>
        <w:t>this</w:t>
      </w:r>
      <w:r w:rsidR="00B42F49" w:rsidRPr="006076FC">
        <w:rPr>
          <w:lang w:val="en-GB"/>
        </w:rPr>
        <w:t xml:space="preserve"> </w:t>
      </w:r>
      <w:r w:rsidRPr="006076FC">
        <w:rPr>
          <w:lang w:val="en-GB"/>
        </w:rPr>
        <w:t>study was 78%, with reasons for participant withdrawal due to personal reasons (e.g.</w:t>
      </w:r>
      <w:r w:rsidR="001C5864" w:rsidRPr="006076FC">
        <w:rPr>
          <w:lang w:val="en-GB"/>
        </w:rPr>
        <w:t>,</w:t>
      </w:r>
      <w:r w:rsidRPr="006076FC">
        <w:rPr>
          <w:lang w:val="en-GB"/>
        </w:rPr>
        <w:t xml:space="preserve"> pregnancy) or lack of time associated with the pre and post testing procedures, rather than the e-health intervention itself. Furthermore, over the </w:t>
      </w:r>
      <w:proofErr w:type="gramStart"/>
      <w:r w:rsidR="00756DBF">
        <w:rPr>
          <w:lang w:val="en-GB"/>
        </w:rPr>
        <w:t>8 week</w:t>
      </w:r>
      <w:proofErr w:type="gramEnd"/>
      <w:r w:rsidRPr="006076FC">
        <w:rPr>
          <w:lang w:val="en-GB"/>
        </w:rPr>
        <w:t xml:space="preserve"> duration, only one participant experienced an issue with the software, which occurred on one occasion. The eligibility rate was modest (55%); likely in part due to our exclusion of participants with cerebrovascular, cardiovascular or metabolic diseases, or a mental health condition. Unpublished data from our laboratory indicate that expanding eligibility criteria to include cardiometabolic conditions increases response rate by 13%; thus</w:t>
      </w:r>
      <w:r w:rsidR="00F44F70">
        <w:rPr>
          <w:lang w:val="en-GB"/>
        </w:rPr>
        <w:t>,</w:t>
      </w:r>
      <w:r w:rsidRPr="006076FC">
        <w:rPr>
          <w:lang w:val="en-GB"/>
        </w:rPr>
        <w:t xml:space="preserve"> future trials should consider this. Compliance with providing outcome measure data was high, with participants providing 100% of data for all outcomes except cerebrovascular function </w:t>
      </w:r>
      <w:r w:rsidRPr="006076FC">
        <w:rPr>
          <w:lang w:val="en-GB"/>
        </w:rPr>
        <w:t>(9</w:t>
      </w:r>
      <w:r w:rsidR="00A971C9">
        <w:rPr>
          <w:lang w:val="en-GB"/>
        </w:rPr>
        <w:t>3</w:t>
      </w:r>
      <w:r w:rsidRPr="006076FC">
        <w:rPr>
          <w:lang w:val="en-GB"/>
        </w:rPr>
        <w:t xml:space="preserve">%) and semi-structured interviews (50%). The lower completion percentage for the semi-structured interviews </w:t>
      </w:r>
      <w:r w:rsidRPr="006076FC">
        <w:rPr>
          <w:lang w:val="en-GB"/>
        </w:rPr>
        <w:t xml:space="preserve">may reflect the time of data collection, which occurred at the end of the </w:t>
      </w:r>
      <w:r w:rsidR="00E154E5">
        <w:rPr>
          <w:lang w:val="en-GB"/>
        </w:rPr>
        <w:t>I</w:t>
      </w:r>
      <w:r w:rsidR="00E154E5" w:rsidRPr="006076FC">
        <w:rPr>
          <w:lang w:val="en-GB"/>
        </w:rPr>
        <w:t xml:space="preserve">ntervention </w:t>
      </w:r>
      <w:r w:rsidRPr="006076FC">
        <w:rPr>
          <w:lang w:val="en-GB"/>
        </w:rPr>
        <w:t>trial and coincided with winter and summer vacation periods at the University; thus</w:t>
      </w:r>
      <w:r w:rsidR="00F44F70">
        <w:rPr>
          <w:lang w:val="en-GB"/>
        </w:rPr>
        <w:t>,</w:t>
      </w:r>
      <w:r w:rsidRPr="006076FC">
        <w:rPr>
          <w:lang w:val="en-GB"/>
        </w:rPr>
        <w:t xml:space="preserve"> participants were often taking annual leave and unable to partake.</w:t>
      </w:r>
    </w:p>
    <w:p w14:paraId="6BD91EFE" w14:textId="5A3C91E1" w:rsidR="00563CFC" w:rsidRPr="006076FC" w:rsidRDefault="00563CFC" w:rsidP="00244A4B">
      <w:pPr>
        <w:pStyle w:val="MDPI31text"/>
        <w:rPr>
          <w:lang w:val="en-GB"/>
        </w:rPr>
      </w:pPr>
      <w:r w:rsidRPr="006076FC">
        <w:rPr>
          <w:lang w:val="en-GB"/>
        </w:rPr>
        <w:t xml:space="preserve">Despite our feasibility data, qualitative insights from participants, combined with the objective assessment of compliance to the software, suggest this method of implementation may not be an acceptable strategy for the long-term use of this e-health intervention. Indeed, some participants reported they would not continue to use the software in its current form if it was made available to them by their employer. Furthermore, participants indicated that the software may influence, both positively and negatively, their mood and work productivity. Some participants found the prompts </w:t>
      </w:r>
      <w:bookmarkStart w:id="4" w:name="_Hlk52892901"/>
      <w:r w:rsidRPr="006076FC">
        <w:rPr>
          <w:lang w:val="en-GB"/>
        </w:rPr>
        <w:t>disrupted their workflow and were inconvenient during specific tasks</w:t>
      </w:r>
      <w:bookmarkEnd w:id="4"/>
      <w:r w:rsidRPr="006076FC">
        <w:rPr>
          <w:lang w:val="en-GB"/>
        </w:rPr>
        <w:t xml:space="preserve"> such as meetings, which led them to describe feelings of stress and frustration whilst using the software. Indeed, a loss of productivity when taking activity breaks from sitting is a commonly reported concern from employees </w:t>
      </w:r>
      <w:r w:rsidRPr="006076FC">
        <w:rPr>
          <w:lang w:val="en-GB"/>
        </w:rPr>
        <w:fldChar w:fldCharType="begin" w:fldLock="1"/>
      </w:r>
      <w:r w:rsidRPr="006076FC">
        <w:rPr>
          <w:lang w:val="en-GB"/>
        </w:rPr>
        <w:instrText>ADDIN CSL_CITATION {"citationItems":[{"id":"ITEM-1","itemData":{"DOI":"10.1097/JOM.0000000000001832","ISBN":"0000000000","ISSN":"15365948","PMID":"32049875","abstract":"OBJECTIVE: To understand the practicalities of undertaking 2 to 3 minutes of light to moderate intensity physical activity after every 30 minutes of prolonged sitting by examining barriers and facilitators. METHODS: Around 27 (n = 22 women) employees working in higher education who sat for greater than 5 hours during a work day participated in a focus group discussion. RESULTS: Through inductive thematic analysis, themes characterising workplace culture and having the knowledge (or not) of benefits were found to be a facilitator and a barrier. Additional barriers were a perceived reduction in work productivity and specific work tasks that precluded taking activity breaks. Extrinsic motivators and prompts were suggested to facilitate participation. CONCLUSIONS: Environmental and individual strategies are required to build capability, opportunity, and motivation for undertaking regular activity breaks and should inform the development of an ecologically valid workplace intervention.","author":[{"dropping-particle":"","family":"Hargreaves","given":"Elaine Anne","non-dropping-particle":"","parse-names":false,"suffix":""},{"dropping-particle":"","family":"Hayr","given":"Kirsty Therese","non-dropping-particle":"","parse-names":false,"suffix":""},{"dropping-particle":"","family":"Jenkins","given":"Matthew","non-dropping-particle":"","parse-names":false,"suffix":""},{"dropping-particle":"","family":"Perry","given":"Tracy","non-dropping-particle":"","parse-names":false,"suffix":""},{"dropping-particle":"","family":"Peddie","given":"Meredith","non-dropping-particle":"","parse-names":false,"suffix":""}],"container-title":"Journal of occupational and environmental medicine","id":"ITEM-1","issue":"4","issued":{"date-parts":[["2020"]]},"page":"317-324","title":"Interrupting sedentary time in the workplace using regular short activity breaks: Practicality from an employee perspective","type":"article-journal","volume":"62"},"uris":["http://www.mendeley.com/documents/?uuid=86173ec6-5d7c-4a72-b58f-1e36612f1852"]}],"mendeley":{"formattedCitation":"[55]","plainTextFormattedCitation":"[55]","previouslyFormattedCitation":"[54]"},"properties":{"noteIndex":0},"schema":"https://github.com/citation-style-language/schema/raw/master/csl-citation.json"}</w:instrText>
      </w:r>
      <w:r w:rsidRPr="006076FC">
        <w:rPr>
          <w:lang w:val="en-GB"/>
        </w:rPr>
        <w:fldChar w:fldCharType="separate"/>
      </w:r>
      <w:r w:rsidRPr="006076FC">
        <w:rPr>
          <w:noProof/>
          <w:lang w:val="en-GB"/>
        </w:rPr>
        <w:t>[55]</w:t>
      </w:r>
      <w:r w:rsidRPr="006076FC">
        <w:rPr>
          <w:lang w:val="en-GB"/>
        </w:rPr>
        <w:fldChar w:fldCharType="end"/>
      </w:r>
      <w:r w:rsidRPr="006076FC">
        <w:rPr>
          <w:lang w:val="en-GB"/>
        </w:rPr>
        <w:t xml:space="preserve">. Furthermore, pressurised work tasks and losing track of time have been described as </w:t>
      </w:r>
      <w:r w:rsidRPr="006076FC">
        <w:rPr>
          <w:lang w:val="en-GB"/>
        </w:rPr>
        <w:lastRenderedPageBreak/>
        <w:t xml:space="preserve">barriers to taking activity breaks when using a prompting software to reduce workplace sitting </w:t>
      </w:r>
      <w:r w:rsidRPr="006076FC">
        <w:rPr>
          <w:lang w:val="en-GB"/>
        </w:rPr>
        <w:fldChar w:fldCharType="begin" w:fldLock="1"/>
      </w:r>
      <w:r w:rsidRPr="006076FC">
        <w:rPr>
          <w:lang w:val="en-GB"/>
        </w:rPr>
        <w:instrText>ADDIN CSL_CITATION {"citationItems":[{"id":"ITEM-1","itemData":{"DOI":"10.1186/s40814-017-0226-8","ISSN":"20555784","abstract":"Background: Office workers have been identified as being at risk of accumulating high amounts of sedentary time in prolonged events during work hours, which has been associated with increased risk of a number of long-term health conditions. There is some evidence that providing advice to stand at regular intervals during the working day, and using computer-based prompts, can reduce sedentary behaviour in office workers. However, evidence of effectiveness, feasibility and acceptability for these types of intervention is currently limited. Methods: A 2-arm, parallel group, cluster-randomised feasibility trial to assess the acceptability of prompts to break up sedentary behaviour was conducted with office workers in a commercial bank (n = 21). Participants were assigned to an education only group (EG) or prompt and education group (PG). Both groups received education on reducing and breaking up sitting at work, and the PG also received hourly prompts, delivered by Microsoft Outlook over 10 weeks, reminding them to stand. Objective measurements of sedentary behaviour were made using activPAL monitors worn at three time points: baseline, in the last 2 weeks of the intervention period and 12 weeks after the intervention. Focus groups were conducted to explore the acceptability of the intervention and the motivations and barriers to changing sedentary behaviour. Results: Randomly generated, customised prompts, delivered by Microsoft Outlook, with messages about breaking up sitting, proved to be a feasible and acceptable way of delivering prompts to office workers. Participants in both groups reduced their sitting, but changes were not maintained at follow-up. The education session seemed to increase outcome expectations of the benefits of changing sedentary behaviour and promote self-regulation of behaviour in some participants. However, low self-efficacy and a desire to conform to cultural norms were barriers to changing behaviour. Conclusions: Prompts delivered by Microsoft Outlook were a feasible, low-cost way of prompting office workers to break up their sedentary behaviour, although further research is needed to determine whether this has an additional impact on sedentary behaviour, to education alone. The role of cultural norms, and promoting self-efficacy, should be considered in the design of future interventions.","author":[{"dropping-particle":"","family":"O'Dolan","given":"Catriona","non-dropping-particle":"","parse-names":false,"suffix":""},{"dropping-particle":"","family":"Grant","given":"Margaret","non-dropping-particle":"","parse-names":false,"suffix":""},{"dropping-particle":"","family":"Lawrence","given":"Maggie","non-dropping-particle":"","parse-names":false,"suffix":""},{"dropping-particle":"","family":"Dall","given":"Philippa","non-dropping-particle":"","parse-names":false,"suffix":""}],"container-title":"Pilot and Feasibility Studies","id":"ITEM-1","issue":"1","issued":{"date-parts":[["2018"]]},"page":"1-12","publisher":"Pilot and Feasibility Studies","title":"A randomised feasibility study to investigate the impact of education and the addition of prompts on the sedentary behaviour of office workers","type":"article-journal","volume":"4"},"uris":["http://www.mendeley.com/documents/?uuid=d60a4ed7-5fe9-4c69-a068-18211c9abcf7"]}],"mendeley":{"formattedCitation":"[56]","plainTextFormattedCitation":"[56]","previouslyFormattedCitation":"[55]"},"properties":{"noteIndex":0},"schema":"https://github.com/citation-style-language/schema/raw/master/csl-citation.json"}</w:instrText>
      </w:r>
      <w:r w:rsidRPr="006076FC">
        <w:rPr>
          <w:lang w:val="en-GB"/>
        </w:rPr>
        <w:fldChar w:fldCharType="separate"/>
      </w:r>
      <w:r w:rsidRPr="006076FC">
        <w:rPr>
          <w:noProof/>
          <w:lang w:val="en-GB"/>
        </w:rPr>
        <w:t>[56]</w:t>
      </w:r>
      <w:r w:rsidRPr="006076FC">
        <w:rPr>
          <w:lang w:val="en-GB"/>
        </w:rPr>
        <w:fldChar w:fldCharType="end"/>
      </w:r>
      <w:r w:rsidRPr="006076FC">
        <w:rPr>
          <w:lang w:val="en-GB"/>
        </w:rPr>
        <w:t xml:space="preserve">. Alternatively, other participants reported that the break provided a mental break from their work, reducing their fatigue and stress. This latter finding aligns with previous research using the software whereby participants’ self-report health and </w:t>
      </w:r>
      <w:r w:rsidR="00837C44">
        <w:rPr>
          <w:lang w:val="en-GB"/>
        </w:rPr>
        <w:t>well-being</w:t>
      </w:r>
      <w:r w:rsidRPr="006076FC">
        <w:rPr>
          <w:lang w:val="en-GB"/>
        </w:rPr>
        <w:t xml:space="preserve"> increased following the intervention period </w:t>
      </w:r>
      <w:r w:rsidRPr="006076FC">
        <w:rPr>
          <w:lang w:val="en-GB"/>
        </w:rPr>
        <w:fldChar w:fldCharType="begin" w:fldLock="1"/>
      </w:r>
      <w:r w:rsidRPr="006076FC">
        <w:rPr>
          <w:lang w:val="en-GB"/>
        </w:rPr>
        <w:instrText>ADDIN CSL_CITATION {"citationItems":[{"id":"ITEM-1","itemData":{"DOI":"10.1108/IJWHM-01-2015-0005","ISSN":"1753-8351","author":[{"dropping-particle":"","family":"Mainsbridge","given":"Casey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Management","id":"ITEM-1","issue":"2","issued":{"date-parts":[["2016","6","13"]]},"note":"Detailed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mendeley":{"formattedCitation":"[10]","plainTextFormattedCitation":"[10]","previouslyFormattedCitation":"[10]"},"properties":{"noteIndex":0},"schema":"https://github.com/citation-style-language/schema/raw/master/csl-citation.json"}</w:instrText>
      </w:r>
      <w:r w:rsidRPr="006076FC">
        <w:rPr>
          <w:lang w:val="en-GB"/>
        </w:rPr>
        <w:fldChar w:fldCharType="separate"/>
      </w:r>
      <w:r w:rsidRPr="006076FC">
        <w:rPr>
          <w:noProof/>
          <w:lang w:val="en-GB"/>
        </w:rPr>
        <w:t>[10]</w:t>
      </w:r>
      <w:r w:rsidRPr="006076FC">
        <w:rPr>
          <w:lang w:val="en-GB"/>
        </w:rPr>
        <w:fldChar w:fldCharType="end"/>
      </w:r>
      <w:r w:rsidRPr="006076FC">
        <w:rPr>
          <w:lang w:val="en-GB"/>
        </w:rPr>
        <w:t xml:space="preserve">. Additionally, qualitative insights from participants using an alternative prompt-based e-health intervention have reported feeling refreshed after taking an activity break from sitting </w:t>
      </w:r>
      <w:r w:rsidRPr="006076FC">
        <w:rPr>
          <w:lang w:val="en-GB"/>
        </w:rPr>
        <w:fldChar w:fldCharType="begin" w:fldLock="1"/>
      </w:r>
      <w:r w:rsidRPr="006076FC">
        <w:rPr>
          <w:lang w:val="en-GB"/>
        </w:rPr>
        <w:instrText>ADDIN CSL_CITATION {"citationItems":[{"id":"ITEM-1","itemData":{"DOI":"10.1186/s40814-017-0226-8","ISSN":"20555784","abstract":"Background: Office workers have been identified as being at risk of accumulating high amounts of sedentary time in prolonged events during work hours, which has been associated with increased risk of a number of long-term health conditions. There is some evidence that providing advice to stand at regular intervals during the working day, and using computer-based prompts, can reduce sedentary behaviour in office workers. However, evidence of effectiveness, feasibility and acceptability for these types of intervention is currently limited. Methods: A 2-arm, parallel group, cluster-randomised feasibility trial to assess the acceptability of prompts to break up sedentary behaviour was conducted with office workers in a commercial bank (n = 21). Participants were assigned to an education only group (EG) or prompt and education group (PG). Both groups received education on reducing and breaking up sitting at work, and the PG also received hourly prompts, delivered by Microsoft Outlook over 10 weeks, reminding them to stand. Objective measurements of sedentary behaviour were made using activPAL monitors worn at three time points: baseline, in the last 2 weeks of the intervention period and 12 weeks after the intervention. Focus groups were conducted to explore the acceptability of the intervention and the motivations and barriers to changing sedentary behaviour. Results: Randomly generated, customised prompts, delivered by Microsoft Outlook, with messages about breaking up sitting, proved to be a feasible and acceptable way of delivering prompts to office workers. Participants in both groups reduced their sitting, but changes were not maintained at follow-up. The education session seemed to increase outcome expectations of the benefits of changing sedentary behaviour and promote self-regulation of behaviour in some participants. However, low self-efficacy and a desire to conform to cultural norms were barriers to changing behaviour. Conclusions: Prompts delivered by Microsoft Outlook were a feasible, low-cost way of prompting office workers to break up their sedentary behaviour, although further research is needed to determine whether this has an additional impact on sedentary behaviour, to education alone. The role of cultural norms, and promoting self-efficacy, should be considered in the design of future interventions.","author":[{"dropping-particle":"","family":"O'Dolan","given":"Catriona","non-dropping-particle":"","parse-names":false,"suffix":""},{"dropping-particle":"","family":"Grant","given":"Margaret","non-dropping-particle":"","parse-names":false,"suffix":""},{"dropping-particle":"","family":"Lawrence","given":"Maggie","non-dropping-particle":"","parse-names":false,"suffix":""},{"dropping-particle":"","family":"Dall","given":"Philippa","non-dropping-particle":"","parse-names":false,"suffix":""}],"container-title":"Pilot and Feasibility Studies","id":"ITEM-1","issue":"1","issued":{"date-parts":[["2018"]]},"page":"1-12","publisher":"Pilot and Feasibility Studies","title":"A randomised feasibility study to investigate the impact of education and the addition of prompts on the sedentary behaviour of office workers","type":"article-journal","volume":"4"},"uris":["http://www.mendeley.com/documents/?uuid=d60a4ed7-5fe9-4c69-a068-18211c9abcf7"]}],"mendeley":{"formattedCitation":"[56]","plainTextFormattedCitation":"[56]","previouslyFormattedCitation":"[55]"},"properties":{"noteIndex":0},"schema":"https://github.com/citation-style-language/schema/raw/master/csl-citation.json"}</w:instrText>
      </w:r>
      <w:r w:rsidRPr="006076FC">
        <w:rPr>
          <w:lang w:val="en-GB"/>
        </w:rPr>
        <w:fldChar w:fldCharType="separate"/>
      </w:r>
      <w:r w:rsidRPr="006076FC">
        <w:rPr>
          <w:noProof/>
          <w:lang w:val="en-GB"/>
        </w:rPr>
        <w:t>[56]</w:t>
      </w:r>
      <w:r w:rsidRPr="006076FC">
        <w:rPr>
          <w:lang w:val="en-GB"/>
        </w:rPr>
        <w:fldChar w:fldCharType="end"/>
      </w:r>
      <w:r w:rsidRPr="006076FC">
        <w:rPr>
          <w:lang w:val="en-GB"/>
        </w:rPr>
        <w:t>. Despite these qualitative findings, the preliminary findings from our quantitative measures of mood and work productivity showed no changes, although findings should be interpreted with caution as they likely lack statistical power. Some participants also highlighted concerns over the sensitivity of the software to accurately reflect activities they completed when they were away from their desk. Collectively these data suggest adaptations to the software are required to make it suitable for the individual needs of a workforce, for example personalised settings for different job roles. The alterations to the software that workers feel are necessary should be explored further, and co-developed with appropriate office-based workers, researchers, and software developers.</w:t>
      </w:r>
    </w:p>
    <w:p w14:paraId="692C54C6" w14:textId="60B54E16" w:rsidR="00563CFC" w:rsidRPr="006076FC" w:rsidRDefault="00563CFC" w:rsidP="00244A4B">
      <w:pPr>
        <w:pStyle w:val="MDPI31text"/>
        <w:rPr>
          <w:lang w:val="en-GB"/>
        </w:rPr>
      </w:pPr>
      <w:r w:rsidRPr="006076FC">
        <w:rPr>
          <w:lang w:val="en-GB"/>
        </w:rPr>
        <w:t>The software recorded that participants logged an average eight additional minutes taking breaks from sitting, achieved across six breaks per workday</w:t>
      </w:r>
      <w:r w:rsidR="0003542A">
        <w:rPr>
          <w:lang w:val="en-GB"/>
        </w:rPr>
        <w:t>,</w:t>
      </w:r>
      <w:r w:rsidRPr="006076FC">
        <w:rPr>
          <w:lang w:val="en-GB"/>
        </w:rPr>
        <w:t xml:space="preserve"> which is comparable to previous studies using the software as a workplace intervention </w:t>
      </w:r>
      <w:r w:rsidRPr="006076FC">
        <w:rPr>
          <w:lang w:val="en-GB"/>
        </w:rPr>
        <w:fldChar w:fldCharType="begin" w:fldLock="1"/>
      </w:r>
      <w:r w:rsidRPr="006076FC">
        <w:rPr>
          <w:lang w:val="en-GB"/>
        </w:rPr>
        <w:instrText>ADDIN CSL_CITATION {"citationItems":[{"id":"ITEM-1","itemData":{"DOI":"10.1097/JOM.0000000000000243","ISBN":"0000000000000","ISSN":"1536-5948","PMID":"25376414","abstract":"OBJECTIVE: To evaluate the effect of a workplace health intervention designed to reduce prolonged occupational sitting on the mean arterial pressure (MAP) of desk-based employees. METHODS: This randomized controlled trial involved an experimental group who received an e-health intervention and a control group who did not. The 13-week intervention passively prompted participants to stand and engage in short bouts of office-based physical activity by interrupting prolonged occupational sitting time periodically throughout the workday. Mean arterial pressure was measured at pretest and posttest. RESULTS: Between pretest and posttest the experimental group significantly reduced their MAP, whereas MAP in the control group did not. CONCLUSIONS: A workplace e-health intervention designed to reduce prolonged occupational sitting was effective in decreasing MAP in desk-based employees.","author":[{"dropping-particle":"","family":"Mainsbridge","given":"Casey P","non-dropping-particle":"","parse-names":false,"suffix":""},{"dropping-particle":"","family":"Cooley","given":"Paul D","non-dropping-particle":"","parse-names":false,"suffix":""},{"dropping-particle":"","family":"Fraser","given":"Sharon P","non-dropping-particle":"","parse-names":false,"suffix":""},{"dropping-particle":"","family":"Pedersen","given":"Scott J","non-dropping-particle":"","parse-names":false,"suffix":""}],"container-title":"Journal of occupational and environmental medicine","id":"ITEM-1","issue":"11","issued":{"date-parts":[["2014"]]},"note":"METHODS\nexperimental group with exertime v.s control group \n13 week intervention\neducational session given prior to starting intervention \nMAP measured pre and post \n\nRESULTS\nexperimental group sig. decreased MAP pre v. post\n\n\nIn terms of\nthe duration of breaks from sitting, the e-health software prompted\nparticipants in the experimental group to engage in activity for 7.99± 4.44 minutes per day by performing short-burst physical activities\n6.28 ± 3.59 times per workday. The average time for each bout of NEPA was 1.34 ± 0.74 minutes.","page":"1189-94","title":"The effect of an e-health intervention designed to reduce prolonged occupational sitting on mean arterial pressure","type":"article-journal","volume":"56"},"uris":["http://www.mendeley.com/documents/?uuid=dc275069-0fec-4e29-bb4e-2afcf027fc94"]},{"id":"ITEM-2","itemData":{"DOI":"10.1108/IJWHM-01-2015-0005","ISSN":"1753-8351","author":[{"dropping-particle":"","family":"Mainsbridge","given":"Casey P.","non-dropping-particle":"","parse-names":false,"suffix":""},{"dropping-particle":"","family":"Cooley","given":"Dean","non-dropping-particle":"","parse-names":false,"suffix":""},{"dropping-particle":"","family":"Fraser","given":"Sharon P","non-dropping-particle":"","parse-names":false,"suffix":""},{"dropping-particle":"","family":"Pedersen","given":"Scott J","non-dropping-particle":"","parse-names":false,"suffix":""}],"container-title":"International Journal of Workplace Health Management","id":"ITEM-2","issue":"2","issued":{"date-parts":[["2016","6","13"]]},"note":"Detailed descripton of Exertime software and educaiton session\n\nMETHOD\nExertime software t for 13 weeks (passive prompt) followed by 13 weeks voluntarrily using the software and activating a prompt\nAll participants had a pre testing educational session \nMeasured self report health and well being (Meidcal OUtcomes Survey Short Form 36; SF-36) \n\nResults \nIncreased thier total health from pre to post test, to second post test \n\nParticipants increased their pereption of thier total helath, physicla helath and mental health after 13 weeks and this was sustained without the prompts after 13 more weeks\n\nParticipants reported at end of passive prompt they stood for 7.51 min per day by engaging in brief bouts of movement for 4.95 times per workday","page":"221-237","title":"A workplace intervention designed to interrupt prolonged occupational sitting","type":"article-journal","volume":"9"},"uris":["http://www.mendeley.com/documents/?uuid=32631e9e-6bf3-420b-b955-3a9fdb164f42"]},{"id":"ITEM-3","itemData":{"DOI":"10.3233/WOR-131644","ISBN":"1875-9270 (Electronic)\\r1051-9815 (Linking)","ISSN":"10519815","PMID":"23787256","abstract":"BACKGROUND: Desk-based employees face multiple workplace health hazards such as insufficient physical activity and prolonged sitting.OBJECTIVE: The objective of this study was to increase workday energy expenditure by interrupting prolonged occupational sitting time and introducing short-bursts of physical activity to employees' daily work habits.\\n\\nMETHODS: Over a 13-week period participants (n=17) in the intervention group were regularly exposed to a passive prompt delivered through their desktop computer that required them to stand up and engage in a short-burst of physical activity, while the control group (n=17) was not exposed to this intervention. Instead, the control group continued with their normal work routine. All participants completed a pre- and post- intervention survey to estimate workplace daily energy expenditure (calories).\\n\\nRESULTS: There was a significant 2 (Group) × 2 (Test) interaction, F (1, 32)=9.26, p &lt; 0.05. The intervention group increased the calories expended during the workday from pre-test (M=866.29 ± 151.40) to post-test (M=1054.10 ± 393.24), whereas the control group decreased calories expended during the workday from pre-test (M=982.55 ± 315.66) to post-test (M=892.21 ± 255.36).\\n\\nCONCLUSIONS: An e-health intervention using a passive prompt was an effective mechanism for increasing employee work-related energy expenditure. Engaging employees in regular short-bursts of physical activity during the workday resulted in reduced sitting time, which may have long-term effects on the improvement of employee health.","author":[{"dropping-particle":"","family":"Pedersen","given":"Scott J.","non-dropping-particle":"","parse-names":false,"suffix":""},{"dropping-particle":"","family":"Cooley","given":"Paul D.","non-dropping-particle":"","parse-names":false,"suffix":""},{"dropping-particle":"","family":"Mainsbridge","given":"Casey","non-dropping-particle":"","parse-names":false,"suffix":""}],"container-title":"Work","id":"ITEM-3","issue":"2","issued":{"date-parts":[["2014"]]},"note":"INTRO\nStates sitting at work is habitual. Habits are influenced by environmental cues e.g. office workspace arrangments \n\nMETHOD\nExertine e-health program installed on computers\nAutomatically deactivated PC screen every 45mins \nEnd users could exit the program or ignore the prompt \nPassive and active prompting\nPassive- e-health health software forcing them to stop work and stand\nActive- once standing software offered the opportunity to chose and engage in a short PA bout e.g. desk squats \n\nMeausred:\nQuesitonniare based EE \n\nRESULTS\nIntervention group sig increased EE\nIntervention group reported staning 7.99 min extra by engaging in 6.28 PA activites per worksday","page":"289-295","title":"An e-health intervention designed to increase workday energy expenditure by reducing prolonged occupational sitting habits","type":"article-journal","volume":"49"},"uris":["http://www.mendeley.com/documents/?uuid=55885f42-892b-42d3-b092-eea691a95ead"]}],"mendeley":{"formattedCitation":"[9–11]","plainTextFormattedCitation":"[9–11]","previouslyFormattedCitation":"[9–11]"},"properties":{"noteIndex":0},"schema":"https://github.com/citation-style-language/schema/raw/master/csl-citation.json"}</w:instrText>
      </w:r>
      <w:r w:rsidRPr="006076FC">
        <w:rPr>
          <w:lang w:val="en-GB"/>
        </w:rPr>
        <w:fldChar w:fldCharType="separate"/>
      </w:r>
      <w:r w:rsidRPr="006076FC">
        <w:rPr>
          <w:noProof/>
          <w:lang w:val="en-GB"/>
        </w:rPr>
        <w:t>[9–11]</w:t>
      </w:r>
      <w:r w:rsidRPr="006076FC">
        <w:rPr>
          <w:lang w:val="en-GB"/>
        </w:rPr>
        <w:fldChar w:fldCharType="end"/>
      </w:r>
      <w:r w:rsidRPr="006076FC">
        <w:rPr>
          <w:lang w:val="en-GB"/>
        </w:rPr>
        <w:t xml:space="preserve">. However, these studies only relied on the data from the software’s online portal, which is not able to discern whether participants actually took a break. In this study, for the first time, the objective activity monitoring provided an initial assessment of the validity of the software by comparing participants’ self-reported breaks to objective data. Using this approach, it was observed that participants completed 68% of the breaks they logged in the software. This level of adherence to the prompts may reflect participants’ dissatisfaction with the timed prompting feature interrupting them during work events and the desire for it to be less intrusive whereby they can voluntarily initiate the software. Indeed, participants wanted greater autonomy over the lock out feature of the software and the type of break they could choose. Frustrations from the prompts may therefore have meant participants disengaged or ignored some prompts over the course of their workday. Similarly, an alternative e-health intervention using automatic hourly timed prompts observed no change in workplace sitting time </w:t>
      </w:r>
      <w:r w:rsidRPr="006076FC">
        <w:rPr>
          <w:lang w:val="en-GB"/>
        </w:rPr>
        <w:fldChar w:fldCharType="begin" w:fldLock="1"/>
      </w:r>
      <w:r w:rsidRPr="006076FC">
        <w:rPr>
          <w:lang w:val="en-GB"/>
        </w:rPr>
        <w:instrText>ADDIN CSL_CITATION {"citationItems":[{"id":"ITEM-1","itemData":{"DOI":"10.1123/jpah.2015-0385","ISSN":"15435476","abstract":"Background: The purpose of this study was to determine whether an alert to get up once per hour while at work would reduce sitting time, increase sit-to-stand transitions, and improve perceived wellness in women with sedentary jobs. Methods: Female university staff and administrators (48 ± 10 years) were randomly assigned to control-control (CC) (n = 22) or control-intervention (CI) (n = 22) groups. Both used a thigh-worn postural-based activity monitor for 2 weeks. The CC group maintained normal behaviors, whereas the CI group maintained behaviors during control week, but received hourly alerts on their computer during work hours in the intervention week. Time sitting and sit-to-stand transitions during an 8.5-hour workday were examined. A perceived wellness survey was completed at baseline and after the control and intervention weeks. Results: Among all participants (N = 44) during the control week, 68% of the workday was spent sitting and 41 sit-to-stand transitions occurred. An analysis of variance revealed no statistically significant differences in variables over time (P &gt; .05). There was a significant increase in perceived wellness from baseline in both groups (P ≤ .05). Perceived wellness showed no statistically significant difference between groups. Conclusions: The intervention had no statistically significant effect on sitting time or sit-to-stand transitions. Participation improved perceived wellness in the absence of behavior change.","author":[{"dropping-particle":"","family":"Urda","given":"Joyan L.","non-dropping-particle":"","parse-names":false,"suffix":""},{"dropping-particle":"","family":"Lynn","given":"Jeffrey S.","non-dropping-particle":"","parse-names":false,"suffix":""},{"dropping-particle":"","family":"Gorman","given":"Andrea","non-dropping-particle":"","parse-names":false,"suffix":""},{"dropping-particle":"","family":"Larouere","given":"Beth","non-dropping-particle":"","parse-names":false,"suffix":""}],"container-title":"Journal of Physical Activity and Health","id":"ITEM-1","issue":"8","issued":{"date-parts":[["2016"]]},"page":"838-844","title":"Effects of a minimal workplace intervention to reduce sedentary behaviors and improve perceived wellness in middle-aged women office workers","type":"article-journal","volume":"13"},"uris":["http://www.mendeley.com/documents/?uuid=03a012b9-0cb8-4800-80ea-6b290a07ef84"]}],"mendeley":{"formattedCitation":"[13]","plainTextFormattedCitation":"[13]","previouslyFormattedCitation":"[13]"},"properties":{"noteIndex":0},"schema":"https://github.com/citation-style-language/schema/raw/master/csl-citation.json"}</w:instrText>
      </w:r>
      <w:r w:rsidRPr="006076FC">
        <w:rPr>
          <w:lang w:val="en-GB"/>
        </w:rPr>
        <w:fldChar w:fldCharType="separate"/>
      </w:r>
      <w:r w:rsidRPr="006076FC">
        <w:rPr>
          <w:noProof/>
          <w:lang w:val="en-GB"/>
        </w:rPr>
        <w:t>[13]</w:t>
      </w:r>
      <w:r w:rsidRPr="006076FC">
        <w:rPr>
          <w:lang w:val="en-GB"/>
        </w:rPr>
        <w:fldChar w:fldCharType="end"/>
      </w:r>
      <w:r w:rsidRPr="006076FC">
        <w:rPr>
          <w:lang w:val="en-GB"/>
        </w:rPr>
        <w:t xml:space="preserve">, while an e-health intervention using randomly embedded prompts into employees’ Microsoft Outlook calendars reported that participants ignored the prompts before the end of the intervention period </w:t>
      </w:r>
      <w:r w:rsidRPr="006076FC">
        <w:rPr>
          <w:lang w:val="en-GB"/>
        </w:rPr>
        <w:fldChar w:fldCharType="begin" w:fldLock="1"/>
      </w:r>
      <w:r w:rsidRPr="006076FC">
        <w:rPr>
          <w:lang w:val="en-GB"/>
        </w:rPr>
        <w:instrText>ADDIN CSL_CITATION {"citationItems":[{"id":"ITEM-1","itemData":{"DOI":"10.1186/s40814-017-0226-8","ISSN":"20555784","abstract":"Background: Office workers have been identified as being at risk of accumulating high amounts of sedentary time in prolonged events during work hours, which has been associated with increased risk of a number of long-term health conditions. There is some evidence that providing advice to stand at regular intervals during the working day, and using computer-based prompts, can reduce sedentary behaviour in office workers. However, evidence of effectiveness, feasibility and acceptability for these types of intervention is currently limited. Methods: A 2-arm, parallel group, cluster-randomised feasibility trial to assess the acceptability of prompts to break up sedentary behaviour was conducted with office workers in a commercial bank (n = 21). Participants were assigned to an education only group (EG) or prompt and education group (PG). Both groups received education on reducing and breaking up sitting at work, and the PG also received hourly prompts, delivered by Microsoft Outlook over 10 weeks, reminding them to stand. Objective measurements of sedentary behaviour were made using activPAL monitors worn at three time points: baseline, in the last 2 weeks of the intervention period and 12 weeks after the intervention. Focus groups were conducted to explore the acceptability of the intervention and the motivations and barriers to changing sedentary behaviour. Results: Randomly generated, customised prompts, delivered by Microsoft Outlook, with messages about breaking up sitting, proved to be a feasible and acceptable way of delivering prompts to office workers. Participants in both groups reduced their sitting, but changes were not maintained at follow-up. The education session seemed to increase outcome expectations of the benefits of changing sedentary behaviour and promote self-regulation of behaviour in some participants. However, low self-efficacy and a desire to conform to cultural norms were barriers to changing behaviour. Conclusions: Prompts delivered by Microsoft Outlook were a feasible, low-cost way of prompting office workers to break up their sedentary behaviour, although further research is needed to determine whether this has an additional impact on sedentary behaviour, to education alone. The role of cultural norms, and promoting self-efficacy, should be considered in the design of future interventions.","author":[{"dropping-particle":"","family":"O'Dolan","given":"Catriona","non-dropping-particle":"","parse-names":false,"suffix":""},{"dropping-particle":"","family":"Grant","given":"Margaret","non-dropping-particle":"","parse-names":false,"suffix":""},{"dropping-particle":"","family":"Lawrence","given":"Maggie","non-dropping-particle":"","parse-names":false,"suffix":""},{"dropping-particle":"","family":"Dall","given":"Philippa","non-dropping-particle":"","parse-names":false,"suffix":""}],"container-title":"Pilot and Feasibility Studies","id":"ITEM-1","issue":"1","issued":{"date-parts":[["2018"]]},"page":"1-12","publisher":"Pilot and Feasibility Studies","title":"A randomised feasibility study to investigate the impact of education and the addition of prompts on the sedentary behaviour of office workers","type":"article-journal","volume":"4"},"uris":["http://www.mendeley.com/documents/?uuid=d60a4ed7-5fe9-4c69-a068-18211c9abcf7"]}],"mendeley":{"formattedCitation":"[56]","plainTextFormattedCitation":"[56]","previouslyFormattedCitation":"[55]"},"properties":{"noteIndex":0},"schema":"https://github.com/citation-style-language/schema/raw/master/csl-citation.json"}</w:instrText>
      </w:r>
      <w:r w:rsidRPr="006076FC">
        <w:rPr>
          <w:lang w:val="en-GB"/>
        </w:rPr>
        <w:fldChar w:fldCharType="separate"/>
      </w:r>
      <w:r w:rsidRPr="006076FC">
        <w:rPr>
          <w:noProof/>
          <w:lang w:val="en-GB"/>
        </w:rPr>
        <w:t>[56]</w:t>
      </w:r>
      <w:r w:rsidRPr="006076FC">
        <w:rPr>
          <w:lang w:val="en-GB"/>
        </w:rPr>
        <w:fldChar w:fldCharType="end"/>
      </w:r>
      <w:r w:rsidRPr="006076FC">
        <w:rPr>
          <w:lang w:val="en-GB"/>
        </w:rPr>
        <w:t>. Collectively these findings indicate prompts should be tailored to the individual behaviour of each worker. Future research employing this e-health intervention should consider a more sensitive prompt that does not solely rely on a timer, for example prompts that are synchronised to work events.</w:t>
      </w:r>
    </w:p>
    <w:p w14:paraId="490638DC" w14:textId="5909D022" w:rsidR="00563CFC" w:rsidRPr="006076FC" w:rsidRDefault="00563CFC" w:rsidP="00244A4B">
      <w:pPr>
        <w:pStyle w:val="MDPI31text"/>
        <w:rPr>
          <w:lang w:val="en-GB"/>
        </w:rPr>
      </w:pPr>
      <w:r w:rsidRPr="006076FC">
        <w:rPr>
          <w:lang w:val="en-GB"/>
        </w:rPr>
        <w:t xml:space="preserve">The preliminary analyses of the objective behavioural data indicate </w:t>
      </w:r>
      <w:r w:rsidR="00C9224E">
        <w:rPr>
          <w:lang w:val="en-GB"/>
        </w:rPr>
        <w:t xml:space="preserve">that </w:t>
      </w:r>
      <w:r w:rsidRPr="006076FC">
        <w:rPr>
          <w:lang w:val="en-GB"/>
        </w:rPr>
        <w:t>the intervention may alter the activity accrued during work hours. Following the intervention, total workplace sitting time decreased by 12</w:t>
      </w:r>
      <w:r w:rsidR="00080A01">
        <w:rPr>
          <w:lang w:val="en-GB"/>
        </w:rPr>
        <w:t xml:space="preserve"> min</w:t>
      </w:r>
      <w:r w:rsidRPr="006076FC">
        <w:rPr>
          <w:lang w:val="en-GB"/>
        </w:rPr>
        <w:t xml:space="preserve"> (2.4%) whilst total standing and stepping time increased by 11</w:t>
      </w:r>
      <w:r w:rsidR="00080A01">
        <w:rPr>
          <w:lang w:val="en-GB"/>
        </w:rPr>
        <w:t xml:space="preserve"> min</w:t>
      </w:r>
      <w:r w:rsidRPr="006076FC">
        <w:rPr>
          <w:lang w:val="en-GB"/>
        </w:rPr>
        <w:t xml:space="preserve"> (2.3%) and 1</w:t>
      </w:r>
      <w:r w:rsidR="00080A01">
        <w:rPr>
          <w:lang w:val="en-GB"/>
        </w:rPr>
        <w:t xml:space="preserve"> min</w:t>
      </w:r>
      <w:r w:rsidRPr="006076FC">
        <w:rPr>
          <w:lang w:val="en-GB"/>
        </w:rPr>
        <w:t xml:space="preserve"> (0.1%), respectively. This reduction in sitting time is similar to an alternative e-health intervention which reduced total workplace sitting by 14 </w:t>
      </w:r>
      <w:r w:rsidR="001C5864" w:rsidRPr="006076FC">
        <w:rPr>
          <w:lang w:val="en-GB"/>
        </w:rPr>
        <w:t>min</w:t>
      </w:r>
      <w:r w:rsidRPr="006076FC">
        <w:rPr>
          <w:lang w:val="en-GB"/>
        </w:rPr>
        <w:t xml:space="preserve"> </w:t>
      </w:r>
      <w:r w:rsidRPr="006076FC">
        <w:rPr>
          <w:lang w:val="en-GB"/>
        </w:rPr>
        <w:fldChar w:fldCharType="begin" w:fldLock="1"/>
      </w:r>
      <w:r w:rsidRPr="006076FC">
        <w:rPr>
          <w:lang w:val="en-GB"/>
        </w:rPr>
        <w:instrText>ADDIN CSL_CITATION {"citationItems":[{"id":"ITEM-1","itemData":{"DOI":"10.1002/14651858.CD010912.pub4","ISSN":"1469-493X","PMID":"29926475","abstract":"BACKGROUND A large number of people are employed in sedentary occupations. Physical inactivity and excessive sitting at workplaces have been linked to increased risk of cardiovascular disease, obesity, and all-cause mortality. OBJECTIVES To evaluate the effectiveness of workplace interventions to reduce sitting at work compared to no intervention or alternative interventions. SEARCH METHODS We searched the Cochrane Central Register of Controlled Trials (CENTRAL), MEDLINE, Embase, CINAHL, OSH UPDATE, PsycINFO, ClinicalTrials.gov, and the World Health Organization (WHO) International Clinical Trials Registry Platform (ICTRP) search portal up to 9 August 2017. We also screened reference lists of articles and contacted authors to find more studies. SELECTION CRITERIA We included randomised controlled trials (RCTs), cross-over RCTs, cluster-randomised controlled trials (cluster-RCTs), and quasi-RCTs of interventions to reduce sitting at work. For changes of workplace arrangements, we also included controlled before-and-after studies. The primary outcome was time spent sitting at work per day, either self-reported or measured using devices such as an accelerometer-inclinometer and duration and number of sitting bouts lasting 30 minutes or more. We considered energy expenditure, total time spent sitting (including sitting at and outside work), time spent standing at work, work productivity and adverse events as secondary outcomes. DATA COLLECTION AND ANALYSIS Two review authors independently screened titles, abstracts and full-text articles for study eligibility. Two review authors independently extracted data and assessed risk of bias. We contacted authors for additional data where required. MAIN RESULTS We found 34 studies - including two cross-over RCTs, 17 RCTs, seven cluster-RCTs, and eight controlled before-and-after studies - with a total of 3,397 participants, all from high-income countries. The studies evaluated physical workplace changes (16 studies), workplace policy changes (four studies), information and counselling (11 studies), and multi-component interventions (four studies). One study included both physical workplace changes and information and counselling components. We did not find any studies that specifically investigated the effects of standing meetings or walking meetings on sitting time.Physical workplace changesInterventions using sit-stand desks, either alone or in combination with information and counselling, reduced sitting time at …","author":[{"dropping-particle":"","family":"Shrestha","given":"Nipun","non-dropping-particle":"","parse-names":false,"suffix":""},{"dropping-particle":"","family":"Kukkonen-Harjula","given":"Katriina T","non-dropping-particle":"","parse-names":false,"suffix":""},{"dropping-particle":"","family":"Verbeek","given":"Jos H","non-dropping-particle":"","parse-names":false,"suffix":""},{"dropping-particle":"","family":"Ijaz","given":"Sharea","non-dropping-particle":"","parse-names":false,"suffix":""},{"dropping-particle":"","family":"Hermans","given":"Veerle","non-dropping-particle":"","parse-names":false,"suffix":""},{"dropping-particle":"","family":"Pedisic","given":"Zeljko","non-dropping-particle":"","parse-names":false,"suffix":""}],"container-title":"The Cochrane database of systematic reviews","id":"ITEM-1","issue":"6","issued":{"date-parts":[["2018"]]},"page":"CD010912","publisher":"John Wiley &amp; Sons, Ltd","title":"Workplace interventions for reducing sitting at work","type":"article-journal","volume":"6"},"uris":["http://www.mendeley.com/documents/?uuid=413cf9b3-ee7e-4817-bdb2-23e13e10d8d3"]}],"mendeley":{"formattedCitation":"[6]","plainTextFormattedCitation":"[6]","previouslyFormattedCitation":"[6]"},"properties":{"noteIndex":0},"schema":"https://github.com/citation-style-language/schema/raw/master/csl-citation.json"}</w:instrText>
      </w:r>
      <w:r w:rsidRPr="006076FC">
        <w:rPr>
          <w:lang w:val="en-GB"/>
        </w:rPr>
        <w:fldChar w:fldCharType="separate"/>
      </w:r>
      <w:r w:rsidRPr="006076FC">
        <w:rPr>
          <w:noProof/>
          <w:lang w:val="en-GB"/>
        </w:rPr>
        <w:t>[6]</w:t>
      </w:r>
      <w:r w:rsidRPr="006076FC">
        <w:rPr>
          <w:lang w:val="en-GB"/>
        </w:rPr>
        <w:fldChar w:fldCharType="end"/>
      </w:r>
      <w:r w:rsidRPr="006076FC">
        <w:rPr>
          <w:lang w:val="en-GB"/>
        </w:rPr>
        <w:t>, but is modest compared to reductions of 77</w:t>
      </w:r>
      <w:r w:rsidR="00CF5AAF" w:rsidRPr="006076FC">
        <w:rPr>
          <w:lang w:val="en-GB"/>
        </w:rPr>
        <w:t>–</w:t>
      </w:r>
      <w:r w:rsidRPr="006076FC">
        <w:rPr>
          <w:lang w:val="en-GB"/>
        </w:rPr>
        <w:t xml:space="preserve">116 </w:t>
      </w:r>
      <w:r w:rsidR="001C5864" w:rsidRPr="006076FC">
        <w:rPr>
          <w:lang w:val="en-GB"/>
        </w:rPr>
        <w:t>min</w:t>
      </w:r>
      <w:r w:rsidRPr="006076FC">
        <w:rPr>
          <w:lang w:val="en-GB"/>
        </w:rPr>
        <w:t xml:space="preserve"> when using active or sit-to-stand workstations </w:t>
      </w:r>
      <w:r w:rsidRPr="006076FC">
        <w:rPr>
          <w:lang w:val="en-GB"/>
        </w:rPr>
        <w:fldChar w:fldCharType="begin" w:fldLock="1"/>
      </w:r>
      <w:r w:rsidRPr="006076FC">
        <w:rPr>
          <w:lang w:val="en-GB"/>
        </w:rPr>
        <w:instrText>ADDIN CSL_CITATION {"citationItems":[{"id":"ITEM-1","itemData":{"DOI":"10.1111/obr.12201","ISBN":"1467-789X","ISSN":"1467-789X","PMID":"25040784","abstract":"Excessive sedentary time is detrimentally linked to obesity, type 2 diabetes, cardiovascular disease and premature mortality. Studies have been investigating the use of activity-permissive workstations to reduce sedentary time in office workers, a highly sedentary target group. This review systematically summarizes the evidence for activity-permissive workstations on sedentary time, health-risk biomarkers, work performance and feasibility indicators in office workplaces. In July 2013, a literature search identified 38 relevant peer-reviewed publications. Key findings were independently extracted by two researchers. The average intervention effect on sedentary time was calculated via meta-analysis. In total, 984 participants across 19 field-based trials and 19 laboratory investigations were included, with sample sizes ranging from n = 2 to 66 per study. Sedentary time, health-risk biomarkers and work performance indicators were reported in 13, 23 and 23 studies, respectively. The pooled effect size from the meta-analysis was -77 min of sedentary time/8-h workday (95% confidence interval = -120, -35 min). Non-significant changes were reported for most health- and work-related outcomes. Studies with acceptability measures reported predominantly positive feedback. Findings suggest that activity-permissive workstations can be effective to reduce occupational sedentary time, without compromising work performance. Larger and longer-term randomized-controlled trials are needed to understand the sustainability of the sedentary time reductions and their longer-term impacts on health- and work-related outcomes.","author":[{"dropping-particle":"","family":"Neuhaus","given":"M","non-dropping-particle":"","parse-names":false,"suffix":""},{"dropping-particle":"","family":"Eakin","given":"E. G","non-dropping-particle":"","parse-names":false,"suffix":""},{"dropping-particle":"","family":"Straker","given":"L","non-dropping-particle":"","parse-names":false,"suffix":""},{"dropping-particle":"","family":"Owen","given":"N","non-dropping-particle":"","parse-names":false,"suffix":""},{"dropping-particle":"","family":"Dunstan","given":"D. W","non-dropping-particle":"","parse-names":false,"suffix":""},{"dropping-particle":"","family":"Reid","given":"N","non-dropping-particle":"","parse-names":false,"suffix":""},{"dropping-particle":"","family":"Healy","given":"G. N","non-dropping-particle":"","parse-names":false,"suffix":""}],"container-title":"Obesity reviews","id":"ITEM-1","issue":"10","issued":{"date-parts":[["2014","10"]]},"note":"Review of activity-permissive workstations\n\nFound workstations can lead to reduction in sitting time, without negatively impacting work outcomes \n\nimpact on helath related parameter is inconcusive due to being based on short term studies with insufficient power \n\nstanding desks do no conform to ergonomic recommendation to encourage postural variety \n\ntreadmill desks + cycles mmay lead to decreased work performance 21 out of 112 oucomes worsened= however acute studies= need to aclimiatise","page":"822-38","title":"Reducing occupational sedentary time: A systematic review and meta-analysis of evidence on activity-permissive workstations","type":"article-journal","volume":"15"},"uris":["http://www.mendeley.com/documents/?uuid=c1fa178a-4575-4606-9215-7cb93fd820bd"]},{"id":"ITEM-2","itemData":{"DOI":"10.1002/14651858.CD010912.pub4","ISSN":"1469-493X","PMID":"29926475","abstract":"BACKGROUND A large number of people are employed in sedentary occupations. Physical inactivity and excessive sitting at workplaces have been linked to increased risk of cardiovascular disease, obesity, and all-cause mortality. OBJECTIVES To evaluate the effectiveness of workplace interventions to reduce sitting at work compared to no intervention or alternative interventions. SEARCH METHODS We searched the Cochrane Central Register of Controlled Trials (CENTRAL), MEDLINE, Embase, CINAHL, OSH UPDATE, PsycINFO, ClinicalTrials.gov, and the World Health Organization (WHO) International Clinical Trials Registry Platform (ICTRP) search portal up to 9 August 2017. We also screened reference lists of articles and contacted authors to find more studies. SELECTION CRITERIA We included randomised controlled trials (RCTs), cross-over RCTs, cluster-randomised controlled trials (cluster-RCTs), and quasi-RCTs of interventions to reduce sitting at work. For changes of workplace arrangements, we also included controlled before-and-after studies. The primary outcome was time spent sitting at work per day, either self-reported or measured using devices such as an accelerometer-inclinometer and duration and number of sitting bouts lasting 30 minutes or more. We considered energy expenditure, total time spent sitting (including sitting at and outside work), time spent standing at work, work productivity and adverse events as secondary outcomes. DATA COLLECTION AND ANALYSIS Two review authors independently screened titles, abstracts and full-text articles for study eligibility. Two review authors independently extracted data and assessed risk of bias. We contacted authors for additional data where required. MAIN RESULTS We found 34 studies - including two cross-over RCTs, 17 RCTs, seven cluster-RCTs, and eight controlled before-and-after studies - with a total of 3,397 participants, all from high-income countries. The studies evaluated physical workplace changes (16 studies), workplace policy changes (four studies), information and counselling (11 studies), and multi-component interventions (four studies). One study included both physical workplace changes and information and counselling components. We did not find any studies that specifically investigated the effects of standing meetings or walking meetings on sitting time.Physical workplace changesInterventions using sit-stand desks, either alone or in combination with information and counselling, reduced sitting time at …","author":[{"dropping-particle":"","family":"Shrestha","given":"Nipun","non-dropping-particle":"","parse-names":false,"suffix":""},{"dropping-particle":"","family":"Kukkonen-Harjula","given":"Katriina T","non-dropping-particle":"","parse-names":false,"suffix":""},{"dropping-particle":"","family":"Verbeek","given":"Jos H","non-dropping-particle":"","parse-names":false,"suffix":""},{"dropping-particle":"","family":"Ijaz","given":"Sharea","non-dropping-particle":"","parse-names":false,"suffix":""},{"dropping-particle":"","family":"Hermans","given":"Veerle","non-dropping-particle":"","parse-names":false,"suffix":""},{"dropping-particle":"","family":"Pedisic","given":"Zeljko","non-dropping-particle":"","parse-names":false,"suffix":""}],"container-title":"The Cochrane database of systematic reviews","id":"ITEM-2","issue":"6","issued":{"date-parts":[["2018"]]},"page":"CD010912","publisher":"John Wiley &amp; Sons, Ltd","title":"Workplace interventions for reducing sitting at work","type":"article-journal","volume":"6"},"uris":["http://www.mendeley.com/documents/?uuid=413cf9b3-ee7e-4817-bdb2-23e13e10d8d3"]}],"mendeley":{"formattedCitation":"[6,7]","plainTextFormattedCitation":"[6,7]","previouslyFormattedCitation":"[6,7]"},"properties":{"noteIndex":0},"schema":"https://github.com/citation-style-language/schema/raw/master/csl-citation.json"}</w:instrText>
      </w:r>
      <w:r w:rsidRPr="006076FC">
        <w:rPr>
          <w:lang w:val="en-GB"/>
        </w:rPr>
        <w:fldChar w:fldCharType="separate"/>
      </w:r>
      <w:r w:rsidRPr="006076FC">
        <w:rPr>
          <w:noProof/>
          <w:lang w:val="en-GB"/>
        </w:rPr>
        <w:t>[6,7]</w:t>
      </w:r>
      <w:r w:rsidRPr="006076FC">
        <w:rPr>
          <w:lang w:val="en-GB"/>
        </w:rPr>
        <w:fldChar w:fldCharType="end"/>
      </w:r>
      <w:r w:rsidRPr="006076FC">
        <w:rPr>
          <w:lang w:val="en-GB"/>
        </w:rPr>
        <w:t>. These interventions allow workers to engage in activity whilst remaining at their desk, whereas the software used in this study promoted walking breaks away from the desk, which may explain these differences. However, despite advising participants to complete a walking break, it is interesting that the greatest change in behaviour was derived from standing, indicating participants may prefer more choice in the activities they complete during their breaks, which was reflected in the qualitative data. The intervention may also positively change the pattern in which behaviour is accrued during work hours, as the number of stepping bouts (0</w:t>
      </w:r>
      <w:r w:rsidR="00CF5AAF" w:rsidRPr="006076FC">
        <w:rPr>
          <w:lang w:val="en-GB"/>
        </w:rPr>
        <w:t>–</w:t>
      </w:r>
      <w:r w:rsidRPr="006076FC">
        <w:rPr>
          <w:lang w:val="en-GB"/>
        </w:rPr>
        <w:t xml:space="preserve">30 </w:t>
      </w:r>
      <w:r w:rsidR="001C5864" w:rsidRPr="006076FC">
        <w:rPr>
          <w:lang w:val="en-GB"/>
        </w:rPr>
        <w:t>min</w:t>
      </w:r>
      <w:r w:rsidRPr="006076FC">
        <w:rPr>
          <w:lang w:val="en-GB"/>
        </w:rPr>
        <w:t xml:space="preserve"> bouts and 0</w:t>
      </w:r>
      <w:r w:rsidR="00CF5AAF" w:rsidRPr="006076FC">
        <w:rPr>
          <w:lang w:val="en-GB"/>
        </w:rPr>
        <w:t>–</w:t>
      </w:r>
      <w:r w:rsidRPr="006076FC">
        <w:rPr>
          <w:lang w:val="en-GB"/>
        </w:rPr>
        <w:t xml:space="preserve">10 </w:t>
      </w:r>
      <w:r w:rsidR="001C5864" w:rsidRPr="006076FC">
        <w:rPr>
          <w:lang w:val="en-GB"/>
        </w:rPr>
        <w:t>min</w:t>
      </w:r>
      <w:r w:rsidRPr="006076FC">
        <w:rPr>
          <w:lang w:val="en-GB"/>
        </w:rPr>
        <w:t xml:space="preserve"> MVPA bouts) and the number and total time spent in standing bouts lasting 30+ min increased. However, there were minimal changes in the number of sit-to-stand transitions, which has also been observed when using an alternative prompt-based workplace intervention </w:t>
      </w:r>
      <w:r w:rsidRPr="006076FC">
        <w:rPr>
          <w:lang w:val="en-GB"/>
        </w:rPr>
        <w:fldChar w:fldCharType="begin" w:fldLock="1"/>
      </w:r>
      <w:r w:rsidRPr="006076FC">
        <w:rPr>
          <w:lang w:val="en-GB"/>
        </w:rPr>
        <w:instrText>ADDIN CSL_CITATION {"citationItems":[{"id":"ITEM-1","itemData":{"DOI":"10.1123/jpah.2015-0385","ISSN":"15435476","abstract":"Background: The purpose of this study was to determine whether an alert to get up once per hour while at work would reduce sitting time, increase sit-to-stand transitions, and improve perceived wellness in women with sedentary jobs. Methods: Female university staff and administrators (48 ± 10 years) were randomly assigned to control-control (CC) (n = 22) or control-intervention (CI) (n = 22) groups. Both used a thigh-worn postural-based activity monitor for 2 weeks. The CC group maintained normal behaviors, whereas the CI group maintained behaviors during control week, but received hourly alerts on their computer during work hours in the intervention week. Time sitting and sit-to-stand transitions during an 8.5-hour workday were examined. A perceived wellness survey was completed at baseline and after the control and intervention weeks. Results: Among all participants (N = 44) during the control week, 68% of the workday was spent sitting and 41 sit-to-stand transitions occurred. An analysis of variance revealed no statistically significant differences in variables over time (P &gt; .05). There was a significant increase in perceived wellness from baseline in both groups (P ≤ .05). Perceived wellness showed no statistically significant difference between groups. Conclusions: The intervention had no statistically significant effect on sitting time or sit-to-stand transitions. Participation improved perceived wellness in the absence of behavior change.","author":[{"dropping-particle":"","family":"Urda","given":"Joyan L.","non-dropping-particle":"","parse-names":false,"suffix":""},{"dropping-particle":"","family":"Lynn","given":"Jeffrey S.","non-dropping-particle":"","parse-names":false,"suffix":""},{"dropping-particle":"","family":"Gorman","given":"Andrea","non-dropping-particle":"","parse-names":false,"suffix":""},{"dropping-particle":"","family":"Larouere","given":"Beth","non-dropping-particle":"","parse-names":false,"suffix":""}],"container-title":"Journal of Physical Activity and Health","id":"ITEM-1","issue":"8","issued":{"date-parts":[["2016"]]},"page":"838-844","title":"Effects of a minimal workplace intervention to reduce sedentary behaviors and improve perceived wellness in middle-aged women office workers","type":"article-journal","volume":"13"},"uris":["http://www.mendeley.com/documents/?uuid=03a012b9-0cb8-4800-80ea-6b290a07ef84"]}],"mendeley":{"formattedCitation":"[13]","plainTextFormattedCitation":"[13]","previouslyFormattedCitation":"[13]"},"properties":{"noteIndex":0},"schema":"https://github.com/citation-style-language/schema/raw/master/csl-citation.json"}</w:instrText>
      </w:r>
      <w:r w:rsidRPr="006076FC">
        <w:rPr>
          <w:lang w:val="en-GB"/>
        </w:rPr>
        <w:fldChar w:fldCharType="separate"/>
      </w:r>
      <w:r w:rsidRPr="006076FC">
        <w:rPr>
          <w:noProof/>
          <w:lang w:val="en-GB"/>
        </w:rPr>
        <w:t>[13]</w:t>
      </w:r>
      <w:r w:rsidRPr="006076FC">
        <w:rPr>
          <w:lang w:val="en-GB"/>
        </w:rPr>
        <w:fldChar w:fldCharType="end"/>
      </w:r>
      <w:r w:rsidRPr="006076FC">
        <w:rPr>
          <w:lang w:val="en-GB"/>
        </w:rPr>
        <w:t xml:space="preserve">. This may indicate participants did not take more breaks from sitting but perhaps instead did an activity for longer or completed consecutive activities during each of these breaks, for example walking further or walking to a colleague to have a standing conversation. Thus, </w:t>
      </w:r>
      <w:r w:rsidRPr="006076FC">
        <w:rPr>
          <w:lang w:val="en-GB"/>
        </w:rPr>
        <w:lastRenderedPageBreak/>
        <w:t>for some participants, the software prompts may have just served as a way of scheduling their normal breaks from sitting to carry out incidental workplace activities, such as toilet breaks, or purposeful activities, such as walking during lunch breaks, and they spent more time engaged in these activities. Consequently, whether this method of implementing the e-health intervention is effective at increasing the daily number of breaks from sitting workers complete is unclear and further research is needed to corroborate these preliminary findings.</w:t>
      </w:r>
    </w:p>
    <w:p w14:paraId="7D2E8E16" w14:textId="3403BB0B" w:rsidR="00563CFC" w:rsidRPr="006076FC" w:rsidRDefault="00563CFC" w:rsidP="00244A4B">
      <w:pPr>
        <w:pStyle w:val="MDPI31text"/>
        <w:rPr>
          <w:lang w:val="en-GB"/>
        </w:rPr>
      </w:pPr>
      <w:r w:rsidRPr="006076FC">
        <w:rPr>
          <w:lang w:val="en-GB"/>
        </w:rPr>
        <w:t>The preliminary effects of the e-health software on measures of vascular function and cerebrovascular function were also assessed. Using the software may positively influence vascular function as following the intervention femoral artery FMD increased</w:t>
      </w:r>
      <w:r w:rsidRPr="006076FC">
        <w:rPr>
          <w:color w:val="1C1D1E"/>
          <w:lang w:val="en-GB"/>
        </w:rPr>
        <w:t xml:space="preserve"> by </w:t>
      </w:r>
      <w:r w:rsidRPr="006076FC">
        <w:rPr>
          <w:lang w:val="en-GB"/>
        </w:rPr>
        <w:t>4.8%</w:t>
      </w:r>
      <w:r w:rsidRPr="006076FC">
        <w:rPr>
          <w:color w:val="1C1D1E"/>
          <w:lang w:val="en-GB"/>
        </w:rPr>
        <w:t>. Importantly,</w:t>
      </w:r>
      <w:r w:rsidRPr="006076FC">
        <w:rPr>
          <w:lang w:val="en-GB"/>
        </w:rPr>
        <w:t xml:space="preserve"> FMD is a surrogate marker for future cardiovascular events </w:t>
      </w:r>
      <w:r w:rsidRPr="006076FC">
        <w:rPr>
          <w:color w:val="1C1D1E"/>
          <w:lang w:val="en-GB"/>
        </w:rPr>
        <w:fldChar w:fldCharType="begin" w:fldLock="1"/>
      </w:r>
      <w:r w:rsidRPr="006076FC">
        <w:rPr>
          <w:color w:val="1C1D1E"/>
          <w:lang w:val="en-GB"/>
        </w:rPr>
        <w:instrText>ADDIN CSL_CITATION {"citationItems":[{"id":"ITEM-1","itemData":{"DOI":"10.1007/s10554-010-9616-1","ISBN":"1569-5794","ISSN":"15695794","PMID":"20339920","abstract":"BACKGROUND: We conducted a meta-analysis of observational studies which examined the association between flow-mediated dilatation (FMD) of brachial artery, a noninvasive measure of endothelial function, and future cardiovascular events. METHODS: Electronic databases were searched using a predefined search strategy. Data was independently abstracted on study characteristics, study quality, and outcomes by two reviewers. The multivariate relative risks, adjusted for confounding factors, were calculated from individual studies and then pooled using random-effects models. Statistical heterogeneity was evaluated using I2 statistics. Subgroup analyses and meta-regression analyses were conducted to assess the robustness of the meta-analysis. Publication bias was examined with funnel plot analysis and Egger's test. RESULTS: Four population-based cohort studies and ten convenience-cohort studies, involving 5,547 participants, were included in the meta-analysis. The pooled relative risks of cardiovascular events per 1% increase in brachial FMD, adjusted for confounding risk factors, was 0.87 (95% CI, 0.83- 0.91). The significant associations between brachial FMD and cardiovascular events were consistent among all subgroups evaluated, suggesting the robustness of the meta-analysis. However, the presence of heterogeneity in study quality, the remaining confounding factors, and publication bias in the available literature prevent a definitive evaluation of the additional predictive value of brachial FMD beyond traditional cardiovascular risk factors. CONCLUSIONS: The meta-analysis of heterogeneous studies with moderate methodological quality suggested that impairment of brachial FMD is significantly associated with future cardiovascular events. Further prospective randomized trials are warranted to confirm the efficacy of the usage of brachial FMD in the management of cardiovascular diseases.","author":[{"dropping-particle":"","family":"Inaba","given":"Yoichi","non-dropping-particle":"","parse-names":false,"suffix":""},{"dropping-particle":"","family":"Chen","given":"Jennifer A.","non-dropping-particle":"","parse-names":false,"suffix":""},{"dropping-particle":"","family":"Bergmann","given":"Steven R.","non-dropping-particle":"","parse-names":false,"suffix":""}],"container-title":"International Journal of Cardiovascular Imaging","id":"ITEM-1","issue":"6","issued":{"date-parts":[["2010"]]},"page":"631-640","title":"Prediction of future cardiovascular outcomes by flow-mediated vasodilatation of brachial artery: A meta-analysis","type":"article-journal","volume":"26"},"uris":["http://www.mendeley.com/documents/?uuid=12aaf167-99b9-4ffd-9883-6cc33645de47"]}],"mendeley":{"formattedCitation":"[31]","plainTextFormattedCitation":"[31]","previouslyFormattedCitation":"[30]"},"properties":{"noteIndex":0},"schema":"https://github.com/citation-style-language/schema/raw/master/csl-citation.json"}</w:instrText>
      </w:r>
      <w:r w:rsidRPr="006076FC">
        <w:rPr>
          <w:color w:val="1C1D1E"/>
          <w:lang w:val="en-GB"/>
        </w:rPr>
        <w:fldChar w:fldCharType="separate"/>
      </w:r>
      <w:r w:rsidRPr="006076FC">
        <w:rPr>
          <w:noProof/>
          <w:color w:val="1C1D1E"/>
          <w:lang w:val="en-GB"/>
        </w:rPr>
        <w:t>[31]</w:t>
      </w:r>
      <w:r w:rsidRPr="006076FC">
        <w:rPr>
          <w:color w:val="1C1D1E"/>
          <w:lang w:val="en-GB"/>
        </w:rPr>
        <w:fldChar w:fldCharType="end"/>
      </w:r>
      <w:r w:rsidRPr="006076FC">
        <w:rPr>
          <w:lang w:val="en-GB"/>
        </w:rPr>
        <w:t xml:space="preserve"> indicating that, if the observed software usage was continued over a longer duration, it could have important implications for the prevention </w:t>
      </w:r>
      <w:r w:rsidR="00E154E5">
        <w:rPr>
          <w:lang w:val="en-GB"/>
        </w:rPr>
        <w:t xml:space="preserve">of </w:t>
      </w:r>
      <w:r w:rsidRPr="006076FC">
        <w:rPr>
          <w:lang w:val="en-GB"/>
        </w:rPr>
        <w:t xml:space="preserve">and reduction </w:t>
      </w:r>
      <w:r w:rsidR="00E154E5">
        <w:rPr>
          <w:lang w:val="en-GB"/>
        </w:rPr>
        <w:t>in</w:t>
      </w:r>
      <w:r w:rsidR="00E154E5" w:rsidRPr="006076FC">
        <w:rPr>
          <w:lang w:val="en-GB"/>
        </w:rPr>
        <w:t xml:space="preserve"> </w:t>
      </w:r>
      <w:r w:rsidRPr="006076FC">
        <w:rPr>
          <w:lang w:val="en-GB"/>
        </w:rPr>
        <w:t>cardiovascular disease risk in sedentary workers. Although cerebrovascular function did not improve following the intervention, this is the first time these measures have been assessed specifically in office workers, and importantly they were feasible to complete (</w:t>
      </w:r>
      <w:r w:rsidR="004120B6">
        <w:rPr>
          <w:lang w:val="en-GB"/>
        </w:rPr>
        <w:t>93</w:t>
      </w:r>
      <w:r w:rsidRPr="006076FC">
        <w:rPr>
          <w:lang w:val="en-GB"/>
        </w:rPr>
        <w:t>% completion rate). Consequently, future research should continue to explore whether interventions designed to alter workplace activity can influence cerebrovascular function.</w:t>
      </w:r>
    </w:p>
    <w:p w14:paraId="7E0DDAC6" w14:textId="1006C75F" w:rsidR="00563CFC" w:rsidRPr="006076FC" w:rsidRDefault="00563CFC" w:rsidP="00244A4B">
      <w:pPr>
        <w:pStyle w:val="MDPI22heading2"/>
        <w:rPr>
          <w:lang w:val="en-GB"/>
        </w:rPr>
      </w:pPr>
      <w:r w:rsidRPr="006076FC">
        <w:rPr>
          <w:lang w:val="en-GB"/>
        </w:rPr>
        <w:t>Strengths and Limitations</w:t>
      </w:r>
    </w:p>
    <w:p w14:paraId="748ED6A3" w14:textId="0E780861" w:rsidR="00563CFC" w:rsidRPr="006076FC" w:rsidRDefault="00563CFC" w:rsidP="00244A4B">
      <w:pPr>
        <w:pStyle w:val="MDPI31text"/>
        <w:rPr>
          <w:lang w:val="en-GB"/>
        </w:rPr>
      </w:pPr>
      <w:r w:rsidRPr="006076FC">
        <w:rPr>
          <w:lang w:val="en-GB"/>
        </w:rPr>
        <w:t>The main strength of this study was the evaluation of the acceptability and feasibility of an e-health intervention utilising both qualitative participant insights and objective measures of sitting, standing and stepping time,</w:t>
      </w:r>
      <w:r w:rsidRPr="006076FC" w:rsidDel="001A51DB">
        <w:rPr>
          <w:lang w:val="en-GB"/>
        </w:rPr>
        <w:t xml:space="preserve"> </w:t>
      </w:r>
      <w:r w:rsidRPr="006076FC">
        <w:rPr>
          <w:lang w:val="en-GB"/>
        </w:rPr>
        <w:t xml:space="preserve">vascular function, and cerebrovascular function. Importantly, the objective assessment of behavioural outcomes minimises the risk of reporting or recall bias </w:t>
      </w:r>
      <w:r w:rsidRPr="006076FC">
        <w:rPr>
          <w:lang w:val="en-GB"/>
        </w:rPr>
        <w:fldChar w:fldCharType="begin" w:fldLock="1"/>
      </w:r>
      <w:r w:rsidRPr="006076FC">
        <w:rPr>
          <w:lang w:val="en-GB"/>
        </w:rPr>
        <w:instrText>ADDIN CSL_CITATION {"citationItems":[{"id":"ITEM-1","itemData":{"DOI":"10.1016/j.pmedr.2017.10.004","ISSN":"22113355","abstract":"Sedentary behavior is an independent and prominent risk factor for chronic disease. Occupational sitting is likely to be the largest determinant of overall daily sitting time. Gathering accurate data on sedentary behaviors is essential to determine prevalence and effectiveness of interventions to reduce sedentary time. The purpose of this research was to determine whether self-reported sedentary time assessed by the Paffenbarger Physical Activity Questionnaire (PPAQ) and the Occupational Sitting and Physical Activity Questionnaire (OSPAQ) was related to objectively assessed sedentary time by the activPAL3 activity monitor. In the spring of 2015, 44 women employed full-time at Slippery Rock University participated in this study. Participants were predominantly Caucasian (95%), middle-aged (48 ± 10 years), and had an average BMI of 30.5 ± 8.2. A positive, weak correlation was found in sedentary time between the PPAQ (14.65 ± 2.77 h) and the activPAL3 (17.71 ± 1.46 h) over a 24 hour day (r = 0.253; p = 0.098; n = 44). Thirty-nine of the 44 participants significantly underestimated their sedentary time as compared to the activPAL3 (3.06 ± 2.76 h; p = 0.001). A positive, weak correlation was also found in sedentary time between the OSPAQ (5.96 ± 1.11 h) and the activPAL3 (5.69 ± 1.06 h) during the 8.5 hour work day (r = 0.100; p = 0.518; n = 44). Future studies examining sedentary behaviors should use caution when only considering the use of subjective recall surveys. This is especially true when self-reported behaviors are used to inform health promotion programs and create universal recommendations aimed to reduce sedentary time.","author":[{"dropping-particle":"","family":"Urda","given":"Joyan L.","non-dropping-particle":"","parse-names":false,"suffix":""},{"dropping-particle":"","family":"Larouere","given":"Beth","non-dropping-particle":"","parse-names":false,"suffix":""},{"dropping-particle":"","family":"Verba","given":"Steven D.","non-dropping-particle":"","parse-names":false,"suffix":""},{"dropping-particle":"","family":"Lynn","given":"Jeffrey S.","non-dropping-particle":"","parse-names":false,"suffix":""}],"container-title":"Preventive Medicine Reports","id":"ITEM-1","issue":"September","issued":{"date-parts":[["2017"]]},"page":"163-168","title":"Comparison of subjective and objective measures of office workers' sedentary time","type":"article-journal","volume":"8"},"uris":["http://www.mendeley.com/documents/?uuid=bf9d8e49-53db-4a03-a856-cadb0462acab"]}],"mendeley":{"formattedCitation":"[57]","plainTextFormattedCitation":"[57]","previouslyFormattedCitation":"[56]"},"properties":{"noteIndex":0},"schema":"https://github.com/citation-style-language/schema/raw/master/csl-citation.json"}</w:instrText>
      </w:r>
      <w:r w:rsidRPr="006076FC">
        <w:rPr>
          <w:lang w:val="en-GB"/>
        </w:rPr>
        <w:fldChar w:fldCharType="separate"/>
      </w:r>
      <w:r w:rsidRPr="006076FC">
        <w:rPr>
          <w:noProof/>
          <w:lang w:val="en-GB"/>
        </w:rPr>
        <w:t>[57]</w:t>
      </w:r>
      <w:r w:rsidRPr="006076FC">
        <w:rPr>
          <w:lang w:val="en-GB"/>
        </w:rPr>
        <w:fldChar w:fldCharType="end"/>
      </w:r>
      <w:r w:rsidRPr="006076FC">
        <w:rPr>
          <w:lang w:val="en-GB"/>
        </w:rPr>
        <w:t xml:space="preserve">. </w:t>
      </w:r>
      <w:r w:rsidR="00B42F49">
        <w:rPr>
          <w:lang w:val="en-GB"/>
        </w:rPr>
        <w:t>This</w:t>
      </w:r>
      <w:r w:rsidR="00B42F49" w:rsidRPr="006076FC">
        <w:rPr>
          <w:lang w:val="en-GB"/>
        </w:rPr>
        <w:t xml:space="preserve"> </w:t>
      </w:r>
      <w:r w:rsidRPr="006076FC">
        <w:rPr>
          <w:lang w:val="en-GB"/>
        </w:rPr>
        <w:t xml:space="preserve">study’s findings can be used to adapt the prompting feature of the software with the aim of increasingly its acceptability and effectiveness, and this can be assessed in future trials. The limitations of this study include the small sample size and therefore preliminary analyses that were conducted. Our recruitment rate of 41% could have been improved by using strategies such as team leader/management buy-in and support, as has been used in previous workplace intervention studies </w:t>
      </w:r>
      <w:r w:rsidRPr="006076FC">
        <w:rPr>
          <w:lang w:val="en-GB"/>
        </w:rPr>
        <w:fldChar w:fldCharType="begin" w:fldLock="1"/>
      </w:r>
      <w:r w:rsidRPr="006076FC">
        <w:rPr>
          <w:lang w:val="en-GB"/>
        </w:rPr>
        <w:instrText>ADDIN CSL_CITATION {"citationItems":[{"id":"ITEM-1","itemData":{"DOI":"10.1186/s12889-019-6615-6","ISSN":"14712458","abstract":"Background: Call agents spend ~ 90% of their working day seated, which may negatively impact health, productivity, and wellbeing. This study aimed to explore the acceptability and feasibility of a multi-component workplace intervention targeting increased activity and decreased prolonged sitting in the contact centre setting prior to a full-scale effectiveness trial. Methods: An 8-week non-randomised pre-post feasibility study was conducted. Using a mixed methods approach, focus groups and interviews were thematically analysed to explore the acceptability and feasibility of key study phases, and provide context to agents' process evaluation and survey responses. The multi-component intervention, conducted in a single call centre, included height-adjustable workstations, emails, education and training sessions, and support from team leaders and a workplace champion. Results: Six (of 20) team leaders were recruited, with 17 of 84 call agents (78% female, 39.3 ± 11.9 years) completing baseline assessments and 13 completing follow-up. High workload influenced recruitment. Call agents perceived assessments as acceptable, though strategies are needed to enhance fidelity. Education sessions, height-adjustable workstations and emails were perceived as the most effective components; however, height-adjustable hot-desks were not perceived as feasible in this setting. Conclusions: This study has identified unique, pragmatic considerations for conducting a multi-level, multi-component PA and SB intervention and associated evaluation in highly sedentary call agents in the challenging contact centre setting. The intervention was largely perceived positively, with call agents and team leaders describing numerous perceived positive effects on behavioural, health and work-related outcomes. Findings will be of value to researchers attempting to intervene in contact centres and will be used by the current authors to design a subsequent trial.","author":[{"dropping-particle":"","family":"Morris","given":"Abigail S.","non-dropping-particle":"","parse-names":false,"suffix":""},{"dropping-particle":"","family":"Murphy","given":"Rebecca C.","non-dropping-particle":"","parse-names":false,"suffix":""},{"dropping-particle":"","family":"Shepherd","given":"Sam O.","non-dropping-particle":"","parse-names":false,"suffix":""},{"dropping-particle":"","family":"Healy","given":"Genevieve N.","non-dropping-particle":"","parse-names":false,"suffix":""},{"dropping-particle":"","family":"Edwardson","given":"Charlotte L.","non-dropping-particle":"","parse-names":false,"suffix":""},{"dropping-particle":"","family":"Graves","given":"Lee E.F.","non-dropping-particle":"","parse-names":false,"suffix":""}],"container-title":"BMC Public Health","id":"ITEM-1","issue":"1","issued":{"date-parts":[["2019"]]},"page":"1-17","publisher":"BMC Public Health","title":"A multi-component intervention to sit less and move more in a contact centre setting: A feasibility study","type":"article-journal","volume":"19"},"uris":["http://www.mendeley.com/documents/?uuid=e0409062-0a82-418f-94b1-77edced743af"]}],"mendeley":{"formattedCitation":"[18]","plainTextFormattedCitation":"[18]","previouslyFormattedCitation":"[18]"},"properties":{"noteIndex":0},"schema":"https://github.com/citation-style-language/schema/raw/master/csl-citation.json"}</w:instrText>
      </w:r>
      <w:r w:rsidRPr="006076FC">
        <w:rPr>
          <w:lang w:val="en-GB"/>
        </w:rPr>
        <w:fldChar w:fldCharType="separate"/>
      </w:r>
      <w:r w:rsidRPr="006076FC">
        <w:rPr>
          <w:noProof/>
          <w:lang w:val="en-GB"/>
        </w:rPr>
        <w:t>[18]</w:t>
      </w:r>
      <w:r w:rsidRPr="006076FC">
        <w:rPr>
          <w:lang w:val="en-GB"/>
        </w:rPr>
        <w:fldChar w:fldCharType="end"/>
      </w:r>
      <w:r w:rsidRPr="006076FC">
        <w:rPr>
          <w:lang w:val="en-GB"/>
        </w:rPr>
        <w:t xml:space="preserve">, thus future trials should consider this approach. The population assessed were all employees from a university, meaning software usage, compliance and acceptability may differ in other worksites and professions. Despite this, our sample’s workplace sitting behaviours are representative of other workforces. At baseline, workers spent 318 </w:t>
      </w:r>
      <w:r w:rsidR="001C5864" w:rsidRPr="006076FC">
        <w:rPr>
          <w:lang w:val="en-GB"/>
        </w:rPr>
        <w:t>min</w:t>
      </w:r>
      <w:r w:rsidRPr="006076FC">
        <w:rPr>
          <w:lang w:val="en-GB"/>
        </w:rPr>
        <w:t xml:space="preserve"> (Control PRE) and 345 </w:t>
      </w:r>
      <w:r w:rsidR="001C5864" w:rsidRPr="006076FC">
        <w:rPr>
          <w:lang w:val="en-GB"/>
        </w:rPr>
        <w:t>min</w:t>
      </w:r>
      <w:r w:rsidRPr="006076FC">
        <w:rPr>
          <w:lang w:val="en-GB"/>
        </w:rPr>
        <w:t xml:space="preserve"> (Intervention PRE) sitting whilst at work. This is comparable to a recently published systematic review and meta-analysis of device-measured sitting at work that reported workers from all occupations spend 312 </w:t>
      </w:r>
      <w:r w:rsidR="001C5864" w:rsidRPr="006076FC">
        <w:rPr>
          <w:lang w:val="en-GB"/>
        </w:rPr>
        <w:t>min</w:t>
      </w:r>
      <w:r w:rsidRPr="006076FC">
        <w:rPr>
          <w:lang w:val="en-GB"/>
        </w:rPr>
        <w:t xml:space="preserve"> of their workday sitting, while specifically office workers spend 340 </w:t>
      </w:r>
      <w:r w:rsidR="001C5864" w:rsidRPr="006076FC">
        <w:rPr>
          <w:lang w:val="en-GB"/>
        </w:rPr>
        <w:t>min</w:t>
      </w:r>
      <w:r w:rsidRPr="006076FC">
        <w:rPr>
          <w:lang w:val="en-GB"/>
        </w:rPr>
        <w:t xml:space="preserve"> of their workday sitting </w:t>
      </w:r>
      <w:r w:rsidRPr="006076FC">
        <w:rPr>
          <w:lang w:val="en-GB"/>
        </w:rPr>
        <w:fldChar w:fldCharType="begin" w:fldLock="1"/>
      </w:r>
      <w:r w:rsidRPr="006076FC">
        <w:rPr>
          <w:lang w:val="en-GB"/>
        </w:rPr>
        <w:instrText>ADDIN CSL_CITATION {"citationItems":[{"id":"ITEM-1","itemData":{"DOI":"10.1186/s12966-019-0790-9","ISSN":"14795868","PMID":"30940176","abstract":"Background: With approximately 8 hours of one's waking day spent at work, occupational tasks and environments are important influencers on an individual's physical activity (PA) and sedentary behaviours. Little research has compared device-measured physical activity, sedentary behaviour and cardiometabolic outcomes between occupational groups. Objective: To compare device-measured movement (sedentary time [ST], light intensity physical activity [LPA], moderate-to-vigorous intensity physical activity [MVPA], and steps) across occupations. The secondary objective was to examine whether cardiometabolic and fitness outcomes differed by occupation. Methods: Five bibliographic databases were searched to identify all studies which included working age, employed adults from high-income countries, and reported on device-measured movement within occupations. Risk of bias within and across studies was assessed. Results were synthesized using meta-analyses and narrative syntheses. Results: The review includes 132 unique studies with data from 15,619 participants. Working adults spent ~ 60% of their working and waking time engaged in sedentary behaviour; a very small proportion (~ 4%) of the day included MVPA. On average, workers accumulated 8124 steps/day. Office and call center workers' steps/day were among the lowest, while those of postal delivery workers were highest. Office workers had the greatest ST and the lowest time in LPA both at work and during wakeful time. However, office workers had the greatest minutes sent in MVPA during wakeful hours. Laborers had the lowest ST and spent a significantly greater proportion of their work time in LPA and MVPA. Healthcare and protective services workers had higher levels of LPA at work compared to other occupations. Workers in driving-based occupations tended to have a higher body mass index and blood pressure. Conclusion: This review identifies that occupational and wakeful time PA and ST differed between occupations. Future studies are needed to assess whether patterns differ by age and sex, describe leisure-time movement and movement patterns, and the relationship with cardiometabolic health. Systematic review registration: PROSPERO CRD42017070448.","author":[{"dropping-particle":"","family":"Prince","given":"Stephanie A.","non-dropping-particle":"","parse-names":false,"suffix":""},{"dropping-particle":"","family":"Elliott","given":"Cara G.","non-dropping-particle":"","parse-names":false,"suffix":""},{"dropping-particle":"","family":"Scott","given":"Kyle","non-dropping-particle":"","parse-names":false,"suffix":""},{"dropping-particle":"","family":"Visintini","given":"Sarah","non-dropping-particle":"","parse-names":false,"suffix":""},{"dropping-particle":"","family":"Reed","given":"Jennifer L.","non-dropping-particle":"","parse-names":false,"suffix":""}],"container-title":"International Journal of Behavioral Nutrition and Physical Activity","id":"ITEM-1","issue":"1","issued":{"date-parts":[["2019"]]},"publisher":"International Journal of Behavioral Nutrition and Physical Activity","title":"Device-measured physical activity, sedentary behaviour and cardiometabolic health and fitness across occupational groups: A systematic review and meta-analysis","type":"article-journal","volume":"16"},"uris":["http://www.mendeley.com/documents/?uuid=206ceadb-d907-4264-aa1b-f77414043c66","http://www.mendeley.com/documents/?uuid=f02cb8c6-ce69-430c-a935-9c53e892cfce"]}],"mendeley":{"formattedCitation":"[58]","plainTextFormattedCitation":"[58]","previouslyFormattedCitation":"[57]"},"properties":{"noteIndex":0},"schema":"https://github.com/citation-style-language/schema/raw/master/csl-citation.json"}</w:instrText>
      </w:r>
      <w:r w:rsidRPr="006076FC">
        <w:rPr>
          <w:lang w:val="en-GB"/>
        </w:rPr>
        <w:fldChar w:fldCharType="separate"/>
      </w:r>
      <w:r w:rsidRPr="006076FC">
        <w:rPr>
          <w:noProof/>
          <w:lang w:val="en-GB"/>
        </w:rPr>
        <w:t>[58]</w:t>
      </w:r>
      <w:r w:rsidRPr="006076FC">
        <w:rPr>
          <w:lang w:val="en-GB"/>
        </w:rPr>
        <w:fldChar w:fldCharType="end"/>
      </w:r>
      <w:r w:rsidRPr="006076FC">
        <w:rPr>
          <w:lang w:val="en-GB"/>
        </w:rPr>
        <w:t xml:space="preserve">. Only healthy adults were recruited, meaning results may differ in clinical populations, future studies should seek to include those with health-related risk factors and health conditions who would likely benefit most from health interventions. Acceptability and feasibility could have been explored further through quantitative survey-based methods. Furthermore, qualitative data surrounding the acceptability of outcome measures could have been collected. For the purpose of this study, participants’ activity selection when using the software was limited to taking a walk, whereas full use of the software includes a range of activity modalities. The lack of activity choice may have reduced participant engagement with the software, thus future research could replicate this design but provide participants the full range of activity choices. It is also possible that seasonality may have influenced participants’ activity levels, since these can vary depending on the season when the assessment occurs </w:t>
      </w:r>
      <w:r w:rsidRPr="006076FC">
        <w:rPr>
          <w:lang w:val="en-GB"/>
        </w:rPr>
        <w:fldChar w:fldCharType="begin" w:fldLock="1"/>
      </w:r>
      <w:r w:rsidRPr="006076FC">
        <w:rPr>
          <w:lang w:val="en-GB"/>
        </w:rPr>
        <w:instrText>ADDIN CSL_CITATION {"citationItems":[{"id":"ITEM-1","itemData":{"DOI":"10.3109/03014460.2013.827737","ISBN":"1464-5033 (Electronic)\\n0301-4460 (Linking)","ISSN":"03014460","PMID":"23992280","abstract":"BACKGROUND: Physical activity (PA), sedentary behaviour (SB), sleep and diet have all been associated with increased risk for chronic disease. Seasonality is often overlooked as a determinant of these behaviours in adults. Currently, no study has simultaneously monitored these behaviours in UK adults to assess seasonal variation.\\n\\nAIM: The present study investigated whether PA, SB, sleep and diet differed over season in UK adults.\\n\\nSUBJECTS AND METHODS: Forty-six adults (72% female; age = 41.7 ± 14.4 years, BMI = 24.9 ± 4.4 kg/m(2)) completed four 7-day monitoring periods; one during each season of the year. The ActiGraph GT1M was used to monitor PA and SB. Daily sleep diaries monitored time spent in bed (TIB) and total sleep time (TST). The European Prospective Investigation of Cancer (EPIC) food frequency questionnaire (FFQ) assessed diet. Repeated measures ANOVAs were used to identify seasonal differences in behaviours.\\n\\nRESULTS: Light-intensity PA was significantly higher in summer and spring (p &lt; 0.001). SB and TIB were significantly higher in winter (p &lt; 0.01). There were no seasonal variations detected in moderate-vigorous PA, TST or diet (p &gt; 0.05).\\n\\nCONCLUSIONS: Findings support the concept that health promotion campaigns need to encourage year-round participation in light intensity PA, whilst limiting SB, particularly during the winter months.","author":[{"dropping-particle":"","family":"O'Connell","given":"Sophie E.","non-dropping-particle":"","parse-names":false,"suffix":""},{"dropping-particle":"","family":"Griffiths","given":"Paula L.","non-dropping-particle":"","parse-names":false,"suffix":""},{"dropping-particle":"","family":"Clemes","given":"Stacy A.","non-dropping-particle":"","parse-names":false,"suffix":""}],"container-title":"Annals of Human Biology","id":"ITEM-1","issue":"1","issued":{"date-parts":[["2014"]]},"page":"1-8","title":"Seasonal variation in physical activity, sedentary behaviour and sleep in a sample of UK adults","type":"article-journal","volume":"41"},"uris":["http://www.mendeley.com/documents/?uuid=be743b61-1bb6-4d62-b088-d9fe87ce1a8b"]}],"mendeley":{"formattedCitation":"[59]","plainTextFormattedCitation":"[59]","previouslyFormattedCitation":"[58]"},"properties":{"noteIndex":0},"schema":"https://github.com/citation-style-language/schema/raw/master/csl-citation.json"}</w:instrText>
      </w:r>
      <w:r w:rsidRPr="006076FC">
        <w:rPr>
          <w:lang w:val="en-GB"/>
        </w:rPr>
        <w:fldChar w:fldCharType="separate"/>
      </w:r>
      <w:r w:rsidRPr="006076FC">
        <w:rPr>
          <w:noProof/>
          <w:lang w:val="en-GB"/>
        </w:rPr>
        <w:t>[59]</w:t>
      </w:r>
      <w:r w:rsidRPr="006076FC">
        <w:rPr>
          <w:lang w:val="en-GB"/>
        </w:rPr>
        <w:fldChar w:fldCharType="end"/>
      </w:r>
      <w:r w:rsidRPr="006076FC">
        <w:rPr>
          <w:lang w:val="en-GB"/>
        </w:rPr>
        <w:t xml:space="preserve">. Similar to previous feasibility studies </w:t>
      </w:r>
      <w:r w:rsidRPr="006076FC">
        <w:rPr>
          <w:lang w:val="en-GB"/>
        </w:rPr>
        <w:fldChar w:fldCharType="begin" w:fldLock="1"/>
      </w:r>
      <w:r w:rsidRPr="006076FC">
        <w:rPr>
          <w:lang w:val="en-GB"/>
        </w:rPr>
        <w:instrText>ADDIN CSL_CITATION {"citationItems":[{"id":"ITEM-1","itemData":{"DOI":"10.1186/s12889-015-2469-8","ISSN":"1471-2458","PMID":"26584856","abstract":"BACKGROUND Excessive sitting time is a risk factor for cardiovascular disease mortality and morbidity independent of physical activity. This aim of this study was to evaluate the impact of a sit-stand workstation on sitting time, and vascular, metabolic and musculoskeletal outcomes in office workers, and to investigate workstation acceptability and feasibility. METHODS A two-arm, parallel-group, individually randomised controlled trial was conducted in one organisation. Participants were asymptomatic full-time office workers aged ≥18 years. Each participant in the intervention arm had a sit-stand workstation installed on their workplace desk for 8 weeks. Participants in the control arm received no intervention. The primary outcome was workplace sitting time, assessed at 0, 4 and 8 weeks by an ecological momentary assessment diary. Secondary behavioural, cardiometabolic and musculoskeletal outcomes were assessed. Acceptability and feasibility were assessed via questionnaire and interview. ANCOVA and magnitude-based inferences examined intervention effects relative to controls at 4 and 8 weeks. Participants and researchers were not blind to group allocation. RESULTS Forty-seven participants were randomised (intervention n = 26; control n = 21). Relative to the control group at 8 weeks, the intervention group had a beneficial decrease in sitting time (-80.2 min/8-h workday (95 % CI = -129.0, -31.4); p = 0.002), increase in standing time (72.9 min/8-h workday (21.2, 124.6); p = 0.007) and decrease in total cholesterol (-0.40 mmol/L (-0.79, -0.003); p = 0.049). No harmful changes in musculoskeletal discomfort/pain were observed relative to controls, and beneficial changes in flow-mediated dilation and diastolic blood pressure were observed. Most participants self-reported that the workstation was easy to use and their work-related productivity did not decrease when using the device. Factors that negatively influenced workstation use were workstation design, the social environment, work tasks and habits. CONCLUSION Short-term use of a feasible sit-stand workstation reduced daily sitting time and led to beneficial improvements in cardiometabolic risk parameters in asymptomatic office workers. These findings imply that if the observed use of the sit-stand workstations continued over a longer duration, sit-stand workstations may have important ramifications for the prevention and reduction of cardiometabolic risk in a large proportion of the working population. …","author":[{"dropping-particle":"","family":"Graves","given":"Lee E F","non-dropping-particle":"","parse-names":false,"suffix":""},{"dropping-particle":"","family":"Murphy","given":"Rebecca C","non-dropping-particle":"","parse-names":false,"suffix":""},{"dropping-particle":"","family":"Shepherd","given":"Sam O.","non-dropping-particle":"","parse-names":false,"suffix":""},{"dropping-particle":"","family":"Cabot","given":"Josephine","non-dropping-particle":"","parse-names":false,"suffix":""},{"dropping-particle":"","family":"Hopkins","given":"Nicola D.","non-dropping-particle":"","parse-names":false,"suffix":""}],"container-title":"BMC public health","id":"ITEM-1","issue":"1","issued":{"date-parts":[["2015","11","19"]]},"note":"8 weeks sit-stand desks\n\nResults:\ntotal choleseterol reduced\nnot sig, but improvemnt in brachial FMD and diastolic BP obsereved","page":"1145","publisher":"BMC Public Health","title":"Evaluation of sit-stand workstations in an office setting: a randomised controlled trial","type":"article-journal","volume":"15"},"uris":["http://www.mendeley.com/documents/?uuid=29549656-9c3f-4daf-8eee-84a2eedf13b9"]},{"id":"ITEM-2","itemData":{"DOI":"10.1186/s12889-019-6615-6","ISSN":"14712458","abstract":"Background: Call agents spend ~ 90% of their working day seated, which may negatively impact health, productivity, and wellbeing. This study aimed to explore the acceptability and feasibility of a multi-component workplace intervention targeting increased activity and decreased prolonged sitting in the contact centre setting prior to a full-scale effectiveness trial. Methods: An 8-week non-randomised pre-post feasibility study was conducted. Using a mixed methods approach, focus groups and interviews were thematically analysed to explore the acceptability and feasibility of key study phases, and provide context to agents' process evaluation and survey responses. The multi-component intervention, conducted in a single call centre, included height-adjustable workstations, emails, education and training sessions, and support from team leaders and a workplace champion. Results: Six (of 20) team leaders were recruited, with 17 of 84 call agents (78% female, 39.3 ± 11.9 years) completing baseline assessments and 13 completing follow-up. High workload influenced recruitment. Call agents perceived assessments as acceptable, though strategies are needed to enhance fidelity. Education sessions, height-adjustable workstations and emails were perceived as the most effective components; however, height-adjustable hot-desks were not perceived as feasible in this setting. Conclusions: This study has identified unique, pragmatic considerations for conducting a multi-level, multi-component PA and SB intervention and associated evaluation in highly sedentary call agents in the challenging contact centre setting. The intervention was largely perceived positively, with call agents and team leaders describing numerous perceived positive effects on behavioural, health and work-related outcomes. Findings will be of value to researchers attempting to intervene in contact centres and will be used by the current authors to design a subsequent trial.","author":[{"dropping-particle":"","family":"Morris","given":"Abigail S.","non-dropping-particle":"","parse-names":false,"suffix":""},{"dropping-particle":"","family":"Murphy","given":"Rebecca C.","non-dropping-particle":"","parse-names":false,"suffix":""},{"dropping-particle":"","family":"Shepherd","given":"Sam O.","non-dropping-particle":"","parse-names":false,"suffix":""},{"dropping-particle":"","family":"Healy","given":"Genevieve N.","non-dropping-particle":"","parse-names":false,"suffix":""},{"dropping-particle":"","family":"Edwardson","given":"Charlotte L.","non-dropping-particle":"","parse-names":false,"suffix":""},{"dropping-particle":"","family":"Graves","given":"Lee E.F.","non-dropping-particle":"","parse-names":false,"suffix":""}],"container-title":"BMC Public Health","id":"ITEM-2","issue":"1","issued":{"date-parts":[["2019"]]},"page":"1-17","publisher":"BMC Public Health","title":"A multi-component intervention to sit less and move more in a contact centre setting: A feasibility study","type":"article-journal","volume":"19"},"uris":["http://www.mendeley.com/documents/?uuid=e0409062-0a82-418f-94b1-77edced743af"]}],"mendeley":{"formattedCitation":"[17,18]","plainTextFormattedCitation":"[17,18]","previouslyFormattedCitation":"[17,18]"},"properties":{"noteIndex":0},"schema":"https://github.com/citation-style-language/schema/raw/master/csl-citation.json"}</w:instrText>
      </w:r>
      <w:r w:rsidRPr="006076FC">
        <w:rPr>
          <w:lang w:val="en-GB"/>
        </w:rPr>
        <w:fldChar w:fldCharType="separate"/>
      </w:r>
      <w:r w:rsidRPr="006076FC">
        <w:rPr>
          <w:noProof/>
          <w:lang w:val="en-GB"/>
        </w:rPr>
        <w:t>[17,18]</w:t>
      </w:r>
      <w:r w:rsidRPr="006076FC">
        <w:rPr>
          <w:lang w:val="en-GB"/>
        </w:rPr>
        <w:fldChar w:fldCharType="end"/>
      </w:r>
      <w:r w:rsidRPr="006076FC">
        <w:rPr>
          <w:lang w:val="en-GB"/>
        </w:rPr>
        <w:t>, the intervention was conducted over eight weeks, therefore a longer intervention period and follow ups are needed explore the sustainability and effectiveness of this e-health intervention and also whether the intervention results in long</w:t>
      </w:r>
      <w:r w:rsidR="00964F81">
        <w:rPr>
          <w:lang w:val="en-GB"/>
        </w:rPr>
        <w:t>-</w:t>
      </w:r>
      <w:r w:rsidRPr="006076FC">
        <w:rPr>
          <w:lang w:val="en-GB"/>
        </w:rPr>
        <w:t>term habit gains.</w:t>
      </w:r>
    </w:p>
    <w:p w14:paraId="18E17EA6" w14:textId="1DC45A9B" w:rsidR="000D0FB1" w:rsidRPr="006076FC" w:rsidRDefault="000D0FB1">
      <w:pPr>
        <w:spacing w:line="240" w:lineRule="auto"/>
        <w:jc w:val="left"/>
        <w:rPr>
          <w:rFonts w:ascii="Palatino Linotype" w:hAnsi="Palatino Linotype"/>
          <w:snapToGrid w:val="0"/>
          <w:sz w:val="20"/>
          <w:szCs w:val="22"/>
          <w:lang w:val="en-GB" w:bidi="en-US"/>
        </w:rPr>
      </w:pPr>
      <w:r w:rsidRPr="006076FC">
        <w:rPr>
          <w:lang w:val="en-GB"/>
        </w:rPr>
        <w:br w:type="page"/>
      </w:r>
    </w:p>
    <w:p w14:paraId="26CD1D08" w14:textId="45A023D2" w:rsidR="00563CFC" w:rsidRPr="006076FC" w:rsidRDefault="00244A4B" w:rsidP="00244A4B">
      <w:pPr>
        <w:pStyle w:val="MDPI21heading1"/>
        <w:rPr>
          <w:lang w:val="en-GB"/>
        </w:rPr>
      </w:pPr>
      <w:r w:rsidRPr="006076FC">
        <w:rPr>
          <w:lang w:val="en-GB"/>
        </w:rPr>
        <w:lastRenderedPageBreak/>
        <w:t xml:space="preserve">5. </w:t>
      </w:r>
      <w:r w:rsidR="00563CFC" w:rsidRPr="006076FC">
        <w:rPr>
          <w:lang w:val="en-GB"/>
        </w:rPr>
        <w:t>Conclusions</w:t>
      </w:r>
    </w:p>
    <w:p w14:paraId="25DF9273" w14:textId="709CD7D7" w:rsidR="00563CFC" w:rsidRPr="006076FC" w:rsidRDefault="00563CFC" w:rsidP="00244A4B">
      <w:pPr>
        <w:pStyle w:val="MDPI31text"/>
        <w:rPr>
          <w:b/>
          <w:lang w:val="en-GB"/>
        </w:rPr>
      </w:pPr>
      <w:r w:rsidRPr="006076FC">
        <w:rPr>
          <w:lang w:val="en-GB"/>
        </w:rPr>
        <w:t>This study demonstrates</w:t>
      </w:r>
      <w:r w:rsidR="002D06FD">
        <w:rPr>
          <w:lang w:val="en-GB"/>
        </w:rPr>
        <w:t xml:space="preserve"> that</w:t>
      </w:r>
      <w:r w:rsidRPr="006076FC">
        <w:rPr>
          <w:lang w:val="en-GB"/>
        </w:rPr>
        <w:t xml:space="preserve"> implementing an e-health prompting software for eight</w:t>
      </w:r>
      <w:r w:rsidR="009B532D">
        <w:rPr>
          <w:lang w:val="en-GB"/>
        </w:rPr>
        <w:t xml:space="preserve"> </w:t>
      </w:r>
      <w:r w:rsidRPr="006076FC">
        <w:rPr>
          <w:lang w:val="en-GB"/>
        </w:rPr>
        <w:t xml:space="preserve">weeks and collecting objective outcome measures including sitting, standing and stepping time, vascular function, and cerebrovascular function is a feasible intervention for a cohort of university office workers. However, due to lack of autonomy in the prompting feature, participants indicated that the software was generally not acceptable in its current form. Despite this, preliminary data indicated </w:t>
      </w:r>
      <w:r w:rsidR="005F599E">
        <w:rPr>
          <w:lang w:val="en-GB"/>
        </w:rPr>
        <w:t xml:space="preserve">that </w:t>
      </w:r>
      <w:r w:rsidRPr="006076FC">
        <w:rPr>
          <w:lang w:val="en-GB"/>
        </w:rPr>
        <w:t>using the software may increase the number of standing and stepping bouts during work hours and improve a marker of cardiovascular health. Consequently, whilst this workplace e-health intervention shows promise, adaptations to the software are needed in order to improve acceptability. Following these adaptations, research should further explore the software’s acceptability, before larger trials are conducted.</w:t>
      </w:r>
    </w:p>
    <w:p w14:paraId="0D0217C1" w14:textId="50C66F9F" w:rsidR="00563CFC" w:rsidRPr="006076FC" w:rsidRDefault="00563CFC" w:rsidP="00E21E1C">
      <w:pPr>
        <w:pStyle w:val="MDPI62Acknowledgments"/>
        <w:rPr>
          <w:highlight w:val="yellow"/>
          <w:lang w:val="en-GB"/>
        </w:rPr>
      </w:pPr>
      <w:r w:rsidRPr="006076FC">
        <w:rPr>
          <w:b/>
          <w:lang w:val="en-GB"/>
        </w:rPr>
        <w:t xml:space="preserve">Supplementary Materials: </w:t>
      </w:r>
      <w:r w:rsidRPr="006076FC">
        <w:rPr>
          <w:lang w:val="en-GB"/>
        </w:rPr>
        <w:t xml:space="preserve">The following are available online at www.mdpi.com/xxx/s1, </w:t>
      </w:r>
      <w:r w:rsidR="00E21E1C" w:rsidRPr="006076FC">
        <w:rPr>
          <w:rStyle w:val="normaltextrun"/>
          <w:szCs w:val="18"/>
          <w:shd w:val="clear" w:color="auto" w:fill="FFFFFF"/>
          <w:lang w:val="en-GB"/>
        </w:rPr>
        <w:t>Table S1:</w:t>
      </w:r>
      <w:r w:rsidRPr="006076FC">
        <w:rPr>
          <w:rStyle w:val="normaltextrun"/>
          <w:szCs w:val="18"/>
          <w:shd w:val="clear" w:color="auto" w:fill="FFFFFF"/>
          <w:lang w:val="en-GB"/>
        </w:rPr>
        <w:t xml:space="preserve"> Resting cardiovascular and cerebrovascular measures at the start (PRE) and following (POST) the </w:t>
      </w:r>
      <w:r w:rsidR="00756DBF">
        <w:rPr>
          <w:rStyle w:val="normaltextrun"/>
          <w:szCs w:val="18"/>
          <w:shd w:val="clear" w:color="auto" w:fill="FFFFFF"/>
          <w:lang w:val="en-GB"/>
        </w:rPr>
        <w:t>8 week</w:t>
      </w:r>
      <w:r w:rsidRPr="006076FC">
        <w:rPr>
          <w:rStyle w:val="normaltextrun"/>
          <w:szCs w:val="18"/>
          <w:shd w:val="clear" w:color="auto" w:fill="FFFFFF"/>
          <w:lang w:val="en-GB"/>
        </w:rPr>
        <w:t xml:space="preserve"> Control and Interven</w:t>
      </w:r>
      <w:r w:rsidR="00E21E1C" w:rsidRPr="006076FC">
        <w:rPr>
          <w:rStyle w:val="normaltextrun"/>
          <w:szCs w:val="18"/>
          <w:shd w:val="clear" w:color="auto" w:fill="FFFFFF"/>
          <w:lang w:val="en-GB"/>
        </w:rPr>
        <w:t xml:space="preserve">tion trials </w:t>
      </w:r>
      <w:r w:rsidR="00003DFB">
        <w:rPr>
          <w:rStyle w:val="normaltextrun"/>
          <w:szCs w:val="18"/>
          <w:shd w:val="clear" w:color="auto" w:fill="FFFFFF"/>
          <w:lang w:val="en-GB"/>
        </w:rPr>
        <w:t xml:space="preserve">(mean </w:t>
      </w:r>
      <w:r w:rsidR="001C5864" w:rsidRPr="006076FC">
        <w:rPr>
          <w:rStyle w:val="normaltextrun"/>
          <w:szCs w:val="18"/>
          <w:shd w:val="clear" w:color="auto" w:fill="FFFFFF"/>
          <w:lang w:val="en-GB"/>
        </w:rPr>
        <w:t xml:space="preserve">± </w:t>
      </w:r>
      <w:r w:rsidR="00E21E1C" w:rsidRPr="006076FC">
        <w:rPr>
          <w:rStyle w:val="normaltextrun"/>
          <w:szCs w:val="18"/>
          <w:shd w:val="clear" w:color="auto" w:fill="FFFFFF"/>
          <w:lang w:val="en-GB"/>
        </w:rPr>
        <w:t>SD)</w:t>
      </w:r>
      <w:r w:rsidR="00E154E5">
        <w:rPr>
          <w:rStyle w:val="normaltextrun"/>
          <w:szCs w:val="18"/>
          <w:shd w:val="clear" w:color="auto" w:fill="FFFFFF"/>
          <w:lang w:val="en-GB"/>
        </w:rPr>
        <w:t>;</w:t>
      </w:r>
      <w:r w:rsidR="00E21E1C" w:rsidRPr="006076FC">
        <w:rPr>
          <w:rStyle w:val="normaltextrun"/>
          <w:szCs w:val="18"/>
          <w:shd w:val="clear" w:color="auto" w:fill="FFFFFF"/>
          <w:lang w:val="en-GB"/>
        </w:rPr>
        <w:t xml:space="preserve"> Table S2:</w:t>
      </w:r>
      <w:r w:rsidRPr="006076FC">
        <w:rPr>
          <w:rStyle w:val="normaltextrun"/>
          <w:szCs w:val="18"/>
          <w:shd w:val="clear" w:color="auto" w:fill="FFFFFF"/>
          <w:lang w:val="en-GB"/>
        </w:rPr>
        <w:t xml:space="preserve"> Measures of cerebrovascular function at the start (PRE) and following (POST) the </w:t>
      </w:r>
      <w:r w:rsidR="00756DBF">
        <w:rPr>
          <w:rStyle w:val="normaltextrun"/>
          <w:szCs w:val="18"/>
          <w:shd w:val="clear" w:color="auto" w:fill="FFFFFF"/>
          <w:lang w:val="en-GB"/>
        </w:rPr>
        <w:t>8 week</w:t>
      </w:r>
      <w:r w:rsidRPr="006076FC">
        <w:rPr>
          <w:rStyle w:val="normaltextrun"/>
          <w:szCs w:val="18"/>
          <w:shd w:val="clear" w:color="auto" w:fill="FFFFFF"/>
          <w:lang w:val="en-GB"/>
        </w:rPr>
        <w:t xml:space="preserve"> Control and Interven</w:t>
      </w:r>
      <w:r w:rsidR="00E21E1C" w:rsidRPr="006076FC">
        <w:rPr>
          <w:rStyle w:val="normaltextrun"/>
          <w:szCs w:val="18"/>
          <w:shd w:val="clear" w:color="auto" w:fill="FFFFFF"/>
          <w:lang w:val="en-GB"/>
        </w:rPr>
        <w:t>tion trials</w:t>
      </w:r>
      <w:r w:rsidR="00CF5AAF" w:rsidRPr="006076FC">
        <w:rPr>
          <w:rStyle w:val="normaltextrun"/>
          <w:szCs w:val="18"/>
          <w:shd w:val="clear" w:color="auto" w:fill="FFFFFF"/>
          <w:lang w:val="en-GB"/>
        </w:rPr>
        <w:t xml:space="preserve"> </w:t>
      </w:r>
      <w:r w:rsidR="00003DFB">
        <w:rPr>
          <w:rStyle w:val="normaltextrun"/>
          <w:szCs w:val="18"/>
          <w:shd w:val="clear" w:color="auto" w:fill="FFFFFF"/>
          <w:lang w:val="en-GB"/>
        </w:rPr>
        <w:t xml:space="preserve">(mean </w:t>
      </w:r>
      <w:r w:rsidR="00CF5AAF" w:rsidRPr="006076FC">
        <w:rPr>
          <w:rStyle w:val="normaltextrun"/>
          <w:szCs w:val="18"/>
          <w:shd w:val="clear" w:color="auto" w:fill="FFFFFF"/>
          <w:lang w:val="en-GB"/>
        </w:rPr>
        <w:t>±</w:t>
      </w:r>
      <w:r w:rsidR="00E21E1C" w:rsidRPr="006076FC">
        <w:rPr>
          <w:rStyle w:val="normaltextrun"/>
          <w:szCs w:val="18"/>
          <w:shd w:val="clear" w:color="auto" w:fill="FFFFFF"/>
          <w:lang w:val="en-GB"/>
        </w:rPr>
        <w:t xml:space="preserve"> SD)</w:t>
      </w:r>
      <w:r w:rsidR="00E154E5">
        <w:rPr>
          <w:rStyle w:val="normaltextrun"/>
          <w:szCs w:val="18"/>
          <w:shd w:val="clear" w:color="auto" w:fill="FFFFFF"/>
          <w:lang w:val="en-GB"/>
        </w:rPr>
        <w:t>;</w:t>
      </w:r>
      <w:r w:rsidR="00E21E1C" w:rsidRPr="006076FC">
        <w:rPr>
          <w:rStyle w:val="normaltextrun"/>
          <w:szCs w:val="18"/>
          <w:shd w:val="clear" w:color="auto" w:fill="FFFFFF"/>
          <w:lang w:val="en-GB"/>
        </w:rPr>
        <w:t xml:space="preserve"> Table S3:</w:t>
      </w:r>
      <w:r w:rsidRPr="006076FC">
        <w:rPr>
          <w:rStyle w:val="normaltextrun"/>
          <w:szCs w:val="18"/>
          <w:shd w:val="clear" w:color="auto" w:fill="FFFFFF"/>
          <w:lang w:val="en-GB"/>
        </w:rPr>
        <w:t xml:space="preserve"> Measures of mood and work productivity at the start (PRE) and following (POST) the </w:t>
      </w:r>
      <w:r w:rsidR="00756DBF">
        <w:rPr>
          <w:rStyle w:val="normaltextrun"/>
          <w:szCs w:val="18"/>
          <w:shd w:val="clear" w:color="auto" w:fill="FFFFFF"/>
          <w:lang w:val="en-GB"/>
        </w:rPr>
        <w:t>8 week</w:t>
      </w:r>
      <w:r w:rsidRPr="006076FC">
        <w:rPr>
          <w:rStyle w:val="normaltextrun"/>
          <w:szCs w:val="18"/>
          <w:shd w:val="clear" w:color="auto" w:fill="FFFFFF"/>
          <w:lang w:val="en-GB"/>
        </w:rPr>
        <w:t xml:space="preserve"> Control and Intervention trials </w:t>
      </w:r>
      <w:r w:rsidR="00003DFB">
        <w:rPr>
          <w:rStyle w:val="normaltextrun"/>
          <w:szCs w:val="18"/>
          <w:shd w:val="clear" w:color="auto" w:fill="FFFFFF"/>
          <w:lang w:val="en-GB"/>
        </w:rPr>
        <w:t xml:space="preserve">(mean </w:t>
      </w:r>
      <w:r w:rsidR="001C5864" w:rsidRPr="006076FC">
        <w:rPr>
          <w:rStyle w:val="normaltextrun"/>
          <w:szCs w:val="18"/>
          <w:shd w:val="clear" w:color="auto" w:fill="FFFFFF"/>
          <w:lang w:val="en-GB"/>
        </w:rPr>
        <w:t xml:space="preserve">± </w:t>
      </w:r>
      <w:r w:rsidRPr="006076FC">
        <w:rPr>
          <w:rStyle w:val="normaltextrun"/>
          <w:szCs w:val="18"/>
          <w:shd w:val="clear" w:color="auto" w:fill="FFFFFF"/>
          <w:lang w:val="en-GB"/>
        </w:rPr>
        <w:t>SD).</w:t>
      </w:r>
    </w:p>
    <w:p w14:paraId="2455EFA7" w14:textId="67B51282" w:rsidR="00563CFC" w:rsidRPr="006076FC" w:rsidRDefault="00563CFC" w:rsidP="00E21E1C">
      <w:pPr>
        <w:pStyle w:val="MDPI62Acknowledgments"/>
        <w:rPr>
          <w:rStyle w:val="normaltextrun"/>
          <w:szCs w:val="18"/>
          <w:shd w:val="clear" w:color="auto" w:fill="FFFFFF"/>
          <w:lang w:val="en-GB"/>
        </w:rPr>
      </w:pPr>
      <w:r w:rsidRPr="006076FC">
        <w:rPr>
          <w:rStyle w:val="normaltextrun"/>
          <w:b/>
          <w:bCs/>
          <w:szCs w:val="18"/>
          <w:shd w:val="clear" w:color="auto" w:fill="FFFFFF"/>
          <w:lang w:val="en-GB"/>
        </w:rPr>
        <w:t xml:space="preserve">Author Contributions: </w:t>
      </w:r>
      <w:r w:rsidR="006076FC" w:rsidRPr="006076FC">
        <w:rPr>
          <w:rStyle w:val="normaltextrun"/>
          <w:szCs w:val="18"/>
          <w:shd w:val="clear" w:color="auto" w:fill="FFFFFF"/>
          <w:lang w:val="en-GB"/>
        </w:rPr>
        <w:t>Conceptuali</w:t>
      </w:r>
      <w:r w:rsidR="006076FC">
        <w:rPr>
          <w:rStyle w:val="normaltextrun"/>
          <w:szCs w:val="18"/>
          <w:shd w:val="clear" w:color="auto" w:fill="FFFFFF"/>
          <w:lang w:val="en-GB"/>
        </w:rPr>
        <w:t>s</w:t>
      </w:r>
      <w:r w:rsidR="006076FC" w:rsidRPr="006076FC">
        <w:rPr>
          <w:rStyle w:val="normaltextrun"/>
          <w:szCs w:val="18"/>
          <w:shd w:val="clear" w:color="auto" w:fill="FFFFFF"/>
          <w:lang w:val="en-GB"/>
        </w:rPr>
        <w:t>ation</w:t>
      </w:r>
      <w:r w:rsidRPr="006076FC">
        <w:rPr>
          <w:rStyle w:val="normaltextrun"/>
          <w:szCs w:val="18"/>
          <w:shd w:val="clear" w:color="auto" w:fill="FFFFFF"/>
          <w:lang w:val="en-GB"/>
        </w:rPr>
        <w:t>, S.E.C., N.D.H.,</w:t>
      </w:r>
      <w:r w:rsidRPr="006076FC">
        <w:rPr>
          <w:lang w:val="en-GB"/>
        </w:rPr>
        <w:t xml:space="preserve"> </w:t>
      </w:r>
      <w:r w:rsidRPr="006076FC">
        <w:rPr>
          <w:rStyle w:val="normaltextrun"/>
          <w:szCs w:val="18"/>
          <w:shd w:val="clear" w:color="auto" w:fill="FFFFFF"/>
          <w:lang w:val="en-GB"/>
        </w:rPr>
        <w:t>L.E.F.G., D.H.J.T. and R.D.; Software, S.J.P.; Investigation, S.E.C., J.D.M. and A.S.M.; Formal Analysis, S.E.C. and A.S.M.; Writing—Original Draft Preparation, S.E.C. and A.S.M.; Writing—Review and Editing, S.E.C., R.D., J.D.M., A.S.M., S.J.P., L.E.F.G., D.H.J.T. and N.D.H. All authors have read and agreed to the published version of the manuscript.</w:t>
      </w:r>
    </w:p>
    <w:p w14:paraId="0FD7976A" w14:textId="77777777" w:rsidR="00563CFC" w:rsidRPr="006076FC" w:rsidRDefault="00563CFC" w:rsidP="00E21E1C">
      <w:pPr>
        <w:pStyle w:val="MDPI62Acknowledgments"/>
        <w:rPr>
          <w:b/>
          <w:lang w:val="en-GB"/>
        </w:rPr>
      </w:pPr>
      <w:r w:rsidRPr="006076FC">
        <w:rPr>
          <w:b/>
          <w:lang w:val="en-GB"/>
        </w:rPr>
        <w:t xml:space="preserve">Funding: </w:t>
      </w:r>
      <w:r w:rsidRPr="006076FC">
        <w:rPr>
          <w:lang w:val="en-GB"/>
        </w:rPr>
        <w:t>This work was funded by a Biotechnology and Biological Sciences Research Council (BBSRC) Industrial CASE research grant (BB/L017237/1) in collaboration with Unilever.</w:t>
      </w:r>
    </w:p>
    <w:p w14:paraId="5CD86465" w14:textId="7C39E89C" w:rsidR="00563CFC" w:rsidRPr="006076FC" w:rsidRDefault="00563CFC" w:rsidP="00E21E1C">
      <w:pPr>
        <w:pStyle w:val="MDPI62Acknowledgments"/>
        <w:rPr>
          <w:lang w:val="en-GB"/>
        </w:rPr>
      </w:pPr>
      <w:r w:rsidRPr="006076FC">
        <w:rPr>
          <w:b/>
          <w:lang w:val="en-GB"/>
        </w:rPr>
        <w:t xml:space="preserve">Acknowledgments: </w:t>
      </w:r>
      <w:r w:rsidRPr="006076FC">
        <w:rPr>
          <w:lang w:val="en-GB"/>
        </w:rPr>
        <w:t xml:space="preserve">The authors would like to thank the research team from the University of Tasmania Active Work Laboratory for providing free use of the </w:t>
      </w:r>
      <w:proofErr w:type="spellStart"/>
      <w:r w:rsidRPr="006076FC">
        <w:rPr>
          <w:lang w:val="en-GB"/>
        </w:rPr>
        <w:t>Exertime</w:t>
      </w:r>
      <w:proofErr w:type="spellEnd"/>
      <w:r w:rsidRPr="006076FC">
        <w:rPr>
          <w:lang w:val="en-GB"/>
        </w:rPr>
        <w:t xml:space="preserve"> software.</w:t>
      </w:r>
    </w:p>
    <w:p w14:paraId="74905AF1" w14:textId="2893E6B6" w:rsidR="00563CFC" w:rsidRPr="006076FC" w:rsidRDefault="00563CFC" w:rsidP="00E21E1C">
      <w:pPr>
        <w:pStyle w:val="MDPI62Acknowledgments"/>
        <w:rPr>
          <w:lang w:val="en-GB"/>
        </w:rPr>
      </w:pPr>
      <w:r w:rsidRPr="006076FC">
        <w:rPr>
          <w:b/>
          <w:lang w:val="en-GB"/>
        </w:rPr>
        <w:t xml:space="preserve">Conflicts of Interest: </w:t>
      </w:r>
      <w:r w:rsidRPr="006076FC">
        <w:rPr>
          <w:lang w:val="en-GB"/>
        </w:rPr>
        <w:t xml:space="preserve">S.E.C. received PhD scholarship funding from a Biotechnology and Biological Sciences Research Council (BBSRC) grant. R.D. is employed by Unilever, which has commercial interests in Food, Home and Personal Care products. S.J.P. is the co-inventor of </w:t>
      </w:r>
      <w:proofErr w:type="spellStart"/>
      <w:r w:rsidRPr="006076FC">
        <w:rPr>
          <w:lang w:val="en-GB"/>
        </w:rPr>
        <w:t>Exertime</w:t>
      </w:r>
      <w:proofErr w:type="spellEnd"/>
      <w:r w:rsidRPr="006076FC">
        <w:rPr>
          <w:lang w:val="en-GB"/>
        </w:rPr>
        <w:t xml:space="preserve"> software. S.J.P. was not involved in the analysis and interpretation of the data and provided the software free from any profit. All other authors declare they have no conflict of interest. The BBSRC had no role in the design and conduct of </w:t>
      </w:r>
      <w:r w:rsidR="006C4E48">
        <w:rPr>
          <w:lang w:val="en-GB"/>
        </w:rPr>
        <w:t>this</w:t>
      </w:r>
      <w:r w:rsidR="006C4E48" w:rsidRPr="006076FC">
        <w:rPr>
          <w:lang w:val="en-GB"/>
        </w:rPr>
        <w:t xml:space="preserve"> </w:t>
      </w:r>
      <w:r w:rsidRPr="006076FC">
        <w:rPr>
          <w:lang w:val="en-GB"/>
        </w:rPr>
        <w:t>study; collection, management, analysis, and interpretation of the data; and preparation, review, or approval of this manuscript.</w:t>
      </w:r>
    </w:p>
    <w:p w14:paraId="098DF5EF" w14:textId="77777777" w:rsidR="00786F4F" w:rsidRPr="004C7180" w:rsidRDefault="00786F4F" w:rsidP="00786F4F">
      <w:pPr>
        <w:pStyle w:val="MDPI21heading1"/>
        <w:rPr>
          <w:highlight w:val="yellow"/>
        </w:rPr>
      </w:pPr>
      <w:r w:rsidRPr="00E50D6C">
        <w:t>References</w:t>
      </w:r>
    </w:p>
    <w:p w14:paraId="2620786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Parry, S.; Straker, L. The contribution of office work to sedentary behaviour associated risk. </w:t>
      </w:r>
      <w:r w:rsidRPr="00147AB8">
        <w:rPr>
          <w:rFonts w:ascii="Palatino Linotype" w:hAnsi="Palatino Linotype"/>
          <w:i/>
          <w:iCs/>
          <w:noProof/>
          <w:sz w:val="18"/>
          <w:szCs w:val="24"/>
        </w:rPr>
        <w:t>BMC Public Health</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2013</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13</w:t>
      </w:r>
      <w:r w:rsidRPr="00147AB8">
        <w:rPr>
          <w:rFonts w:ascii="Palatino Linotype" w:hAnsi="Palatino Linotype"/>
          <w:bCs/>
          <w:noProof/>
          <w:sz w:val="18"/>
          <w:szCs w:val="24"/>
        </w:rPr>
        <w:t>, 296</w:t>
      </w:r>
      <w:r w:rsidRPr="00147AB8">
        <w:rPr>
          <w:rFonts w:ascii="Palatino Linotype" w:hAnsi="Palatino Linotype"/>
          <w:noProof/>
          <w:sz w:val="18"/>
          <w:szCs w:val="24"/>
        </w:rPr>
        <w:t>, doi:10.1186/1471-2458-13-296.</w:t>
      </w:r>
    </w:p>
    <w:p w14:paraId="46B842E3"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Ryan, C.G.; Dall, P.M.; Granat, M.H.; Grant, P.M. Sitting patterns at work: Objective measurement of adherence to current recommendations. </w:t>
      </w:r>
      <w:r w:rsidRPr="00147AB8">
        <w:rPr>
          <w:rFonts w:ascii="Palatino Linotype" w:hAnsi="Palatino Linotype"/>
          <w:i/>
          <w:iCs/>
          <w:noProof/>
          <w:sz w:val="18"/>
          <w:szCs w:val="24"/>
        </w:rPr>
        <w:t>Ergonomics</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2011</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54</w:t>
      </w:r>
      <w:r w:rsidRPr="00147AB8">
        <w:rPr>
          <w:rFonts w:ascii="Palatino Linotype" w:hAnsi="Palatino Linotype"/>
          <w:bCs/>
          <w:noProof/>
          <w:sz w:val="18"/>
          <w:szCs w:val="24"/>
        </w:rPr>
        <w:t>, 531–538</w:t>
      </w:r>
      <w:r w:rsidRPr="00147AB8">
        <w:rPr>
          <w:rFonts w:ascii="Palatino Linotype" w:hAnsi="Palatino Linotype"/>
          <w:noProof/>
          <w:sz w:val="18"/>
          <w:szCs w:val="24"/>
        </w:rPr>
        <w:t>, doi:10.1080/00140139.2011.570458.</w:t>
      </w:r>
    </w:p>
    <w:p w14:paraId="25EAEA24"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Young, D.R.; Hivert, M.-F.; Alhassan, S.; Camhi, S.M.; Ferguson, J.F.; Katzmarzyk, P.T.; Lewis, C.E.; Owen, N.; Perry, C.K.; Siddique, J.; et al. Sedentary behavior and cardiovascular morbidity and mortality: A science advisory from the American Heart Association. </w:t>
      </w:r>
      <w:r w:rsidRPr="00147AB8">
        <w:rPr>
          <w:rFonts w:ascii="Palatino Linotype" w:hAnsi="Palatino Linotype"/>
          <w:i/>
          <w:iCs/>
          <w:noProof/>
          <w:sz w:val="18"/>
          <w:szCs w:val="24"/>
        </w:rPr>
        <w:t>Circulation</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noProof/>
          <w:sz w:val="18"/>
          <w:szCs w:val="24"/>
        </w:rPr>
        <w:t xml:space="preserve">, </w:t>
      </w:r>
      <w:r w:rsidRPr="00147AB8">
        <w:rPr>
          <w:rFonts w:ascii="Palatino Linotype" w:hAnsi="Palatino Linotype"/>
          <w:i/>
          <w:iCs/>
          <w:noProof/>
          <w:sz w:val="18"/>
          <w:szCs w:val="24"/>
        </w:rPr>
        <w:t>134</w:t>
      </w:r>
      <w:r w:rsidRPr="00147AB8">
        <w:rPr>
          <w:rFonts w:ascii="Palatino Linotype" w:hAnsi="Palatino Linotype"/>
          <w:noProof/>
          <w:sz w:val="18"/>
          <w:szCs w:val="24"/>
        </w:rPr>
        <w:t>, e262–e279, doi:10.1161/CIR.0000000000000440.</w:t>
      </w:r>
    </w:p>
    <w:p w14:paraId="40251B3B"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Buckley, J.P.; Hedge, A.; Yates, T.; Copeland, R.J.; Loosemore, M.; Hamer, M.; Bradley, G.; Dunstan, D.W. The sedentary office: An expert statement on the growing case for change towards better health and productivity. </w:t>
      </w:r>
      <w:r w:rsidRPr="00147AB8">
        <w:rPr>
          <w:rFonts w:ascii="Palatino Linotype" w:hAnsi="Palatino Linotype"/>
          <w:i/>
          <w:iCs/>
          <w:noProof/>
          <w:sz w:val="18"/>
          <w:szCs w:val="24"/>
        </w:rPr>
        <w:t>Br. J. Sports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2015</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49</w:t>
      </w:r>
      <w:r w:rsidRPr="00147AB8">
        <w:rPr>
          <w:rFonts w:ascii="Palatino Linotype" w:hAnsi="Palatino Linotype"/>
          <w:bCs/>
          <w:noProof/>
          <w:sz w:val="18"/>
          <w:szCs w:val="24"/>
        </w:rPr>
        <w:t>, 1357–62</w:t>
      </w:r>
      <w:r w:rsidRPr="00147AB8">
        <w:rPr>
          <w:rFonts w:ascii="Palatino Linotype" w:hAnsi="Palatino Linotype"/>
          <w:noProof/>
          <w:sz w:val="18"/>
          <w:szCs w:val="24"/>
        </w:rPr>
        <w:t>, doi:10.1136/bjsports-2015-094618.</w:t>
      </w:r>
    </w:p>
    <w:p w14:paraId="6A926A17"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Stamatakis, E.; Ekelund, U.; Ding, D.; Hamer, M.; Bauman, A.E.; Lee, I.-M. Is the time right for quantitative public health guidelines on sitting? A narrative review of sedentary behaviour research paradigms and findings. </w:t>
      </w:r>
      <w:r w:rsidRPr="00147AB8">
        <w:rPr>
          <w:rFonts w:ascii="Palatino Linotype" w:hAnsi="Palatino Linotype"/>
          <w:i/>
          <w:iCs/>
          <w:noProof/>
          <w:sz w:val="18"/>
          <w:szCs w:val="24"/>
        </w:rPr>
        <w:t>Br. J. Sports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2018</w:t>
      </w:r>
      <w:r w:rsidRPr="00147AB8">
        <w:rPr>
          <w:rFonts w:ascii="Palatino Linotype" w:hAnsi="Palatino Linotype"/>
          <w:noProof/>
          <w:sz w:val="18"/>
          <w:szCs w:val="24"/>
        </w:rPr>
        <w:t xml:space="preserve">, </w:t>
      </w:r>
      <w:r w:rsidRPr="00147AB8">
        <w:rPr>
          <w:rFonts w:ascii="Palatino Linotype" w:hAnsi="Palatino Linotype"/>
          <w:i/>
          <w:iCs/>
          <w:noProof/>
          <w:sz w:val="18"/>
          <w:szCs w:val="24"/>
        </w:rPr>
        <w:t>53</w:t>
      </w:r>
      <w:r w:rsidRPr="00147AB8">
        <w:rPr>
          <w:rFonts w:ascii="Palatino Linotype" w:hAnsi="Palatino Linotype"/>
          <w:noProof/>
          <w:sz w:val="18"/>
          <w:szCs w:val="24"/>
        </w:rPr>
        <w:t>, 377–382, doi:10.1136/bjsports-2018-099131.</w:t>
      </w:r>
    </w:p>
    <w:p w14:paraId="0DFCF563"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Shrestha, N.; Kukkonen-Harjula, K.T.; Verbeek, J.H.; Ijaz, S.; Hermans, V.; Pedisic, Z. Workplace interventions for reducing sitting at work. </w:t>
      </w:r>
      <w:r w:rsidRPr="00147AB8">
        <w:rPr>
          <w:rFonts w:ascii="Palatino Linotype" w:hAnsi="Palatino Linotype"/>
          <w:i/>
          <w:iCs/>
          <w:noProof/>
          <w:sz w:val="18"/>
          <w:szCs w:val="24"/>
        </w:rPr>
        <w:t>Cochrane Database Syst. Rev.</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2018</w:t>
      </w:r>
      <w:r w:rsidRPr="00147AB8">
        <w:rPr>
          <w:rFonts w:ascii="Palatino Linotype" w:hAnsi="Palatino Linotype"/>
          <w:noProof/>
          <w:sz w:val="18"/>
          <w:szCs w:val="24"/>
        </w:rPr>
        <w:t xml:space="preserve">, </w:t>
      </w:r>
      <w:r w:rsidRPr="00147AB8">
        <w:rPr>
          <w:rFonts w:ascii="Palatino Linotype" w:hAnsi="Palatino Linotype"/>
          <w:i/>
          <w:iCs/>
          <w:noProof/>
          <w:sz w:val="18"/>
          <w:szCs w:val="24"/>
        </w:rPr>
        <w:t>6</w:t>
      </w:r>
      <w:r w:rsidRPr="00147AB8">
        <w:rPr>
          <w:rFonts w:ascii="Palatino Linotype" w:hAnsi="Palatino Linotype"/>
          <w:noProof/>
          <w:sz w:val="18"/>
          <w:szCs w:val="24"/>
        </w:rPr>
        <w:t>, CD010912, doi:10.1002/14651858.CD010912.pub4.</w:t>
      </w:r>
    </w:p>
    <w:p w14:paraId="3C5E8233"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Neuhaus, M.; Eakin, E.G.; Straker, L.; Owen, N.; Dunstan, D.W.; Reid, N.; Healy, G.N. Reducing occupational sedentary time: A systematic review and meta-analysis of evidence on activity-permissive workstations. </w:t>
      </w:r>
      <w:r w:rsidRPr="00147AB8">
        <w:rPr>
          <w:rFonts w:ascii="Palatino Linotype" w:hAnsi="Palatino Linotype"/>
          <w:i/>
          <w:iCs/>
          <w:noProof/>
          <w:sz w:val="18"/>
          <w:szCs w:val="24"/>
        </w:rPr>
        <w:t>Obes. Rev.</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15</w:t>
      </w:r>
      <w:r w:rsidRPr="00147AB8">
        <w:rPr>
          <w:rFonts w:ascii="Palatino Linotype" w:hAnsi="Palatino Linotype"/>
          <w:bCs/>
          <w:noProof/>
          <w:sz w:val="18"/>
          <w:szCs w:val="24"/>
        </w:rPr>
        <w:t>, 822–38</w:t>
      </w:r>
      <w:r w:rsidRPr="00147AB8">
        <w:rPr>
          <w:rFonts w:ascii="Palatino Linotype" w:hAnsi="Palatino Linotype"/>
          <w:noProof/>
          <w:sz w:val="18"/>
          <w:szCs w:val="24"/>
        </w:rPr>
        <w:t>, doi:10.1111/obr.12201.</w:t>
      </w:r>
    </w:p>
    <w:p w14:paraId="10B5B0F4"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lastRenderedPageBreak/>
        <w:t xml:space="preserve">Stephenson, A.; McDonough, S.M.; Murphy, M.H.; Nugent, C.D.; Mair, J.L. Using computer, mobile and wearable technology enhanced interventions to reduce sedentary behaviour: A systematic review and meta-analysis. </w:t>
      </w:r>
      <w:r w:rsidRPr="00147AB8">
        <w:rPr>
          <w:rFonts w:ascii="Palatino Linotype" w:hAnsi="Palatino Linotype"/>
          <w:i/>
          <w:iCs/>
          <w:noProof/>
          <w:sz w:val="18"/>
          <w:szCs w:val="24"/>
        </w:rPr>
        <w:t>Int. J. Behav. Nutr. Phys. Act.</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2017</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14</w:t>
      </w:r>
      <w:r w:rsidRPr="00147AB8">
        <w:rPr>
          <w:rFonts w:ascii="Palatino Linotype" w:hAnsi="Palatino Linotype"/>
          <w:bCs/>
          <w:noProof/>
          <w:sz w:val="18"/>
          <w:szCs w:val="24"/>
        </w:rPr>
        <w:t>, 105</w:t>
      </w:r>
      <w:r w:rsidRPr="00147AB8">
        <w:rPr>
          <w:rFonts w:ascii="Palatino Linotype" w:hAnsi="Palatino Linotype"/>
          <w:noProof/>
          <w:sz w:val="18"/>
          <w:szCs w:val="24"/>
        </w:rPr>
        <w:t>, doi:10.1186/s12966-017-0561-4.</w:t>
      </w:r>
    </w:p>
    <w:p w14:paraId="25522CA0"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Mainsbridge, C.P.; Cooley, P.D.; Fraser, S.P.; Pedersen, S.J. The effect of an e-health intervention designed to reduce prolonged occupational sitting on mean arterial pressure. </w:t>
      </w:r>
      <w:r w:rsidRPr="00147AB8">
        <w:rPr>
          <w:rFonts w:ascii="Palatino Linotype" w:hAnsi="Palatino Linotype"/>
          <w:i/>
          <w:iCs/>
          <w:noProof/>
          <w:sz w:val="18"/>
          <w:szCs w:val="24"/>
        </w:rPr>
        <w:t>J. Occup. Environ.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56</w:t>
      </w:r>
      <w:r w:rsidRPr="00147AB8">
        <w:rPr>
          <w:rFonts w:ascii="Palatino Linotype" w:hAnsi="Palatino Linotype"/>
          <w:bCs/>
          <w:noProof/>
          <w:sz w:val="18"/>
          <w:szCs w:val="24"/>
        </w:rPr>
        <w:t>, 1189–94</w:t>
      </w:r>
      <w:r w:rsidRPr="00147AB8">
        <w:rPr>
          <w:rFonts w:ascii="Palatino Linotype" w:hAnsi="Palatino Linotype"/>
          <w:noProof/>
          <w:sz w:val="18"/>
          <w:szCs w:val="24"/>
        </w:rPr>
        <w:t>, doi:10.1097/JOM.0000000000000243.</w:t>
      </w:r>
    </w:p>
    <w:p w14:paraId="5C86C180"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Mainsbridge, C.P.; Cooley, D.; Fraser, S.P.; Pedersen, S.J. A workplace intervention designed to interrupt prolonged occupational sitting. </w:t>
      </w:r>
      <w:r w:rsidRPr="00147AB8">
        <w:rPr>
          <w:rFonts w:ascii="Palatino Linotype" w:hAnsi="Palatino Linotype"/>
          <w:i/>
          <w:iCs/>
          <w:noProof/>
          <w:sz w:val="18"/>
          <w:szCs w:val="24"/>
        </w:rPr>
        <w:t>Int. J. Work</w:t>
      </w:r>
      <w:r>
        <w:rPr>
          <w:rFonts w:ascii="Palatino Linotype" w:hAnsi="Palatino Linotype"/>
          <w:i/>
          <w:iCs/>
          <w:noProof/>
          <w:sz w:val="18"/>
          <w:szCs w:val="24"/>
        </w:rPr>
        <w:t>place</w:t>
      </w:r>
      <w:r w:rsidRPr="00147AB8">
        <w:rPr>
          <w:rFonts w:ascii="Palatino Linotype" w:hAnsi="Palatino Linotype"/>
          <w:i/>
          <w:iCs/>
          <w:noProof/>
          <w:sz w:val="18"/>
          <w:szCs w:val="24"/>
        </w:rPr>
        <w:t xml:space="preserve"> Heal</w:t>
      </w:r>
      <w:r>
        <w:rPr>
          <w:rFonts w:ascii="Palatino Linotype" w:hAnsi="Palatino Linotype"/>
          <w:i/>
          <w:iCs/>
          <w:noProof/>
          <w:sz w:val="18"/>
          <w:szCs w:val="24"/>
        </w:rPr>
        <w:t>th</w:t>
      </w:r>
      <w:r w:rsidRPr="00147AB8">
        <w:rPr>
          <w:rFonts w:ascii="Palatino Linotype" w:hAnsi="Palatino Linotype"/>
          <w:i/>
          <w:iCs/>
          <w:noProof/>
          <w:sz w:val="18"/>
          <w:szCs w:val="24"/>
        </w:rPr>
        <w:t xml:space="preserve"> Manag.</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9</w:t>
      </w:r>
      <w:r w:rsidRPr="00147AB8">
        <w:rPr>
          <w:rFonts w:ascii="Palatino Linotype" w:hAnsi="Palatino Linotype"/>
          <w:bCs/>
          <w:noProof/>
          <w:sz w:val="18"/>
          <w:szCs w:val="24"/>
        </w:rPr>
        <w:t>, 221–237</w:t>
      </w:r>
      <w:r w:rsidRPr="00147AB8">
        <w:rPr>
          <w:rFonts w:ascii="Palatino Linotype" w:hAnsi="Palatino Linotype"/>
          <w:noProof/>
          <w:sz w:val="18"/>
          <w:szCs w:val="24"/>
        </w:rPr>
        <w:t>, doi:10.1108/IJWHM-01-2015-0005.</w:t>
      </w:r>
    </w:p>
    <w:p w14:paraId="38BA415D"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Pedersen, S.J.; Cooley, P.D.; Mainsbridge, C. An e-health intervention designed to increase workday energy expenditure by reducing prolonged occupational sitting habits. </w:t>
      </w:r>
      <w:r w:rsidRPr="00147AB8">
        <w:rPr>
          <w:rFonts w:ascii="Palatino Linotype" w:hAnsi="Palatino Linotype"/>
          <w:i/>
          <w:iCs/>
          <w:noProof/>
          <w:sz w:val="18"/>
          <w:szCs w:val="24"/>
        </w:rPr>
        <w:t>Work</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49</w:t>
      </w:r>
      <w:r w:rsidRPr="00147AB8">
        <w:rPr>
          <w:rFonts w:ascii="Palatino Linotype" w:hAnsi="Palatino Linotype"/>
          <w:bCs/>
          <w:noProof/>
          <w:sz w:val="18"/>
          <w:szCs w:val="24"/>
        </w:rPr>
        <w:t>, 289–295</w:t>
      </w:r>
      <w:r w:rsidRPr="00147AB8">
        <w:rPr>
          <w:rFonts w:ascii="Palatino Linotype" w:hAnsi="Palatino Linotype"/>
          <w:noProof/>
          <w:sz w:val="18"/>
          <w:szCs w:val="24"/>
        </w:rPr>
        <w:t>, doi:10.3233/WOR-131644.</w:t>
      </w:r>
    </w:p>
    <w:p w14:paraId="5C6A5BE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Evans, R.E.; Fawole, H.O.; Sheriff, S.A.; Dall, P.M.; Grant, P.M.; Ryan, C.G. Point-of-choice prompts to reduce sitting time at work: A randomized trial. </w:t>
      </w:r>
      <w:r w:rsidRPr="00147AB8">
        <w:rPr>
          <w:rFonts w:ascii="Palatino Linotype" w:hAnsi="Palatino Linotype"/>
          <w:i/>
          <w:iCs/>
          <w:noProof/>
          <w:sz w:val="18"/>
          <w:szCs w:val="24"/>
        </w:rPr>
        <w:t>Am. J. Prev.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2012</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43</w:t>
      </w:r>
      <w:r w:rsidRPr="00147AB8">
        <w:rPr>
          <w:rFonts w:ascii="Palatino Linotype" w:hAnsi="Palatino Linotype"/>
          <w:bCs/>
          <w:noProof/>
          <w:sz w:val="18"/>
          <w:szCs w:val="24"/>
        </w:rPr>
        <w:t>, 293–297</w:t>
      </w:r>
      <w:r w:rsidRPr="00147AB8">
        <w:rPr>
          <w:rFonts w:ascii="Palatino Linotype" w:hAnsi="Palatino Linotype"/>
          <w:noProof/>
          <w:sz w:val="18"/>
          <w:szCs w:val="24"/>
        </w:rPr>
        <w:t>, doi:10.1016/j.amepre.2012.05.010.</w:t>
      </w:r>
    </w:p>
    <w:p w14:paraId="7754CC4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Urda, J.L.; Lynn, J.S.; Gorman, A.; Larouere, B. Effects of a minimal workplace intervention to reduce sedentary behaviors and improve perceived wellness in middle-aged women office workers. </w:t>
      </w:r>
      <w:r w:rsidRPr="00147AB8">
        <w:rPr>
          <w:rFonts w:ascii="Palatino Linotype" w:hAnsi="Palatino Linotype"/>
          <w:i/>
          <w:iCs/>
          <w:noProof/>
          <w:sz w:val="18"/>
          <w:szCs w:val="24"/>
        </w:rPr>
        <w:t>J. Phys. Act. Heal</w:t>
      </w:r>
      <w:r>
        <w:rPr>
          <w:rFonts w:ascii="Palatino Linotype" w:hAnsi="Palatino Linotype"/>
          <w:i/>
          <w:iCs/>
          <w:noProof/>
          <w:sz w:val="18"/>
          <w:szCs w:val="24"/>
        </w:rPr>
        <w:t>th</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13</w:t>
      </w:r>
      <w:r w:rsidRPr="00147AB8">
        <w:rPr>
          <w:rFonts w:ascii="Palatino Linotype" w:hAnsi="Palatino Linotype"/>
          <w:bCs/>
          <w:noProof/>
          <w:sz w:val="18"/>
          <w:szCs w:val="24"/>
        </w:rPr>
        <w:t>, 838–844</w:t>
      </w:r>
      <w:r w:rsidRPr="00147AB8">
        <w:rPr>
          <w:rFonts w:ascii="Palatino Linotype" w:hAnsi="Palatino Linotype"/>
          <w:noProof/>
          <w:sz w:val="18"/>
          <w:szCs w:val="24"/>
        </w:rPr>
        <w:t>, doi:10.1123/jpah.2015-0385.</w:t>
      </w:r>
    </w:p>
    <w:p w14:paraId="0B2E1A23"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Healy, G.N.; Winkler, E.A.H.; Eakin, E.G.; Owen, N.; Lamontagne, A.D.; Moodie, M.; Dunstan, D.W. A Cluster RCT to Reduce Workers’ Sitting Time. </w:t>
      </w:r>
      <w:r w:rsidRPr="00147AB8">
        <w:rPr>
          <w:rFonts w:ascii="Palatino Linotype" w:hAnsi="Palatino Linotype"/>
          <w:i/>
          <w:iCs/>
          <w:noProof/>
          <w:sz w:val="18"/>
          <w:szCs w:val="24"/>
        </w:rPr>
        <w:t>Med. Sci. Sport. Exerc.</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2017</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49</w:t>
      </w:r>
      <w:r w:rsidRPr="00147AB8">
        <w:rPr>
          <w:rFonts w:ascii="Palatino Linotype" w:hAnsi="Palatino Linotype"/>
          <w:bCs/>
          <w:noProof/>
          <w:sz w:val="18"/>
          <w:szCs w:val="24"/>
        </w:rPr>
        <w:t>, 2032–2039</w:t>
      </w:r>
      <w:r w:rsidRPr="00147AB8">
        <w:rPr>
          <w:rFonts w:ascii="Palatino Linotype" w:hAnsi="Palatino Linotype"/>
          <w:noProof/>
          <w:sz w:val="18"/>
          <w:szCs w:val="24"/>
        </w:rPr>
        <w:t>, doi:10.1249/MSS.0000000000001328.</w:t>
      </w:r>
    </w:p>
    <w:p w14:paraId="02AD6FE2"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Mainsbridge, C.; Ahuja, K.; Williams, A.; Bird, M.L.; Cooley, D.; Pedersen, S.J. Blood pressure response to interrupting workplace sitting time with non-exercise physical activity results of a 12-month cohort study. </w:t>
      </w:r>
      <w:r w:rsidRPr="00147AB8">
        <w:rPr>
          <w:rFonts w:ascii="Palatino Linotype" w:hAnsi="Palatino Linotype"/>
          <w:i/>
          <w:iCs/>
          <w:noProof/>
          <w:sz w:val="18"/>
          <w:szCs w:val="24"/>
        </w:rPr>
        <w:t>J. Occup. Environ.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2018</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60</w:t>
      </w:r>
      <w:r w:rsidRPr="00147AB8">
        <w:rPr>
          <w:rFonts w:ascii="Palatino Linotype" w:hAnsi="Palatino Linotype"/>
          <w:bCs/>
          <w:noProof/>
          <w:sz w:val="18"/>
          <w:szCs w:val="24"/>
        </w:rPr>
        <w:t>, 769–774</w:t>
      </w:r>
      <w:r w:rsidRPr="00147AB8">
        <w:rPr>
          <w:rFonts w:ascii="Palatino Linotype" w:hAnsi="Palatino Linotype"/>
          <w:noProof/>
          <w:sz w:val="18"/>
          <w:szCs w:val="24"/>
        </w:rPr>
        <w:t>, doi:10.1097/JOM.0000000000001377.</w:t>
      </w:r>
    </w:p>
    <w:p w14:paraId="52A9E94C"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Smith, L.; Pedersen, S.; Cooley, D. The effect of education on compliance to a workplace health and wellbeing intervention: Closing the loop. </w:t>
      </w:r>
      <w:r w:rsidRPr="00147AB8">
        <w:rPr>
          <w:rFonts w:ascii="Palatino Linotype" w:hAnsi="Palatino Linotype"/>
          <w:i/>
          <w:iCs/>
          <w:noProof/>
          <w:sz w:val="18"/>
          <w:szCs w:val="24"/>
        </w:rPr>
        <w:t>Univ. J. Public Heal</w:t>
      </w:r>
      <w:r>
        <w:rPr>
          <w:rFonts w:ascii="Palatino Linotype" w:hAnsi="Palatino Linotype"/>
          <w:i/>
          <w:iCs/>
          <w:noProof/>
          <w:sz w:val="18"/>
          <w:szCs w:val="24"/>
        </w:rPr>
        <w:t>th</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2013</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w:t>
      </w:r>
      <w:r w:rsidRPr="00147AB8">
        <w:rPr>
          <w:rFonts w:ascii="Palatino Linotype" w:hAnsi="Palatino Linotype"/>
          <w:bCs/>
          <w:noProof/>
          <w:sz w:val="18"/>
          <w:szCs w:val="24"/>
        </w:rPr>
        <w:t>, 97–102</w:t>
      </w:r>
      <w:r w:rsidRPr="00147AB8">
        <w:rPr>
          <w:rFonts w:ascii="Palatino Linotype" w:hAnsi="Palatino Linotype"/>
          <w:noProof/>
          <w:sz w:val="18"/>
          <w:szCs w:val="24"/>
        </w:rPr>
        <w:t>, doi:10.13189/ujph.2013.010308.</w:t>
      </w:r>
    </w:p>
    <w:p w14:paraId="5B67EB4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Graves, L.E.F.; Murphy, R.C.; Shepherd, S.O.; Cabot, J.; Hopkins, N.D. Evaluation of sit-stand workstations in an office setting: A randomised controlled trial. </w:t>
      </w:r>
      <w:r w:rsidRPr="00147AB8">
        <w:rPr>
          <w:rFonts w:ascii="Palatino Linotype" w:hAnsi="Palatino Linotype"/>
          <w:i/>
          <w:iCs/>
          <w:noProof/>
          <w:sz w:val="18"/>
          <w:szCs w:val="24"/>
        </w:rPr>
        <w:t>BMC Public Health</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2015</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15</w:t>
      </w:r>
      <w:r w:rsidRPr="00147AB8">
        <w:rPr>
          <w:rFonts w:ascii="Palatino Linotype" w:hAnsi="Palatino Linotype"/>
          <w:bCs/>
          <w:noProof/>
          <w:sz w:val="18"/>
          <w:szCs w:val="24"/>
        </w:rPr>
        <w:t>, 1145</w:t>
      </w:r>
      <w:r w:rsidRPr="00147AB8">
        <w:rPr>
          <w:rFonts w:ascii="Palatino Linotype" w:hAnsi="Palatino Linotype"/>
          <w:noProof/>
          <w:sz w:val="18"/>
          <w:szCs w:val="24"/>
        </w:rPr>
        <w:t>, doi:10.1186/s12889-015-2469-8.</w:t>
      </w:r>
    </w:p>
    <w:p w14:paraId="3CBA6F31"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Morris, A.S.; Murphy, R.C.; Shepherd, S.O.; Healy, G.N.; Edwardson, C.L.; Graves, L.E.F. A multi-component intervention to sit less and move more in a contact centre setting: A feasibility study. </w:t>
      </w:r>
      <w:r w:rsidRPr="00147AB8">
        <w:rPr>
          <w:rFonts w:ascii="Palatino Linotype" w:hAnsi="Palatino Linotype"/>
          <w:i/>
          <w:iCs/>
          <w:noProof/>
          <w:sz w:val="18"/>
          <w:szCs w:val="24"/>
        </w:rPr>
        <w:t>BMC Public Health</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2019</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19</w:t>
      </w:r>
      <w:r w:rsidRPr="00147AB8">
        <w:rPr>
          <w:rFonts w:ascii="Palatino Linotype" w:hAnsi="Palatino Linotype"/>
          <w:bCs/>
          <w:noProof/>
          <w:sz w:val="18"/>
          <w:szCs w:val="24"/>
        </w:rPr>
        <w:t xml:space="preserve">, </w:t>
      </w:r>
      <w:r>
        <w:rPr>
          <w:rFonts w:ascii="Palatino Linotype" w:hAnsi="Palatino Linotype"/>
          <w:bCs/>
          <w:noProof/>
          <w:sz w:val="18"/>
          <w:szCs w:val="24"/>
        </w:rPr>
        <w:t>292</w:t>
      </w:r>
      <w:r w:rsidRPr="00147AB8">
        <w:rPr>
          <w:rFonts w:ascii="Palatino Linotype" w:hAnsi="Palatino Linotype"/>
          <w:noProof/>
          <w:sz w:val="18"/>
          <w:szCs w:val="24"/>
        </w:rPr>
        <w:t>, doi:10.1186/s12889-019-6615-6.</w:t>
      </w:r>
      <w:bookmarkStart w:id="5" w:name="_GoBack"/>
      <w:bookmarkEnd w:id="5"/>
    </w:p>
    <w:p w14:paraId="57488790"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Gardner, B.; Lally, P.; Wardle, J. Making health habitual: The psychology of “habit-formation” and general practice. </w:t>
      </w:r>
      <w:r w:rsidRPr="00147AB8">
        <w:rPr>
          <w:rFonts w:ascii="Palatino Linotype" w:hAnsi="Palatino Linotype"/>
          <w:i/>
          <w:iCs/>
          <w:noProof/>
          <w:sz w:val="18"/>
          <w:szCs w:val="24"/>
        </w:rPr>
        <w:t>Br. J. Gen. Pract.</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2012</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62</w:t>
      </w:r>
      <w:r w:rsidRPr="00147AB8">
        <w:rPr>
          <w:rFonts w:ascii="Palatino Linotype" w:hAnsi="Palatino Linotype"/>
          <w:bCs/>
          <w:noProof/>
          <w:sz w:val="18"/>
          <w:szCs w:val="24"/>
        </w:rPr>
        <w:t>, 664–666</w:t>
      </w:r>
      <w:r w:rsidRPr="00147AB8">
        <w:rPr>
          <w:rFonts w:ascii="Palatino Linotype" w:hAnsi="Palatino Linotype"/>
          <w:noProof/>
          <w:sz w:val="18"/>
          <w:szCs w:val="24"/>
        </w:rPr>
        <w:t>, doi:10.3399/bjgp12X659466.</w:t>
      </w:r>
    </w:p>
    <w:p w14:paraId="14857436"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Carter, S.E.; Draijer, R.; Holder, S.M.; Brown, L.; Thijssen, D.H.J.; Hopkins, N.D. Regular walking breaks prevent the decline in cerebral blood flow associated with prolonged sitting. </w:t>
      </w:r>
      <w:r w:rsidRPr="00147AB8">
        <w:rPr>
          <w:rFonts w:ascii="Palatino Linotype" w:hAnsi="Palatino Linotype"/>
          <w:i/>
          <w:iCs/>
          <w:noProof/>
          <w:sz w:val="18"/>
          <w:szCs w:val="24"/>
        </w:rPr>
        <w:t>J. Appl. Physiol.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2018</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125</w:t>
      </w:r>
      <w:r w:rsidRPr="00147AB8">
        <w:rPr>
          <w:rFonts w:ascii="Palatino Linotype" w:hAnsi="Palatino Linotype"/>
          <w:bCs/>
          <w:noProof/>
          <w:sz w:val="18"/>
          <w:szCs w:val="24"/>
        </w:rPr>
        <w:t>, 790–798</w:t>
      </w:r>
      <w:r w:rsidRPr="00147AB8">
        <w:rPr>
          <w:rFonts w:ascii="Palatino Linotype" w:hAnsi="Palatino Linotype"/>
          <w:noProof/>
          <w:sz w:val="18"/>
          <w:szCs w:val="24"/>
        </w:rPr>
        <w:t>, doi:10.1152/japplphysiol.00310.2018.</w:t>
      </w:r>
    </w:p>
    <w:p w14:paraId="5EC7E760" w14:textId="77777777" w:rsidR="00786F4F" w:rsidRPr="00E50D6C"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Thosar, S.S.; Bielko, S.L.; Mather, K.J.; Johnston, J.D.; Wallace, J.P. Effect of prolonged sitting and breaks in sitting time on endothelial function. </w:t>
      </w:r>
      <w:r w:rsidRPr="00147AB8">
        <w:rPr>
          <w:rFonts w:ascii="Palatino Linotype" w:hAnsi="Palatino Linotype"/>
          <w:i/>
          <w:iCs/>
          <w:noProof/>
          <w:sz w:val="18"/>
          <w:szCs w:val="24"/>
        </w:rPr>
        <w:t>Med. Sci. Sports Exerc.</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2015</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47</w:t>
      </w:r>
      <w:r w:rsidRPr="00147AB8">
        <w:rPr>
          <w:rFonts w:ascii="Palatino Linotype" w:hAnsi="Palatino Linotype"/>
          <w:bCs/>
          <w:noProof/>
          <w:sz w:val="18"/>
          <w:szCs w:val="24"/>
        </w:rPr>
        <w:t>, 843–9</w:t>
      </w:r>
      <w:r w:rsidRPr="00147AB8">
        <w:rPr>
          <w:rFonts w:ascii="Palatino Linotype" w:hAnsi="Palatino Linotype"/>
          <w:noProof/>
          <w:sz w:val="18"/>
          <w:szCs w:val="24"/>
        </w:rPr>
        <w:t>, doi:10.1249/MSS.000000000000</w:t>
      </w:r>
      <w:r w:rsidRPr="00E50D6C">
        <w:rPr>
          <w:rFonts w:ascii="Palatino Linotype" w:hAnsi="Palatino Linotype"/>
          <w:noProof/>
          <w:sz w:val="18"/>
          <w:szCs w:val="24"/>
        </w:rPr>
        <w:t>0479.</w:t>
      </w:r>
    </w:p>
    <w:p w14:paraId="36042AB6" w14:textId="77777777" w:rsidR="00786F4F" w:rsidRPr="00E50D6C"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E50D6C">
        <w:rPr>
          <w:rFonts w:ascii="Palatino Linotype" w:hAnsi="Palatino Linotype"/>
          <w:noProof/>
          <w:sz w:val="18"/>
          <w:szCs w:val="24"/>
        </w:rPr>
        <w:t xml:space="preserve">Cooley, D.; Pedersen, S. A pilot study of increasing nonpurposeful movement breaks at work as a means of reducing prolonged sitting. </w:t>
      </w:r>
      <w:r w:rsidRPr="00E50D6C">
        <w:rPr>
          <w:rFonts w:ascii="Palatino Linotype" w:hAnsi="Palatino Linotype"/>
          <w:i/>
          <w:iCs/>
          <w:noProof/>
          <w:sz w:val="18"/>
          <w:szCs w:val="24"/>
        </w:rPr>
        <w:t>J. Environ. Public Health</w:t>
      </w:r>
      <w:r w:rsidRPr="00E50D6C">
        <w:rPr>
          <w:rFonts w:ascii="Palatino Linotype" w:hAnsi="Palatino Linotype"/>
          <w:noProof/>
          <w:sz w:val="18"/>
          <w:szCs w:val="24"/>
        </w:rPr>
        <w:t xml:space="preserve"> </w:t>
      </w:r>
      <w:r w:rsidRPr="00E50D6C">
        <w:rPr>
          <w:rFonts w:ascii="Palatino Linotype" w:hAnsi="Palatino Linotype"/>
          <w:b/>
          <w:bCs/>
          <w:noProof/>
          <w:sz w:val="18"/>
          <w:szCs w:val="24"/>
        </w:rPr>
        <w:t>2013</w:t>
      </w:r>
      <w:r w:rsidRPr="00E50D6C">
        <w:rPr>
          <w:rFonts w:ascii="Palatino Linotype" w:hAnsi="Palatino Linotype"/>
          <w:bCs/>
          <w:noProof/>
          <w:sz w:val="18"/>
          <w:szCs w:val="24"/>
        </w:rPr>
        <w:t xml:space="preserve">, </w:t>
      </w:r>
      <w:r w:rsidRPr="00E50D6C">
        <w:rPr>
          <w:rFonts w:ascii="Palatino Linotype" w:hAnsi="Palatino Linotype"/>
          <w:bCs/>
          <w:i/>
          <w:noProof/>
          <w:sz w:val="18"/>
          <w:szCs w:val="24"/>
        </w:rPr>
        <w:t>2013</w:t>
      </w:r>
      <w:r w:rsidRPr="00E50D6C">
        <w:rPr>
          <w:rFonts w:ascii="Palatino Linotype" w:hAnsi="Palatino Linotype"/>
          <w:bCs/>
          <w:noProof/>
          <w:sz w:val="18"/>
          <w:szCs w:val="24"/>
        </w:rPr>
        <w:t>, 128376</w:t>
      </w:r>
      <w:r w:rsidRPr="00E50D6C">
        <w:rPr>
          <w:rFonts w:ascii="Palatino Linotype" w:hAnsi="Palatino Linotype"/>
          <w:noProof/>
          <w:sz w:val="18"/>
          <w:szCs w:val="24"/>
        </w:rPr>
        <w:t>, doi:10.1155/2013/128376.</w:t>
      </w:r>
    </w:p>
    <w:p w14:paraId="58E763FA" w14:textId="26D65325" w:rsidR="00786F4F" w:rsidRPr="00E50D6C"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E50D6C">
        <w:rPr>
          <w:rFonts w:ascii="Palatino Linotype" w:hAnsi="Palatino Linotype"/>
          <w:noProof/>
          <w:sz w:val="18"/>
          <w:szCs w:val="24"/>
        </w:rPr>
        <w:t xml:space="preserve">Krueger, R.; Casey, M. Designing and conducting focus group interviews. In </w:t>
      </w:r>
      <w:r w:rsidRPr="00E50D6C">
        <w:rPr>
          <w:rFonts w:ascii="Palatino Linotype" w:hAnsi="Palatino Linotype"/>
          <w:i/>
          <w:iCs/>
          <w:noProof/>
          <w:sz w:val="18"/>
          <w:szCs w:val="24"/>
        </w:rPr>
        <w:t>Social Analysis Selected Tools and Techniques</w:t>
      </w:r>
      <w:r w:rsidRPr="00E50D6C">
        <w:rPr>
          <w:rFonts w:ascii="Palatino Linotype" w:hAnsi="Palatino Linotype"/>
          <w:noProof/>
          <w:sz w:val="18"/>
          <w:szCs w:val="24"/>
        </w:rPr>
        <w:t xml:space="preserve">; </w:t>
      </w:r>
      <w:r w:rsidR="004120B6" w:rsidRPr="00E50D6C">
        <w:rPr>
          <w:rFonts w:ascii="Palatino Linotype" w:hAnsi="Palatino Linotype"/>
          <w:noProof/>
          <w:sz w:val="18"/>
          <w:szCs w:val="24"/>
        </w:rPr>
        <w:t xml:space="preserve">Social Development Department, The World Bank, </w:t>
      </w:r>
      <w:r w:rsidRPr="00E50D6C">
        <w:rPr>
          <w:rFonts w:ascii="Palatino Linotype" w:hAnsi="Palatino Linotype"/>
          <w:noProof/>
          <w:sz w:val="18"/>
          <w:szCs w:val="24"/>
        </w:rPr>
        <w:t>2002.</w:t>
      </w:r>
    </w:p>
    <w:p w14:paraId="3FF3622F"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E50D6C">
        <w:rPr>
          <w:rFonts w:ascii="Palatino Linotype" w:hAnsi="Palatino Linotype"/>
          <w:noProof/>
          <w:sz w:val="18"/>
          <w:szCs w:val="24"/>
        </w:rPr>
        <w:t>Kitzinger, J. The methodology of focus groups: The importance of interaction</w:t>
      </w:r>
      <w:r w:rsidRPr="00147AB8">
        <w:rPr>
          <w:rFonts w:ascii="Palatino Linotype" w:hAnsi="Palatino Linotype"/>
          <w:noProof/>
          <w:sz w:val="18"/>
          <w:szCs w:val="24"/>
        </w:rPr>
        <w:t xml:space="preserve"> between research participants. </w:t>
      </w:r>
      <w:r w:rsidRPr="00147AB8">
        <w:rPr>
          <w:rFonts w:ascii="Palatino Linotype" w:hAnsi="Palatino Linotype"/>
          <w:i/>
          <w:iCs/>
          <w:noProof/>
          <w:sz w:val="18"/>
          <w:szCs w:val="24"/>
        </w:rPr>
        <w:t>Sociol. Heal</w:t>
      </w:r>
      <w:r>
        <w:rPr>
          <w:rFonts w:ascii="Palatino Linotype" w:hAnsi="Palatino Linotype"/>
          <w:i/>
          <w:iCs/>
          <w:noProof/>
          <w:sz w:val="18"/>
          <w:szCs w:val="24"/>
        </w:rPr>
        <w:t>th</w:t>
      </w:r>
      <w:r w:rsidRPr="00147AB8">
        <w:rPr>
          <w:rFonts w:ascii="Palatino Linotype" w:hAnsi="Palatino Linotype"/>
          <w:i/>
          <w:iCs/>
          <w:noProof/>
          <w:sz w:val="18"/>
          <w:szCs w:val="24"/>
        </w:rPr>
        <w:t xml:space="preserve"> Illn.</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1994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16</w:t>
      </w:r>
      <w:r w:rsidRPr="00147AB8">
        <w:rPr>
          <w:rFonts w:ascii="Palatino Linotype" w:hAnsi="Palatino Linotype"/>
          <w:bCs/>
          <w:noProof/>
          <w:sz w:val="18"/>
          <w:szCs w:val="24"/>
        </w:rPr>
        <w:t>, 103–121</w:t>
      </w:r>
      <w:r w:rsidRPr="00147AB8">
        <w:rPr>
          <w:rFonts w:ascii="Palatino Linotype" w:hAnsi="Palatino Linotype"/>
          <w:noProof/>
          <w:sz w:val="18"/>
          <w:szCs w:val="24"/>
        </w:rPr>
        <w:t>, doi:10.1111/1467-9566.ep11347023.</w:t>
      </w:r>
    </w:p>
    <w:p w14:paraId="770A824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Edwardson, C.L.; Winkler, E.A.H.; Bodicoat, D.H.; Yates, T.; Davies, M.J.; Dunstan, D.W.; Healy, G.N. Considerations when using the activPAL monitor in field based research with adult populations. </w:t>
      </w:r>
      <w:r w:rsidRPr="00147AB8">
        <w:rPr>
          <w:rFonts w:ascii="Palatino Linotype" w:hAnsi="Palatino Linotype"/>
          <w:i/>
          <w:iCs/>
          <w:noProof/>
          <w:sz w:val="18"/>
          <w:szCs w:val="24"/>
        </w:rPr>
        <w:t>J. Sport Heal</w:t>
      </w:r>
      <w:r>
        <w:rPr>
          <w:rFonts w:ascii="Palatino Linotype" w:hAnsi="Palatino Linotype"/>
          <w:i/>
          <w:iCs/>
          <w:noProof/>
          <w:sz w:val="18"/>
          <w:szCs w:val="24"/>
        </w:rPr>
        <w:t>th</w:t>
      </w:r>
      <w:r w:rsidRPr="00147AB8">
        <w:rPr>
          <w:rFonts w:ascii="Palatino Linotype" w:hAnsi="Palatino Linotype"/>
          <w:i/>
          <w:iCs/>
          <w:noProof/>
          <w:sz w:val="18"/>
          <w:szCs w:val="24"/>
        </w:rPr>
        <w:t xml:space="preserve"> Sci.</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noProof/>
          <w:sz w:val="18"/>
          <w:szCs w:val="24"/>
        </w:rPr>
        <w:t>, 13–24, doi:10.1016/j.jshs.2016.02.002.</w:t>
      </w:r>
    </w:p>
    <w:p w14:paraId="693502DC"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Grant, P.M.; Ryan, C.G.; Tigbe, W.W.; Granat, M.H. The validation of a novel activity monitor in the measurement of posture and motion during everyday activities. </w:t>
      </w:r>
      <w:r w:rsidRPr="00147AB8">
        <w:rPr>
          <w:rFonts w:ascii="Palatino Linotype" w:hAnsi="Palatino Linotype"/>
          <w:i/>
          <w:iCs/>
          <w:noProof/>
          <w:sz w:val="18"/>
          <w:szCs w:val="24"/>
        </w:rPr>
        <w:t>Br. J. Sports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40</w:t>
      </w:r>
      <w:r w:rsidRPr="00147AB8">
        <w:rPr>
          <w:rFonts w:ascii="Palatino Linotype" w:hAnsi="Palatino Linotype"/>
          <w:bCs/>
          <w:noProof/>
          <w:sz w:val="18"/>
          <w:szCs w:val="24"/>
        </w:rPr>
        <w:t>, 992–997</w:t>
      </w:r>
      <w:r w:rsidRPr="00147AB8">
        <w:rPr>
          <w:rFonts w:ascii="Palatino Linotype" w:hAnsi="Palatino Linotype"/>
          <w:noProof/>
          <w:sz w:val="18"/>
          <w:szCs w:val="24"/>
        </w:rPr>
        <w:t>, doi:10.1136/bjsm.2006.030262.</w:t>
      </w:r>
    </w:p>
    <w:p w14:paraId="31BB91C2"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lastRenderedPageBreak/>
        <w:t xml:space="preserve">Ryan, C.G.; Grant, P.M.; Tigbe, W.W.; Granat, M.H. The validity and reliability of a novel activity monitor as a measure of walking. </w:t>
      </w:r>
      <w:r w:rsidRPr="00147AB8">
        <w:rPr>
          <w:rFonts w:ascii="Palatino Linotype" w:hAnsi="Palatino Linotype"/>
          <w:i/>
          <w:iCs/>
          <w:noProof/>
          <w:sz w:val="18"/>
          <w:szCs w:val="24"/>
        </w:rPr>
        <w:t>Br. J. Sports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40</w:t>
      </w:r>
      <w:r w:rsidRPr="00147AB8">
        <w:rPr>
          <w:rFonts w:ascii="Palatino Linotype" w:hAnsi="Palatino Linotype"/>
          <w:bCs/>
          <w:noProof/>
          <w:sz w:val="18"/>
          <w:szCs w:val="24"/>
        </w:rPr>
        <w:t>, 779–84</w:t>
      </w:r>
      <w:r w:rsidRPr="00147AB8">
        <w:rPr>
          <w:rFonts w:ascii="Palatino Linotype" w:hAnsi="Palatino Linotype"/>
          <w:noProof/>
          <w:sz w:val="18"/>
          <w:szCs w:val="24"/>
        </w:rPr>
        <w:t>, doi:10.1136/bjsm.2006.027276.</w:t>
      </w:r>
    </w:p>
    <w:p w14:paraId="03D37F2B"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Winkler, E.A.H.; Bodicoat, D.H.; Healy, G.N.; Bakrania, K.; Yates, T.; Owen, N.; Dunstan, D.W.; Edwardson, C.L. Identifying adults’ valid waking wear time by automated estimation in activPAL data collected with a 24 h wear protocol. </w:t>
      </w:r>
      <w:r w:rsidRPr="00147AB8">
        <w:rPr>
          <w:rFonts w:ascii="Palatino Linotype" w:hAnsi="Palatino Linotype"/>
          <w:i/>
          <w:iCs/>
          <w:noProof/>
          <w:sz w:val="18"/>
          <w:szCs w:val="24"/>
        </w:rPr>
        <w:t>Physiol. Meas.</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37</w:t>
      </w:r>
      <w:r w:rsidRPr="00147AB8">
        <w:rPr>
          <w:rFonts w:ascii="Palatino Linotype" w:hAnsi="Palatino Linotype"/>
          <w:bCs/>
          <w:noProof/>
          <w:sz w:val="18"/>
          <w:szCs w:val="24"/>
        </w:rPr>
        <w:t>, 1653–1668</w:t>
      </w:r>
      <w:r w:rsidRPr="00147AB8">
        <w:rPr>
          <w:rFonts w:ascii="Palatino Linotype" w:hAnsi="Palatino Linotype"/>
          <w:noProof/>
          <w:sz w:val="18"/>
          <w:szCs w:val="24"/>
        </w:rPr>
        <w:t>, doi:10.1088/0967-3334/37/10/1653.</w:t>
      </w:r>
    </w:p>
    <w:p w14:paraId="63C2573B"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Healy, G.N.; Eakin, E.G.; Owen, N.; Lamontagne, A.D.; Moodie, M.; Winkler, E.A.H.; Fjeldsoe, B.S.; Wiesner, G.; Willenberg, L.; Dunstan, D.W. A Cluster Randomized Controlled Trial to Reduce Office Workers’ Sitting Time. </w:t>
      </w:r>
      <w:r w:rsidRPr="00147AB8">
        <w:rPr>
          <w:rFonts w:ascii="Palatino Linotype" w:hAnsi="Palatino Linotype"/>
          <w:i/>
          <w:iCs/>
          <w:noProof/>
          <w:sz w:val="18"/>
          <w:szCs w:val="24"/>
        </w:rPr>
        <w:t>Med. Sci. Sport. Exerc.</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48</w:t>
      </w:r>
      <w:r w:rsidRPr="00147AB8">
        <w:rPr>
          <w:rFonts w:ascii="Palatino Linotype" w:hAnsi="Palatino Linotype"/>
          <w:bCs/>
          <w:noProof/>
          <w:sz w:val="18"/>
          <w:szCs w:val="24"/>
        </w:rPr>
        <w:t>, 1787–1797</w:t>
      </w:r>
      <w:r w:rsidRPr="00147AB8">
        <w:rPr>
          <w:rFonts w:ascii="Palatino Linotype" w:hAnsi="Palatino Linotype"/>
          <w:noProof/>
          <w:sz w:val="18"/>
          <w:szCs w:val="24"/>
        </w:rPr>
        <w:t>, doi:10.1249/MSS.0000000000000972.</w:t>
      </w:r>
    </w:p>
    <w:p w14:paraId="31995EA2"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Edwardson, C.L.; Yates, T.; Biddle, S.J.H.; Davies, M.J.; Dunstan, D.W.; Esliger, D.W.; Gray, L.J.; Jackson, B.; O’Connell, S.E.; Waheed, G.; et al. Effectiveness of the stand more at (SMArT) work intervention: Cluster randomised controlled trial. </w:t>
      </w:r>
      <w:r w:rsidRPr="00147AB8">
        <w:rPr>
          <w:rFonts w:ascii="Palatino Linotype" w:hAnsi="Palatino Linotype"/>
          <w:i/>
          <w:iCs/>
          <w:noProof/>
          <w:sz w:val="18"/>
          <w:szCs w:val="24"/>
        </w:rPr>
        <w:t>BMJ</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2018</w:t>
      </w:r>
      <w:r w:rsidRPr="00147AB8">
        <w:rPr>
          <w:rFonts w:ascii="Palatino Linotype" w:hAnsi="Palatino Linotype"/>
          <w:noProof/>
          <w:sz w:val="18"/>
          <w:szCs w:val="24"/>
        </w:rPr>
        <w:t xml:space="preserve">, </w:t>
      </w:r>
      <w:r w:rsidRPr="00147AB8">
        <w:rPr>
          <w:rFonts w:ascii="Palatino Linotype" w:hAnsi="Palatino Linotype"/>
          <w:i/>
          <w:iCs/>
          <w:noProof/>
          <w:sz w:val="18"/>
          <w:szCs w:val="24"/>
        </w:rPr>
        <w:t>363</w:t>
      </w:r>
      <w:r w:rsidRPr="00147AB8">
        <w:rPr>
          <w:rFonts w:ascii="Palatino Linotype" w:hAnsi="Palatino Linotype"/>
          <w:noProof/>
          <w:sz w:val="18"/>
          <w:szCs w:val="24"/>
        </w:rPr>
        <w:t>, k3870, doi:10.1136/bmj.k3870.</w:t>
      </w:r>
    </w:p>
    <w:p w14:paraId="63D02B6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Inaba, Y.; Chen, J.A.; Bergmann, S.R. Prediction of future cardiovascular outcomes by flow-mediated vasodilatation of brachial artery: A meta-analysis. </w:t>
      </w:r>
      <w:r w:rsidRPr="00147AB8">
        <w:rPr>
          <w:rFonts w:ascii="Palatino Linotype" w:hAnsi="Palatino Linotype"/>
          <w:i/>
          <w:iCs/>
          <w:noProof/>
          <w:sz w:val="18"/>
          <w:szCs w:val="24"/>
        </w:rPr>
        <w:t>Int. J. Cardiovasc. Imaging</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2010</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26</w:t>
      </w:r>
      <w:r w:rsidRPr="00147AB8">
        <w:rPr>
          <w:rFonts w:ascii="Palatino Linotype" w:hAnsi="Palatino Linotype"/>
          <w:bCs/>
          <w:noProof/>
          <w:sz w:val="18"/>
          <w:szCs w:val="24"/>
        </w:rPr>
        <w:t>, 631–640</w:t>
      </w:r>
      <w:r w:rsidRPr="00147AB8">
        <w:rPr>
          <w:rFonts w:ascii="Palatino Linotype" w:hAnsi="Palatino Linotype"/>
          <w:noProof/>
          <w:sz w:val="18"/>
          <w:szCs w:val="24"/>
        </w:rPr>
        <w:t>, doi:10.1007/s10554-010-9616-1.</w:t>
      </w:r>
    </w:p>
    <w:p w14:paraId="441E750C"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Thijssen, D.H.J.; Bruno, R.M.; van Mil, A.C.C.M.; Holder, S.M.; Faita, F.; Greyling, A.; Zock, P.L.; Taddei, S.; Deanfield, J.E.; Luscher, T.; et al. Expert consensus and evidence-based recommendations for the assessment of flow-mediated dilation in humans. </w:t>
      </w:r>
      <w:r w:rsidRPr="00147AB8">
        <w:rPr>
          <w:rFonts w:ascii="Palatino Linotype" w:hAnsi="Palatino Linotype"/>
          <w:i/>
          <w:iCs/>
          <w:noProof/>
          <w:sz w:val="18"/>
          <w:szCs w:val="24"/>
        </w:rPr>
        <w:t>Eur. Heart J.</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2019</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40</w:t>
      </w:r>
      <w:r w:rsidRPr="00147AB8">
        <w:rPr>
          <w:rFonts w:ascii="Palatino Linotype" w:hAnsi="Palatino Linotype"/>
          <w:bCs/>
          <w:noProof/>
          <w:sz w:val="18"/>
          <w:szCs w:val="24"/>
        </w:rPr>
        <w:t>, 2534–2547</w:t>
      </w:r>
      <w:r w:rsidRPr="00147AB8">
        <w:rPr>
          <w:rFonts w:ascii="Palatino Linotype" w:hAnsi="Palatino Linotype"/>
          <w:noProof/>
          <w:sz w:val="18"/>
          <w:szCs w:val="24"/>
        </w:rPr>
        <w:t>, doi:10.1093/eurheartj/ehz350.</w:t>
      </w:r>
    </w:p>
    <w:p w14:paraId="5F7D2AA5"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Carter, S.E.; Draijer, R.; Holder, S.M.; Brown, L.; Thijssen, D.H.J.; Hopkins, N.D. Effect of different walking break strategies on superficial femoral artery endothelial function. </w:t>
      </w:r>
      <w:r w:rsidRPr="00147AB8">
        <w:rPr>
          <w:rFonts w:ascii="Palatino Linotype" w:hAnsi="Palatino Linotype"/>
          <w:i/>
          <w:iCs/>
          <w:noProof/>
          <w:sz w:val="18"/>
          <w:szCs w:val="24"/>
        </w:rPr>
        <w:t>Physiol. Rep.</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2019</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7</w:t>
      </w:r>
      <w:r w:rsidRPr="00147AB8">
        <w:rPr>
          <w:rFonts w:ascii="Palatino Linotype" w:hAnsi="Palatino Linotype"/>
          <w:bCs/>
          <w:noProof/>
          <w:sz w:val="18"/>
          <w:szCs w:val="24"/>
        </w:rPr>
        <w:t>, 1–11</w:t>
      </w:r>
      <w:r w:rsidRPr="00147AB8">
        <w:rPr>
          <w:rFonts w:ascii="Palatino Linotype" w:hAnsi="Palatino Linotype"/>
          <w:noProof/>
          <w:sz w:val="18"/>
          <w:szCs w:val="24"/>
        </w:rPr>
        <w:t>, doi:10.14814/phy2.14190.</w:t>
      </w:r>
    </w:p>
    <w:p w14:paraId="5FD9DB40"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Black, M.A.; Cable, N.T.; Thijssen, D.H.J.; Green, D.J. Importance of measuring the time course of flow-mediated dilatation in humans. </w:t>
      </w:r>
      <w:r w:rsidRPr="00147AB8">
        <w:rPr>
          <w:rFonts w:ascii="Palatino Linotype" w:hAnsi="Palatino Linotype"/>
          <w:i/>
          <w:iCs/>
          <w:noProof/>
          <w:sz w:val="18"/>
          <w:szCs w:val="24"/>
        </w:rPr>
        <w:t>Hypertension</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2008</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51</w:t>
      </w:r>
      <w:r w:rsidRPr="00147AB8">
        <w:rPr>
          <w:rFonts w:ascii="Palatino Linotype" w:hAnsi="Palatino Linotype"/>
          <w:bCs/>
          <w:noProof/>
          <w:sz w:val="18"/>
          <w:szCs w:val="24"/>
        </w:rPr>
        <w:t>, 203–210</w:t>
      </w:r>
      <w:r w:rsidRPr="00147AB8">
        <w:rPr>
          <w:rFonts w:ascii="Palatino Linotype" w:hAnsi="Palatino Linotype"/>
          <w:noProof/>
          <w:sz w:val="18"/>
          <w:szCs w:val="24"/>
        </w:rPr>
        <w:t>, doi:10.1161/HYPERTENSIONAHA.107.101014.</w:t>
      </w:r>
    </w:p>
    <w:p w14:paraId="43BD01E3"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Willie, C.K.; Tzeng, Y.-C.; Fisher, J.A.; Ainslie, P.N. Integrative regulation of human brain blood flow. </w:t>
      </w:r>
      <w:r w:rsidRPr="00147AB8">
        <w:rPr>
          <w:rFonts w:ascii="Palatino Linotype" w:hAnsi="Palatino Linotype"/>
          <w:i/>
          <w:iCs/>
          <w:noProof/>
          <w:sz w:val="18"/>
          <w:szCs w:val="24"/>
        </w:rPr>
        <w:t>J. Physiol.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592</w:t>
      </w:r>
      <w:r w:rsidRPr="00147AB8">
        <w:rPr>
          <w:rFonts w:ascii="Palatino Linotype" w:hAnsi="Palatino Linotype"/>
          <w:bCs/>
          <w:noProof/>
          <w:sz w:val="18"/>
          <w:szCs w:val="24"/>
        </w:rPr>
        <w:t>, 841–859</w:t>
      </w:r>
      <w:r w:rsidRPr="00147AB8">
        <w:rPr>
          <w:rFonts w:ascii="Palatino Linotype" w:hAnsi="Palatino Linotype"/>
          <w:noProof/>
          <w:sz w:val="18"/>
          <w:szCs w:val="24"/>
        </w:rPr>
        <w:t>, doi:10.1113/jphysiol.2013.268953.</w:t>
      </w:r>
    </w:p>
    <w:p w14:paraId="44FE40EC"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Marshall, R.S.; Lazar, R.M.; Pile-Spellman, J.; Young, W.L.; Duong, D.H.; Joshi, S.; Ostapkovich, N. Recovery of brain function during induced cerebral hypoperfusion. </w:t>
      </w:r>
      <w:r w:rsidRPr="00147AB8">
        <w:rPr>
          <w:rFonts w:ascii="Palatino Linotype" w:hAnsi="Palatino Linotype"/>
          <w:i/>
          <w:iCs/>
          <w:noProof/>
          <w:sz w:val="18"/>
          <w:szCs w:val="24"/>
        </w:rPr>
        <w:t>Brain</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2001</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124</w:t>
      </w:r>
      <w:r w:rsidRPr="00147AB8">
        <w:rPr>
          <w:rFonts w:ascii="Palatino Linotype" w:hAnsi="Palatino Linotype"/>
          <w:bCs/>
          <w:noProof/>
          <w:sz w:val="18"/>
          <w:szCs w:val="24"/>
        </w:rPr>
        <w:t>, 1208–1217</w:t>
      </w:r>
      <w:r w:rsidRPr="00147AB8">
        <w:rPr>
          <w:rFonts w:ascii="Palatino Linotype" w:hAnsi="Palatino Linotype"/>
          <w:noProof/>
          <w:sz w:val="18"/>
          <w:szCs w:val="24"/>
        </w:rPr>
        <w:t>, doi:10.1093/brain/124.6.1208.</w:t>
      </w:r>
    </w:p>
    <w:p w14:paraId="690D874E"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Wolters, F.J.; Zonneveld, H.I.; Hofman, A.; Van Der Lugt, A.; Koudstaal, P.J.; Vernooij, M.W.; Ikram, M.A. Cerebral perfusion and the risk of dementia: A population-based study. </w:t>
      </w:r>
      <w:r w:rsidRPr="00147AB8">
        <w:rPr>
          <w:rFonts w:ascii="Palatino Linotype" w:hAnsi="Palatino Linotype"/>
          <w:i/>
          <w:iCs/>
          <w:noProof/>
          <w:sz w:val="18"/>
          <w:szCs w:val="24"/>
        </w:rPr>
        <w:t>Circulation</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2017</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136</w:t>
      </w:r>
      <w:r w:rsidRPr="00147AB8">
        <w:rPr>
          <w:rFonts w:ascii="Palatino Linotype" w:hAnsi="Palatino Linotype"/>
          <w:bCs/>
          <w:noProof/>
          <w:sz w:val="18"/>
          <w:szCs w:val="24"/>
        </w:rPr>
        <w:t>, 719–728</w:t>
      </w:r>
      <w:r w:rsidRPr="00147AB8">
        <w:rPr>
          <w:rFonts w:ascii="Palatino Linotype" w:hAnsi="Palatino Linotype"/>
          <w:noProof/>
          <w:sz w:val="18"/>
          <w:szCs w:val="24"/>
        </w:rPr>
        <w:t>, doi:10.1161/CIRCULATIONAHA.117.027448.</w:t>
      </w:r>
    </w:p>
    <w:p w14:paraId="470CB8E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Gommer, E.D.; Martens, E.G.H.J.; Aalten, P.; Shijaku, E.; Verhey, F.R.J.; Mess, W.H.; Ramakers, I.H.G.B.; Reulen, J.P.H. Dynamic cerebral autoregulation in subjects with Alzheimer’s disease, mild cognitive impairment, and controls: Evidence for increased peripheral vascular resistance with possible predictive value. </w:t>
      </w:r>
      <w:r w:rsidRPr="00147AB8">
        <w:rPr>
          <w:rFonts w:ascii="Palatino Linotype" w:hAnsi="Palatino Linotype"/>
          <w:i/>
          <w:iCs/>
          <w:noProof/>
          <w:sz w:val="18"/>
          <w:szCs w:val="24"/>
        </w:rPr>
        <w:t>J. Alzheimer Dis.</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2012</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30</w:t>
      </w:r>
      <w:r w:rsidRPr="00147AB8">
        <w:rPr>
          <w:rFonts w:ascii="Palatino Linotype" w:hAnsi="Palatino Linotype"/>
          <w:bCs/>
          <w:noProof/>
          <w:sz w:val="18"/>
          <w:szCs w:val="24"/>
        </w:rPr>
        <w:t>, 805–13</w:t>
      </w:r>
      <w:r w:rsidRPr="00147AB8">
        <w:rPr>
          <w:rFonts w:ascii="Palatino Linotype" w:hAnsi="Palatino Linotype"/>
          <w:noProof/>
          <w:sz w:val="18"/>
          <w:szCs w:val="24"/>
        </w:rPr>
        <w:t>, doi:10.3233/JAD-2012-111628.</w:t>
      </w:r>
    </w:p>
    <w:p w14:paraId="4E1ED355"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Willie, C.K.; Colino, F.L.; Bailey, D.M.; Tzeng, Y.C.; Binsted, G.; Jones, L.W.; Haykowsky, M.J.; Bellapart, J.; Ogoh, S.; Smith, K.J.; et al. Utility of transcranial Doppler ultrasound for the integrative assessment of cerebrovascular function. </w:t>
      </w:r>
      <w:r w:rsidRPr="00147AB8">
        <w:rPr>
          <w:rFonts w:ascii="Palatino Linotype" w:hAnsi="Palatino Linotype"/>
          <w:i/>
          <w:iCs/>
          <w:noProof/>
          <w:sz w:val="18"/>
          <w:szCs w:val="24"/>
        </w:rPr>
        <w:t>J. Neurosci. Methods</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2011</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196</w:t>
      </w:r>
      <w:r w:rsidRPr="00147AB8">
        <w:rPr>
          <w:rFonts w:ascii="Palatino Linotype" w:hAnsi="Palatino Linotype"/>
          <w:bCs/>
          <w:noProof/>
          <w:sz w:val="18"/>
          <w:szCs w:val="24"/>
        </w:rPr>
        <w:t>, 221–37</w:t>
      </w:r>
      <w:r w:rsidRPr="00147AB8">
        <w:rPr>
          <w:rFonts w:ascii="Palatino Linotype" w:hAnsi="Palatino Linotype"/>
          <w:noProof/>
          <w:sz w:val="18"/>
          <w:szCs w:val="24"/>
        </w:rPr>
        <w:t>, doi:10.1016/j.jneumeth.2011.01.011.</w:t>
      </w:r>
    </w:p>
    <w:p w14:paraId="0F9E340E"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Skow, R.J.; MacKay, C.M.; Tymko, M.M.; Willie, C.K.; Smith, K.J.; Ainslie, P.N.; Day, T.A. Differential cerebrovascular CO2 reactivity in anterior and posterior cerebral circulations. </w:t>
      </w:r>
      <w:r w:rsidRPr="00147AB8">
        <w:rPr>
          <w:rFonts w:ascii="Palatino Linotype" w:hAnsi="Palatino Linotype"/>
          <w:i/>
          <w:iCs/>
          <w:noProof/>
          <w:sz w:val="18"/>
          <w:szCs w:val="24"/>
        </w:rPr>
        <w:t>Respir. Physiol. Neurobiol.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2013</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189</w:t>
      </w:r>
      <w:r w:rsidRPr="00147AB8">
        <w:rPr>
          <w:rFonts w:ascii="Palatino Linotype" w:hAnsi="Palatino Linotype"/>
          <w:bCs/>
          <w:noProof/>
          <w:sz w:val="18"/>
          <w:szCs w:val="24"/>
        </w:rPr>
        <w:t>, 76–86</w:t>
      </w:r>
      <w:r w:rsidRPr="00147AB8">
        <w:rPr>
          <w:rFonts w:ascii="Palatino Linotype" w:hAnsi="Palatino Linotype"/>
          <w:noProof/>
          <w:sz w:val="18"/>
          <w:szCs w:val="24"/>
        </w:rPr>
        <w:t>, doi:10.1016/j.resp.2013.05.036.</w:t>
      </w:r>
    </w:p>
    <w:p w14:paraId="433FBE33"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Claassen, J.A.H.R.; Levine, B.D.; Zhang, R. Dynamic cerebral autoregulation during repeated squat-stand maneuvers. </w:t>
      </w:r>
      <w:r w:rsidRPr="00147AB8">
        <w:rPr>
          <w:rFonts w:ascii="Palatino Linotype" w:hAnsi="Palatino Linotype"/>
          <w:i/>
          <w:iCs/>
          <w:noProof/>
          <w:sz w:val="18"/>
          <w:szCs w:val="24"/>
        </w:rPr>
        <w:t>J. Appl. Physiol.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2009</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106</w:t>
      </w:r>
      <w:r w:rsidRPr="00147AB8">
        <w:rPr>
          <w:rFonts w:ascii="Palatino Linotype" w:hAnsi="Palatino Linotype"/>
          <w:bCs/>
          <w:noProof/>
          <w:sz w:val="18"/>
          <w:szCs w:val="24"/>
        </w:rPr>
        <w:t>, 153–160</w:t>
      </w:r>
      <w:r w:rsidRPr="00147AB8">
        <w:rPr>
          <w:rFonts w:ascii="Palatino Linotype" w:hAnsi="Palatino Linotype"/>
          <w:noProof/>
          <w:sz w:val="18"/>
          <w:szCs w:val="24"/>
        </w:rPr>
        <w:t>, doi:10.1152/japplphysiol.90822.2008.</w:t>
      </w:r>
    </w:p>
    <w:p w14:paraId="7F707E72"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Claassen, J.A.H.R.; Meel-van den Abeelen, A.S.S.; Simpson, D.M.; Panerai, R.B.; International Cerebral Autoregulation Research Network (CARNet) Transfer function analysis of dynamic cerebral autoregulation: A white paper from the International Cerebral Autoregulation Research Network. </w:t>
      </w:r>
      <w:r w:rsidRPr="00147AB8">
        <w:rPr>
          <w:rFonts w:ascii="Palatino Linotype" w:hAnsi="Palatino Linotype"/>
          <w:i/>
          <w:iCs/>
          <w:noProof/>
          <w:sz w:val="18"/>
          <w:szCs w:val="24"/>
        </w:rPr>
        <w:t>J. Cereb. Blood Flow Metab.</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36</w:t>
      </w:r>
      <w:r w:rsidRPr="00147AB8">
        <w:rPr>
          <w:rFonts w:ascii="Palatino Linotype" w:hAnsi="Palatino Linotype"/>
          <w:bCs/>
          <w:noProof/>
          <w:sz w:val="18"/>
          <w:szCs w:val="24"/>
        </w:rPr>
        <w:t>, 665–80</w:t>
      </w:r>
      <w:r w:rsidRPr="00147AB8">
        <w:rPr>
          <w:rFonts w:ascii="Palatino Linotype" w:hAnsi="Palatino Linotype"/>
          <w:noProof/>
          <w:sz w:val="18"/>
          <w:szCs w:val="24"/>
        </w:rPr>
        <w:t>, doi:10.1177/0271678X15626425.</w:t>
      </w:r>
    </w:p>
    <w:p w14:paraId="19AFC60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Phillips, A.A.; Chan, F.H.; Zheng, M.M.Z.; Krassioukov, A. V; Ainslie, P.N. Neurovascular coupling in humans: Physiology, methodological advances and clinical implications. </w:t>
      </w:r>
      <w:r w:rsidRPr="00147AB8">
        <w:rPr>
          <w:rFonts w:ascii="Palatino Linotype" w:hAnsi="Palatino Linotype"/>
          <w:i/>
          <w:iCs/>
          <w:noProof/>
          <w:sz w:val="18"/>
          <w:szCs w:val="24"/>
        </w:rPr>
        <w:t>J. Cereb. Blood Flow Metab.</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36</w:t>
      </w:r>
      <w:r w:rsidRPr="00147AB8">
        <w:rPr>
          <w:rFonts w:ascii="Palatino Linotype" w:hAnsi="Palatino Linotype"/>
          <w:bCs/>
          <w:noProof/>
          <w:sz w:val="18"/>
          <w:szCs w:val="24"/>
        </w:rPr>
        <w:t>, 647–64</w:t>
      </w:r>
      <w:r w:rsidRPr="00147AB8">
        <w:rPr>
          <w:rFonts w:ascii="Palatino Linotype" w:hAnsi="Palatino Linotype"/>
          <w:noProof/>
          <w:sz w:val="18"/>
          <w:szCs w:val="24"/>
        </w:rPr>
        <w:t>, doi:10.1177/0271678X15617954.</w:t>
      </w:r>
    </w:p>
    <w:p w14:paraId="074D3365"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Novak, V.; Hajjar, I. The relationship between blood pressure and cognitive function. </w:t>
      </w:r>
      <w:r w:rsidRPr="00147AB8">
        <w:rPr>
          <w:rFonts w:ascii="Palatino Linotype" w:hAnsi="Palatino Linotype"/>
          <w:i/>
          <w:iCs/>
          <w:noProof/>
          <w:sz w:val="18"/>
          <w:szCs w:val="24"/>
        </w:rPr>
        <w:t>Nat. Rev. Cardiol.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2010</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7</w:t>
      </w:r>
      <w:r w:rsidRPr="00147AB8">
        <w:rPr>
          <w:rFonts w:ascii="Palatino Linotype" w:hAnsi="Palatino Linotype"/>
          <w:bCs/>
          <w:noProof/>
          <w:sz w:val="18"/>
          <w:szCs w:val="24"/>
        </w:rPr>
        <w:t>, 686–698</w:t>
      </w:r>
      <w:r w:rsidRPr="00147AB8">
        <w:rPr>
          <w:rFonts w:ascii="Palatino Linotype" w:hAnsi="Palatino Linotype"/>
          <w:noProof/>
          <w:sz w:val="18"/>
          <w:szCs w:val="24"/>
        </w:rPr>
        <w:t>, doi:10.1038/nrcardio.2010.161.</w:t>
      </w:r>
    </w:p>
    <w:p w14:paraId="37B9614A"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lastRenderedPageBreak/>
        <w:t xml:space="preserve">Watson, D.; Clark, L.A.; Tellegen, A. Development and validation of brief measures of positive and negative affect: The PANAS scales. </w:t>
      </w:r>
      <w:r w:rsidRPr="00147AB8">
        <w:rPr>
          <w:rFonts w:ascii="Palatino Linotype" w:hAnsi="Palatino Linotype"/>
          <w:i/>
          <w:iCs/>
          <w:noProof/>
          <w:sz w:val="18"/>
          <w:szCs w:val="24"/>
        </w:rPr>
        <w:t>J. Pers. Soc. Psychol.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1988</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54</w:t>
      </w:r>
      <w:r w:rsidRPr="00147AB8">
        <w:rPr>
          <w:rFonts w:ascii="Palatino Linotype" w:hAnsi="Palatino Linotype"/>
          <w:bCs/>
          <w:noProof/>
          <w:sz w:val="18"/>
          <w:szCs w:val="24"/>
        </w:rPr>
        <w:t>, 1063–1070</w:t>
      </w:r>
      <w:r w:rsidRPr="00147AB8">
        <w:rPr>
          <w:rFonts w:ascii="Palatino Linotype" w:hAnsi="Palatino Linotype"/>
          <w:noProof/>
          <w:sz w:val="18"/>
          <w:szCs w:val="24"/>
        </w:rPr>
        <w:t>, doi:10.1037/0022-3514.54.6.1063.</w:t>
      </w:r>
    </w:p>
    <w:p w14:paraId="5DD6252E"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Shikiar, R.; Halpern, M.T.; Rentz, A.M.; Khan, Z.M. Development of the Health and Work Questionnaire (HWQ): An instrument for assessing workplace productivity in relation to worker health. </w:t>
      </w:r>
      <w:r w:rsidRPr="00147AB8">
        <w:rPr>
          <w:rFonts w:ascii="Palatino Linotype" w:hAnsi="Palatino Linotype"/>
          <w:i/>
          <w:iCs/>
          <w:noProof/>
          <w:sz w:val="18"/>
          <w:szCs w:val="24"/>
        </w:rPr>
        <w:t>Work</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22</w:t>
      </w:r>
      <w:r w:rsidRPr="00147AB8">
        <w:rPr>
          <w:rFonts w:ascii="Palatino Linotype" w:hAnsi="Palatino Linotype"/>
          <w:bCs/>
          <w:noProof/>
          <w:sz w:val="18"/>
          <w:szCs w:val="24"/>
        </w:rPr>
        <w:t>, 219–229</w:t>
      </w:r>
      <w:r w:rsidRPr="00147AB8">
        <w:rPr>
          <w:rFonts w:ascii="Palatino Linotype" w:hAnsi="Palatino Linotype"/>
          <w:noProof/>
          <w:sz w:val="18"/>
          <w:szCs w:val="24"/>
        </w:rPr>
        <w:t>, doi:10.1046/j.1524-4733.2001.40202-294.x.</w:t>
      </w:r>
    </w:p>
    <w:p w14:paraId="7B5D329E"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Braun, V.; Clarke, V. Using thematic analysis in psychology. </w:t>
      </w:r>
      <w:r w:rsidRPr="00147AB8">
        <w:rPr>
          <w:rFonts w:ascii="Palatino Linotype" w:hAnsi="Palatino Linotype"/>
          <w:i/>
          <w:iCs/>
          <w:noProof/>
          <w:sz w:val="18"/>
          <w:szCs w:val="24"/>
        </w:rPr>
        <w:t>Qual. Res. Psychol.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2006</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3</w:t>
      </w:r>
      <w:r w:rsidRPr="00147AB8">
        <w:rPr>
          <w:rFonts w:ascii="Palatino Linotype" w:hAnsi="Palatino Linotype"/>
          <w:bCs/>
          <w:noProof/>
          <w:sz w:val="18"/>
          <w:szCs w:val="24"/>
        </w:rPr>
        <w:t>, 77–101</w:t>
      </w:r>
      <w:r w:rsidRPr="00147AB8">
        <w:rPr>
          <w:rFonts w:ascii="Palatino Linotype" w:hAnsi="Palatino Linotype"/>
          <w:noProof/>
          <w:sz w:val="18"/>
          <w:szCs w:val="24"/>
        </w:rPr>
        <w:t>, doi:10.1191/1478088706qp063oa.</w:t>
      </w:r>
    </w:p>
    <w:p w14:paraId="416BE09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Braun, V.; Clarke, V. What can “thematic analysis” offer health and wellbeing researchers? </w:t>
      </w:r>
      <w:r w:rsidRPr="00147AB8">
        <w:rPr>
          <w:rFonts w:ascii="Palatino Linotype" w:hAnsi="Palatino Linotype"/>
          <w:i/>
          <w:iCs/>
          <w:noProof/>
          <w:sz w:val="18"/>
          <w:szCs w:val="24"/>
        </w:rPr>
        <w:t>Int. J. Qual. Stud. Health Well-Being</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9</w:t>
      </w:r>
      <w:r w:rsidRPr="00147AB8">
        <w:rPr>
          <w:rFonts w:ascii="Palatino Linotype" w:hAnsi="Palatino Linotype"/>
          <w:bCs/>
          <w:noProof/>
          <w:sz w:val="18"/>
          <w:szCs w:val="24"/>
        </w:rPr>
        <w:t>, 9–10</w:t>
      </w:r>
      <w:r w:rsidRPr="00147AB8">
        <w:rPr>
          <w:rFonts w:ascii="Palatino Linotype" w:hAnsi="Palatino Linotype"/>
          <w:noProof/>
          <w:sz w:val="18"/>
          <w:szCs w:val="24"/>
        </w:rPr>
        <w:t>, doi:10.3402/qhw.v9.26152.</w:t>
      </w:r>
    </w:p>
    <w:p w14:paraId="6293F12C"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Shenton, A.K. Strategies for ensuring trustworthiness in qualitative research projects. </w:t>
      </w:r>
      <w:r w:rsidRPr="00147AB8">
        <w:rPr>
          <w:rFonts w:ascii="Palatino Linotype" w:hAnsi="Palatino Linotype"/>
          <w:i/>
          <w:iCs/>
          <w:noProof/>
          <w:sz w:val="18"/>
          <w:szCs w:val="24"/>
        </w:rPr>
        <w:t>Educ. Inf.</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2004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22</w:t>
      </w:r>
      <w:r w:rsidRPr="00147AB8">
        <w:rPr>
          <w:rFonts w:ascii="Palatino Linotype" w:hAnsi="Palatino Linotype"/>
          <w:bCs/>
          <w:noProof/>
          <w:sz w:val="18"/>
          <w:szCs w:val="24"/>
        </w:rPr>
        <w:t>, 63–75</w:t>
      </w:r>
      <w:r w:rsidRPr="00147AB8">
        <w:rPr>
          <w:rFonts w:ascii="Palatino Linotype" w:hAnsi="Palatino Linotype"/>
          <w:noProof/>
          <w:sz w:val="18"/>
          <w:szCs w:val="24"/>
        </w:rPr>
        <w:t>.</w:t>
      </w:r>
    </w:p>
    <w:p w14:paraId="60980989"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Vaismoradi, M.; Turunen, H.; Bondas, T. Content analysis and thematic analysis: Implications for conducting a qualitative descriptive study. </w:t>
      </w:r>
      <w:r w:rsidRPr="00147AB8">
        <w:rPr>
          <w:rFonts w:ascii="Palatino Linotype" w:hAnsi="Palatino Linotype"/>
          <w:i/>
          <w:iCs/>
          <w:noProof/>
          <w:sz w:val="18"/>
          <w:szCs w:val="24"/>
        </w:rPr>
        <w:t>Nurs. Heal</w:t>
      </w:r>
      <w:r>
        <w:rPr>
          <w:rFonts w:ascii="Palatino Linotype" w:hAnsi="Palatino Linotype"/>
          <w:i/>
          <w:iCs/>
          <w:noProof/>
          <w:sz w:val="18"/>
          <w:szCs w:val="24"/>
        </w:rPr>
        <w:t>th</w:t>
      </w:r>
      <w:r w:rsidRPr="00147AB8">
        <w:rPr>
          <w:rFonts w:ascii="Palatino Linotype" w:hAnsi="Palatino Linotype"/>
          <w:i/>
          <w:iCs/>
          <w:noProof/>
          <w:sz w:val="18"/>
          <w:szCs w:val="24"/>
        </w:rPr>
        <w:t xml:space="preserve"> Sci.</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2013</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15</w:t>
      </w:r>
      <w:r w:rsidRPr="00147AB8">
        <w:rPr>
          <w:rFonts w:ascii="Palatino Linotype" w:hAnsi="Palatino Linotype"/>
          <w:bCs/>
          <w:noProof/>
          <w:sz w:val="18"/>
          <w:szCs w:val="24"/>
        </w:rPr>
        <w:t>, 398–405</w:t>
      </w:r>
      <w:r w:rsidRPr="00147AB8">
        <w:rPr>
          <w:rFonts w:ascii="Palatino Linotype" w:hAnsi="Palatino Linotype"/>
          <w:noProof/>
          <w:sz w:val="18"/>
          <w:szCs w:val="24"/>
        </w:rPr>
        <w:t>, doi:10.1111/nhs.12048.</w:t>
      </w:r>
    </w:p>
    <w:p w14:paraId="43B2C3D5"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Billingham, S.A.; Whitehead, A.L.; Julious, S.A. An audit of sample sizes for pilot and feasibility trials being undertaken in the United Kingdom registered in the United Kingdom Clinical Research Network database. </w:t>
      </w:r>
      <w:r w:rsidRPr="00147AB8">
        <w:rPr>
          <w:rFonts w:ascii="Palatino Linotype" w:hAnsi="Palatino Linotype"/>
          <w:i/>
          <w:iCs/>
          <w:noProof/>
          <w:sz w:val="18"/>
          <w:szCs w:val="24"/>
        </w:rPr>
        <w:t>BMC Med. Res. Methodol.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2013</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13</w:t>
      </w:r>
      <w:r w:rsidRPr="00147AB8">
        <w:rPr>
          <w:rFonts w:ascii="Palatino Linotype" w:hAnsi="Palatino Linotype"/>
          <w:bCs/>
          <w:noProof/>
          <w:sz w:val="18"/>
          <w:szCs w:val="24"/>
        </w:rPr>
        <w:t>, 1</w:t>
      </w:r>
      <w:r w:rsidRPr="00147AB8">
        <w:rPr>
          <w:rFonts w:ascii="Palatino Linotype" w:hAnsi="Palatino Linotype"/>
          <w:noProof/>
          <w:sz w:val="18"/>
          <w:szCs w:val="24"/>
        </w:rPr>
        <w:t>, doi:10.1186/1471-2288-13-104.</w:t>
      </w:r>
    </w:p>
    <w:p w14:paraId="3C0F8DE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Arain, M.; Campbell, M.J.; Cooper, C.L.; Lancaster, G.A. What is a pilot or feasibility study? A review of current practice and editorial policy. </w:t>
      </w:r>
      <w:r w:rsidRPr="00147AB8">
        <w:rPr>
          <w:rFonts w:ascii="Palatino Linotype" w:hAnsi="Palatino Linotype"/>
          <w:i/>
          <w:iCs/>
          <w:noProof/>
          <w:sz w:val="18"/>
          <w:szCs w:val="24"/>
        </w:rPr>
        <w:t>BMC Med. Res. Methodol.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2010</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10</w:t>
      </w:r>
      <w:r w:rsidRPr="00147AB8">
        <w:rPr>
          <w:rFonts w:ascii="Palatino Linotype" w:hAnsi="Palatino Linotype"/>
          <w:bCs/>
          <w:noProof/>
          <w:sz w:val="18"/>
          <w:szCs w:val="24"/>
        </w:rPr>
        <w:t>, 1–7</w:t>
      </w:r>
      <w:r w:rsidRPr="00147AB8">
        <w:rPr>
          <w:rFonts w:ascii="Palatino Linotype" w:hAnsi="Palatino Linotype"/>
          <w:noProof/>
          <w:sz w:val="18"/>
          <w:szCs w:val="24"/>
        </w:rPr>
        <w:t>, doi:10.1186/1471-2288-10-67.</w:t>
      </w:r>
    </w:p>
    <w:p w14:paraId="3BC3DAB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Tickle-Degnen, L. Nuts and bolts of conducting feasibility studies. </w:t>
      </w:r>
      <w:r w:rsidRPr="00147AB8">
        <w:rPr>
          <w:rFonts w:ascii="Palatino Linotype" w:hAnsi="Palatino Linotype"/>
          <w:i/>
          <w:iCs/>
          <w:noProof/>
          <w:sz w:val="18"/>
          <w:szCs w:val="24"/>
        </w:rPr>
        <w:t>Am. J. Occup. Ther.</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2013</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67</w:t>
      </w:r>
      <w:r w:rsidRPr="00147AB8">
        <w:rPr>
          <w:rFonts w:ascii="Palatino Linotype" w:hAnsi="Palatino Linotype"/>
          <w:bCs/>
          <w:noProof/>
          <w:sz w:val="18"/>
          <w:szCs w:val="24"/>
        </w:rPr>
        <w:t>, 171–176</w:t>
      </w:r>
      <w:r w:rsidRPr="00147AB8">
        <w:rPr>
          <w:rFonts w:ascii="Palatino Linotype" w:hAnsi="Palatino Linotype"/>
          <w:noProof/>
          <w:sz w:val="18"/>
          <w:szCs w:val="24"/>
        </w:rPr>
        <w:t>, doi:10.5014/ajot.2013.006270.</w:t>
      </w:r>
    </w:p>
    <w:p w14:paraId="63AA8BB9"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Cohen, J. </w:t>
      </w:r>
      <w:r w:rsidRPr="00147AB8">
        <w:rPr>
          <w:rFonts w:ascii="Palatino Linotype" w:hAnsi="Palatino Linotype"/>
          <w:i/>
          <w:iCs/>
          <w:noProof/>
          <w:sz w:val="18"/>
          <w:szCs w:val="24"/>
        </w:rPr>
        <w:t>Statistical Power Analysis for the Behavioral Sciences</w:t>
      </w:r>
      <w:r w:rsidRPr="00147AB8">
        <w:rPr>
          <w:rFonts w:ascii="Palatino Linotype" w:hAnsi="Palatino Linotype"/>
          <w:noProof/>
          <w:sz w:val="18"/>
          <w:szCs w:val="24"/>
        </w:rPr>
        <w:t>; 2nd ed.; Lawrence Erlbaum Associate: Hillsdale, NJ, USA, 1988; ISBN 0805802835.</w:t>
      </w:r>
    </w:p>
    <w:p w14:paraId="20BF31F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Hargreaves, E.A.; Hayr, K.T.; Jenkins, M.; Perry, T.; Peddie, M. Interrupting sedentary time in the workplace using regular short activity breaks: Practicality from an employee perspective. </w:t>
      </w:r>
      <w:r w:rsidRPr="00147AB8">
        <w:rPr>
          <w:rFonts w:ascii="Palatino Linotype" w:hAnsi="Palatino Linotype"/>
          <w:i/>
          <w:iCs/>
          <w:noProof/>
          <w:sz w:val="18"/>
          <w:szCs w:val="24"/>
        </w:rPr>
        <w:t>J. Occup. Environ. Med.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2020</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62</w:t>
      </w:r>
      <w:r w:rsidRPr="00147AB8">
        <w:rPr>
          <w:rFonts w:ascii="Palatino Linotype" w:hAnsi="Palatino Linotype"/>
          <w:bCs/>
          <w:noProof/>
          <w:sz w:val="18"/>
          <w:szCs w:val="24"/>
        </w:rPr>
        <w:t>, 317–324</w:t>
      </w:r>
      <w:r w:rsidRPr="00147AB8">
        <w:rPr>
          <w:rFonts w:ascii="Palatino Linotype" w:hAnsi="Palatino Linotype"/>
          <w:noProof/>
          <w:sz w:val="18"/>
          <w:szCs w:val="24"/>
        </w:rPr>
        <w:t>, doi:10.1097/JOM.0000000000001832.</w:t>
      </w:r>
    </w:p>
    <w:p w14:paraId="61ECB0F0"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O’dolan, C.; Grant, M.; Lawrence, M.; Dall, P. A randomised feasibility study to investigate the impact of education and the addition of prompts on the sedentary behaviour of office workers. </w:t>
      </w:r>
      <w:r w:rsidRPr="00147AB8">
        <w:rPr>
          <w:rFonts w:ascii="Palatino Linotype" w:hAnsi="Palatino Linotype"/>
          <w:i/>
          <w:iCs/>
          <w:noProof/>
          <w:sz w:val="18"/>
          <w:szCs w:val="24"/>
        </w:rPr>
        <w:t>Pilot Feasibility Stud.</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2018</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w:t>
      </w:r>
      <w:r w:rsidRPr="00147AB8">
        <w:rPr>
          <w:rFonts w:ascii="Palatino Linotype" w:hAnsi="Palatino Linotype"/>
          <w:bCs/>
          <w:noProof/>
          <w:sz w:val="18"/>
          <w:szCs w:val="24"/>
        </w:rPr>
        <w:t>, 1–12</w:t>
      </w:r>
      <w:r w:rsidRPr="00147AB8">
        <w:rPr>
          <w:rFonts w:ascii="Palatino Linotype" w:hAnsi="Palatino Linotype"/>
          <w:noProof/>
          <w:sz w:val="18"/>
          <w:szCs w:val="24"/>
        </w:rPr>
        <w:t>, doi:10.1186/s40814-017-0226-8.</w:t>
      </w:r>
    </w:p>
    <w:p w14:paraId="504CC9B8"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Urda, J.L.; Larouere, B.; Verba, S.D.; Lynn, J.S. Comparison of subjective and objective measures of office workers’ sedentary time. </w:t>
      </w:r>
      <w:r w:rsidRPr="00147AB8">
        <w:rPr>
          <w:rFonts w:ascii="Palatino Linotype" w:hAnsi="Palatino Linotype"/>
          <w:i/>
          <w:iCs/>
          <w:noProof/>
          <w:sz w:val="18"/>
          <w:szCs w:val="24"/>
        </w:rPr>
        <w:t>Prev. Med. Rep</w:t>
      </w:r>
      <w:r>
        <w:rPr>
          <w:rFonts w:ascii="Palatino Linotype" w:hAnsi="Palatino Linotype"/>
          <w:i/>
          <w:iCs/>
          <w:noProof/>
          <w:sz w:val="18"/>
          <w:szCs w:val="24"/>
        </w:rPr>
        <w:t>.</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2017</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8</w:t>
      </w:r>
      <w:r w:rsidRPr="00147AB8">
        <w:rPr>
          <w:rFonts w:ascii="Palatino Linotype" w:hAnsi="Palatino Linotype"/>
          <w:bCs/>
          <w:noProof/>
          <w:sz w:val="18"/>
          <w:szCs w:val="24"/>
        </w:rPr>
        <w:t>, 163–168</w:t>
      </w:r>
      <w:r w:rsidRPr="00147AB8">
        <w:rPr>
          <w:rFonts w:ascii="Palatino Linotype" w:hAnsi="Palatino Linotype"/>
          <w:noProof/>
          <w:sz w:val="18"/>
          <w:szCs w:val="24"/>
        </w:rPr>
        <w:t>, doi:10.1016/j.pmedr.2017.10.004.</w:t>
      </w:r>
    </w:p>
    <w:p w14:paraId="2CE36C37"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szCs w:val="24"/>
        </w:rPr>
      </w:pPr>
      <w:r w:rsidRPr="00147AB8">
        <w:rPr>
          <w:rFonts w:ascii="Palatino Linotype" w:hAnsi="Palatino Linotype"/>
          <w:noProof/>
          <w:sz w:val="18"/>
          <w:szCs w:val="24"/>
        </w:rPr>
        <w:t xml:space="preserve">Prince, S.A.; Elliott, C.G.; Scott, K.; Visintini, S.; Reed, J.L. Device-measured physical activity, sedentary behaviour and cardiometabolic health and fitness across occupational groups: A systematic review and meta-analysis. </w:t>
      </w:r>
      <w:r w:rsidRPr="00147AB8">
        <w:rPr>
          <w:rFonts w:ascii="Palatino Linotype" w:hAnsi="Palatino Linotype"/>
          <w:i/>
          <w:iCs/>
          <w:noProof/>
          <w:sz w:val="18"/>
          <w:szCs w:val="24"/>
        </w:rPr>
        <w:t>Int. J. Behav. Nutr. Phys. Act.</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2019</w:t>
      </w:r>
      <w:r w:rsidRPr="00147AB8">
        <w:rPr>
          <w:rFonts w:ascii="Palatino Linotype" w:hAnsi="Palatino Linotype"/>
          <w:noProof/>
          <w:sz w:val="18"/>
          <w:szCs w:val="24"/>
        </w:rPr>
        <w:t xml:space="preserve">, </w:t>
      </w:r>
      <w:r w:rsidRPr="00147AB8">
        <w:rPr>
          <w:rFonts w:ascii="Palatino Linotype" w:hAnsi="Palatino Linotype"/>
          <w:i/>
          <w:iCs/>
          <w:noProof/>
          <w:sz w:val="18"/>
          <w:szCs w:val="24"/>
        </w:rPr>
        <w:t>16</w:t>
      </w:r>
      <w:r w:rsidRPr="00147AB8">
        <w:rPr>
          <w:rFonts w:ascii="Palatino Linotype" w:hAnsi="Palatino Linotype"/>
          <w:noProof/>
          <w:sz w:val="18"/>
          <w:szCs w:val="24"/>
        </w:rPr>
        <w:t>, 30, doi:10.1186/s12966-019-0790-9.</w:t>
      </w:r>
    </w:p>
    <w:p w14:paraId="2BBB41B0" w14:textId="77777777" w:rsidR="00786F4F" w:rsidRPr="00147AB8" w:rsidRDefault="00786F4F" w:rsidP="00786F4F">
      <w:pPr>
        <w:pStyle w:val="ListParagraph"/>
        <w:numPr>
          <w:ilvl w:val="0"/>
          <w:numId w:val="14"/>
        </w:numPr>
        <w:adjustRightInd w:val="0"/>
        <w:snapToGrid w:val="0"/>
        <w:spacing w:after="0" w:line="260" w:lineRule="atLeast"/>
        <w:ind w:left="425" w:hanging="425"/>
        <w:contextualSpacing w:val="0"/>
        <w:jc w:val="both"/>
        <w:rPr>
          <w:rFonts w:ascii="Palatino Linotype" w:hAnsi="Palatino Linotype"/>
          <w:noProof/>
          <w:sz w:val="18"/>
        </w:rPr>
      </w:pPr>
      <w:r w:rsidRPr="00147AB8">
        <w:rPr>
          <w:rFonts w:ascii="Palatino Linotype" w:hAnsi="Palatino Linotype"/>
          <w:noProof/>
          <w:sz w:val="18"/>
          <w:szCs w:val="24"/>
        </w:rPr>
        <w:t xml:space="preserve">O’connell, S.E.; Griffiths, P.L.; Clemes, S.A. Seasonal variation in physical activity, sedentary behaviour and sleep in a sample of UK adults. </w:t>
      </w:r>
      <w:r w:rsidRPr="00147AB8">
        <w:rPr>
          <w:rFonts w:ascii="Palatino Linotype" w:hAnsi="Palatino Linotype"/>
          <w:i/>
          <w:iCs/>
          <w:noProof/>
          <w:sz w:val="18"/>
          <w:szCs w:val="24"/>
        </w:rPr>
        <w:t>Ann. Hum. Biol.</w:t>
      </w:r>
      <w:r w:rsidRPr="00147AB8">
        <w:rPr>
          <w:rFonts w:ascii="Palatino Linotype" w:hAnsi="Palatino Linotype"/>
          <w:noProof/>
          <w:sz w:val="18"/>
          <w:szCs w:val="24"/>
        </w:rPr>
        <w:t xml:space="preserve"> </w:t>
      </w:r>
      <w:r w:rsidRPr="00147AB8">
        <w:rPr>
          <w:rFonts w:ascii="Palatino Linotype" w:hAnsi="Palatino Linotype"/>
          <w:b/>
          <w:bCs/>
          <w:noProof/>
          <w:sz w:val="18"/>
          <w:szCs w:val="24"/>
        </w:rPr>
        <w:t>2014</w:t>
      </w:r>
      <w:r w:rsidRPr="00147AB8">
        <w:rPr>
          <w:rFonts w:ascii="Palatino Linotype" w:hAnsi="Palatino Linotype"/>
          <w:bCs/>
          <w:noProof/>
          <w:sz w:val="18"/>
          <w:szCs w:val="24"/>
        </w:rPr>
        <w:t xml:space="preserve">, </w:t>
      </w:r>
      <w:r w:rsidRPr="00147AB8">
        <w:rPr>
          <w:rFonts w:ascii="Palatino Linotype" w:hAnsi="Palatino Linotype"/>
          <w:bCs/>
          <w:i/>
          <w:noProof/>
          <w:sz w:val="18"/>
          <w:szCs w:val="24"/>
        </w:rPr>
        <w:t>41</w:t>
      </w:r>
      <w:r w:rsidRPr="00147AB8">
        <w:rPr>
          <w:rFonts w:ascii="Palatino Linotype" w:hAnsi="Palatino Linotype"/>
          <w:bCs/>
          <w:noProof/>
          <w:sz w:val="18"/>
          <w:szCs w:val="24"/>
        </w:rPr>
        <w:t>, 1–8</w:t>
      </w:r>
      <w:r w:rsidRPr="00147AB8">
        <w:rPr>
          <w:rFonts w:ascii="Palatino Linotype" w:hAnsi="Palatino Linotype"/>
          <w:noProof/>
          <w:sz w:val="18"/>
          <w:szCs w:val="24"/>
        </w:rPr>
        <w:t>, doi:10.3109/03014460.2013.827737.</w:t>
      </w:r>
    </w:p>
    <w:p w14:paraId="49D3D042" w14:textId="77777777" w:rsidR="00786F4F" w:rsidRDefault="00786F4F" w:rsidP="00786F4F">
      <w:pPr>
        <w:pStyle w:val="MDPI71References"/>
        <w:numPr>
          <w:ilvl w:val="0"/>
          <w:numId w:val="0"/>
        </w:numPr>
        <w:spacing w:before="120" w:after="240"/>
      </w:pPr>
      <w:r w:rsidRPr="000D7D0F">
        <w:rPr>
          <w:b/>
        </w:rPr>
        <w:t xml:space="preserve">Publisher's </w:t>
      </w:r>
      <w:r>
        <w:rPr>
          <w:b/>
        </w:rPr>
        <w:t>N</w:t>
      </w:r>
      <w:r w:rsidRPr="000D7D0F">
        <w:rPr>
          <w:b/>
        </w:rPr>
        <w:t>ote:</w:t>
      </w:r>
      <w:r w:rsidRPr="000D7D0F">
        <w:t xml:space="preserve"> MDPI stays neutral with regard to jurisdictional claims in published maps and institutional affiliations.</w:t>
      </w:r>
    </w:p>
    <w:tbl>
      <w:tblPr>
        <w:tblW w:w="0" w:type="auto"/>
        <w:jc w:val="center"/>
        <w:tblLook w:val="04A0" w:firstRow="1" w:lastRow="0" w:firstColumn="1" w:lastColumn="0" w:noHBand="0" w:noVBand="1"/>
      </w:tblPr>
      <w:tblGrid>
        <w:gridCol w:w="1708"/>
        <w:gridCol w:w="7136"/>
      </w:tblGrid>
      <w:tr w:rsidR="00786F4F" w:rsidRPr="00B60928" w14:paraId="0231A3DA" w14:textId="77777777" w:rsidTr="00344F13">
        <w:trPr>
          <w:jc w:val="center"/>
        </w:trPr>
        <w:tc>
          <w:tcPr>
            <w:tcW w:w="0" w:type="auto"/>
            <w:shd w:val="clear" w:color="auto" w:fill="auto"/>
            <w:vAlign w:val="center"/>
          </w:tcPr>
          <w:p w14:paraId="5DE94D37" w14:textId="77777777" w:rsidR="00786F4F" w:rsidRPr="00B60928" w:rsidRDefault="00786F4F" w:rsidP="00344F13">
            <w:pPr>
              <w:pStyle w:val="MDPI71References"/>
              <w:numPr>
                <w:ilvl w:val="0"/>
                <w:numId w:val="0"/>
              </w:numPr>
              <w:ind w:left="-85"/>
              <w:rPr>
                <w:rFonts w:eastAsia="SimSun"/>
                <w:bCs/>
              </w:rPr>
            </w:pPr>
            <w:r w:rsidRPr="00B60928">
              <w:rPr>
                <w:rFonts w:eastAsia="SimSun"/>
                <w:bCs/>
                <w:noProof/>
              </w:rPr>
              <w:drawing>
                <wp:inline distT="0" distB="0" distL="0" distR="0" wp14:anchorId="4567870F" wp14:editId="2FB53261">
                  <wp:extent cx="1001395" cy="360680"/>
                  <wp:effectExtent l="0" t="0" r="0" b="0"/>
                  <wp:docPr id="5" name="Picture 5" descr="copy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Righ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1395" cy="360680"/>
                          </a:xfrm>
                          <a:prstGeom prst="rect">
                            <a:avLst/>
                          </a:prstGeom>
                          <a:noFill/>
                          <a:ln>
                            <a:noFill/>
                          </a:ln>
                        </pic:spPr>
                      </pic:pic>
                    </a:graphicData>
                  </a:graphic>
                </wp:inline>
              </w:drawing>
            </w:r>
          </w:p>
        </w:tc>
        <w:tc>
          <w:tcPr>
            <w:tcW w:w="7149" w:type="dxa"/>
            <w:shd w:val="clear" w:color="auto" w:fill="auto"/>
            <w:vAlign w:val="center"/>
          </w:tcPr>
          <w:p w14:paraId="5A441DA2" w14:textId="77777777" w:rsidR="00786F4F" w:rsidRPr="00B60928" w:rsidRDefault="00786F4F" w:rsidP="00344F13">
            <w:pPr>
              <w:pStyle w:val="MDPI71References"/>
              <w:numPr>
                <w:ilvl w:val="0"/>
                <w:numId w:val="0"/>
              </w:numPr>
              <w:ind w:left="-85"/>
              <w:rPr>
                <w:rFonts w:eastAsia="SimSun"/>
                <w:bCs/>
              </w:rPr>
            </w:pPr>
            <w:r>
              <w:rPr>
                <w:rFonts w:eastAsia="SimSun"/>
                <w:bCs/>
              </w:rPr>
              <w:t>© 2020</w:t>
            </w:r>
            <w:r w:rsidRPr="00B60928">
              <w:rPr>
                <w:rFonts w:eastAsia="SimSun"/>
                <w:bCs/>
              </w:rPr>
              <w:t xml:space="preserve"> by the authors. Submitted for possible open access publication under the terms and conditions of the Creative Commons Attribution (CC BY) license (http://creativecommons.org/licenses/by/4.0/).</w:t>
            </w:r>
          </w:p>
        </w:tc>
      </w:tr>
    </w:tbl>
    <w:p w14:paraId="21C74107" w14:textId="77777777" w:rsidR="00563CFC" w:rsidRPr="00786F4F" w:rsidRDefault="00563CFC" w:rsidP="00563CFC">
      <w:pPr>
        <w:rPr>
          <w:rFonts w:eastAsia="SimSun"/>
        </w:rPr>
      </w:pPr>
    </w:p>
    <w:sectPr w:rsidR="00563CFC" w:rsidRPr="00786F4F" w:rsidSect="00244A4B">
      <w:pgSz w:w="11906" w:h="16838" w:code="9"/>
      <w:pgMar w:top="1417" w:right="1531" w:bottom="1077" w:left="1531" w:header="1020" w:footer="850" w:gutter="0"/>
      <w:cols w:space="425"/>
      <w:docGrid w:type="lines"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06925" w16cex:dateUtc="2020-12-01T07:03:00Z"/>
  <w16cex:commentExtensible w16cex:durableId="23706A58" w16cex:dateUtc="2020-12-01T07:08:00Z"/>
  <w16cex:commentExtensible w16cex:durableId="23706A86" w16cex:dateUtc="2020-12-01T07:08:00Z"/>
  <w16cex:commentExtensible w16cex:durableId="23706AB6" w16cex:dateUtc="2020-12-01T07: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88E1C" w14:textId="77777777" w:rsidR="002061ED" w:rsidRDefault="002061ED">
      <w:pPr>
        <w:spacing w:line="240" w:lineRule="auto"/>
      </w:pPr>
      <w:r>
        <w:separator/>
      </w:r>
    </w:p>
  </w:endnote>
  <w:endnote w:type="continuationSeparator" w:id="0">
    <w:p w14:paraId="581C8CB6" w14:textId="77777777" w:rsidR="002061ED" w:rsidRDefault="002061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743A9" w14:textId="77777777" w:rsidR="00344F13" w:rsidRPr="00590BF9" w:rsidRDefault="00344F13" w:rsidP="00E90986">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907D6B" w14:textId="77777777" w:rsidR="00344F13" w:rsidRPr="006076FC" w:rsidRDefault="00344F13" w:rsidP="00070BC3">
    <w:pPr>
      <w:pStyle w:val="MDPIfooterfirstpage"/>
      <w:spacing w:line="240" w:lineRule="auto"/>
      <w:jc w:val="both"/>
      <w:rPr>
        <w:lang w:val="en-GB"/>
      </w:rPr>
    </w:pPr>
    <w:r w:rsidRPr="009231ED">
      <w:rPr>
        <w:i/>
        <w:szCs w:val="16"/>
      </w:rPr>
      <w:t>Int. J. Environ. Res. Public Health</w:t>
    </w:r>
    <w:r w:rsidRPr="009231ED">
      <w:rPr>
        <w:szCs w:val="16"/>
      </w:rPr>
      <w:t xml:space="preserve"> </w:t>
    </w:r>
    <w:r w:rsidRPr="00AE348C">
      <w:rPr>
        <w:b/>
        <w:szCs w:val="16"/>
      </w:rPr>
      <w:t>20</w:t>
    </w:r>
    <w:r>
      <w:rPr>
        <w:b/>
        <w:szCs w:val="16"/>
      </w:rPr>
      <w:t>20</w:t>
    </w:r>
    <w:r w:rsidRPr="00AE348C">
      <w:rPr>
        <w:szCs w:val="16"/>
      </w:rPr>
      <w:t xml:space="preserve">, </w:t>
    </w:r>
    <w:r w:rsidRPr="00AE348C">
      <w:rPr>
        <w:i/>
        <w:szCs w:val="16"/>
      </w:rPr>
      <w:t>1</w:t>
    </w:r>
    <w:r>
      <w:rPr>
        <w:i/>
        <w:szCs w:val="16"/>
      </w:rPr>
      <w:t>7</w:t>
    </w:r>
    <w:r w:rsidRPr="00AE348C">
      <w:rPr>
        <w:szCs w:val="16"/>
      </w:rPr>
      <w:t xml:space="preserve">, </w:t>
    </w:r>
    <w:r>
      <w:rPr>
        <w:szCs w:val="16"/>
      </w:rPr>
      <w:t xml:space="preserve">x; </w:t>
    </w:r>
    <w:proofErr w:type="spellStart"/>
    <w:r>
      <w:rPr>
        <w:szCs w:val="16"/>
      </w:rPr>
      <w:t>doi</w:t>
    </w:r>
    <w:proofErr w:type="spellEnd"/>
    <w:r>
      <w:rPr>
        <w:szCs w:val="16"/>
      </w:rPr>
      <w:t>: FOR PEER REVIEW</w:t>
    </w:r>
    <w:r w:rsidRPr="006076FC">
      <w:rPr>
        <w:lang w:val="en-GB"/>
      </w:rPr>
      <w:tab/>
      <w:t>www.mdpi.com/journal/</w:t>
    </w:r>
    <w:proofErr w:type="spellStart"/>
    <w:r>
      <w:t>ijerph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9D10CE" w14:textId="77777777" w:rsidR="002061ED" w:rsidRDefault="002061ED">
      <w:pPr>
        <w:spacing w:line="240" w:lineRule="auto"/>
      </w:pPr>
      <w:r>
        <w:separator/>
      </w:r>
    </w:p>
  </w:footnote>
  <w:footnote w:type="continuationSeparator" w:id="0">
    <w:p w14:paraId="75C565AF" w14:textId="77777777" w:rsidR="002061ED" w:rsidRDefault="002061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5750" w14:textId="77777777" w:rsidR="00344F13" w:rsidRDefault="00344F13" w:rsidP="00E90986">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3FC47" w14:textId="77777777" w:rsidR="00344F13" w:rsidRPr="00305CED" w:rsidRDefault="00344F13" w:rsidP="00070BC3">
    <w:pPr>
      <w:tabs>
        <w:tab w:val="right" w:pos="8844"/>
      </w:tabs>
      <w:adjustRightInd w:val="0"/>
      <w:snapToGrid w:val="0"/>
      <w:spacing w:after="240" w:line="240" w:lineRule="auto"/>
      <w:rPr>
        <w:rFonts w:ascii="Palatino Linotype" w:hAnsi="Palatino Linotype"/>
        <w:sz w:val="16"/>
      </w:rPr>
    </w:pPr>
    <w:r>
      <w:rPr>
        <w:rFonts w:ascii="Palatino Linotype" w:hAnsi="Palatino Linotype"/>
        <w:i/>
        <w:sz w:val="16"/>
      </w:rPr>
      <w:t xml:space="preserve">Int. J. Environ. Res. Public Health </w:t>
    </w:r>
    <w:r w:rsidRPr="00AE348C">
      <w:rPr>
        <w:rFonts w:ascii="Palatino Linotype" w:hAnsi="Palatino Linotype"/>
        <w:b/>
        <w:sz w:val="16"/>
      </w:rPr>
      <w:t>20</w:t>
    </w:r>
    <w:r>
      <w:rPr>
        <w:rFonts w:ascii="Palatino Linotype" w:hAnsi="Palatino Linotype"/>
        <w:b/>
        <w:sz w:val="16"/>
      </w:rPr>
      <w:t>20</w:t>
    </w:r>
    <w:r w:rsidRPr="00AE348C">
      <w:rPr>
        <w:rFonts w:ascii="Palatino Linotype" w:hAnsi="Palatino Linotype"/>
        <w:sz w:val="16"/>
      </w:rPr>
      <w:t xml:space="preserve">, </w:t>
    </w:r>
    <w:r w:rsidRPr="00AE348C">
      <w:rPr>
        <w:rFonts w:ascii="Palatino Linotype" w:hAnsi="Palatino Linotype"/>
        <w:i/>
        <w:sz w:val="16"/>
      </w:rPr>
      <w:t>1</w:t>
    </w:r>
    <w:r>
      <w:rPr>
        <w:rFonts w:ascii="Palatino Linotype" w:hAnsi="Palatino Linotype"/>
        <w:i/>
        <w:sz w:val="16"/>
      </w:rPr>
      <w:t>7</w:t>
    </w:r>
    <w:r>
      <w:rPr>
        <w:rFonts w:ascii="Palatino Linotype" w:hAnsi="Palatino Linotype"/>
        <w:sz w:val="16"/>
      </w:rPr>
      <w:t>, x FOR PEER REVIEW</w:t>
    </w:r>
    <w:r>
      <w:rPr>
        <w:rFonts w:ascii="Palatino Linotype" w:hAnsi="Palatino Linotype"/>
        <w:sz w:val="16"/>
      </w:rPr>
      <w:ptab w:relativeTo="margin" w:alignment="right" w:leader="none"/>
    </w:r>
    <w:r>
      <w:rPr>
        <w:rFonts w:ascii="Palatino Linotype" w:hAnsi="Palatino Linotype"/>
        <w:sz w:val="16"/>
      </w:rPr>
      <w:fldChar w:fldCharType="begin"/>
    </w:r>
    <w:r>
      <w:rPr>
        <w:rFonts w:ascii="Palatino Linotype" w:hAnsi="Palatino Linotype"/>
        <w:sz w:val="16"/>
      </w:rPr>
      <w:instrText xml:space="preserve"> PAGE   \* MERGEFORMAT </w:instrText>
    </w:r>
    <w:r>
      <w:rPr>
        <w:rFonts w:ascii="Palatino Linotype" w:hAnsi="Palatino Linotype"/>
        <w:sz w:val="16"/>
      </w:rPr>
      <w:fldChar w:fldCharType="separate"/>
    </w:r>
    <w:r>
      <w:rPr>
        <w:rFonts w:ascii="Palatino Linotype" w:hAnsi="Palatino Linotype"/>
        <w:noProof/>
        <w:sz w:val="16"/>
      </w:rPr>
      <w:t>20</w:t>
    </w:r>
    <w:r>
      <w:rPr>
        <w:rFonts w:ascii="Palatino Linotype" w:hAnsi="Palatino Linotype"/>
        <w:sz w:val="16"/>
      </w:rPr>
      <w:fldChar w:fldCharType="end"/>
    </w:r>
    <w:r>
      <w:rPr>
        <w:rFonts w:ascii="Palatino Linotype" w:hAnsi="Palatino Linotype"/>
        <w:sz w:val="16"/>
      </w:rPr>
      <w:t xml:space="preserve"> of </w:t>
    </w:r>
    <w:r>
      <w:rPr>
        <w:rFonts w:ascii="Palatino Linotype" w:hAnsi="Palatino Linotype"/>
        <w:sz w:val="16"/>
      </w:rPr>
      <w:fldChar w:fldCharType="begin"/>
    </w:r>
    <w:r>
      <w:rPr>
        <w:rFonts w:ascii="Palatino Linotype" w:hAnsi="Palatino Linotype"/>
        <w:sz w:val="16"/>
      </w:rPr>
      <w:instrText xml:space="preserve"> NUMPAGES   \* MERGEFORMAT </w:instrText>
    </w:r>
    <w:r>
      <w:rPr>
        <w:rFonts w:ascii="Palatino Linotype" w:hAnsi="Palatino Linotype"/>
        <w:sz w:val="16"/>
      </w:rPr>
      <w:fldChar w:fldCharType="separate"/>
    </w:r>
    <w:r>
      <w:rPr>
        <w:rFonts w:ascii="Palatino Linotype" w:hAnsi="Palatino Linotype"/>
        <w:noProof/>
        <w:sz w:val="16"/>
      </w:rPr>
      <w:t>23</w:t>
    </w:r>
    <w:r>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8640F" w14:textId="77777777" w:rsidR="00344F13" w:rsidRDefault="00344F13" w:rsidP="00E90986">
    <w:pPr>
      <w:pStyle w:val="MDPIheaderjournallogo"/>
    </w:pPr>
    <w:r w:rsidRPr="00C860AA">
      <w:rPr>
        <w:i w:val="0"/>
        <w:noProof/>
        <w:szCs w:val="16"/>
        <w:lang w:eastAsia="zh-CN"/>
      </w:rPr>
      <mc:AlternateContent>
        <mc:Choice Requires="wps">
          <w:drawing>
            <wp:anchor distT="45720" distB="45720" distL="114300" distR="114300" simplePos="0" relativeHeight="251657728" behindDoc="1" locked="0" layoutInCell="1" allowOverlap="1" wp14:anchorId="53E439EB" wp14:editId="758ED797">
              <wp:simplePos x="0" y="0"/>
              <wp:positionH relativeFrom="page">
                <wp:posOffset>6029960</wp:posOffset>
              </wp:positionH>
              <wp:positionV relativeFrom="page">
                <wp:posOffset>647700</wp:posOffset>
              </wp:positionV>
              <wp:extent cx="540385" cy="709295"/>
              <wp:effectExtent l="0" t="0" r="317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85" cy="709295"/>
                      </a:xfrm>
                      <a:prstGeom prst="rect">
                        <a:avLst/>
                      </a:prstGeom>
                      <a:solidFill>
                        <a:srgbClr val="FFFFFF"/>
                      </a:solidFill>
                      <a:ln w="9525">
                        <a:noFill/>
                        <a:miter lim="800000"/>
                        <a:headEnd/>
                        <a:tailEnd/>
                      </a:ln>
                    </wps:spPr>
                    <wps:txbx>
                      <w:txbxContent>
                        <w:p w14:paraId="1081B971" w14:textId="77777777" w:rsidR="00344F13" w:rsidRDefault="00344F13" w:rsidP="00E90986">
                          <w:pPr>
                            <w:pStyle w:val="MDPIheaderjournallogo"/>
                            <w:jc w:val="center"/>
                            <w:textboxTightWrap w:val="allLines"/>
                            <w:rPr>
                              <w:i w:val="0"/>
                              <w:szCs w:val="16"/>
                            </w:rPr>
                          </w:pPr>
                          <w:r w:rsidRPr="0046726B">
                            <w:rPr>
                              <w:i w:val="0"/>
                              <w:noProof/>
                              <w:szCs w:val="16"/>
                              <w:lang w:eastAsia="zh-CN"/>
                            </w:rPr>
                            <w:drawing>
                              <wp:inline distT="0" distB="0" distL="0" distR="0" wp14:anchorId="1E7AE9E0" wp14:editId="6C6AF636">
                                <wp:extent cx="540385" cy="357505"/>
                                <wp:effectExtent l="0" t="0" r="0" b="4445"/>
                                <wp:docPr id="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wps:txbx>
                    <wps:bodyPr rot="0" vert="horz" wrap="non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439EB" id="_x0000_t202" coordsize="21600,21600" o:spt="202" path="m,l,21600r21600,l21600,xe">
              <v:stroke joinstyle="miter"/>
              <v:path gradientshapeok="t" o:connecttype="rect"/>
            </v:shapetype>
            <v:shape id="Text Box 2" o:spid="_x0000_s1026" type="#_x0000_t202" style="position:absolute;margin-left:474.8pt;margin-top:51pt;width:42.55pt;height:55.85pt;z-index:-251658752;visibility:visible;mso-wrap-style:non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" stroked="f">
              <v:textbox inset="0,0,0,0">
                <w:txbxContent>
                  <w:p w14:paraId="1081B971" w14:textId="77777777" w:rsidR="00344F13" w:rsidRDefault="00344F13" w:rsidP="00E90986">
                    <w:pPr>
                      <w:pStyle w:val="MDPIheaderjournallogo"/>
                      <w:jc w:val="center"/>
                      <w:textboxTightWrap w:val="allLines"/>
                      <w:rPr>
                        <w:i w:val="0"/>
                        <w:szCs w:val="16"/>
                      </w:rPr>
                    </w:pPr>
                    <w:r w:rsidRPr="0046726B">
                      <w:rPr>
                        <w:i w:val="0"/>
                        <w:noProof/>
                        <w:szCs w:val="16"/>
                        <w:lang w:eastAsia="zh-CN"/>
                      </w:rPr>
                      <w:drawing>
                        <wp:inline distT="0" distB="0" distL="0" distR="0" wp14:anchorId="1E7AE9E0" wp14:editId="6C6AF636">
                          <wp:extent cx="540385" cy="357505"/>
                          <wp:effectExtent l="0" t="0" r="0" b="4445"/>
                          <wp:docPr id="2" name="Picture 3" descr="C:\Users\home\Desktop\logos\ori\png\logo-m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ori\png\logo-mdp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357505"/>
                                  </a:xfrm>
                                  <a:prstGeom prst="rect">
                                    <a:avLst/>
                                  </a:prstGeom>
                                  <a:noFill/>
                                  <a:ln>
                                    <a:noFill/>
                                  </a:ln>
                                </pic:spPr>
                              </pic:pic>
                            </a:graphicData>
                          </a:graphic>
                        </wp:inline>
                      </w:drawing>
                    </w:r>
                  </w:p>
                </w:txbxContent>
              </v:textbox>
              <w10:wrap anchorx="page" anchory="page"/>
            </v:shape>
          </w:pict>
        </mc:Fallback>
      </mc:AlternateContent>
    </w:r>
    <w:r w:rsidRPr="00A04686">
      <w:rPr>
        <w:noProof/>
        <w:lang w:eastAsia="zh-CN"/>
      </w:rPr>
      <w:drawing>
        <wp:inline distT="0" distB="0" distL="0" distR="0" wp14:anchorId="03F1B94A" wp14:editId="6B5E020E">
          <wp:extent cx="1833245" cy="432435"/>
          <wp:effectExtent l="0" t="0" r="0" b="5715"/>
          <wp:docPr id="1" name="Picture 3" descr="C:\Users\home\Desktop\logos\png\ijerp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esktop\logos\png\ijerph-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4324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9330B"/>
    <w:multiLevelType w:val="hybridMultilevel"/>
    <w:tmpl w:val="1E1EE8B0"/>
    <w:lvl w:ilvl="0" w:tplc="33ACD120">
      <w:start w:val="1"/>
      <w:numFmt w:val="lowerLetter"/>
      <w:lvlText w:val="(%1)"/>
      <w:lvlJc w:val="left"/>
      <w:pPr>
        <w:ind w:left="1080" w:hanging="360"/>
      </w:pPr>
      <w:rPr>
        <w:rFonts w:hint="default"/>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77E6750"/>
    <w:multiLevelType w:val="hybridMultilevel"/>
    <w:tmpl w:val="509CCD62"/>
    <w:lvl w:ilvl="0" w:tplc="33ACD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2F6313"/>
    <w:multiLevelType w:val="hybridMultilevel"/>
    <w:tmpl w:val="81866844"/>
    <w:lvl w:ilvl="0" w:tplc="33ACD12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5D4FF0"/>
    <w:multiLevelType w:val="hybridMultilevel"/>
    <w:tmpl w:val="3C64505A"/>
    <w:lvl w:ilvl="0" w:tplc="33ACD120">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A245F"/>
    <w:multiLevelType w:val="hybridMultilevel"/>
    <w:tmpl w:val="29E20A30"/>
    <w:lvl w:ilvl="0" w:tplc="1AF444CE">
      <w:start w:val="1"/>
      <w:numFmt w:val="decimal"/>
      <w:pStyle w:val="MDPI71References"/>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6" w15:restartNumberingAfterBreak="0">
    <w:nsid w:val="2DF12FAB"/>
    <w:multiLevelType w:val="hybridMultilevel"/>
    <w:tmpl w:val="F374518A"/>
    <w:lvl w:ilvl="0" w:tplc="33ACD120">
      <w:start w:val="1"/>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C33C39"/>
    <w:multiLevelType w:val="hybridMultilevel"/>
    <w:tmpl w:val="91643804"/>
    <w:lvl w:ilvl="0" w:tplc="33ACD12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9" w15:restartNumberingAfterBreak="0">
    <w:nsid w:val="4E0A0E46"/>
    <w:multiLevelType w:val="hybridMultilevel"/>
    <w:tmpl w:val="805E24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DAA06CE"/>
    <w:multiLevelType w:val="hybridMultilevel"/>
    <w:tmpl w:val="1EA61A02"/>
    <w:lvl w:ilvl="0" w:tplc="33ACD120">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F937E5"/>
    <w:multiLevelType w:val="multilevel"/>
    <w:tmpl w:val="0DCCB652"/>
    <w:lvl w:ilvl="0">
      <w:start w:val="1"/>
      <w:numFmt w:val="decimal"/>
      <w:pStyle w:val="Referen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78BB017B"/>
    <w:multiLevelType w:val="hybridMultilevel"/>
    <w:tmpl w:val="09BE2C20"/>
    <w:lvl w:ilvl="0" w:tplc="33ACD120">
      <w:start w:val="1"/>
      <w:numFmt w:val="lowerLetter"/>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0"/>
  </w:num>
  <w:num w:numId="7">
    <w:abstractNumId w:val="2"/>
  </w:num>
  <w:num w:numId="8">
    <w:abstractNumId w:val="7"/>
  </w:num>
  <w:num w:numId="9">
    <w:abstractNumId w:val="1"/>
  </w:num>
  <w:num w:numId="10">
    <w:abstractNumId w:val="12"/>
  </w:num>
  <w:num w:numId="11">
    <w:abstractNumId w:val="3"/>
  </w:num>
  <w:num w:numId="12">
    <w:abstractNumId w:val="0"/>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3CFC"/>
    <w:rsid w:val="00003DFB"/>
    <w:rsid w:val="0002554A"/>
    <w:rsid w:val="0003183D"/>
    <w:rsid w:val="0003542A"/>
    <w:rsid w:val="00041937"/>
    <w:rsid w:val="00062D64"/>
    <w:rsid w:val="00064542"/>
    <w:rsid w:val="00070BC3"/>
    <w:rsid w:val="00080A01"/>
    <w:rsid w:val="000D0FB1"/>
    <w:rsid w:val="000D4CAC"/>
    <w:rsid w:val="00113A18"/>
    <w:rsid w:val="001228BC"/>
    <w:rsid w:val="001558AC"/>
    <w:rsid w:val="00162743"/>
    <w:rsid w:val="00166DFA"/>
    <w:rsid w:val="00177995"/>
    <w:rsid w:val="001957FA"/>
    <w:rsid w:val="001A1FED"/>
    <w:rsid w:val="001C5864"/>
    <w:rsid w:val="001D41F9"/>
    <w:rsid w:val="001E2AEB"/>
    <w:rsid w:val="001F0C32"/>
    <w:rsid w:val="001F53CA"/>
    <w:rsid w:val="001F6D18"/>
    <w:rsid w:val="00205AC7"/>
    <w:rsid w:val="002061ED"/>
    <w:rsid w:val="00212E99"/>
    <w:rsid w:val="00244A4B"/>
    <w:rsid w:val="00257BA9"/>
    <w:rsid w:val="002D06FD"/>
    <w:rsid w:val="002D57A5"/>
    <w:rsid w:val="002F7C00"/>
    <w:rsid w:val="00315C0E"/>
    <w:rsid w:val="00326141"/>
    <w:rsid w:val="00344F13"/>
    <w:rsid w:val="003525FD"/>
    <w:rsid w:val="003663D4"/>
    <w:rsid w:val="00385DCD"/>
    <w:rsid w:val="003938DA"/>
    <w:rsid w:val="003C41DD"/>
    <w:rsid w:val="00401B3A"/>
    <w:rsid w:val="00401D30"/>
    <w:rsid w:val="00407587"/>
    <w:rsid w:val="004120B6"/>
    <w:rsid w:val="00417958"/>
    <w:rsid w:val="004226D1"/>
    <w:rsid w:val="0042738E"/>
    <w:rsid w:val="0046726B"/>
    <w:rsid w:val="00490610"/>
    <w:rsid w:val="004A751A"/>
    <w:rsid w:val="004B2F71"/>
    <w:rsid w:val="004B5280"/>
    <w:rsid w:val="004D5A80"/>
    <w:rsid w:val="004D6B8D"/>
    <w:rsid w:val="004E7803"/>
    <w:rsid w:val="004F4F3A"/>
    <w:rsid w:val="00514646"/>
    <w:rsid w:val="00522CD8"/>
    <w:rsid w:val="00534699"/>
    <w:rsid w:val="00555088"/>
    <w:rsid w:val="00563CFC"/>
    <w:rsid w:val="00593F78"/>
    <w:rsid w:val="005940DE"/>
    <w:rsid w:val="005B0E8A"/>
    <w:rsid w:val="005E419A"/>
    <w:rsid w:val="005F599E"/>
    <w:rsid w:val="006076FC"/>
    <w:rsid w:val="006211DD"/>
    <w:rsid w:val="006525EE"/>
    <w:rsid w:val="00662E41"/>
    <w:rsid w:val="00692393"/>
    <w:rsid w:val="006C0F3A"/>
    <w:rsid w:val="006C1571"/>
    <w:rsid w:val="006C4E48"/>
    <w:rsid w:val="00705CA6"/>
    <w:rsid w:val="0071277E"/>
    <w:rsid w:val="00756DBF"/>
    <w:rsid w:val="00786F4F"/>
    <w:rsid w:val="007A0755"/>
    <w:rsid w:val="007A087B"/>
    <w:rsid w:val="007B1931"/>
    <w:rsid w:val="007B3E14"/>
    <w:rsid w:val="007C437A"/>
    <w:rsid w:val="007D1435"/>
    <w:rsid w:val="007E4B27"/>
    <w:rsid w:val="007E5A5B"/>
    <w:rsid w:val="008102AD"/>
    <w:rsid w:val="00837C44"/>
    <w:rsid w:val="00895255"/>
    <w:rsid w:val="008B2AB1"/>
    <w:rsid w:val="008B4E46"/>
    <w:rsid w:val="008C5CBF"/>
    <w:rsid w:val="008E3B5E"/>
    <w:rsid w:val="00963C03"/>
    <w:rsid w:val="00964F81"/>
    <w:rsid w:val="009A52C8"/>
    <w:rsid w:val="009B532D"/>
    <w:rsid w:val="009C7669"/>
    <w:rsid w:val="009F274E"/>
    <w:rsid w:val="009F70E6"/>
    <w:rsid w:val="00A0136F"/>
    <w:rsid w:val="00A02301"/>
    <w:rsid w:val="00A06DB7"/>
    <w:rsid w:val="00A146C0"/>
    <w:rsid w:val="00A14829"/>
    <w:rsid w:val="00A31A69"/>
    <w:rsid w:val="00A41EC8"/>
    <w:rsid w:val="00A64950"/>
    <w:rsid w:val="00A67156"/>
    <w:rsid w:val="00A673AC"/>
    <w:rsid w:val="00A8133E"/>
    <w:rsid w:val="00A82323"/>
    <w:rsid w:val="00A971C9"/>
    <w:rsid w:val="00AA5E8E"/>
    <w:rsid w:val="00AE348C"/>
    <w:rsid w:val="00AF44C1"/>
    <w:rsid w:val="00AF5EEA"/>
    <w:rsid w:val="00B00E09"/>
    <w:rsid w:val="00B06823"/>
    <w:rsid w:val="00B35330"/>
    <w:rsid w:val="00B37ADA"/>
    <w:rsid w:val="00B41417"/>
    <w:rsid w:val="00B42F49"/>
    <w:rsid w:val="00B77E38"/>
    <w:rsid w:val="00B81C70"/>
    <w:rsid w:val="00BA0AA8"/>
    <w:rsid w:val="00BA5159"/>
    <w:rsid w:val="00BD086C"/>
    <w:rsid w:val="00BF437C"/>
    <w:rsid w:val="00C13470"/>
    <w:rsid w:val="00C243C9"/>
    <w:rsid w:val="00C5303B"/>
    <w:rsid w:val="00C639EA"/>
    <w:rsid w:val="00C82596"/>
    <w:rsid w:val="00C871A1"/>
    <w:rsid w:val="00C9224E"/>
    <w:rsid w:val="00CC57CC"/>
    <w:rsid w:val="00CF5AAF"/>
    <w:rsid w:val="00D22B54"/>
    <w:rsid w:val="00D369C3"/>
    <w:rsid w:val="00D412C1"/>
    <w:rsid w:val="00D52D8A"/>
    <w:rsid w:val="00D61D62"/>
    <w:rsid w:val="00D62E6D"/>
    <w:rsid w:val="00D75394"/>
    <w:rsid w:val="00DB5EE3"/>
    <w:rsid w:val="00DD5900"/>
    <w:rsid w:val="00E01D94"/>
    <w:rsid w:val="00E04E7D"/>
    <w:rsid w:val="00E154E5"/>
    <w:rsid w:val="00E21E1C"/>
    <w:rsid w:val="00E50D6C"/>
    <w:rsid w:val="00E66088"/>
    <w:rsid w:val="00E74662"/>
    <w:rsid w:val="00E755FF"/>
    <w:rsid w:val="00E90986"/>
    <w:rsid w:val="00EA56EE"/>
    <w:rsid w:val="00EB69B6"/>
    <w:rsid w:val="00ED0660"/>
    <w:rsid w:val="00F005AA"/>
    <w:rsid w:val="00F1265E"/>
    <w:rsid w:val="00F20704"/>
    <w:rsid w:val="00F35C92"/>
    <w:rsid w:val="00F42FA9"/>
    <w:rsid w:val="00F44F70"/>
    <w:rsid w:val="00FA0A34"/>
    <w:rsid w:val="00FA6084"/>
    <w:rsid w:val="00FB0D48"/>
    <w:rsid w:val="00FC5266"/>
    <w:rsid w:val="00FF17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7AF64"/>
  <w15:chartTrackingRefBased/>
  <w15:docId w15:val="{F2969C0D-5F0F-4A05-992B-DE142A7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726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46726B"/>
    <w:pPr>
      <w:spacing w:before="240" w:line="240" w:lineRule="auto"/>
      <w:ind w:firstLine="0"/>
      <w:jc w:val="left"/>
    </w:pPr>
    <w:rPr>
      <w:i/>
    </w:rPr>
  </w:style>
  <w:style w:type="paragraph" w:customStyle="1" w:styleId="MDPI12title">
    <w:name w:val="MDPI_1.2_title"/>
    <w:next w:val="MDPI13authornames"/>
    <w:qFormat/>
    <w:rsid w:val="0046726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46726B"/>
    <w:pPr>
      <w:spacing w:after="120"/>
      <w:ind w:firstLine="0"/>
      <w:jc w:val="left"/>
    </w:pPr>
    <w:rPr>
      <w:b/>
      <w:snapToGrid/>
    </w:rPr>
  </w:style>
  <w:style w:type="paragraph" w:customStyle="1" w:styleId="MDPI14history">
    <w:name w:val="MDPI_1.4_history"/>
    <w:basedOn w:val="MDPI62Acknowledgments"/>
    <w:next w:val="Normal"/>
    <w:qFormat/>
    <w:rsid w:val="0046726B"/>
    <w:pPr>
      <w:ind w:left="113"/>
      <w:jc w:val="left"/>
    </w:pPr>
    <w:rPr>
      <w:snapToGrid/>
    </w:rPr>
  </w:style>
  <w:style w:type="paragraph" w:customStyle="1" w:styleId="MDPI16affiliation">
    <w:name w:val="MDPI_1.6_affiliation"/>
    <w:basedOn w:val="MDPI62Acknowledgments"/>
    <w:qFormat/>
    <w:rsid w:val="0046726B"/>
    <w:pPr>
      <w:spacing w:before="0"/>
      <w:ind w:left="311" w:hanging="198"/>
      <w:jc w:val="left"/>
    </w:pPr>
    <w:rPr>
      <w:snapToGrid/>
      <w:szCs w:val="18"/>
    </w:rPr>
  </w:style>
  <w:style w:type="paragraph" w:customStyle="1" w:styleId="MDPI17abstract">
    <w:name w:val="MDPI_1.7_abstract"/>
    <w:basedOn w:val="MDPI31text"/>
    <w:next w:val="MDPI18keywords"/>
    <w:qFormat/>
    <w:rsid w:val="0046726B"/>
    <w:pPr>
      <w:spacing w:before="240"/>
      <w:ind w:left="113" w:firstLine="0"/>
    </w:pPr>
    <w:rPr>
      <w:snapToGrid/>
    </w:rPr>
  </w:style>
  <w:style w:type="paragraph" w:customStyle="1" w:styleId="MDPI18keywords">
    <w:name w:val="MDPI_1.8_keywords"/>
    <w:basedOn w:val="MDPI31text"/>
    <w:next w:val="Normal"/>
    <w:qFormat/>
    <w:rsid w:val="0046726B"/>
    <w:pPr>
      <w:spacing w:before="240"/>
      <w:ind w:left="113" w:firstLine="0"/>
    </w:pPr>
  </w:style>
  <w:style w:type="paragraph" w:customStyle="1" w:styleId="MDPI19line">
    <w:name w:val="MDPI_1.9_line"/>
    <w:basedOn w:val="MDPI31text"/>
    <w:qFormat/>
    <w:rsid w:val="0046726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46726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46726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6726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46726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46726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46726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46726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46726B"/>
    <w:pPr>
      <w:ind w:firstLine="0"/>
    </w:pPr>
  </w:style>
  <w:style w:type="paragraph" w:customStyle="1" w:styleId="MDPI33textspaceafter">
    <w:name w:val="MDPI_3.3_text_space_after"/>
    <w:basedOn w:val="MDPI31text"/>
    <w:qFormat/>
    <w:rsid w:val="0046726B"/>
    <w:pPr>
      <w:spacing w:after="240"/>
    </w:pPr>
  </w:style>
  <w:style w:type="paragraph" w:customStyle="1" w:styleId="MDPI34textspacebefore">
    <w:name w:val="MDPI_3.4_text_space_before"/>
    <w:basedOn w:val="MDPI31text"/>
    <w:qFormat/>
    <w:rsid w:val="0046726B"/>
    <w:pPr>
      <w:spacing w:before="240"/>
    </w:pPr>
  </w:style>
  <w:style w:type="paragraph" w:customStyle="1" w:styleId="MDPI35textbeforelist">
    <w:name w:val="MDPI_3.5_text_before_list"/>
    <w:basedOn w:val="MDPI31text"/>
    <w:qFormat/>
    <w:rsid w:val="0046726B"/>
    <w:pPr>
      <w:spacing w:after="120"/>
    </w:pPr>
  </w:style>
  <w:style w:type="paragraph" w:customStyle="1" w:styleId="MDPI36textafterlist">
    <w:name w:val="MDPI_3.6_text_after_list"/>
    <w:basedOn w:val="MDPI31text"/>
    <w:qFormat/>
    <w:rsid w:val="0046726B"/>
    <w:pPr>
      <w:spacing w:before="120"/>
    </w:pPr>
  </w:style>
  <w:style w:type="paragraph" w:customStyle="1" w:styleId="MDPI37itemize">
    <w:name w:val="MDPI_3.7_itemize"/>
    <w:basedOn w:val="MDPI31text"/>
    <w:qFormat/>
    <w:rsid w:val="0046726B"/>
    <w:pPr>
      <w:numPr>
        <w:numId w:val="1"/>
      </w:numPr>
      <w:ind w:left="425" w:hanging="425"/>
    </w:pPr>
  </w:style>
  <w:style w:type="paragraph" w:customStyle="1" w:styleId="MDPI38bullet">
    <w:name w:val="MDPI_3.8_bullet"/>
    <w:basedOn w:val="MDPI31text"/>
    <w:qFormat/>
    <w:rsid w:val="0046726B"/>
    <w:pPr>
      <w:numPr>
        <w:numId w:val="2"/>
      </w:numPr>
      <w:ind w:left="425" w:hanging="425"/>
    </w:pPr>
  </w:style>
  <w:style w:type="paragraph" w:customStyle="1" w:styleId="MDPI39equation">
    <w:name w:val="MDPI_3.9_equation"/>
    <w:basedOn w:val="MDPI31text"/>
    <w:qFormat/>
    <w:rsid w:val="0046726B"/>
    <w:pPr>
      <w:spacing w:before="120" w:after="120"/>
      <w:ind w:left="709" w:firstLine="0"/>
      <w:jc w:val="center"/>
    </w:pPr>
  </w:style>
  <w:style w:type="paragraph" w:customStyle="1" w:styleId="MDPI3aequationnumber">
    <w:name w:val="MDPI_3.a_equation_number"/>
    <w:basedOn w:val="MDPI31text"/>
    <w:qFormat/>
    <w:rsid w:val="0046726B"/>
    <w:pPr>
      <w:spacing w:before="120" w:after="120" w:line="240" w:lineRule="auto"/>
      <w:ind w:firstLine="0"/>
      <w:jc w:val="right"/>
    </w:pPr>
  </w:style>
  <w:style w:type="paragraph" w:customStyle="1" w:styleId="MDPI62Acknowledgments">
    <w:name w:val="MDPI_6.2_Acknowledgments"/>
    <w:link w:val="MDPI62AcknowledgmentsChar"/>
    <w:qFormat/>
    <w:rsid w:val="0046726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46726B"/>
    <w:pPr>
      <w:spacing w:before="240" w:after="120" w:line="260" w:lineRule="atLeast"/>
      <w:ind w:left="425" w:right="425"/>
    </w:pPr>
    <w:rPr>
      <w:snapToGrid/>
      <w:szCs w:val="22"/>
    </w:rPr>
  </w:style>
  <w:style w:type="paragraph" w:customStyle="1" w:styleId="MDPI42tablebody">
    <w:name w:val="MDPI_4.2_table_body"/>
    <w:qFormat/>
    <w:rsid w:val="007D1435"/>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46726B"/>
    <w:pPr>
      <w:spacing w:before="0"/>
      <w:ind w:left="0" w:right="0"/>
    </w:pPr>
  </w:style>
  <w:style w:type="paragraph" w:customStyle="1" w:styleId="MDPI51figurecaption">
    <w:name w:val="MDPI_5.1_figure_caption"/>
    <w:basedOn w:val="MDPI62Acknowledgments"/>
    <w:qFormat/>
    <w:rsid w:val="0046726B"/>
    <w:pPr>
      <w:spacing w:after="240" w:line="260" w:lineRule="atLeast"/>
      <w:ind w:left="425" w:right="425"/>
    </w:pPr>
    <w:rPr>
      <w:snapToGrid/>
    </w:rPr>
  </w:style>
  <w:style w:type="paragraph" w:customStyle="1" w:styleId="MDPI52figure">
    <w:name w:val="MDPI_5.2_figure"/>
    <w:qFormat/>
    <w:rsid w:val="0046726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46726B"/>
    <w:pPr>
      <w:spacing w:before="240"/>
    </w:pPr>
    <w:rPr>
      <w:lang w:eastAsia="en-US"/>
    </w:rPr>
  </w:style>
  <w:style w:type="paragraph" w:customStyle="1" w:styleId="MDPI63AuthorContributions">
    <w:name w:val="MDPI_6.3_AuthorContributions"/>
    <w:basedOn w:val="MDPI62Acknowledgments"/>
    <w:qFormat/>
    <w:rsid w:val="0046726B"/>
    <w:rPr>
      <w:rFonts w:eastAsia="SimSun"/>
      <w:color w:val="auto"/>
      <w:lang w:eastAsia="en-US"/>
    </w:rPr>
  </w:style>
  <w:style w:type="paragraph" w:customStyle="1" w:styleId="MDPI64CoI">
    <w:name w:val="MDPI_6.4_CoI"/>
    <w:basedOn w:val="MDPI62Acknowledgments"/>
    <w:qFormat/>
    <w:rsid w:val="0046726B"/>
  </w:style>
  <w:style w:type="paragraph" w:customStyle="1" w:styleId="MDPI81theorem">
    <w:name w:val="MDPI_8.1_theorem"/>
    <w:basedOn w:val="MDPI32textnoindent"/>
    <w:qFormat/>
    <w:rsid w:val="0046726B"/>
    <w:rPr>
      <w:i/>
    </w:rPr>
  </w:style>
  <w:style w:type="paragraph" w:customStyle="1" w:styleId="MDPI82proof">
    <w:name w:val="MDPI_8.2_proof"/>
    <w:basedOn w:val="MDPI32textnoindent"/>
    <w:qFormat/>
    <w:rsid w:val="0046726B"/>
  </w:style>
  <w:style w:type="paragraph" w:customStyle="1" w:styleId="MDPIfooterfirstpage">
    <w:name w:val="MDPI_footer_firstpage"/>
    <w:basedOn w:val="Normal"/>
    <w:qFormat/>
    <w:rsid w:val="0046726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46726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46726B"/>
    <w:pPr>
      <w:spacing w:before="240" w:after="120"/>
      <w:ind w:firstLine="0"/>
      <w:jc w:val="left"/>
      <w:outlineLvl w:val="2"/>
    </w:pPr>
  </w:style>
  <w:style w:type="paragraph" w:customStyle="1" w:styleId="MDPI21heading1">
    <w:name w:val="MDPI_2.1_heading1"/>
    <w:basedOn w:val="MDPI23heading3"/>
    <w:qFormat/>
    <w:rsid w:val="0046726B"/>
    <w:pPr>
      <w:outlineLvl w:val="0"/>
    </w:pPr>
    <w:rPr>
      <w:b/>
    </w:rPr>
  </w:style>
  <w:style w:type="paragraph" w:customStyle="1" w:styleId="MDPI22heading2">
    <w:name w:val="MDPI_2.2_heading2"/>
    <w:basedOn w:val="Normal"/>
    <w:qFormat/>
    <w:rsid w:val="0046726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link w:val="MDPI71ReferencesChar"/>
    <w:qFormat/>
    <w:rsid w:val="0046726B"/>
    <w:pPr>
      <w:numPr>
        <w:numId w:val="3"/>
      </w:numPr>
      <w:spacing w:before="0" w:line="260" w:lineRule="atLeast"/>
      <w:ind w:left="425" w:hanging="425"/>
    </w:pPr>
  </w:style>
  <w:style w:type="paragraph" w:styleId="BalloonText">
    <w:name w:val="Balloon Text"/>
    <w:basedOn w:val="Normal"/>
    <w:link w:val="BalloonTextChar"/>
    <w:uiPriority w:val="99"/>
    <w:semiHidden/>
    <w:unhideWhenUsed/>
    <w:rsid w:val="0046726B"/>
    <w:pPr>
      <w:spacing w:line="240" w:lineRule="auto"/>
    </w:pPr>
    <w:rPr>
      <w:sz w:val="18"/>
      <w:szCs w:val="18"/>
    </w:rPr>
  </w:style>
  <w:style w:type="character" w:customStyle="1" w:styleId="BalloonTextChar">
    <w:name w:val="Balloon Text Char"/>
    <w:link w:val="BalloonText"/>
    <w:uiPriority w:val="99"/>
    <w:semiHidden/>
    <w:rsid w:val="0046726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46726B"/>
  </w:style>
  <w:style w:type="table" w:customStyle="1" w:styleId="MDPI41threelinetable">
    <w:name w:val="MDPI_4.1_three_line_table"/>
    <w:basedOn w:val="TableNormal"/>
    <w:uiPriority w:val="99"/>
    <w:rsid w:val="007D1435"/>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unhideWhenUsed/>
    <w:rsid w:val="00FB0D48"/>
    <w:rPr>
      <w:color w:val="0563C1"/>
      <w:u w:val="single"/>
    </w:rPr>
  </w:style>
  <w:style w:type="character" w:customStyle="1" w:styleId="UnresolvedMention1">
    <w:name w:val="Unresolved Mention1"/>
    <w:uiPriority w:val="99"/>
    <w:semiHidden/>
    <w:unhideWhenUsed/>
    <w:rsid w:val="00C243C9"/>
    <w:rPr>
      <w:color w:val="605E5C"/>
      <w:shd w:val="clear" w:color="auto" w:fill="E1DFDD"/>
    </w:rPr>
  </w:style>
  <w:style w:type="table" w:styleId="PlainTable4">
    <w:name w:val="Plain Table 4"/>
    <w:basedOn w:val="TableNormal"/>
    <w:uiPriority w:val="44"/>
    <w:rsid w:val="00AE34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74PublishersNote">
    <w:name w:val="MDPI_7.4_Publisher'sNote"/>
    <w:qFormat/>
    <w:rsid w:val="0042738E"/>
    <w:pPr>
      <w:adjustRightInd w:val="0"/>
      <w:snapToGrid w:val="0"/>
      <w:spacing w:before="240" w:after="240" w:line="200" w:lineRule="atLeast"/>
    </w:pPr>
    <w:rPr>
      <w:rFonts w:ascii="Palatino Linotype" w:hAnsi="Palatino Linotype"/>
      <w:sz w:val="18"/>
      <w:szCs w:val="22"/>
    </w:rPr>
  </w:style>
  <w:style w:type="character" w:customStyle="1" w:styleId="normaltextrun">
    <w:name w:val="normaltextrun"/>
    <w:rsid w:val="00563CFC"/>
  </w:style>
  <w:style w:type="paragraph" w:customStyle="1" w:styleId="References">
    <w:name w:val="References"/>
    <w:basedOn w:val="MDPI71References"/>
    <w:link w:val="ReferencesChar"/>
    <w:qFormat/>
    <w:rsid w:val="00563CFC"/>
    <w:pPr>
      <w:numPr>
        <w:numId w:val="13"/>
      </w:numPr>
      <w:adjustRightInd/>
      <w:snapToGrid/>
      <w:ind w:left="284" w:hanging="284"/>
    </w:pPr>
    <w:rPr>
      <w:noProof/>
    </w:rPr>
  </w:style>
  <w:style w:type="character" w:customStyle="1" w:styleId="MDPI62AcknowledgmentsChar">
    <w:name w:val="MDPI_6.2_Acknowledgments Char"/>
    <w:link w:val="MDPI62Acknowledgments"/>
    <w:rsid w:val="00563CFC"/>
    <w:rPr>
      <w:rFonts w:ascii="Palatino Linotype" w:eastAsia="Times New Roman" w:hAnsi="Palatino Linotype"/>
      <w:snapToGrid w:val="0"/>
      <w:color w:val="000000"/>
      <w:sz w:val="18"/>
      <w:lang w:eastAsia="de-DE" w:bidi="en-US"/>
    </w:rPr>
  </w:style>
  <w:style w:type="character" w:customStyle="1" w:styleId="MDPI71ReferencesChar">
    <w:name w:val="MDPI_7.1_References Char"/>
    <w:link w:val="MDPI71References"/>
    <w:rsid w:val="00563CFC"/>
    <w:rPr>
      <w:rFonts w:ascii="Palatino Linotype" w:eastAsia="Times New Roman" w:hAnsi="Palatino Linotype"/>
      <w:snapToGrid w:val="0"/>
      <w:color w:val="000000"/>
      <w:sz w:val="18"/>
      <w:lang w:eastAsia="de-DE" w:bidi="en-US"/>
    </w:rPr>
  </w:style>
  <w:style w:type="character" w:customStyle="1" w:styleId="ReferencesChar">
    <w:name w:val="References Char"/>
    <w:link w:val="References"/>
    <w:rsid w:val="00563CFC"/>
    <w:rPr>
      <w:rFonts w:ascii="Palatino Linotype" w:eastAsia="Times New Roman" w:hAnsi="Palatino Linotype"/>
      <w:noProof/>
      <w:snapToGrid w:val="0"/>
      <w:color w:val="000000"/>
      <w:sz w:val="18"/>
      <w:lang w:eastAsia="de-DE" w:bidi="en-US"/>
    </w:rPr>
  </w:style>
  <w:style w:type="character" w:styleId="CommentReference">
    <w:name w:val="annotation reference"/>
    <w:basedOn w:val="DefaultParagraphFont"/>
    <w:uiPriority w:val="99"/>
    <w:semiHidden/>
    <w:unhideWhenUsed/>
    <w:rsid w:val="00B77E38"/>
    <w:rPr>
      <w:sz w:val="16"/>
      <w:szCs w:val="16"/>
    </w:rPr>
  </w:style>
  <w:style w:type="paragraph" w:styleId="CommentText">
    <w:name w:val="annotation text"/>
    <w:basedOn w:val="Normal"/>
    <w:link w:val="CommentTextChar"/>
    <w:uiPriority w:val="99"/>
    <w:semiHidden/>
    <w:unhideWhenUsed/>
    <w:rsid w:val="00B77E38"/>
    <w:pPr>
      <w:spacing w:line="240" w:lineRule="auto"/>
    </w:pPr>
    <w:rPr>
      <w:sz w:val="20"/>
    </w:rPr>
  </w:style>
  <w:style w:type="character" w:customStyle="1" w:styleId="CommentTextChar">
    <w:name w:val="Comment Text Char"/>
    <w:basedOn w:val="DefaultParagraphFont"/>
    <w:link w:val="CommentText"/>
    <w:uiPriority w:val="99"/>
    <w:semiHidden/>
    <w:rsid w:val="00B77E38"/>
    <w:rPr>
      <w:rFonts w:ascii="Times New Roman" w:eastAsia="Times New Roman" w:hAnsi="Times New Roman"/>
      <w:color w:val="000000"/>
      <w:lang w:eastAsia="de-DE"/>
    </w:rPr>
  </w:style>
  <w:style w:type="paragraph" w:styleId="CommentSubject">
    <w:name w:val="annotation subject"/>
    <w:basedOn w:val="CommentText"/>
    <w:next w:val="CommentText"/>
    <w:link w:val="CommentSubjectChar"/>
    <w:uiPriority w:val="99"/>
    <w:semiHidden/>
    <w:unhideWhenUsed/>
    <w:rsid w:val="00B77E38"/>
    <w:rPr>
      <w:b/>
      <w:bCs/>
    </w:rPr>
  </w:style>
  <w:style w:type="character" w:customStyle="1" w:styleId="CommentSubjectChar">
    <w:name w:val="Comment Subject Char"/>
    <w:basedOn w:val="CommentTextChar"/>
    <w:link w:val="CommentSubject"/>
    <w:uiPriority w:val="99"/>
    <w:semiHidden/>
    <w:rsid w:val="00B77E38"/>
    <w:rPr>
      <w:rFonts w:ascii="Times New Roman" w:eastAsia="Times New Roman" w:hAnsi="Times New Roman"/>
      <w:b/>
      <w:bCs/>
      <w:color w:val="000000"/>
      <w:lang w:eastAsia="de-DE"/>
    </w:rPr>
  </w:style>
  <w:style w:type="paragraph" w:styleId="Revision">
    <w:name w:val="Revision"/>
    <w:hidden/>
    <w:uiPriority w:val="99"/>
    <w:semiHidden/>
    <w:rsid w:val="006076FC"/>
    <w:rPr>
      <w:rFonts w:ascii="Times New Roman" w:eastAsia="Times New Roman" w:hAnsi="Times New Roman"/>
      <w:color w:val="000000"/>
      <w:sz w:val="24"/>
      <w:lang w:eastAsia="de-DE"/>
    </w:rPr>
  </w:style>
  <w:style w:type="paragraph" w:styleId="ListParagraph">
    <w:name w:val="List Paragraph"/>
    <w:basedOn w:val="Normal"/>
    <w:link w:val="ListParagraphChar"/>
    <w:uiPriority w:val="34"/>
    <w:qFormat/>
    <w:rsid w:val="00786F4F"/>
    <w:pPr>
      <w:spacing w:after="160" w:line="259" w:lineRule="auto"/>
      <w:ind w:left="720"/>
      <w:contextualSpacing/>
      <w:jc w:val="left"/>
    </w:pPr>
    <w:rPr>
      <w:rFonts w:ascii="Calibri" w:eastAsia="Calibri" w:hAnsi="Calibri" w:cs="Arial"/>
      <w:color w:val="auto"/>
      <w:sz w:val="22"/>
      <w:szCs w:val="22"/>
      <w:lang w:val="en-GB" w:eastAsia="en-US"/>
    </w:rPr>
  </w:style>
  <w:style w:type="character" w:customStyle="1" w:styleId="ListParagraphChar">
    <w:name w:val="List Paragraph Char"/>
    <w:link w:val="ListParagraph"/>
    <w:uiPriority w:val="34"/>
    <w:locked/>
    <w:rsid w:val="00786F4F"/>
    <w:rPr>
      <w:rFonts w:eastAsia="Calibri"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PI\Desktop\ijerph-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215AAF96757C4D9597DB4061241B42" ma:contentTypeVersion="13" ma:contentTypeDescription="Create a new document." ma:contentTypeScope="" ma:versionID="2f56550313f42efdc07a2324fa529533">
  <xsd:schema xmlns:xsd="http://www.w3.org/2001/XMLSchema" xmlns:xs="http://www.w3.org/2001/XMLSchema" xmlns:p="http://schemas.microsoft.com/office/2006/metadata/properties" xmlns:ns3="4337bca3-5018-407a-9490-2ea68524ea99" xmlns:ns4="d04eec26-14d3-49aa-917f-cdec9b4a01bf" targetNamespace="http://schemas.microsoft.com/office/2006/metadata/properties" ma:root="true" ma:fieldsID="176fa383790fce2268fb34687e5deba3" ns3:_="" ns4:_="">
    <xsd:import namespace="4337bca3-5018-407a-9490-2ea68524ea99"/>
    <xsd:import namespace="d04eec26-14d3-49aa-917f-cdec9b4a01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37bca3-5018-407a-9490-2ea68524ea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4eec26-14d3-49aa-917f-cdec9b4a01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A2D11-2E6E-4559-8A30-3F7E2EA68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37bca3-5018-407a-9490-2ea68524ea99"/>
    <ds:schemaRef ds:uri="d04eec26-14d3-49aa-917f-cdec9b4a01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D3FBF-AFDC-4328-9F98-845B5BEE05D2}">
  <ds:schemaRefs>
    <ds:schemaRef ds:uri="d04eec26-14d3-49aa-917f-cdec9b4a01bf"/>
    <ds:schemaRef ds:uri="http://schemas.microsoft.com/office/2006/metadata/properties"/>
    <ds:schemaRef ds:uri="http://purl.org/dc/terms/"/>
    <ds:schemaRef ds:uri="http://schemas.microsoft.com/office/2006/documentManagement/types"/>
    <ds:schemaRef ds:uri="4337bca3-5018-407a-9490-2ea68524ea99"/>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F18D0AE2-3DA8-4F57-8182-15712F623532}">
  <ds:schemaRefs>
    <ds:schemaRef ds:uri="http://schemas.microsoft.com/sharepoint/v3/contenttype/forms"/>
  </ds:schemaRefs>
</ds:datastoreItem>
</file>

<file path=customXml/itemProps4.xml><?xml version="1.0" encoding="utf-8"?>
<ds:datastoreItem xmlns:ds="http://schemas.openxmlformats.org/officeDocument/2006/customXml" ds:itemID="{6358C78E-28D1-47FE-BF98-73DAEE45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ijerph-template</Template>
  <TotalTime>47</TotalTime>
  <Pages>22</Pages>
  <Words>56966</Words>
  <Characters>324711</Characters>
  <Application>Microsoft Office Word</Application>
  <DocSecurity>0</DocSecurity>
  <Lines>2705</Lines>
  <Paragraphs>761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380916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MDPI</dc:creator>
  <cp:keywords/>
  <dc:description/>
  <cp:lastModifiedBy>Sophie Carter</cp:lastModifiedBy>
  <cp:revision>16</cp:revision>
  <cp:lastPrinted>2020-12-01T07:33:00Z</cp:lastPrinted>
  <dcterms:created xsi:type="dcterms:W3CDTF">2020-11-30T15:42:00Z</dcterms:created>
  <dcterms:modified xsi:type="dcterms:W3CDTF">2020-12-01T11:51:00Z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0x010100CF215AAF96757C4D9597DB4061241B42</vt:lpwstr>
  </property>
</Properties>
</file>