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7E36" w14:textId="6F40A4E7" w:rsidR="00D2138B" w:rsidRPr="008051CE" w:rsidRDefault="7D063387" w:rsidP="00D2138B">
      <w:pPr>
        <w:pStyle w:val="Articletitle"/>
      </w:pPr>
      <w:r w:rsidRPr="008051CE">
        <w:t>Tick</w:t>
      </w:r>
      <w:r w:rsidR="00BD29B5" w:rsidRPr="008051CE">
        <w:t>-</w:t>
      </w:r>
      <w:r w:rsidRPr="008051CE">
        <w:t>box, weasel words, or a transformative experience? Insights into what educators consider the real impact of HEA Fellowships</w:t>
      </w:r>
    </w:p>
    <w:p w14:paraId="5422816F" w14:textId="77777777" w:rsidR="00D2138B" w:rsidRPr="008051CE" w:rsidRDefault="00D2138B" w:rsidP="00D2138B">
      <w:pPr>
        <w:pStyle w:val="Authornames"/>
      </w:pPr>
      <w:r w:rsidRPr="008051CE">
        <w:rPr>
          <w:lang w:eastAsia="en-GB"/>
        </w:rPr>
        <w:t>Abby</w:t>
      </w:r>
      <w:r w:rsidRPr="008051CE">
        <w:t xml:space="preserve"> </w:t>
      </w:r>
      <w:r w:rsidRPr="008051CE">
        <w:rPr>
          <w:lang w:eastAsia="en-GB"/>
        </w:rPr>
        <w:t>Cathcart</w:t>
      </w:r>
      <w:r w:rsidRPr="008051CE">
        <w:t>*</w:t>
      </w:r>
      <w:r w:rsidRPr="008051CE">
        <w:rPr>
          <w:vertAlign w:val="superscript"/>
        </w:rPr>
        <w:t>a</w:t>
      </w:r>
      <w:r w:rsidRPr="008051CE">
        <w:t xml:space="preserve">, Mark </w:t>
      </w:r>
      <w:proofErr w:type="spellStart"/>
      <w:r w:rsidRPr="008051CE">
        <w:t>Dransfield</w:t>
      </w:r>
      <w:r w:rsidRPr="008051CE">
        <w:rPr>
          <w:vertAlign w:val="superscript"/>
        </w:rPr>
        <w:t>b</w:t>
      </w:r>
      <w:proofErr w:type="spellEnd"/>
      <w:r w:rsidRPr="008051CE">
        <w:t xml:space="preserve">, Sarah </w:t>
      </w:r>
      <w:proofErr w:type="spellStart"/>
      <w:r w:rsidRPr="008051CE">
        <w:t>Floyd</w:t>
      </w:r>
      <w:r w:rsidRPr="008051CE">
        <w:rPr>
          <w:vertAlign w:val="superscript"/>
        </w:rPr>
        <w:t>c</w:t>
      </w:r>
      <w:proofErr w:type="spellEnd"/>
      <w:r w:rsidRPr="008051CE">
        <w:t xml:space="preserve">, Lauri-Anne </w:t>
      </w:r>
      <w:proofErr w:type="spellStart"/>
      <w:r w:rsidRPr="008051CE">
        <w:t>Campbell</w:t>
      </w:r>
      <w:r w:rsidRPr="008051CE">
        <w:rPr>
          <w:vertAlign w:val="superscript"/>
        </w:rPr>
        <w:t>d</w:t>
      </w:r>
      <w:proofErr w:type="spellEnd"/>
      <w:r w:rsidRPr="008051CE">
        <w:t xml:space="preserve">, Rachael </w:t>
      </w:r>
      <w:proofErr w:type="spellStart"/>
      <w:r w:rsidRPr="008051CE">
        <w:t>Carkett</w:t>
      </w:r>
      <w:r w:rsidRPr="008051CE">
        <w:rPr>
          <w:vertAlign w:val="superscript"/>
        </w:rPr>
        <w:t>e</w:t>
      </w:r>
      <w:proofErr w:type="spellEnd"/>
      <w:r w:rsidRPr="008051CE">
        <w:t xml:space="preserve">, Vicky </w:t>
      </w:r>
      <w:proofErr w:type="spellStart"/>
      <w:r w:rsidRPr="008051CE">
        <w:t>Davies</w:t>
      </w:r>
      <w:r w:rsidRPr="008051CE">
        <w:rPr>
          <w:vertAlign w:val="superscript"/>
        </w:rPr>
        <w:t>f</w:t>
      </w:r>
      <w:proofErr w:type="spellEnd"/>
      <w:r w:rsidRPr="008051CE">
        <w:t xml:space="preserve">, Ros </w:t>
      </w:r>
      <w:proofErr w:type="spellStart"/>
      <w:r w:rsidRPr="008051CE">
        <w:t>Duhs</w:t>
      </w:r>
      <w:r w:rsidRPr="008051CE">
        <w:rPr>
          <w:vertAlign w:val="superscript"/>
        </w:rPr>
        <w:t>g</w:t>
      </w:r>
      <w:proofErr w:type="spellEnd"/>
      <w:r w:rsidRPr="008051CE">
        <w:t xml:space="preserve">, and Fiona Smart </w:t>
      </w:r>
      <w:r w:rsidRPr="008051CE">
        <w:rPr>
          <w:vertAlign w:val="superscript"/>
        </w:rPr>
        <w:t>h</w:t>
      </w:r>
    </w:p>
    <w:p w14:paraId="4ACC526B" w14:textId="77777777" w:rsidR="00D2138B" w:rsidRPr="008051CE" w:rsidRDefault="00D2138B" w:rsidP="00D2138B">
      <w:pPr>
        <w:pStyle w:val="Affiliation"/>
      </w:pPr>
      <w:r w:rsidRPr="008051CE">
        <w:t>* QUT Academy of Learning and Teaching, Queensland University of Technology, Brisbane, Australia</w:t>
      </w:r>
    </w:p>
    <w:p w14:paraId="1B82BD92" w14:textId="77777777" w:rsidR="00D2138B" w:rsidRPr="008051CE" w:rsidRDefault="00D2138B" w:rsidP="00D2138B">
      <w:pPr>
        <w:pStyle w:val="Correspondencedetails"/>
        <w:rPr>
          <w:rFonts w:eastAsiaTheme="minorHAnsi"/>
        </w:rPr>
      </w:pPr>
      <w:r w:rsidRPr="008051CE">
        <w:t xml:space="preserve">Contact: </w:t>
      </w:r>
      <w:r w:rsidRPr="008051CE">
        <w:rPr>
          <w:lang w:eastAsia="en-GB"/>
        </w:rPr>
        <w:t>Professor</w:t>
      </w:r>
      <w:r w:rsidRPr="008051CE">
        <w:t xml:space="preserve"> Abby Cathcart; </w:t>
      </w:r>
      <w:hyperlink r:id="rId7" w:history="1">
        <w:r w:rsidRPr="008051CE">
          <w:rPr>
            <w:rStyle w:val="Hyperlink"/>
          </w:rPr>
          <w:t>abby.cathcart@qut.edu.au</w:t>
        </w:r>
      </w:hyperlink>
      <w:r w:rsidRPr="008051CE">
        <w:t xml:space="preserve">; GPO Box 2434, 2 George St, Brisbane Qld 4001 </w:t>
      </w:r>
      <w:r w:rsidRPr="008051CE">
        <w:rPr>
          <w:rFonts w:eastAsiaTheme="minorHAnsi"/>
        </w:rPr>
        <w:t xml:space="preserve">Australia; </w:t>
      </w:r>
      <w:r w:rsidRPr="008051CE">
        <w:t xml:space="preserve">Abby: </w:t>
      </w:r>
      <w:hyperlink r:id="rId8" w:tgtFrame="_blank" w:history="1">
        <w:r w:rsidRPr="008051CE">
          <w:rPr>
            <w:rFonts w:eastAsiaTheme="minorHAnsi"/>
          </w:rPr>
          <w:t>http://orcid.org/0000-0001-7003-1273</w:t>
        </w:r>
      </w:hyperlink>
    </w:p>
    <w:p w14:paraId="0B344D32" w14:textId="77777777" w:rsidR="00D2138B" w:rsidRPr="008051CE" w:rsidRDefault="00D2138B" w:rsidP="00D2138B">
      <w:pPr>
        <w:pStyle w:val="Notesoncontributors"/>
        <w:rPr>
          <w:lang w:eastAsia="en-GB"/>
        </w:rPr>
      </w:pPr>
      <w:r w:rsidRPr="008051CE">
        <w:rPr>
          <w:b/>
          <w:bCs/>
          <w:lang w:eastAsia="en-GB"/>
        </w:rPr>
        <w:t xml:space="preserve">Conflicts of Interest: </w:t>
      </w:r>
      <w:r w:rsidRPr="008051CE">
        <w:rPr>
          <w:lang w:eastAsia="en-GB"/>
        </w:rPr>
        <w:t>Seven of the eight authors lead institutional schemes accredited by Advance HE, and six of the authors are Advance HE consultants or accreditors.</w:t>
      </w:r>
    </w:p>
    <w:p w14:paraId="70823C05" w14:textId="77777777" w:rsidR="00FE1C5E" w:rsidRPr="008051CE" w:rsidRDefault="00FE1C5E" w:rsidP="00F70F22">
      <w:pPr>
        <w:pStyle w:val="Notesoncontributors"/>
        <w:rPr>
          <w:lang w:eastAsia="en-GB"/>
        </w:rPr>
      </w:pPr>
    </w:p>
    <w:p w14:paraId="4F45893F" w14:textId="44A0F1D9" w:rsidR="00FE1C5E" w:rsidRPr="008051CE" w:rsidRDefault="00FE1C5E" w:rsidP="00F70F22">
      <w:pPr>
        <w:pStyle w:val="Articletitle"/>
        <w:rPr>
          <w:lang w:eastAsia="en-GB"/>
        </w:rPr>
      </w:pPr>
      <w:r w:rsidRPr="008051CE">
        <w:rPr>
          <w:b w:val="0"/>
          <w:sz w:val="22"/>
          <w:szCs w:val="22"/>
        </w:rPr>
        <w:br w:type="page"/>
      </w:r>
      <w:r w:rsidR="7D063387" w:rsidRPr="008051CE">
        <w:rPr>
          <w:lang w:eastAsia="en-GB"/>
        </w:rPr>
        <w:lastRenderedPageBreak/>
        <w:t>Tick</w:t>
      </w:r>
      <w:r w:rsidR="00BD29B5" w:rsidRPr="008051CE">
        <w:rPr>
          <w:lang w:eastAsia="en-GB"/>
        </w:rPr>
        <w:t>-</w:t>
      </w:r>
      <w:r w:rsidR="7D063387" w:rsidRPr="008051CE">
        <w:rPr>
          <w:lang w:eastAsia="en-GB"/>
        </w:rPr>
        <w:t>box, weasel words, or a transformative experience? Insights into what educators consider the real impact of HEA Fellowships</w:t>
      </w:r>
    </w:p>
    <w:p w14:paraId="0C73B52C" w14:textId="3BE266E3" w:rsidR="00F94E3A" w:rsidRPr="008051CE" w:rsidRDefault="00F94E3A" w:rsidP="00F94E3A">
      <w:pPr>
        <w:pStyle w:val="Abstract"/>
        <w:contextualSpacing w:val="0"/>
      </w:pPr>
      <w:r w:rsidRPr="008051CE">
        <w:t xml:space="preserve">Global membership of the HEA fellowship scheme is increasing. </w:t>
      </w:r>
      <w:r w:rsidR="001D57A8" w:rsidRPr="008051CE">
        <w:t xml:space="preserve">Despite the focus by academic developers on </w:t>
      </w:r>
      <w:r w:rsidR="00313AA7" w:rsidRPr="008051CE">
        <w:t>supporting staff to achieve fellowship</w:t>
      </w:r>
      <w:r w:rsidR="001D57A8" w:rsidRPr="008051CE">
        <w:t>, t</w:t>
      </w:r>
      <w:r w:rsidRPr="008051CE">
        <w:t xml:space="preserve">here is limited research examining whether </w:t>
      </w:r>
      <w:r w:rsidR="00313AA7" w:rsidRPr="008051CE">
        <w:t>it</w:t>
      </w:r>
      <w:r w:rsidRPr="008051CE">
        <w:t xml:space="preserve"> improve</w:t>
      </w:r>
      <w:r w:rsidR="00B978D3" w:rsidRPr="008051CE">
        <w:t>s</w:t>
      </w:r>
      <w:r w:rsidRPr="008051CE">
        <w:t xml:space="preserve"> teaching and the learning experience. </w:t>
      </w:r>
      <w:r w:rsidR="00313AA7" w:rsidRPr="008051CE">
        <w:t>Our</w:t>
      </w:r>
      <w:r w:rsidRPr="008051CE">
        <w:t xml:space="preserve"> </w:t>
      </w:r>
      <w:r w:rsidR="00621BA1" w:rsidRPr="008051CE">
        <w:t>detailed</w:t>
      </w:r>
      <w:r w:rsidRPr="008051CE">
        <w:t xml:space="preserve"> survey of educators’ perceptions in the UK and Australia indicate impact on individuals, practice, and community. Importantly</w:t>
      </w:r>
      <w:r w:rsidR="00313AA7" w:rsidRPr="008051CE">
        <w:t xml:space="preserve"> for academic developers</w:t>
      </w:r>
      <w:r w:rsidRPr="008051CE">
        <w:t xml:space="preserve">, the reflective act of developing a fellowship has potential to shape the student learning experience. However, some staff are frustrated and disillusioned by their experience. We call for institutions to </w:t>
      </w:r>
      <w:r w:rsidR="00B978D3" w:rsidRPr="008051CE">
        <w:t>design</w:t>
      </w:r>
      <w:r w:rsidRPr="008051CE">
        <w:t xml:space="preserve"> </w:t>
      </w:r>
      <w:r w:rsidR="00B978D3" w:rsidRPr="008051CE">
        <w:t xml:space="preserve">development and </w:t>
      </w:r>
      <w:r w:rsidRPr="008051CE">
        <w:t>recognition that maximise</w:t>
      </w:r>
      <w:r w:rsidR="00313AA7" w:rsidRPr="008051CE">
        <w:t>s</w:t>
      </w:r>
      <w:r w:rsidRPr="008051CE">
        <w:t xml:space="preserve"> impact and acknowledge</w:t>
      </w:r>
      <w:r w:rsidR="00313AA7" w:rsidRPr="008051CE">
        <w:t>s</w:t>
      </w:r>
      <w:r w:rsidRPr="008051CE">
        <w:t xml:space="preserve"> the benefits valued by educators.</w:t>
      </w:r>
    </w:p>
    <w:p w14:paraId="4A8F332C" w14:textId="35C2BCCA" w:rsidR="00135807" w:rsidRDefault="00FE1C5E" w:rsidP="00135807">
      <w:pPr>
        <w:pStyle w:val="Abstract"/>
        <w:contextualSpacing w:val="0"/>
      </w:pPr>
      <w:r w:rsidRPr="008051CE">
        <w:t xml:space="preserve">Keywords: </w:t>
      </w:r>
      <w:r w:rsidR="00135807" w:rsidRPr="008051CE">
        <w:t>HEA Fellow, Impact, Intangible benefits</w:t>
      </w:r>
      <w:r w:rsidR="00135807">
        <w:t xml:space="preserve">, </w:t>
      </w:r>
      <w:r w:rsidR="00135807" w:rsidRPr="008051CE">
        <w:rPr>
          <w:lang w:eastAsia="en-GB"/>
        </w:rPr>
        <w:t>Professional</w:t>
      </w:r>
      <w:r w:rsidR="00135807" w:rsidRPr="008051CE">
        <w:t xml:space="preserve"> Standards Framework (PSF), Reflection, Self-efficacy</w:t>
      </w:r>
      <w:r w:rsidR="00135807">
        <w:t>.</w:t>
      </w:r>
    </w:p>
    <w:p w14:paraId="3E911BFA" w14:textId="77777777" w:rsidR="00FE1C5E" w:rsidRPr="008051CE" w:rsidRDefault="00FE1C5E" w:rsidP="00F70F22">
      <w:pPr>
        <w:pStyle w:val="Heading1"/>
        <w:rPr>
          <w:lang w:eastAsia="en-GB"/>
        </w:rPr>
      </w:pPr>
      <w:r w:rsidRPr="008051CE">
        <w:rPr>
          <w:lang w:eastAsia="en-GB"/>
        </w:rPr>
        <w:t>Introduction</w:t>
      </w:r>
    </w:p>
    <w:p w14:paraId="5FEB2188" w14:textId="20D224D8" w:rsidR="00FE1C5E" w:rsidRPr="008051CE" w:rsidRDefault="7D063387" w:rsidP="00F70F22">
      <w:pPr>
        <w:pStyle w:val="Paragraph"/>
        <w:spacing w:line="480" w:lineRule="auto"/>
      </w:pPr>
      <w:r w:rsidRPr="008051CE">
        <w:t xml:space="preserve">Higher Education (HE) is big business, with </w:t>
      </w:r>
      <w:r w:rsidR="002471D6">
        <w:t xml:space="preserve">rapid </w:t>
      </w:r>
      <w:r w:rsidRPr="008051CE">
        <w:t xml:space="preserve">global growth and competition amongst providers. Teaching quality is ever-more important, shaped by widening participation and demands to demonstrate impact and value. </w:t>
      </w:r>
      <w:r w:rsidR="00D40222" w:rsidRPr="008051CE">
        <w:t xml:space="preserve">With market expansion comes increased </w:t>
      </w:r>
      <w:r w:rsidRPr="008051CE">
        <w:t xml:space="preserve">focus on teaching metrics, demonstrated by the Times Higher Education Rankings, the UK Teaching Excellence Framework , and the </w:t>
      </w:r>
      <w:r w:rsidR="00E13266" w:rsidRPr="008051CE">
        <w:t xml:space="preserve">Australian </w:t>
      </w:r>
      <w:r w:rsidRPr="008051CE">
        <w:t xml:space="preserve">Quality Indicators of Learning and Teaching </w:t>
      </w:r>
      <w:r w:rsidRPr="008051CE">
        <w:rPr>
          <w:noProof/>
        </w:rPr>
        <w:t>(Department of Education, 2019; Office for Students, 2019; Times Higher Education, 2019)</w:t>
      </w:r>
      <w:r w:rsidRPr="008051CE">
        <w:t xml:space="preserve">. Within this context, our research examined the impact of the standards-based Higher Education Academy (HEA) Fellowship scheme, a measure of quality adopted by </w:t>
      </w:r>
      <w:r w:rsidR="007B2376">
        <w:t>many</w:t>
      </w:r>
      <w:r w:rsidRPr="008051CE">
        <w:t xml:space="preserve"> universities </w:t>
      </w:r>
      <w:r w:rsidR="005C70D4" w:rsidRPr="008051CE">
        <w:t xml:space="preserve">and academic developers </w:t>
      </w:r>
      <w:r w:rsidRPr="008051CE">
        <w:t xml:space="preserve">worldwide. This paper reports on the impact of fellowship by analysing data from more than 300 respondents from six different institutions in the UK and Australia. </w:t>
      </w:r>
    </w:p>
    <w:p w14:paraId="5A7244D5" w14:textId="5C179ABD" w:rsidR="00FE1C5E" w:rsidRPr="008051CE" w:rsidRDefault="5B02A8CB" w:rsidP="00F70F22">
      <w:pPr>
        <w:pStyle w:val="Heading1"/>
      </w:pPr>
      <w:r w:rsidRPr="008051CE">
        <w:lastRenderedPageBreak/>
        <w:t>The Professional Standards Framework (PSF) and HEA Fellowship Scheme</w:t>
      </w:r>
    </w:p>
    <w:p w14:paraId="6CC784D4" w14:textId="3F424BDF" w:rsidR="00FE1C5E" w:rsidRPr="008051CE" w:rsidRDefault="7D063387" w:rsidP="00F70F22">
      <w:pPr>
        <w:pStyle w:val="Paragraph"/>
        <w:spacing w:line="480" w:lineRule="auto"/>
      </w:pPr>
      <w:r w:rsidRPr="008051CE">
        <w:t xml:space="preserve">The  PSF was developed in 2006 by the HEA, Guild HE, and Universities UK on behalf of the sector </w:t>
      </w:r>
      <w:r w:rsidRPr="008051CE">
        <w:rPr>
          <w:noProof/>
        </w:rPr>
        <w:t>(Higher Education Academy, 2011</w:t>
      </w:r>
      <w:r w:rsidR="00CB4A31">
        <w:rPr>
          <w:noProof/>
        </w:rPr>
        <w:t>;</w:t>
      </w:r>
      <w:r w:rsidRPr="008051CE">
        <w:rPr>
          <w:noProof/>
        </w:rPr>
        <w:t xml:space="preserve"> 2016)</w:t>
      </w:r>
      <w:r w:rsidR="00B00FDA" w:rsidRPr="008051CE">
        <w:rPr>
          <w:noProof/>
        </w:rPr>
        <w:t xml:space="preserve"> </w:t>
      </w:r>
      <w:r w:rsidRPr="008051CE">
        <w:t>to enhance students’ learning experiences by improving the quality of teaching and learning. The 2011 PSF underpins the HEA Fellowship scheme and enables institutions to align development programs to descriptors that articulate teaching and learning standards. In 2018 the HEA</w:t>
      </w:r>
      <w:r w:rsidR="00736344">
        <w:t xml:space="preserve"> became part of a new </w:t>
      </w:r>
      <w:r w:rsidRPr="008051CE">
        <w:t xml:space="preserve">not-for-profit entity Advance HE (AHE), with the objective of supporting continuous improvement through the development of individuals and organisations </w:t>
      </w:r>
      <w:r w:rsidRPr="008051CE">
        <w:rPr>
          <w:noProof/>
        </w:rPr>
        <w:t>(Advance HE, 2019)</w:t>
      </w:r>
      <w:r w:rsidR="00E06897" w:rsidRPr="008051CE">
        <w:t>.</w:t>
      </w:r>
      <w:r w:rsidRPr="008051CE">
        <w:t xml:space="preserve"> </w:t>
      </w:r>
    </w:p>
    <w:p w14:paraId="3D3FB6F8" w14:textId="5BAC9002" w:rsidR="00FE1C5E" w:rsidRPr="008051CE" w:rsidRDefault="7D063387" w:rsidP="00F70F22">
      <w:pPr>
        <w:pStyle w:val="Newparagraph"/>
        <w:spacing w:line="480" w:lineRule="auto"/>
      </w:pPr>
      <w:r w:rsidRPr="008051CE">
        <w:t xml:space="preserve">The PSF underpins four categories of Fellowship – Associate Fellow, Fellow, Senior Fellow, and Principal Fellow – </w:t>
      </w:r>
      <w:r w:rsidR="00E06897" w:rsidRPr="008051CE">
        <w:t xml:space="preserve"> encompassing</w:t>
      </w:r>
      <w:r w:rsidRPr="008051CE">
        <w:t xml:space="preserve"> roles from a</w:t>
      </w:r>
      <w:r w:rsidR="00D40222" w:rsidRPr="008051CE">
        <w:t>n</w:t>
      </w:r>
      <w:r w:rsidRPr="008051CE">
        <w:t xml:space="preserve"> </w:t>
      </w:r>
      <w:r w:rsidR="00D40222" w:rsidRPr="008051CE">
        <w:t xml:space="preserve">early-career </w:t>
      </w:r>
      <w:r w:rsidRPr="008051CE">
        <w:t xml:space="preserve">educator (Associate Fellow) through to strategic leaders in learning and teaching (Principal Fellow). Applicants </w:t>
      </w:r>
      <w:r w:rsidR="00D40222" w:rsidRPr="008051CE">
        <w:t xml:space="preserve"> seek</w:t>
      </w:r>
      <w:r w:rsidRPr="008051CE">
        <w:t xml:space="preserve"> recognition </w:t>
      </w:r>
      <w:r w:rsidR="00E06897" w:rsidRPr="008051CE">
        <w:t>through</w:t>
      </w:r>
      <w:r w:rsidRPr="008051CE">
        <w:t xml:space="preserve"> a reflective account of practice (and referee statements) </w:t>
      </w:r>
      <w:r w:rsidR="00D40222" w:rsidRPr="008051CE">
        <w:t xml:space="preserve">directly </w:t>
      </w:r>
      <w:r w:rsidRPr="008051CE">
        <w:t xml:space="preserve">to AHE for assessment, or via an accredited institutional pathway. All applications must be written in English. </w:t>
      </w:r>
      <w:r w:rsidR="00D40222" w:rsidRPr="008051CE">
        <w:t>Since 2014</w:t>
      </w:r>
      <w:r w:rsidRPr="008051CE">
        <w:t xml:space="preserve"> </w:t>
      </w:r>
      <w:r w:rsidR="00E06897" w:rsidRPr="008051CE">
        <w:t>applications have increased exponentially</w:t>
      </w:r>
      <w:r w:rsidR="00D40222" w:rsidRPr="008051CE">
        <w:t>:</w:t>
      </w:r>
      <w:r w:rsidRPr="008051CE">
        <w:t xml:space="preserve"> there are now more than </w:t>
      </w:r>
      <w:r w:rsidR="00035A53" w:rsidRPr="008051CE">
        <w:t>135</w:t>
      </w:r>
      <w:r w:rsidRPr="008051CE">
        <w:t>,000 HEA Fellows worldwide, and 3</w:t>
      </w:r>
      <w:r w:rsidR="002D1CFA" w:rsidRPr="008051CE">
        <w:t>34</w:t>
      </w:r>
      <w:r w:rsidRPr="008051CE">
        <w:t xml:space="preserve"> member institutions including </w:t>
      </w:r>
      <w:r w:rsidR="002D1CFA" w:rsidRPr="008051CE">
        <w:t>66</w:t>
      </w:r>
      <w:r w:rsidRPr="008051CE">
        <w:t xml:space="preserve"> outside the UK (see Figure 1). The majority of HEA Fellows are still UK-based and many UK institutions set strategic priorities </w:t>
      </w:r>
      <w:r w:rsidR="00E06897" w:rsidRPr="008051CE">
        <w:t>for achievement of HEA fellowship</w:t>
      </w:r>
      <w:r w:rsidR="00621BA1" w:rsidRPr="008051CE">
        <w:t>. In some</w:t>
      </w:r>
      <w:r w:rsidR="00E06897" w:rsidRPr="008051CE">
        <w:t xml:space="preserve"> cases </w:t>
      </w:r>
      <w:r w:rsidR="00621BA1" w:rsidRPr="008051CE">
        <w:t>targets were</w:t>
      </w:r>
      <w:r w:rsidRPr="008051CE">
        <w:t xml:space="preserve"> linked to </w:t>
      </w:r>
      <w:r w:rsidR="00E06897" w:rsidRPr="008051CE">
        <w:t xml:space="preserve">the ultimately unfounded </w:t>
      </w:r>
      <w:r w:rsidRPr="008051CE">
        <w:t>expectation that the UK government’s Teaching Excellence Framework (TEF) would  require reporting on this metric</w:t>
      </w:r>
      <w:r w:rsidR="00E06897" w:rsidRPr="008051CE">
        <w:t xml:space="preserve">. </w:t>
      </w:r>
      <w:r w:rsidR="00A562FF" w:rsidRPr="008051CE">
        <w:t>Many institutions chose to include HEA Fellowship in their TEF submissions, and a</w:t>
      </w:r>
      <w:r w:rsidR="00621BA1" w:rsidRPr="008051CE">
        <w:t xml:space="preserve">nalysis indicated that </w:t>
      </w:r>
      <w:r w:rsidRPr="008051CE">
        <w:t>references to HEA Fellowship were much higher amongst institutions awarded Gold or Silver ratings, compared to those awarded Bronze (Moore</w:t>
      </w:r>
      <w:r w:rsidR="00B8784D">
        <w:t xml:space="preserve"> et al.,</w:t>
      </w:r>
      <w:r w:rsidRPr="008051CE">
        <w:t xml:space="preserve"> 2017). </w:t>
      </w:r>
      <w:r w:rsidR="00E06897" w:rsidRPr="008051CE">
        <w:t>Since 2016</w:t>
      </w:r>
      <w:r w:rsidRPr="008051CE">
        <w:t xml:space="preserve"> more than two</w:t>
      </w:r>
      <w:r w:rsidR="00D40222" w:rsidRPr="008051CE">
        <w:t>-</w:t>
      </w:r>
      <w:r w:rsidRPr="008051CE">
        <w:t xml:space="preserve">thirds of Australian universities have joined AHE. The growing global membership is </w:t>
      </w:r>
      <w:r w:rsidR="00E06897" w:rsidRPr="008051CE">
        <w:t xml:space="preserve">variously </w:t>
      </w:r>
      <w:r w:rsidRPr="008051CE">
        <w:t xml:space="preserve">motivated, including a desire to raise teaching quality, benchmark </w:t>
      </w:r>
      <w:r w:rsidR="006271C4" w:rsidRPr="008051CE">
        <w:t>academic</w:t>
      </w:r>
      <w:r w:rsidRPr="008051CE">
        <w:t xml:space="preserve"> </w:t>
      </w:r>
      <w:r w:rsidRPr="008051CE">
        <w:lastRenderedPageBreak/>
        <w:t xml:space="preserve">development, provide recognition, and develop indicators to support recruitment, performance, and promotion </w:t>
      </w:r>
      <w:r w:rsidRPr="008051CE">
        <w:rPr>
          <w:noProof/>
        </w:rPr>
        <w:t>(Beckmann &amp; Cathcart, 2019; Smart</w:t>
      </w:r>
      <w:r w:rsidR="00B8784D">
        <w:rPr>
          <w:noProof/>
        </w:rPr>
        <w:t xml:space="preserve"> et al., </w:t>
      </w:r>
      <w:r w:rsidRPr="008051CE">
        <w:rPr>
          <w:noProof/>
        </w:rPr>
        <w:t>2019)</w:t>
      </w:r>
      <w:r w:rsidRPr="008051CE">
        <w:t xml:space="preserve">. </w:t>
      </w:r>
    </w:p>
    <w:p w14:paraId="1AD179D5" w14:textId="40781421" w:rsidR="014F10A0" w:rsidRPr="008051CE" w:rsidRDefault="014F10A0" w:rsidP="014F10A0">
      <w:pPr>
        <w:pStyle w:val="Newparagraph"/>
        <w:spacing w:line="480" w:lineRule="auto"/>
        <w:ind w:firstLine="0"/>
      </w:pPr>
    </w:p>
    <w:p w14:paraId="505B2EF8" w14:textId="6C39D55C" w:rsidR="00FE1C5E" w:rsidRPr="008051CE" w:rsidRDefault="00FE1C5E" w:rsidP="00F70F22">
      <w:pPr>
        <w:pStyle w:val="Newparagraph"/>
        <w:ind w:firstLine="0"/>
        <w:jc w:val="center"/>
      </w:pPr>
      <w:r w:rsidRPr="008051CE">
        <w:t>[Insert Figure 1]</w:t>
      </w:r>
    </w:p>
    <w:p w14:paraId="5525C8FE" w14:textId="77777777" w:rsidR="00FE1C5E" w:rsidRPr="008051CE" w:rsidRDefault="00FE1C5E" w:rsidP="00F70F22">
      <w:pPr>
        <w:pStyle w:val="Heading1"/>
      </w:pPr>
      <w:r w:rsidRPr="008051CE">
        <w:t>Interrogating the use and value of HEA Fellowship</w:t>
      </w:r>
    </w:p>
    <w:p w14:paraId="259C9D81" w14:textId="0C57CB5B" w:rsidR="00FE1C5E" w:rsidRPr="008051CE" w:rsidRDefault="7D063387" w:rsidP="00F70F22">
      <w:pPr>
        <w:pStyle w:val="Paragraph"/>
        <w:spacing w:line="480" w:lineRule="auto"/>
      </w:pPr>
      <w:r w:rsidRPr="008051CE">
        <w:t xml:space="preserve">Our systematic literature review identified </w:t>
      </w:r>
      <w:r w:rsidR="00035A53" w:rsidRPr="008051CE">
        <w:t xml:space="preserve">94 </w:t>
      </w:r>
      <w:r w:rsidRPr="008051CE">
        <w:t xml:space="preserve">articles directly </w:t>
      </w:r>
      <w:r w:rsidR="00362E0F" w:rsidRPr="008051CE">
        <w:t>referencing</w:t>
      </w:r>
      <w:r w:rsidRPr="008051CE">
        <w:t xml:space="preserve"> HEA Fellowship since 2011. Researchers have focused on a range of recognition methods, including dialogues, peer observation, and reflective writing </w:t>
      </w:r>
      <w:r w:rsidRPr="008051CE">
        <w:rPr>
          <w:noProof/>
        </w:rPr>
        <w:t>(Asghar &amp; Pilkington, 2018; Daniels, 2017; Smart et al., 2019)</w:t>
      </w:r>
      <w:r w:rsidRPr="008051CE">
        <w:t xml:space="preserve">. Others have examined taught pathways, such as Graduate Certificates, new educator inductions, or continuing professional development (CPD) frameworks </w:t>
      </w:r>
      <w:r w:rsidRPr="008051CE">
        <w:rPr>
          <w:noProof/>
        </w:rPr>
        <w:t>(Butcher &amp; Stoncel, 2012; Fraser et al., 2019; Fung, 2014)</w:t>
      </w:r>
      <w:r w:rsidRPr="008051CE">
        <w:t xml:space="preserve">. More recently, researchers have focused on the inclusive nature of the PSF, examining its applicability to diverse cultures or as part of decolonising the curriculum </w:t>
      </w:r>
      <w:r w:rsidRPr="008051CE">
        <w:rPr>
          <w:noProof/>
        </w:rPr>
        <w:t>(Buissink</w:t>
      </w:r>
      <w:r w:rsidR="00B8784D">
        <w:rPr>
          <w:noProof/>
        </w:rPr>
        <w:t xml:space="preserve"> et al.</w:t>
      </w:r>
      <w:r w:rsidRPr="008051CE">
        <w:rPr>
          <w:noProof/>
        </w:rPr>
        <w:t>, 2017; Duhs</w:t>
      </w:r>
      <w:r w:rsidR="00B8784D">
        <w:rPr>
          <w:noProof/>
        </w:rPr>
        <w:t xml:space="preserve"> et al.,</w:t>
      </w:r>
      <w:r w:rsidRPr="008051CE">
        <w:rPr>
          <w:noProof/>
        </w:rPr>
        <w:t xml:space="preserve"> 2019)</w:t>
      </w:r>
      <w:r w:rsidRPr="008051CE">
        <w:t xml:space="preserve">. Others have examined the experience of particular groups, including professional staff, librarians, PhD students, and sessional/casual educators </w:t>
      </w:r>
      <w:r w:rsidRPr="008051CE">
        <w:rPr>
          <w:noProof/>
        </w:rPr>
        <w:t>(George &amp; Rowland, 2019; Greer</w:t>
      </w:r>
      <w:r w:rsidR="00B8784D">
        <w:rPr>
          <w:noProof/>
        </w:rPr>
        <w:t xml:space="preserve"> et al., </w:t>
      </w:r>
      <w:r w:rsidRPr="008051CE">
        <w:rPr>
          <w:noProof/>
        </w:rPr>
        <w:t>2016)</w:t>
      </w:r>
      <w:r w:rsidRPr="008051CE">
        <w:t xml:space="preserve">. </w:t>
      </w:r>
      <w:r w:rsidR="006369D7" w:rsidRPr="008051CE">
        <w:t>A recent study of academic</w:t>
      </w:r>
      <w:r w:rsidR="008D5387" w:rsidRPr="008051CE">
        <w:t>s</w:t>
      </w:r>
      <w:r w:rsidR="006369D7" w:rsidRPr="008051CE">
        <w:t xml:space="preserve"> in China and </w:t>
      </w:r>
      <w:r w:rsidR="000C6770">
        <w:t xml:space="preserve">the </w:t>
      </w:r>
      <w:r w:rsidR="006369D7" w:rsidRPr="008051CE">
        <w:t xml:space="preserve">Hong Kong </w:t>
      </w:r>
      <w:r w:rsidR="000C6770">
        <w:t>Special Administrative Region</w:t>
      </w:r>
      <w:r w:rsidR="006369D7" w:rsidRPr="008051CE">
        <w:t xml:space="preserve"> for example, concluded that recognition compounded the impact of an academic development program and had the potential to accelerate sector-wide strategic change (Greer</w:t>
      </w:r>
      <w:r w:rsidR="00B8784D">
        <w:t xml:space="preserve"> et al.,</w:t>
      </w:r>
      <w:r w:rsidR="006369D7" w:rsidRPr="008051CE">
        <w:t xml:space="preserve"> 2020). </w:t>
      </w:r>
      <w:r w:rsidRPr="008051CE">
        <w:t xml:space="preserve">A small number of studies have examined the relationship between HEA Fellowship, teaching qualifications, student satisfaction, and outcomes in the UK </w:t>
      </w:r>
      <w:r w:rsidR="00F91D88" w:rsidRPr="008051CE">
        <w:t>TEF</w:t>
      </w:r>
      <w:r w:rsidRPr="008051CE">
        <w:t xml:space="preserve"> </w:t>
      </w:r>
      <w:r w:rsidRPr="008051CE">
        <w:rPr>
          <w:noProof/>
        </w:rPr>
        <w:t>(Barkas</w:t>
      </w:r>
      <w:r w:rsidR="00B8784D">
        <w:rPr>
          <w:noProof/>
        </w:rPr>
        <w:t xml:space="preserve"> et al.,</w:t>
      </w:r>
      <w:r w:rsidRPr="008051CE">
        <w:rPr>
          <w:noProof/>
        </w:rPr>
        <w:t xml:space="preserve"> 2019; Bell &amp; Brooks, 2019)</w:t>
      </w:r>
      <w:r w:rsidRPr="008051CE">
        <w:t>.</w:t>
      </w:r>
    </w:p>
    <w:p w14:paraId="0453208E" w14:textId="76EE33DB" w:rsidR="00FE1C5E" w:rsidRPr="008051CE" w:rsidRDefault="7D063387" w:rsidP="00F70F22">
      <w:pPr>
        <w:pStyle w:val="Newparagraph"/>
        <w:spacing w:line="480" w:lineRule="auto"/>
      </w:pPr>
      <w:r w:rsidRPr="008051CE">
        <w:t xml:space="preserve">Despite the proliferation of research, much of the focus has been on individual UK-based institutions, or on narrow categories of staff. </w:t>
      </w:r>
      <w:r w:rsidR="008B676F" w:rsidRPr="008051CE">
        <w:t>Increasingly,</w:t>
      </w:r>
      <w:r w:rsidRPr="008051CE">
        <w:t xml:space="preserve"> scholars have called for research to focus on the international community</w:t>
      </w:r>
      <w:r w:rsidR="00B00FDA" w:rsidRPr="008051CE">
        <w:t xml:space="preserve"> </w:t>
      </w:r>
      <w:r w:rsidRPr="008051CE">
        <w:t xml:space="preserve">to incorporate a broader conceptualisation of impact </w:t>
      </w:r>
      <w:r w:rsidRPr="008051CE">
        <w:rPr>
          <w:noProof/>
        </w:rPr>
        <w:t>(Bamber &amp; Stefani, 2016; Spowart et al., 2019; Turner et al., 2013)</w:t>
      </w:r>
      <w:r w:rsidRPr="008051CE">
        <w:t>.</w:t>
      </w:r>
    </w:p>
    <w:p w14:paraId="04148E07" w14:textId="77777777" w:rsidR="00FE1C5E" w:rsidRPr="008051CE" w:rsidRDefault="00FE1C5E" w:rsidP="00F70F22">
      <w:pPr>
        <w:pStyle w:val="Heading1"/>
        <w:rPr>
          <w:b w:val="0"/>
          <w:bCs w:val="0"/>
        </w:rPr>
      </w:pPr>
      <w:r w:rsidRPr="008051CE">
        <w:rPr>
          <w:lang w:eastAsia="en-GB"/>
        </w:rPr>
        <w:lastRenderedPageBreak/>
        <w:t>Methodology</w:t>
      </w:r>
    </w:p>
    <w:p w14:paraId="23995CFD" w14:textId="67CD9496" w:rsidR="00FE1C5E" w:rsidRPr="008051CE" w:rsidRDefault="7D063387" w:rsidP="00F70F22">
      <w:pPr>
        <w:pStyle w:val="Paragraph"/>
        <w:spacing w:line="480" w:lineRule="auto"/>
      </w:pPr>
      <w:r w:rsidRPr="008051CE">
        <w:t xml:space="preserve">The </w:t>
      </w:r>
      <w:r w:rsidR="008B676F" w:rsidRPr="008051CE">
        <w:t xml:space="preserve">collaborative </w:t>
      </w:r>
      <w:r w:rsidRPr="008051CE">
        <w:t xml:space="preserve">study </w:t>
      </w:r>
      <w:r w:rsidR="008B676F" w:rsidRPr="008051CE">
        <w:t>comprises</w:t>
      </w:r>
      <w:r w:rsidRPr="008051CE">
        <w:t xml:space="preserve"> partners from five UK (England, Scotland</w:t>
      </w:r>
      <w:r w:rsidR="00B8784D">
        <w:t>,</w:t>
      </w:r>
      <w:r w:rsidRPr="008051CE">
        <w:t xml:space="preserve"> and Northern Ireland) and one Australian university. Institutions represented a range of mission groups</w:t>
      </w:r>
      <w:r w:rsidR="008B676F" w:rsidRPr="008051CE">
        <w:t>,</w:t>
      </w:r>
      <w:r w:rsidR="00B00FDA" w:rsidRPr="008051CE">
        <w:t xml:space="preserve"> </w:t>
      </w:r>
      <w:r w:rsidRPr="008051CE">
        <w:t xml:space="preserve">all </w:t>
      </w:r>
      <w:r w:rsidR="008B676F" w:rsidRPr="008051CE">
        <w:t xml:space="preserve">having </w:t>
      </w:r>
      <w:r w:rsidRPr="008051CE">
        <w:t>well-established HEA accredited routes to fellowship, using certified and CPD pathways. All routes were</w:t>
      </w:r>
      <w:r w:rsidR="00F91D88" w:rsidRPr="008051CE">
        <w:t>, naturally</w:t>
      </w:r>
      <w:r w:rsidR="008B676F" w:rsidRPr="008051CE">
        <w:t xml:space="preserve"> </w:t>
      </w:r>
      <w:r w:rsidRPr="008051CE">
        <w:t xml:space="preserve">shaped by their institutional context, but </w:t>
      </w:r>
      <w:r w:rsidR="008B676F" w:rsidRPr="008051CE">
        <w:t>shared</w:t>
      </w:r>
      <w:r w:rsidRPr="008051CE">
        <w:t xml:space="preserve"> features including </w:t>
      </w:r>
      <w:r w:rsidR="008B676F" w:rsidRPr="008051CE">
        <w:t>reflection</w:t>
      </w:r>
      <w:r w:rsidRPr="008051CE">
        <w:t xml:space="preserve"> on practice, engagement with the scholarly evidence base, and </w:t>
      </w:r>
      <w:r w:rsidR="008B676F" w:rsidRPr="008051CE">
        <w:t xml:space="preserve"> </w:t>
      </w:r>
      <w:r w:rsidR="00B00FDA" w:rsidRPr="008051CE">
        <w:t xml:space="preserve">addressing </w:t>
      </w:r>
      <w:r w:rsidR="008B676F" w:rsidRPr="008051CE">
        <w:t xml:space="preserve">the </w:t>
      </w:r>
      <w:r w:rsidRPr="008051CE">
        <w:t xml:space="preserve">PSF dimensions of practice (see Table 1). </w:t>
      </w:r>
    </w:p>
    <w:p w14:paraId="4D912376" w14:textId="1A208277" w:rsidR="00FE1C5E" w:rsidRPr="008051CE" w:rsidRDefault="00FE1C5E" w:rsidP="00F70F22">
      <w:pPr>
        <w:pStyle w:val="Newparagraph"/>
        <w:ind w:firstLine="0"/>
        <w:jc w:val="center"/>
      </w:pPr>
      <w:r w:rsidRPr="008051CE">
        <w:t>[Insert Table 1]</w:t>
      </w:r>
    </w:p>
    <w:p w14:paraId="540A3FA1" w14:textId="77777777" w:rsidR="00FE1C5E" w:rsidRPr="008051CE" w:rsidRDefault="00FE1C5E" w:rsidP="00F70F22">
      <w:pPr>
        <w:pStyle w:val="Newparagraph"/>
      </w:pPr>
    </w:p>
    <w:p w14:paraId="2837F48F" w14:textId="1E42A598" w:rsidR="00FE1C5E" w:rsidRPr="008051CE" w:rsidRDefault="7D063387" w:rsidP="00F70F22">
      <w:pPr>
        <w:pStyle w:val="Newparagraph"/>
        <w:spacing w:line="480" w:lineRule="auto"/>
      </w:pPr>
      <w:r w:rsidRPr="008051CE">
        <w:t xml:space="preserve">A survey was used </w:t>
      </w:r>
      <w:r w:rsidR="00F91D88" w:rsidRPr="008051CE">
        <w:t>to gather</w:t>
      </w:r>
      <w:r w:rsidRPr="008051CE">
        <w:t xml:space="preserve"> quantitative and qualitative responses from educators who had gained recognition through institutional routes in the three preceding years. The research </w:t>
      </w:r>
      <w:r w:rsidR="00736344">
        <w:t>explored</w:t>
      </w:r>
      <w:r w:rsidRPr="008051CE">
        <w:t xml:space="preserve"> participants’ perceptions of how </w:t>
      </w:r>
      <w:r w:rsidR="00736344">
        <w:t>f</w:t>
      </w:r>
      <w:r w:rsidRPr="008051CE">
        <w:t>ellowship had impacted on themselves, their peers, and their students</w:t>
      </w:r>
      <w:r w:rsidR="00736344">
        <w:t>. A</w:t>
      </w:r>
      <w:r w:rsidRPr="008051CE">
        <w:t xml:space="preserve"> broad conceptualisation of impact was used, building on constructs </w:t>
      </w:r>
      <w:r w:rsidR="008B676F" w:rsidRPr="008051CE">
        <w:t xml:space="preserve">previously </w:t>
      </w:r>
      <w:r w:rsidRPr="008051CE">
        <w:t>identified including self-efficacy, networks and community, and personal</w:t>
      </w:r>
      <w:r w:rsidR="000C6770">
        <w:t xml:space="preserve"> or</w:t>
      </w:r>
      <w:r w:rsidRPr="008051CE">
        <w:t xml:space="preserve"> institutional change</w:t>
      </w:r>
      <w:r w:rsidR="000C6770">
        <w:t xml:space="preserve"> </w:t>
      </w:r>
      <w:r w:rsidR="000C6770" w:rsidRPr="008051CE">
        <w:t>(</w:t>
      </w:r>
      <w:proofErr w:type="spellStart"/>
      <w:r w:rsidR="000C6770" w:rsidRPr="008051CE">
        <w:t>Kneale</w:t>
      </w:r>
      <w:proofErr w:type="spellEnd"/>
      <w:r w:rsidR="000C6770" w:rsidRPr="008051CE">
        <w:t xml:space="preserve"> et al.</w:t>
      </w:r>
      <w:r w:rsidR="000F2366">
        <w:t>,</w:t>
      </w:r>
      <w:r w:rsidR="000C6770" w:rsidRPr="008051CE">
        <w:t xml:space="preserve"> 2015; </w:t>
      </w:r>
      <w:proofErr w:type="spellStart"/>
      <w:r w:rsidR="000C6770" w:rsidRPr="008051CE">
        <w:t>PedRio</w:t>
      </w:r>
      <w:proofErr w:type="spellEnd"/>
      <w:r w:rsidR="000C6770" w:rsidRPr="008051CE">
        <w:t>, 2016)</w:t>
      </w:r>
      <w:r w:rsidRPr="008051CE">
        <w:t xml:space="preserve">. The research focused on staff perceptions of impact, but also encouraged reflection on </w:t>
      </w:r>
      <w:r w:rsidR="00767F9D" w:rsidRPr="008051CE">
        <w:t>students’ perceptions thereof</w:t>
      </w:r>
      <w:r w:rsidRPr="008051CE">
        <w:t xml:space="preserve">. Open questions and free text responses </w:t>
      </w:r>
      <w:r w:rsidR="00767F9D" w:rsidRPr="008051CE">
        <w:t>elicited</w:t>
      </w:r>
      <w:r w:rsidRPr="008051CE">
        <w:t xml:space="preserve"> detailed answers</w:t>
      </w:r>
      <w:r w:rsidR="00767F9D" w:rsidRPr="008051CE">
        <w:t xml:space="preserve"> which enabled a shift</w:t>
      </w:r>
      <w:r w:rsidRPr="008051CE">
        <w:t xml:space="preserve"> beyond narrow impact metrics (</w:t>
      </w:r>
      <w:proofErr w:type="spellStart"/>
      <w:r w:rsidRPr="008051CE">
        <w:t>Spowart</w:t>
      </w:r>
      <w:proofErr w:type="spellEnd"/>
      <w:r w:rsidRPr="008051CE">
        <w:t xml:space="preserve"> et al.</w:t>
      </w:r>
      <w:r w:rsidR="005A0395">
        <w:t>,</w:t>
      </w:r>
      <w:r w:rsidRPr="008051CE">
        <w:t xml:space="preserve"> 2019) </w:t>
      </w:r>
      <w:r w:rsidR="00767F9D" w:rsidRPr="008051CE">
        <w:t xml:space="preserve">to </w:t>
      </w:r>
      <w:r w:rsidRPr="008051CE">
        <w:t>instead uncover intangible assets</w:t>
      </w:r>
      <w:r w:rsidR="00767F9D" w:rsidRPr="008051CE">
        <w:t xml:space="preserve"> valued by HE</w:t>
      </w:r>
      <w:r w:rsidRPr="008051CE">
        <w:t xml:space="preserve"> educators which are not easily measurable or quantifiable (Robertson</w:t>
      </w:r>
      <w:r w:rsidR="005A0395">
        <w:t xml:space="preserve"> et al.,</w:t>
      </w:r>
      <w:r w:rsidRPr="008051CE">
        <w:t xml:space="preserve"> 2019). </w:t>
      </w:r>
      <w:r w:rsidR="00767F9D" w:rsidRPr="008051CE">
        <w:t>T</w:t>
      </w:r>
      <w:r w:rsidRPr="008051CE">
        <w:t xml:space="preserve">he research </w:t>
      </w:r>
      <w:r w:rsidR="00767F9D" w:rsidRPr="008051CE">
        <w:t xml:space="preserve">had ethical approval </w:t>
      </w:r>
      <w:r w:rsidRPr="008051CE">
        <w:t>and data collection was undertaken in 2017.</w:t>
      </w:r>
    </w:p>
    <w:p w14:paraId="05ADC91A" w14:textId="77777777" w:rsidR="00FE1C5E" w:rsidRPr="008051CE" w:rsidRDefault="00FE1C5E" w:rsidP="00F70F22">
      <w:pPr>
        <w:pStyle w:val="Heading2"/>
      </w:pPr>
      <w:r w:rsidRPr="008051CE">
        <w:t>Survey design</w:t>
      </w:r>
    </w:p>
    <w:p w14:paraId="770891EE" w14:textId="73B00D6C" w:rsidR="00FE1C5E" w:rsidRPr="008051CE" w:rsidRDefault="00FE1C5E" w:rsidP="00F70F22">
      <w:pPr>
        <w:pStyle w:val="Paragraph"/>
        <w:spacing w:line="480" w:lineRule="auto"/>
      </w:pPr>
      <w:r w:rsidRPr="008051CE">
        <w:t xml:space="preserve">The survey was </w:t>
      </w:r>
      <w:r w:rsidRPr="008051CE">
        <w:rPr>
          <w:lang w:eastAsia="en-GB"/>
        </w:rPr>
        <w:t>developed</w:t>
      </w:r>
      <w:r w:rsidRPr="008051CE">
        <w:t xml:space="preserve"> iteratively, drawing on constructs in the HEA CPD evaluation resource </w:t>
      </w:r>
      <w:r w:rsidRPr="008051CE">
        <w:rPr>
          <w:noProof/>
        </w:rPr>
        <w:t>(Kneale et al., 2015; PedRio, 2016)</w:t>
      </w:r>
      <w:r w:rsidRPr="008051CE">
        <w:t xml:space="preserve"> and incorporating questions on motivation, pathway</w:t>
      </w:r>
      <w:r w:rsidR="005A0395">
        <w:t>,</w:t>
      </w:r>
      <w:r w:rsidRPr="008051CE">
        <w:t xml:space="preserve"> and the perceived impact of recognition. Respondents </w:t>
      </w:r>
      <w:r w:rsidR="00767F9D" w:rsidRPr="008051CE">
        <w:t>also provided</w:t>
      </w:r>
      <w:r w:rsidRPr="008051CE">
        <w:t xml:space="preserve"> demographic information, including gender, fellowship</w:t>
      </w:r>
      <w:r w:rsidRPr="008051CE">
        <w:rPr>
          <w:rFonts w:eastAsiaTheme="minorHAnsi" w:cs="Arial"/>
          <w:kern w:val="32"/>
          <w:szCs w:val="32"/>
        </w:rPr>
        <w:t xml:space="preserve"> status, the route to fellowship, and </w:t>
      </w:r>
      <w:r w:rsidR="00CD5267">
        <w:rPr>
          <w:rFonts w:eastAsiaTheme="minorHAnsi" w:cs="Arial"/>
          <w:kern w:val="32"/>
          <w:szCs w:val="32"/>
        </w:rPr>
        <w:t xml:space="preserve">educator </w:t>
      </w:r>
      <w:r w:rsidR="00CD5267">
        <w:rPr>
          <w:rFonts w:eastAsiaTheme="minorHAnsi" w:cs="Arial"/>
          <w:kern w:val="32"/>
          <w:szCs w:val="32"/>
        </w:rPr>
        <w:lastRenderedPageBreak/>
        <w:t>experience</w:t>
      </w:r>
      <w:r w:rsidRPr="008051CE">
        <w:rPr>
          <w:sz w:val="22"/>
          <w:szCs w:val="22"/>
        </w:rPr>
        <w:t>.</w:t>
      </w:r>
      <w:r w:rsidRPr="008051CE">
        <w:rPr>
          <w:rFonts w:cstheme="minorHAnsi"/>
          <w:kern w:val="24"/>
          <w:sz w:val="22"/>
          <w:szCs w:val="22"/>
        </w:rPr>
        <w:t xml:space="preserve"> </w:t>
      </w:r>
      <w:r w:rsidR="00491D2B" w:rsidRPr="008051CE">
        <w:t>Quantitative</w:t>
      </w:r>
      <w:r w:rsidRPr="008051CE">
        <w:t xml:space="preserve"> questions </w:t>
      </w:r>
      <w:r w:rsidR="00F91D88" w:rsidRPr="008051CE">
        <w:t>used</w:t>
      </w:r>
      <w:r w:rsidRPr="008051CE">
        <w:t xml:space="preserve"> a five-point Likert scale from strongly agree to strongly disagree (5–1)</w:t>
      </w:r>
      <w:r w:rsidR="00767F9D" w:rsidRPr="008051CE">
        <w:t>;</w:t>
      </w:r>
      <w:r w:rsidR="00491D2B" w:rsidRPr="008051CE">
        <w:t xml:space="preserve"> open-text responses enable</w:t>
      </w:r>
      <w:r w:rsidR="00767F9D" w:rsidRPr="008051CE">
        <w:t>d</w:t>
      </w:r>
      <w:r w:rsidR="00491D2B" w:rsidRPr="008051CE">
        <w:t xml:space="preserve"> respondents to define impact in ways of their choosing, including in relation to intangibles</w:t>
      </w:r>
      <w:r w:rsidRPr="008051CE">
        <w:t xml:space="preserve">. The survey concluded by asking </w:t>
      </w:r>
      <w:r w:rsidR="00767F9D" w:rsidRPr="008051CE">
        <w:t>for any</w:t>
      </w:r>
      <w:r w:rsidRPr="008051CE">
        <w:t xml:space="preserve"> negative consequences from engaging with the fellowship process.</w:t>
      </w:r>
    </w:p>
    <w:p w14:paraId="1ED34D1A" w14:textId="77777777" w:rsidR="00FE1C5E" w:rsidRPr="008051CE" w:rsidRDefault="00FE1C5E" w:rsidP="00F70F22">
      <w:pPr>
        <w:pStyle w:val="Heading2"/>
      </w:pPr>
      <w:r w:rsidRPr="008051CE">
        <w:t>Sample</w:t>
      </w:r>
    </w:p>
    <w:p w14:paraId="2B4198D1" w14:textId="7DD7829E" w:rsidR="00FE1C5E" w:rsidRPr="008051CE" w:rsidRDefault="2ADF7AB3" w:rsidP="00F70F22">
      <w:pPr>
        <w:pStyle w:val="Paragraph"/>
        <w:spacing w:line="480" w:lineRule="auto"/>
      </w:pPr>
      <w:r w:rsidRPr="008051CE">
        <w:t xml:space="preserve">The survey was </w:t>
      </w:r>
      <w:r w:rsidRPr="008051CE">
        <w:rPr>
          <w:lang w:eastAsia="en-GB"/>
        </w:rPr>
        <w:t>developed</w:t>
      </w:r>
      <w:r w:rsidRPr="008051CE">
        <w:t xml:space="preserve"> in Survey Monkey</w:t>
      </w:r>
      <w:r w:rsidR="00B00FDA" w:rsidRPr="008051CE">
        <w:t>.</w:t>
      </w:r>
      <w:r w:rsidR="00767F9D" w:rsidRPr="008051CE">
        <w:t xml:space="preserve"> </w:t>
      </w:r>
      <w:r w:rsidR="00B00FDA" w:rsidRPr="008051CE">
        <w:t>E</w:t>
      </w:r>
      <w:r w:rsidR="00B352D9" w:rsidRPr="008051CE">
        <w:t>mail invitations (with a reminder 2 weeks later)</w:t>
      </w:r>
      <w:r w:rsidR="00767F9D" w:rsidRPr="008051CE">
        <w:t xml:space="preserve"> were </w:t>
      </w:r>
      <w:r w:rsidRPr="008051CE">
        <w:t xml:space="preserve">distributed </w:t>
      </w:r>
      <w:r w:rsidR="00736344">
        <w:t xml:space="preserve">by institutional leads </w:t>
      </w:r>
      <w:r w:rsidRPr="008051CE">
        <w:t xml:space="preserve">to all staff </w:t>
      </w:r>
      <w:r w:rsidR="00B00FDA" w:rsidRPr="008051CE">
        <w:t>w</w:t>
      </w:r>
      <w:r w:rsidRPr="008051CE">
        <w:t>ho had gained fellowship during the three preceding years</w:t>
      </w:r>
      <w:r w:rsidR="00B352D9" w:rsidRPr="008051CE">
        <w:t xml:space="preserve">. </w:t>
      </w:r>
      <w:r w:rsidR="00BD185A" w:rsidRPr="008051CE">
        <w:t xml:space="preserve">Response rates to web surveys are commonly lower than other survey modes </w:t>
      </w:r>
      <w:r w:rsidR="00F91D88" w:rsidRPr="008051CE">
        <w:t>with</w:t>
      </w:r>
      <w:r w:rsidR="00BD185A" w:rsidRPr="008051CE">
        <w:t xml:space="preserve"> wide variation in response rates used in published studies (Fan </w:t>
      </w:r>
      <w:r w:rsidR="005A0395">
        <w:t>&amp;</w:t>
      </w:r>
      <w:r w:rsidR="00BD185A" w:rsidRPr="008051CE">
        <w:t xml:space="preserve"> Yan, 2010; </w:t>
      </w:r>
      <w:proofErr w:type="spellStart"/>
      <w:r w:rsidR="00BD185A" w:rsidRPr="008051CE">
        <w:t>Nulty</w:t>
      </w:r>
      <w:proofErr w:type="spellEnd"/>
      <w:r w:rsidR="00BD185A" w:rsidRPr="008051CE">
        <w:t xml:space="preserve">, 2008). </w:t>
      </w:r>
      <w:r w:rsidR="00B00FDA" w:rsidRPr="008051CE">
        <w:t xml:space="preserve">Response representativeness is more important than response rate alone, and our sample is representative of the broader demographics of the fellowship population regarding gender, job type, and fellowship category. </w:t>
      </w:r>
      <w:r w:rsidR="00B352D9" w:rsidRPr="008051CE">
        <w:t xml:space="preserve">In </w:t>
      </w:r>
      <w:r w:rsidR="005C7D9F" w:rsidRPr="008051CE">
        <w:t xml:space="preserve">total 331 surveys were returned (an overall response rate of 25%), which compares well to </w:t>
      </w:r>
      <w:r w:rsidR="00B352D9" w:rsidRPr="008051CE">
        <w:t xml:space="preserve">those of </w:t>
      </w:r>
      <w:r w:rsidR="005C7D9F" w:rsidRPr="008051CE">
        <w:t>related studies (</w:t>
      </w:r>
      <w:proofErr w:type="spellStart"/>
      <w:r w:rsidR="005C7D9F" w:rsidRPr="008051CE">
        <w:t>Spowart</w:t>
      </w:r>
      <w:proofErr w:type="spellEnd"/>
      <w:r w:rsidR="005C7D9F" w:rsidRPr="008051CE">
        <w:t xml:space="preserve"> et al.</w:t>
      </w:r>
      <w:r w:rsidR="005A0395">
        <w:t>,</w:t>
      </w:r>
      <w:r w:rsidR="005C7D9F" w:rsidRPr="008051CE">
        <w:t xml:space="preserve"> 2017)</w:t>
      </w:r>
      <w:r w:rsidR="00121945" w:rsidRPr="008051CE">
        <w:t>.</w:t>
      </w:r>
      <w:r w:rsidR="003C567B" w:rsidRPr="008051CE">
        <w:t xml:space="preserve"> </w:t>
      </w:r>
      <w:r w:rsidR="00B352D9" w:rsidRPr="008051CE">
        <w:t>Table 2 d</w:t>
      </w:r>
      <w:r w:rsidRPr="008051CE">
        <w:t xml:space="preserve">etails </w:t>
      </w:r>
      <w:r w:rsidR="00B352D9" w:rsidRPr="008051CE">
        <w:t xml:space="preserve">the </w:t>
      </w:r>
      <w:r w:rsidRPr="008051CE">
        <w:t>sample size and response rates</w:t>
      </w:r>
      <w:r w:rsidR="00B352D9" w:rsidRPr="008051CE">
        <w:t>.</w:t>
      </w:r>
    </w:p>
    <w:p w14:paraId="0E905083" w14:textId="392F6A7D" w:rsidR="00FE1C5E" w:rsidRPr="008051CE" w:rsidRDefault="00FE1C5E" w:rsidP="00F70F22">
      <w:pPr>
        <w:pStyle w:val="Newparagraph"/>
        <w:ind w:firstLine="0"/>
        <w:jc w:val="center"/>
      </w:pPr>
      <w:r w:rsidRPr="008051CE">
        <w:t>[Insert Table 2]</w:t>
      </w:r>
    </w:p>
    <w:p w14:paraId="516D691C" w14:textId="77777777" w:rsidR="00FE1C5E" w:rsidRPr="008051CE" w:rsidRDefault="00FE1C5E" w:rsidP="00F70F22">
      <w:pPr>
        <w:pStyle w:val="Heading2"/>
      </w:pPr>
      <w:r w:rsidRPr="008051CE">
        <w:t>Data analysis</w:t>
      </w:r>
    </w:p>
    <w:p w14:paraId="6D6647DD" w14:textId="4FBAF5C3" w:rsidR="00FE1C5E" w:rsidRPr="008051CE" w:rsidRDefault="00B352D9" w:rsidP="00F70F22">
      <w:pPr>
        <w:pStyle w:val="Paragraph"/>
        <w:spacing w:line="480" w:lineRule="auto"/>
        <w:rPr>
          <w:color w:val="000000"/>
        </w:rPr>
      </w:pPr>
      <w:r w:rsidRPr="008051CE">
        <w:rPr>
          <w:color w:val="000000"/>
        </w:rPr>
        <w:t>Analysis of q</w:t>
      </w:r>
      <w:r w:rsidR="00FE1C5E" w:rsidRPr="008051CE">
        <w:rPr>
          <w:color w:val="000000"/>
        </w:rPr>
        <w:t>uantitative data</w:t>
      </w:r>
      <w:r w:rsidRPr="008051CE">
        <w:rPr>
          <w:color w:val="000000"/>
        </w:rPr>
        <w:t xml:space="preserve"> </w:t>
      </w:r>
      <w:r w:rsidRPr="008051CE">
        <w:rPr>
          <w:lang w:eastAsia="en-GB"/>
        </w:rPr>
        <w:t>yielded</w:t>
      </w:r>
      <w:r w:rsidR="00FE1C5E" w:rsidRPr="008051CE">
        <w:rPr>
          <w:color w:val="000000"/>
        </w:rPr>
        <w:t xml:space="preserve"> descriptive statistics</w:t>
      </w:r>
      <w:r w:rsidRPr="008051CE">
        <w:rPr>
          <w:color w:val="000000"/>
        </w:rPr>
        <w:t xml:space="preserve"> to</w:t>
      </w:r>
      <w:r w:rsidR="00FE1C5E" w:rsidRPr="008051CE">
        <w:rPr>
          <w:color w:val="000000"/>
        </w:rPr>
        <w:t xml:space="preserve"> highlight</w:t>
      </w:r>
      <w:r w:rsidRPr="008051CE">
        <w:rPr>
          <w:color w:val="000000"/>
        </w:rPr>
        <w:t xml:space="preserve"> broad </w:t>
      </w:r>
      <w:r w:rsidR="00FE1C5E" w:rsidRPr="008051CE">
        <w:rPr>
          <w:color w:val="000000"/>
        </w:rPr>
        <w:t xml:space="preserve">trends which </w:t>
      </w:r>
      <w:r w:rsidRPr="008051CE">
        <w:rPr>
          <w:color w:val="000000"/>
        </w:rPr>
        <w:t>provided</w:t>
      </w:r>
      <w:r w:rsidR="00FE1C5E" w:rsidRPr="008051CE">
        <w:rPr>
          <w:color w:val="000000"/>
        </w:rPr>
        <w:t xml:space="preserve"> the focus for more nuanced qualitative analysis using open-text data.</w:t>
      </w:r>
    </w:p>
    <w:p w14:paraId="07DFCA52" w14:textId="6FBF786F" w:rsidR="00FE1C5E" w:rsidRPr="008051CE" w:rsidRDefault="00B352D9" w:rsidP="00F70F22">
      <w:pPr>
        <w:pStyle w:val="Newparagraph"/>
        <w:spacing w:line="480" w:lineRule="auto"/>
      </w:pPr>
      <w:r w:rsidRPr="008051CE">
        <w:rPr>
          <w:lang w:eastAsia="en-GB"/>
        </w:rPr>
        <w:t>Initial coding of q</w:t>
      </w:r>
      <w:r w:rsidR="00FE1C5E" w:rsidRPr="008051CE">
        <w:rPr>
          <w:lang w:eastAsia="en-GB"/>
        </w:rPr>
        <w:t>ualitative</w:t>
      </w:r>
      <w:r w:rsidR="00FE1C5E" w:rsidRPr="008051CE">
        <w:rPr>
          <w:color w:val="000000"/>
        </w:rPr>
        <w:t xml:space="preserve"> data </w:t>
      </w:r>
      <w:r w:rsidRPr="008051CE">
        <w:rPr>
          <w:color w:val="000000"/>
        </w:rPr>
        <w:t>provided the</w:t>
      </w:r>
      <w:r w:rsidR="00FE1C5E" w:rsidRPr="008051CE">
        <w:rPr>
          <w:color w:val="000000"/>
        </w:rPr>
        <w:t xml:space="preserve"> </w:t>
      </w:r>
      <w:r w:rsidR="00FE1C5E" w:rsidRPr="008051CE">
        <w:rPr>
          <w:i/>
          <w:color w:val="000000"/>
        </w:rPr>
        <w:t>a priori</w:t>
      </w:r>
      <w:r w:rsidR="00FE1C5E" w:rsidRPr="008051CE">
        <w:rPr>
          <w:color w:val="000000"/>
        </w:rPr>
        <w:t xml:space="preserve"> analytic categories consistent with the research questions: </w:t>
      </w:r>
      <w:r w:rsidR="00FE1C5E" w:rsidRPr="008051CE">
        <w:rPr>
          <w:i/>
          <w:color w:val="000000"/>
        </w:rPr>
        <w:t>motivation</w:t>
      </w:r>
      <w:r w:rsidR="00FE1C5E" w:rsidRPr="008051CE">
        <w:rPr>
          <w:color w:val="000000"/>
        </w:rPr>
        <w:t xml:space="preserve"> and </w:t>
      </w:r>
      <w:r w:rsidR="00FE1C5E" w:rsidRPr="008051CE">
        <w:rPr>
          <w:i/>
          <w:color w:val="000000"/>
        </w:rPr>
        <w:t xml:space="preserve">impact. </w:t>
      </w:r>
      <w:r w:rsidR="00FE1C5E" w:rsidRPr="008051CE">
        <w:rPr>
          <w:color w:val="000000"/>
        </w:rPr>
        <w:t xml:space="preserve">Axial and selective </w:t>
      </w:r>
      <w:r w:rsidR="00FE1C5E" w:rsidRPr="008051CE">
        <w:t xml:space="preserve">coding techniques using NVivo 10 were applied </w:t>
      </w:r>
      <w:r w:rsidR="00192924" w:rsidRPr="008051CE">
        <w:t xml:space="preserve">to </w:t>
      </w:r>
      <w:r w:rsidR="004960DC">
        <w:t xml:space="preserve">systematically </w:t>
      </w:r>
      <w:r w:rsidR="00FE1C5E" w:rsidRPr="008051CE">
        <w:t>analyse</w:t>
      </w:r>
      <w:r w:rsidRPr="008051CE">
        <w:t xml:space="preserve"> </w:t>
      </w:r>
      <w:r w:rsidR="00FE1C5E" w:rsidRPr="008051CE">
        <w:t>data, identify emergent themes</w:t>
      </w:r>
      <w:r w:rsidR="005A0395">
        <w:t>,</w:t>
      </w:r>
      <w:r w:rsidR="00FE1C5E" w:rsidRPr="008051CE">
        <w:t xml:space="preserve"> and generat</w:t>
      </w:r>
      <w:r w:rsidR="005A0395">
        <w:t>e</w:t>
      </w:r>
      <w:r w:rsidR="00FE1C5E" w:rsidRPr="008051CE">
        <w:t xml:space="preserve"> a thick description of the dimensions of impact </w:t>
      </w:r>
      <w:r w:rsidR="00FE1C5E" w:rsidRPr="008051CE">
        <w:rPr>
          <w:noProof/>
        </w:rPr>
        <w:t>(Corbin &amp; Strauss, 2008)</w:t>
      </w:r>
      <w:r w:rsidR="00FE1C5E" w:rsidRPr="008051CE">
        <w:t>. To achieve theoretical saturation, data analysis was recursive</w:t>
      </w:r>
      <w:r w:rsidRPr="008051CE">
        <w:t xml:space="preserve">: </w:t>
      </w:r>
      <w:r w:rsidR="00FE1C5E" w:rsidRPr="008051CE">
        <w:t xml:space="preserve">themes </w:t>
      </w:r>
      <w:r w:rsidRPr="008051CE">
        <w:t xml:space="preserve">underwent constant </w:t>
      </w:r>
      <w:r w:rsidRPr="008051CE">
        <w:lastRenderedPageBreak/>
        <w:t xml:space="preserve">comparison through </w:t>
      </w:r>
      <w:r w:rsidR="00FE1C5E" w:rsidRPr="008051CE">
        <w:t xml:space="preserve">wider research team </w:t>
      </w:r>
      <w:r w:rsidRPr="008051CE">
        <w:t xml:space="preserve">discussion </w:t>
      </w:r>
      <w:r w:rsidR="00FE1C5E" w:rsidRPr="008051CE">
        <w:t xml:space="preserve">to confirm interrater reliability </w:t>
      </w:r>
      <w:r w:rsidR="00FE1C5E" w:rsidRPr="008051CE">
        <w:rPr>
          <w:noProof/>
        </w:rPr>
        <w:t>(Silverman &amp; Marvasti, 2008)</w:t>
      </w:r>
      <w:r w:rsidR="00FE1C5E" w:rsidRPr="008051CE">
        <w:t xml:space="preserve">. </w:t>
      </w:r>
    </w:p>
    <w:p w14:paraId="2F6167F5" w14:textId="11715FC8" w:rsidR="00FE1C5E" w:rsidRPr="008051CE" w:rsidRDefault="00FE1C5E" w:rsidP="00F70F22">
      <w:pPr>
        <w:pStyle w:val="Heading1"/>
        <w:rPr>
          <w:lang w:eastAsia="en-GB"/>
        </w:rPr>
      </w:pPr>
      <w:r w:rsidRPr="008051CE">
        <w:rPr>
          <w:lang w:eastAsia="en-GB"/>
        </w:rPr>
        <w:t xml:space="preserve">Results </w:t>
      </w:r>
    </w:p>
    <w:p w14:paraId="46DDF660" w14:textId="794A1936" w:rsidR="00FE1C5E" w:rsidRPr="008051CE" w:rsidRDefault="00B352D9" w:rsidP="00F70F22">
      <w:pPr>
        <w:pStyle w:val="Paragraph"/>
        <w:spacing w:line="480" w:lineRule="auto"/>
        <w:rPr>
          <w:lang w:eastAsia="en-GB"/>
        </w:rPr>
      </w:pPr>
      <w:r w:rsidRPr="008051CE">
        <w:rPr>
          <w:lang w:eastAsia="en-GB"/>
        </w:rPr>
        <w:t>Here</w:t>
      </w:r>
      <w:r w:rsidR="00FE1C5E" w:rsidRPr="008051CE">
        <w:rPr>
          <w:lang w:eastAsia="en-GB"/>
        </w:rPr>
        <w:t xml:space="preserve"> we report and discuss the results of our data analysis relating to </w:t>
      </w:r>
      <w:r w:rsidR="00E13F90" w:rsidRPr="008051CE">
        <w:rPr>
          <w:lang w:eastAsia="en-GB"/>
        </w:rPr>
        <w:t xml:space="preserve">educator perceptions of </w:t>
      </w:r>
      <w:r w:rsidR="00FE1C5E" w:rsidRPr="008051CE">
        <w:rPr>
          <w:lang w:eastAsia="en-GB"/>
        </w:rPr>
        <w:t>the impact of the PSF and fellowship scheme.</w:t>
      </w:r>
    </w:p>
    <w:p w14:paraId="4C418895" w14:textId="77777777" w:rsidR="00FE1C5E" w:rsidRPr="008051CE" w:rsidRDefault="00FE1C5E" w:rsidP="00F70F22">
      <w:pPr>
        <w:pStyle w:val="Heading2"/>
      </w:pPr>
      <w:r w:rsidRPr="008051CE">
        <w:t>Demographics</w:t>
      </w:r>
    </w:p>
    <w:p w14:paraId="09218F74" w14:textId="121CC90C" w:rsidR="00FE1C5E" w:rsidRPr="008051CE" w:rsidRDefault="00FE1C5E" w:rsidP="00F70F22">
      <w:pPr>
        <w:pStyle w:val="Paragraph"/>
        <w:spacing w:line="480" w:lineRule="auto"/>
      </w:pPr>
      <w:r w:rsidRPr="008051CE">
        <w:t xml:space="preserve">Participants </w:t>
      </w:r>
      <w:r w:rsidR="00D300D4" w:rsidRPr="008051CE">
        <w:t>broadly reflected</w:t>
      </w:r>
      <w:r w:rsidRPr="008051CE">
        <w:t xml:space="preserve"> the demographics of the wider fellowship and HE community in that there were more women than men (66%), and the majority had worked in the sector for </w:t>
      </w:r>
      <w:r w:rsidR="00D300D4" w:rsidRPr="008051CE">
        <w:t>over</w:t>
      </w:r>
      <w:r w:rsidRPr="008051CE">
        <w:t xml:space="preserve"> 5 years (74%). A total of 21% had held fellowship for less than six months and 16% for more than two years. </w:t>
      </w:r>
      <w:r w:rsidR="00D300D4" w:rsidRPr="008051CE">
        <w:t xml:space="preserve">The sample represented all </w:t>
      </w:r>
      <w:r w:rsidRPr="008051CE">
        <w:t xml:space="preserve">four </w:t>
      </w:r>
      <w:r w:rsidR="00D300D4" w:rsidRPr="008051CE">
        <w:t xml:space="preserve">fellowship </w:t>
      </w:r>
      <w:r w:rsidRPr="008051CE">
        <w:t>categories</w:t>
      </w:r>
      <w:r w:rsidR="00192924" w:rsidRPr="008051CE">
        <w:t xml:space="preserve"> </w:t>
      </w:r>
      <w:r w:rsidR="00CD5267">
        <w:t xml:space="preserve">and </w:t>
      </w:r>
      <w:r w:rsidR="00D300D4" w:rsidRPr="008051CE">
        <w:t xml:space="preserve">broadly </w:t>
      </w:r>
      <w:r w:rsidR="00CD5267" w:rsidRPr="008051CE">
        <w:t>mirror</w:t>
      </w:r>
      <w:r w:rsidR="00CD5267">
        <w:t>ed</w:t>
      </w:r>
      <w:r w:rsidR="00CD5267" w:rsidRPr="008051CE">
        <w:t xml:space="preserve"> </w:t>
      </w:r>
      <w:r w:rsidRPr="008051CE">
        <w:t>wider fellowship</w:t>
      </w:r>
      <w:r w:rsidR="000676CE">
        <w:t xml:space="preserve"> populations</w:t>
      </w:r>
      <w:r w:rsidRPr="008051CE">
        <w:t xml:space="preserve">. </w:t>
      </w:r>
      <w:r w:rsidR="008342D3" w:rsidRPr="008051CE">
        <w:t>Data relating to ethnicity were not collected</w:t>
      </w:r>
      <w:r w:rsidR="00D300D4" w:rsidRPr="008051CE">
        <w:t>. Table 3 provides</w:t>
      </w:r>
      <w:r w:rsidR="008342D3" w:rsidRPr="008051CE">
        <w:t xml:space="preserve"> full d</w:t>
      </w:r>
      <w:r w:rsidRPr="008051CE">
        <w:t>emographic details</w:t>
      </w:r>
      <w:r w:rsidR="00D300D4" w:rsidRPr="008051CE">
        <w:t>.</w:t>
      </w:r>
    </w:p>
    <w:p w14:paraId="67890804" w14:textId="3AF30F41" w:rsidR="00FE1C5E" w:rsidRPr="008051CE" w:rsidRDefault="00FE1C5E" w:rsidP="00F70F22">
      <w:pPr>
        <w:pStyle w:val="Newparagraph"/>
        <w:ind w:firstLine="0"/>
        <w:jc w:val="center"/>
      </w:pPr>
      <w:r w:rsidRPr="008051CE">
        <w:t>[Insert Table 3]</w:t>
      </w:r>
    </w:p>
    <w:p w14:paraId="0F05681C" w14:textId="77777777" w:rsidR="00FE1C5E" w:rsidRPr="008051CE" w:rsidRDefault="00FE1C5E" w:rsidP="00F70F22">
      <w:pPr>
        <w:pStyle w:val="Newparagraph"/>
      </w:pPr>
    </w:p>
    <w:p w14:paraId="5D77A7CD" w14:textId="4EB0D594" w:rsidR="00FE1C5E" w:rsidRPr="008051CE" w:rsidRDefault="7D063387" w:rsidP="00F70F22">
      <w:pPr>
        <w:pStyle w:val="Newparagraph"/>
        <w:spacing w:line="480" w:lineRule="auto"/>
      </w:pPr>
      <w:r w:rsidRPr="008051CE">
        <w:t xml:space="preserve">Survey respondents self-designated their </w:t>
      </w:r>
      <w:r w:rsidR="00D300D4" w:rsidRPr="008051CE">
        <w:t xml:space="preserve">learning and teaching </w:t>
      </w:r>
      <w:r w:rsidRPr="008051CE">
        <w:t xml:space="preserve">role, the majority (62%) selecting ‘traditional academic’ or ‘teaching-focused academic’. Of note are the percentages of ‘learning support’ (9%), ‘administrative’ (5%), and ‘technical’ (2%) respondents, highlighting a shift to </w:t>
      </w:r>
      <w:r w:rsidR="00D300D4" w:rsidRPr="008051CE">
        <w:t xml:space="preserve">the wider range of roles </w:t>
      </w:r>
      <w:r w:rsidRPr="008051CE">
        <w:t>support</w:t>
      </w:r>
      <w:r w:rsidR="00D300D4" w:rsidRPr="008051CE">
        <w:t>ing HE</w:t>
      </w:r>
      <w:r w:rsidRPr="008051CE">
        <w:t xml:space="preserve"> learning. </w:t>
      </w:r>
    </w:p>
    <w:p w14:paraId="526D5510" w14:textId="6E278FA3" w:rsidR="00FE1C5E" w:rsidRPr="008051CE" w:rsidRDefault="00D300D4" w:rsidP="00F70F22">
      <w:pPr>
        <w:pStyle w:val="Newparagraph"/>
        <w:spacing w:line="480" w:lineRule="auto"/>
      </w:pPr>
      <w:r w:rsidRPr="008051CE">
        <w:t xml:space="preserve"> Most</w:t>
      </w:r>
      <w:r w:rsidR="7D063387" w:rsidRPr="008051CE">
        <w:t xml:space="preserve"> respondents achieved fellowship through an experiential institutional scheme (69%), with</w:t>
      </w:r>
      <w:r w:rsidRPr="008051CE">
        <w:t xml:space="preserve"> fewer</w:t>
      </w:r>
      <w:r w:rsidR="7D063387" w:rsidRPr="008051CE">
        <w:t xml:space="preserve"> undertaking taught courses (24%). </w:t>
      </w:r>
      <w:r w:rsidR="00F91D88" w:rsidRPr="008051CE">
        <w:t xml:space="preserve">Over </w:t>
      </w:r>
      <w:r w:rsidR="7D063387" w:rsidRPr="008051CE">
        <w:t>half had produced a written application (57%), and significant numbers had engaged in oral assessment (29%)</w:t>
      </w:r>
      <w:r w:rsidR="00F91D88" w:rsidRPr="008051CE">
        <w:t>, reflecting</w:t>
      </w:r>
      <w:r w:rsidR="00192924" w:rsidRPr="008051CE">
        <w:t xml:space="preserve"> </w:t>
      </w:r>
      <w:r w:rsidR="7D063387" w:rsidRPr="008051CE">
        <w:t xml:space="preserve">sector-wide diversification </w:t>
      </w:r>
      <w:r w:rsidRPr="008051CE">
        <w:t>through</w:t>
      </w:r>
      <w:r w:rsidR="7D063387" w:rsidRPr="008051CE">
        <w:t xml:space="preserve"> contextualised approaches to recognition </w:t>
      </w:r>
      <w:r w:rsidR="7D063387" w:rsidRPr="008051CE">
        <w:rPr>
          <w:noProof/>
        </w:rPr>
        <w:t>(Smith, 2018)</w:t>
      </w:r>
      <w:r w:rsidR="7D063387" w:rsidRPr="008051CE">
        <w:t xml:space="preserve">. </w:t>
      </w:r>
    </w:p>
    <w:p w14:paraId="47652EBD" w14:textId="77777777" w:rsidR="00FE1C5E" w:rsidRPr="008051CE" w:rsidRDefault="00FE1C5E" w:rsidP="00F70F22">
      <w:pPr>
        <w:pStyle w:val="Heading2"/>
      </w:pPr>
      <w:r w:rsidRPr="008051CE">
        <w:t>Impact on self, practice, and peers</w:t>
      </w:r>
    </w:p>
    <w:p w14:paraId="0FBEE008" w14:textId="0663CD42" w:rsidR="00FE1C5E" w:rsidRPr="008051CE" w:rsidRDefault="00FE1C5E" w:rsidP="00F70F22">
      <w:pPr>
        <w:pStyle w:val="Paragraph"/>
        <w:spacing w:line="480" w:lineRule="auto"/>
      </w:pPr>
      <w:r w:rsidRPr="008051CE">
        <w:t xml:space="preserve">Our analysis </w:t>
      </w:r>
      <w:r w:rsidR="00192924" w:rsidRPr="008051CE">
        <w:t xml:space="preserve">of the data </w:t>
      </w:r>
      <w:r w:rsidR="00FE6530" w:rsidRPr="008051CE">
        <w:t>indicates multiple</w:t>
      </w:r>
      <w:r w:rsidRPr="008051CE">
        <w:t xml:space="preserve"> ways in which </w:t>
      </w:r>
      <w:r w:rsidR="005F1370" w:rsidRPr="008051CE">
        <w:t xml:space="preserve">educators perceive fellowship </w:t>
      </w:r>
      <w:r w:rsidR="005F1370" w:rsidRPr="008051CE">
        <w:lastRenderedPageBreak/>
        <w:t>impacts on their sense of self, practice and community. This includes</w:t>
      </w:r>
      <w:r w:rsidRPr="008051CE">
        <w:t xml:space="preserve"> 1) enhanced sense of self-efficacy and professional identity, 2) a reframing of work as scholarly, 3) career development, 4) use of </w:t>
      </w:r>
      <w:r w:rsidR="00B36DB9" w:rsidRPr="008051CE">
        <w:t>innovative</w:t>
      </w:r>
      <w:r w:rsidR="00FE6530" w:rsidRPr="008051CE">
        <w:t>/</w:t>
      </w:r>
      <w:r w:rsidRPr="008051CE">
        <w:t>effective</w:t>
      </w:r>
      <w:r w:rsidR="00192924" w:rsidRPr="008051CE">
        <w:t xml:space="preserve"> </w:t>
      </w:r>
      <w:r w:rsidR="00B36DB9" w:rsidRPr="008051CE">
        <w:t>methods</w:t>
      </w:r>
      <w:r w:rsidRPr="008051CE">
        <w:t xml:space="preserve">, and 5) connection to a network of people who value teaching. </w:t>
      </w:r>
    </w:p>
    <w:p w14:paraId="28A53E71" w14:textId="77777777" w:rsidR="00FE1C5E" w:rsidRPr="008051CE" w:rsidRDefault="00FE1C5E" w:rsidP="00F70F22">
      <w:pPr>
        <w:pStyle w:val="Heading3"/>
      </w:pPr>
      <w:r w:rsidRPr="008051CE">
        <w:t>Self-efficacy and professional identity</w:t>
      </w:r>
    </w:p>
    <w:p w14:paraId="66593CFB" w14:textId="6350580A" w:rsidR="00FE1C5E" w:rsidRPr="008051CE" w:rsidRDefault="00FE1C5E" w:rsidP="00F70F22">
      <w:pPr>
        <w:pStyle w:val="Paragraph"/>
        <w:spacing w:line="480" w:lineRule="auto"/>
      </w:pPr>
      <w:r w:rsidRPr="008051CE">
        <w:t xml:space="preserve">Self-efficacy is </w:t>
      </w:r>
      <w:r w:rsidRPr="008051CE">
        <w:rPr>
          <w:lang w:eastAsia="en-GB"/>
        </w:rPr>
        <w:t>defined</w:t>
      </w:r>
      <w:r w:rsidRPr="008051CE">
        <w:t xml:space="preserve"> as ‘people’s judgements of their capabilities to organise and execute courses of action required to attain designated types of performances’ (Bandura, 1986, p. 391). It has long been associated with examining the impact of professional development because of the relationship between belief in capabilities and persistence, effecting actual behavioural change </w:t>
      </w:r>
      <w:r w:rsidR="00C33618">
        <w:t>and</w:t>
      </w:r>
      <w:r w:rsidRPr="008051CE">
        <w:t xml:space="preserve"> improvements to teaching quality </w:t>
      </w:r>
      <w:r w:rsidRPr="008051CE">
        <w:rPr>
          <w:noProof/>
        </w:rPr>
        <w:t>(Greer et al., 2016)</w:t>
      </w:r>
      <w:r w:rsidRPr="008051CE">
        <w:t xml:space="preserve">. Seventy per cent of participants indicated that achieving recognition </w:t>
      </w:r>
      <w:r w:rsidR="00FE6530" w:rsidRPr="008051CE">
        <w:t>increased their confidence</w:t>
      </w:r>
      <w:r w:rsidRPr="008051CE">
        <w:t xml:space="preserve">. For some, </w:t>
      </w:r>
      <w:r w:rsidR="006E1815" w:rsidRPr="008051CE">
        <w:t xml:space="preserve">the use of a professional standard enhanced </w:t>
      </w:r>
      <w:r w:rsidRPr="008051CE">
        <w:t>confidence:</w:t>
      </w:r>
    </w:p>
    <w:p w14:paraId="0885516A" w14:textId="521838F8" w:rsidR="00FE1C5E" w:rsidRPr="008051CE" w:rsidRDefault="00FE1C5E" w:rsidP="00F70F22">
      <w:pPr>
        <w:pStyle w:val="Displayedquotation"/>
        <w:rPr>
          <w:b/>
          <w:bCs/>
        </w:rPr>
      </w:pPr>
      <w:r w:rsidRPr="008051CE">
        <w:t xml:space="preserve">… it is especially helpful for those moving into academia from industry; </w:t>
      </w:r>
      <w:proofErr w:type="gramStart"/>
      <w:r w:rsidRPr="008051CE">
        <w:t>and,</w:t>
      </w:r>
      <w:proofErr w:type="gramEnd"/>
      <w:r w:rsidRPr="008051CE">
        <w:t xml:space="preserve"> it is encouraging to feel </w:t>
      </w:r>
      <w:r w:rsidRPr="008051CE">
        <w:rPr>
          <w:lang w:eastAsia="en-GB"/>
        </w:rPr>
        <w:t>that</w:t>
      </w:r>
      <w:r w:rsidRPr="008051CE">
        <w:t xml:space="preserve"> you are meeting the appropriate professional standards. (Male, Teaching-focused academic, FHEA, UNI-B)</w:t>
      </w:r>
    </w:p>
    <w:p w14:paraId="7D90F604" w14:textId="77777777" w:rsidR="00FE1C5E" w:rsidRPr="008051CE" w:rsidRDefault="00FE1C5E" w:rsidP="00B46236">
      <w:pPr>
        <w:pStyle w:val="Displayedquotation"/>
        <w:ind w:left="0"/>
      </w:pPr>
    </w:p>
    <w:p w14:paraId="1C5261BA" w14:textId="4975EC1D" w:rsidR="00FE1C5E" w:rsidRPr="008051CE" w:rsidRDefault="7D063387" w:rsidP="00110391">
      <w:pPr>
        <w:pStyle w:val="Newparagraph"/>
        <w:spacing w:line="480" w:lineRule="auto"/>
      </w:pPr>
      <w:r w:rsidRPr="008051CE">
        <w:t>For others, confidence came through a feeling of validation and fit within the university,</w:t>
      </w:r>
      <w:r w:rsidR="006E1815" w:rsidRPr="008051CE">
        <w:t xml:space="preserve"> and </w:t>
      </w:r>
      <w:r w:rsidRPr="008051CE">
        <w:t xml:space="preserve">of being </w:t>
      </w:r>
      <w:r w:rsidR="00C33618">
        <w:t>accepted</w:t>
      </w:r>
      <w:r w:rsidR="00C33618" w:rsidRPr="008051CE">
        <w:t xml:space="preserve"> </w:t>
      </w:r>
      <w:r w:rsidRPr="008051CE">
        <w:t>by a community of peers. "Imposter” syndrome within HE is well</w:t>
      </w:r>
      <w:r w:rsidR="006E1815" w:rsidRPr="008051CE">
        <w:t>-</w:t>
      </w:r>
      <w:r w:rsidRPr="008051CE">
        <w:t xml:space="preserve">documented </w:t>
      </w:r>
      <w:r w:rsidRPr="008051CE">
        <w:rPr>
          <w:noProof/>
        </w:rPr>
        <w:t>(Parkman, 2016)</w:t>
      </w:r>
      <w:r w:rsidRPr="008051CE">
        <w:t xml:space="preserve">, and </w:t>
      </w:r>
      <w:r w:rsidR="006E1815" w:rsidRPr="008051CE">
        <w:t xml:space="preserve"> several respondents cited</w:t>
      </w:r>
      <w:r w:rsidRPr="008051CE">
        <w:t xml:space="preserve"> fellowship as an affirmation of belonging:</w:t>
      </w:r>
    </w:p>
    <w:p w14:paraId="1F7BD751" w14:textId="4E028795" w:rsidR="00FE1C5E" w:rsidRPr="008051CE" w:rsidRDefault="00FE1C5E" w:rsidP="00F70F22">
      <w:pPr>
        <w:pStyle w:val="Displayedquotation"/>
      </w:pPr>
      <w:r w:rsidRPr="008051CE">
        <w:t xml:space="preserve">Many of the things that I just 'do' I thought were standard things that everyone would 'do', but </w:t>
      </w:r>
      <w:r w:rsidRPr="008051CE">
        <w:rPr>
          <w:lang w:eastAsia="en-GB"/>
        </w:rPr>
        <w:t>since</w:t>
      </w:r>
      <w:r w:rsidRPr="008051CE">
        <w:t xml:space="preserve"> obtaining fellowship, many colleagues have sought mentoring from me to develop their skills and capacities in the areas that I previously thought were pretty standard and normal</w:t>
      </w:r>
      <w:r w:rsidR="00F16901">
        <w:t>.</w:t>
      </w:r>
      <w:r w:rsidRPr="008051CE">
        <w:t xml:space="preserve"> (Female, Traditional academic, FHEA, UNI-C)</w:t>
      </w:r>
    </w:p>
    <w:p w14:paraId="6D00017C" w14:textId="5AB19A1D" w:rsidR="00FE1C5E" w:rsidRPr="008051CE" w:rsidRDefault="00FE1C5E" w:rsidP="00F70F22">
      <w:pPr>
        <w:pStyle w:val="Newparagraph"/>
        <w:spacing w:line="480" w:lineRule="auto"/>
      </w:pPr>
      <w:r w:rsidRPr="008051CE">
        <w:lastRenderedPageBreak/>
        <w:t xml:space="preserve">In particular, the importance of being judged as ‘belonging’ was significant </w:t>
      </w:r>
      <w:r w:rsidR="006E1815" w:rsidRPr="008051CE">
        <w:t xml:space="preserve">for </w:t>
      </w:r>
      <w:r w:rsidRPr="008051CE">
        <w:t>staff in non-</w:t>
      </w:r>
      <w:r w:rsidRPr="008051CE">
        <w:rPr>
          <w:lang w:eastAsia="en-GB"/>
        </w:rPr>
        <w:t>traditional</w:t>
      </w:r>
      <w:r w:rsidRPr="008051CE">
        <w:t xml:space="preserve"> academic roles:</w:t>
      </w:r>
    </w:p>
    <w:p w14:paraId="3445E1B1" w14:textId="22F5E297" w:rsidR="00FE1C5E" w:rsidRPr="008051CE" w:rsidRDefault="00FE1C5E" w:rsidP="00F70F22">
      <w:pPr>
        <w:pStyle w:val="Displayedquotation"/>
      </w:pPr>
      <w:r w:rsidRPr="008051CE">
        <w:t xml:space="preserve">Being a fellow, I believe helps 'normalise' our research degree students within the broader </w:t>
      </w:r>
      <w:r w:rsidRPr="008051CE">
        <w:rPr>
          <w:lang w:eastAsia="en-GB"/>
        </w:rPr>
        <w:t>student</w:t>
      </w:r>
      <w:r w:rsidRPr="008051CE">
        <w:t xml:space="preserve"> community </w:t>
      </w:r>
      <w:r w:rsidR="006E1815" w:rsidRPr="008051CE">
        <w:t>…</w:t>
      </w:r>
      <w:r w:rsidRPr="008051CE">
        <w:t>my fellowship allows me to situate my role (as a researcher developer) in a broader teaching and learning environment. (Female, Educational/staff developer, SFHEA, UNI-B)</w:t>
      </w:r>
    </w:p>
    <w:p w14:paraId="77F00FA6" w14:textId="77777777" w:rsidR="00FE1C5E" w:rsidRPr="008051CE" w:rsidRDefault="00FE1C5E" w:rsidP="00F70F22">
      <w:pPr>
        <w:pStyle w:val="Heading3"/>
      </w:pPr>
      <w:r w:rsidRPr="008051CE">
        <w:t>Engagement with the scholarly evidence base for learning and teaching</w:t>
      </w:r>
    </w:p>
    <w:p w14:paraId="4F955707" w14:textId="0684364B" w:rsidR="00FE1C5E" w:rsidRPr="008051CE" w:rsidRDefault="7D063387" w:rsidP="00CC5808">
      <w:pPr>
        <w:pStyle w:val="Paragraph"/>
        <w:spacing w:line="480" w:lineRule="auto"/>
      </w:pPr>
      <w:r w:rsidRPr="008051CE">
        <w:t xml:space="preserve">The second major impact of recognition was deeper engagement with the </w:t>
      </w:r>
      <w:r w:rsidR="00C33618">
        <w:t>scholarship</w:t>
      </w:r>
      <w:r w:rsidRPr="008051CE">
        <w:t>. This supports the notion of the scholarship of teaching and learning (SOTL) as ‘authentic practice’ for professional educators (</w:t>
      </w:r>
      <w:proofErr w:type="spellStart"/>
      <w:r w:rsidRPr="008051CE">
        <w:t>Kreber</w:t>
      </w:r>
      <w:proofErr w:type="spellEnd"/>
      <w:r w:rsidRPr="008051CE">
        <w:t xml:space="preserve">, 2013). Engagement with SOTL can shape reflection on practice and empower educators to resolve challenges </w:t>
      </w:r>
      <w:r w:rsidRPr="008051CE">
        <w:rPr>
          <w:noProof/>
        </w:rPr>
        <w:t>(Boyer, 1990)</w:t>
      </w:r>
      <w:r w:rsidRPr="008051CE">
        <w:t xml:space="preserve">. </w:t>
      </w:r>
      <w:r w:rsidR="006E1815" w:rsidRPr="008051CE">
        <w:t xml:space="preserve"> Most</w:t>
      </w:r>
      <w:r w:rsidRPr="008051CE">
        <w:t xml:space="preserve"> participants </w:t>
      </w:r>
      <w:r w:rsidR="006E1815" w:rsidRPr="008051CE">
        <w:t xml:space="preserve">(78%) </w:t>
      </w:r>
      <w:r w:rsidRPr="008051CE">
        <w:t xml:space="preserve">indicated that fellowship had led them to engage with the scholarly evidence base and, for some </w:t>
      </w:r>
      <w:r w:rsidR="004D10CC">
        <w:t>this was</w:t>
      </w:r>
      <w:r w:rsidR="006E1815" w:rsidRPr="008051CE">
        <w:t xml:space="preserve"> a new </w:t>
      </w:r>
      <w:r w:rsidR="004D10CC">
        <w:t>experience</w:t>
      </w:r>
      <w:r w:rsidRPr="008051CE">
        <w:t>:</w:t>
      </w:r>
    </w:p>
    <w:p w14:paraId="2F388DF9" w14:textId="1E830224" w:rsidR="00FE1C5E" w:rsidRPr="008051CE" w:rsidRDefault="00FE1C5E" w:rsidP="00F70F22">
      <w:pPr>
        <w:pStyle w:val="Displayedquotation"/>
      </w:pPr>
      <w:r w:rsidRPr="008051CE">
        <w:t>I was quite new to academic teaching … and had followed an instinctive approach rather than a pedagogical one. However, I found much of my thinking resonated with the literature, and that gave me confidence alongside peer review of my teaching practice. (Male, Teaching-focused academic, FHEA, UNI-B)</w:t>
      </w:r>
    </w:p>
    <w:p w14:paraId="27AB488C" w14:textId="77777777" w:rsidR="00FE1C5E" w:rsidRPr="008051CE" w:rsidRDefault="00FE1C5E" w:rsidP="00F70F22">
      <w:pPr>
        <w:pStyle w:val="Displayedquotation"/>
      </w:pPr>
    </w:p>
    <w:p w14:paraId="710AFA73" w14:textId="5C160491" w:rsidR="00FE1C5E" w:rsidRPr="008051CE" w:rsidRDefault="00FE1C5E" w:rsidP="002304ED">
      <w:pPr>
        <w:pStyle w:val="Newparagraph"/>
        <w:spacing w:line="480" w:lineRule="auto"/>
        <w:ind w:firstLine="0"/>
      </w:pPr>
      <w:r w:rsidRPr="008051CE">
        <w:t>For others, fellowship was an opportunity to reconnect with literature:</w:t>
      </w:r>
    </w:p>
    <w:p w14:paraId="4D36F494" w14:textId="3D952A42" w:rsidR="00FE1C5E" w:rsidRPr="008051CE" w:rsidRDefault="00FE1C5E" w:rsidP="00F70F22">
      <w:pPr>
        <w:pStyle w:val="Displayedquotation"/>
        <w:rPr>
          <w:lang w:eastAsia="en-GB"/>
        </w:rPr>
      </w:pPr>
      <w:r w:rsidRPr="008051CE">
        <w:rPr>
          <w:lang w:eastAsia="en-GB"/>
        </w:rPr>
        <w:t>It prompted me to revisit some literature that I hadn't looked at for a while, and this sharpened my focus when planning workshops and other learning events for staff. (Female, Learning support role, SFHEA, UNI-C)</w:t>
      </w:r>
    </w:p>
    <w:p w14:paraId="5051B3B2" w14:textId="77777777" w:rsidR="00FE1C5E" w:rsidRPr="008051CE" w:rsidRDefault="00FE1C5E" w:rsidP="00F70F22">
      <w:pPr>
        <w:pStyle w:val="Displayedquotation"/>
        <w:rPr>
          <w:lang w:eastAsia="en-GB"/>
        </w:rPr>
      </w:pPr>
    </w:p>
    <w:p w14:paraId="69679D03" w14:textId="4D6C2B34" w:rsidR="00FE1C5E" w:rsidRPr="008051CE" w:rsidRDefault="00FE1C5E" w:rsidP="00F70F22">
      <w:pPr>
        <w:pStyle w:val="Newparagraph"/>
        <w:spacing w:line="480" w:lineRule="auto"/>
      </w:pPr>
      <w:r w:rsidRPr="008051CE">
        <w:t xml:space="preserve">Several commented poignantly on their sense of disconnect from the academic </w:t>
      </w:r>
      <w:r w:rsidRPr="008051CE">
        <w:rPr>
          <w:lang w:eastAsia="en-GB"/>
        </w:rPr>
        <w:t>community</w:t>
      </w:r>
      <w:r w:rsidRPr="008051CE">
        <w:t xml:space="preserve"> and scholarly evidence, and the surprisingly positive impact that achieving fellowship had:</w:t>
      </w:r>
    </w:p>
    <w:p w14:paraId="46FF64C4" w14:textId="7D698339" w:rsidR="00FE1C5E" w:rsidRPr="008051CE" w:rsidRDefault="00FE1C5E" w:rsidP="00F70F22">
      <w:pPr>
        <w:pStyle w:val="Displayedquotation"/>
        <w:rPr>
          <w:lang w:eastAsia="en-GB"/>
        </w:rPr>
      </w:pPr>
      <w:r w:rsidRPr="008051CE">
        <w:rPr>
          <w:lang w:eastAsia="en-GB"/>
        </w:rPr>
        <w:lastRenderedPageBreak/>
        <w:t xml:space="preserve">While I was not happy to have to do this after having taught for more than 20 years </w:t>
      </w:r>
      <w:r w:rsidR="006E1815" w:rsidRPr="008051CE">
        <w:rPr>
          <w:lang w:eastAsia="en-GB"/>
        </w:rPr>
        <w:t>…</w:t>
      </w:r>
      <w:r w:rsidRPr="008051CE">
        <w:rPr>
          <w:lang w:eastAsia="en-GB"/>
        </w:rPr>
        <w:t>it did help me remember what was important in my teaching, and made me aware of interesting new developments (e.g. concerning assessment). (Female, Traditional academic, FHEA, UNI-D)</w:t>
      </w:r>
    </w:p>
    <w:p w14:paraId="4EC98387" w14:textId="5273182C" w:rsidR="00FE1C5E" w:rsidRPr="008051CE" w:rsidRDefault="00FE1C5E" w:rsidP="00F70F22">
      <w:pPr>
        <w:pStyle w:val="Newparagraph"/>
        <w:spacing w:line="480" w:lineRule="auto"/>
      </w:pPr>
      <w:r w:rsidRPr="008051CE">
        <w:t>Above all,</w:t>
      </w:r>
      <w:r w:rsidR="00FE6530" w:rsidRPr="008051CE">
        <w:t xml:space="preserve"> participants</w:t>
      </w:r>
      <w:r w:rsidRPr="008051CE">
        <w:t xml:space="preserve"> talked about feeling empowered by </w:t>
      </w:r>
      <w:r w:rsidR="004D10CC">
        <w:t>using</w:t>
      </w:r>
      <w:r w:rsidR="004D10CC" w:rsidRPr="008051CE">
        <w:t xml:space="preserve"> </w:t>
      </w:r>
      <w:r w:rsidR="0024143E">
        <w:t>literature</w:t>
      </w:r>
      <w:r w:rsidRPr="008051CE">
        <w:t xml:space="preserve"> to find solutions to challenges encountered in practice. One noted, ‘I had no idea of pedagogy beforehand’ (Male, Traditional academic (blend of teaching/research and administration), FHEA, UNI-F), while another noted:</w:t>
      </w:r>
    </w:p>
    <w:p w14:paraId="23C7A118" w14:textId="1450DE36" w:rsidR="00FE1C5E" w:rsidRPr="008051CE" w:rsidRDefault="00FE1C5E" w:rsidP="00F70F22">
      <w:pPr>
        <w:pStyle w:val="Displayedquotation"/>
        <w:rPr>
          <w:lang w:eastAsia="en-GB"/>
        </w:rPr>
      </w:pPr>
      <w:r w:rsidRPr="008051CE">
        <w:rPr>
          <w:lang w:eastAsia="en-GB"/>
        </w:rPr>
        <w:t>I now try to take a more evidence-based approach ... Previously, I would work on a mixture of experience and intuition. Now, I look to the literature first. (Male, Learning support role/Educational staff developer, FHEA, UNI-D)</w:t>
      </w:r>
    </w:p>
    <w:p w14:paraId="3C7BE166" w14:textId="77777777" w:rsidR="00FE1C5E" w:rsidRPr="008051CE" w:rsidRDefault="00FE1C5E" w:rsidP="00F70F22">
      <w:pPr>
        <w:pStyle w:val="Heading3"/>
      </w:pPr>
      <w:r w:rsidRPr="008051CE">
        <w:t>Careers</w:t>
      </w:r>
    </w:p>
    <w:p w14:paraId="7782CB10" w14:textId="7706C224" w:rsidR="00FE1C5E" w:rsidRPr="008051CE" w:rsidRDefault="004D10CC" w:rsidP="00F70F22">
      <w:pPr>
        <w:pStyle w:val="Paragraph"/>
        <w:spacing w:line="480" w:lineRule="auto"/>
      </w:pPr>
      <w:r>
        <w:t>A</w:t>
      </w:r>
      <w:r w:rsidR="7D063387" w:rsidRPr="008051CE">
        <w:t xml:space="preserve">lmost half the participants (47%) </w:t>
      </w:r>
      <w:r w:rsidR="00FA133B" w:rsidRPr="008051CE">
        <w:t xml:space="preserve">stated </w:t>
      </w:r>
      <w:r w:rsidR="7D063387" w:rsidRPr="008051CE">
        <w:t>that fellowship had impacted positively on their career</w:t>
      </w:r>
      <w:r w:rsidR="007933C7">
        <w:t>, reflecting the growing number of institutions aligning fellowship with promotion (Greer</w:t>
      </w:r>
      <w:r w:rsidR="00F16901">
        <w:t xml:space="preserve"> et al.,</w:t>
      </w:r>
      <w:r w:rsidR="007933C7">
        <w:t xml:space="preserve"> 2021)</w:t>
      </w:r>
      <w:r w:rsidR="7D063387" w:rsidRPr="008051CE">
        <w:t>. Participants suggested fellowship h</w:t>
      </w:r>
      <w:r w:rsidR="00183BFF" w:rsidRPr="008051CE">
        <w:t xml:space="preserve">elped </w:t>
      </w:r>
      <w:r w:rsidR="7D063387" w:rsidRPr="008051CE">
        <w:t xml:space="preserve">in a range of ways, including promotion, probation, advancement (in non-academic roles), </w:t>
      </w:r>
      <w:r w:rsidR="007933C7">
        <w:t xml:space="preserve">and </w:t>
      </w:r>
      <w:r w:rsidR="7D063387" w:rsidRPr="008051CE">
        <w:t>award</w:t>
      </w:r>
      <w:r w:rsidR="00FA133B" w:rsidRPr="008051CE">
        <w:t xml:space="preserve"> </w:t>
      </w:r>
      <w:r w:rsidR="007933C7">
        <w:t>nominations</w:t>
      </w:r>
      <w:r w:rsidR="7D063387" w:rsidRPr="008051CE">
        <w:t>:</w:t>
      </w:r>
    </w:p>
    <w:p w14:paraId="6FB509D0" w14:textId="4CFCAB9F" w:rsidR="00FE1C5E" w:rsidRPr="008051CE" w:rsidRDefault="00FE1C5E" w:rsidP="00F70F22">
      <w:pPr>
        <w:pStyle w:val="Displayedquotation"/>
        <w:rPr>
          <w:lang w:eastAsia="en-GB"/>
        </w:rPr>
      </w:pPr>
      <w:r w:rsidRPr="008051CE">
        <w:rPr>
          <w:lang w:eastAsia="en-GB"/>
        </w:rPr>
        <w:t>It has been one of the most important selling points on my CV just after my PhD. (Male, Traditional academic, FHEA, UNI-F)</w:t>
      </w:r>
    </w:p>
    <w:p w14:paraId="0F466B13" w14:textId="77777777" w:rsidR="00FE1C5E" w:rsidRPr="008051CE" w:rsidRDefault="00FE1C5E" w:rsidP="00F70F22">
      <w:pPr>
        <w:pStyle w:val="Displayedquotation"/>
        <w:rPr>
          <w:lang w:eastAsia="en-GB"/>
        </w:rPr>
      </w:pPr>
    </w:p>
    <w:p w14:paraId="1B866AC8" w14:textId="4BC12D89" w:rsidR="00FE1C5E" w:rsidRPr="008051CE" w:rsidRDefault="00FE1C5E" w:rsidP="006F1B84">
      <w:pPr>
        <w:pStyle w:val="Displayedquotation"/>
        <w:rPr>
          <w:lang w:eastAsia="en-GB"/>
        </w:rPr>
      </w:pPr>
      <w:r w:rsidRPr="008051CE">
        <w:rPr>
          <w:lang w:eastAsia="en-GB"/>
        </w:rPr>
        <w:t>I have received [a] promotion, which I might have done anyway, but it helped. (Female, Traditional academic, SFHEA, UNI-A)</w:t>
      </w:r>
    </w:p>
    <w:p w14:paraId="0EBB3AF3" w14:textId="2B288728" w:rsidR="00FE1C5E" w:rsidRPr="008051CE" w:rsidRDefault="7D063387" w:rsidP="00F70F22">
      <w:pPr>
        <w:pStyle w:val="Newparagraph"/>
        <w:spacing w:line="480" w:lineRule="auto"/>
      </w:pPr>
      <w:r w:rsidRPr="008051CE">
        <w:t xml:space="preserve">Some noted the emergent sector focus on fellowship as a hurdle to employment, reflecting </w:t>
      </w:r>
      <w:r w:rsidR="004D10CC">
        <w:t>a</w:t>
      </w:r>
      <w:r w:rsidRPr="008051CE">
        <w:t xml:space="preserve"> sense that recognition has become an important form of currency:</w:t>
      </w:r>
    </w:p>
    <w:p w14:paraId="3FD129E9" w14:textId="0E5E1E68" w:rsidR="00FE1C5E" w:rsidRPr="008051CE" w:rsidRDefault="00FE1C5E" w:rsidP="00F70F22">
      <w:pPr>
        <w:pStyle w:val="Displayedquotation"/>
        <w:rPr>
          <w:lang w:eastAsia="en-GB"/>
        </w:rPr>
      </w:pPr>
      <w:r w:rsidRPr="008051CE">
        <w:rPr>
          <w:lang w:eastAsia="en-GB"/>
        </w:rPr>
        <w:t>It has been a condition of job offers that I have [an] HEA fellowship. (Female, Traditional academic, SFHEA, UNI-B)</w:t>
      </w:r>
    </w:p>
    <w:p w14:paraId="56419ADF" w14:textId="77777777" w:rsidR="00FE1C5E" w:rsidRPr="008051CE" w:rsidRDefault="00FE1C5E" w:rsidP="00F70F22">
      <w:pPr>
        <w:pStyle w:val="Displayedquotation"/>
        <w:rPr>
          <w:lang w:eastAsia="en-GB"/>
        </w:rPr>
      </w:pPr>
    </w:p>
    <w:p w14:paraId="2DDF44F0" w14:textId="77777777" w:rsidR="00FE1C5E" w:rsidRPr="008051CE" w:rsidRDefault="00FE1C5E" w:rsidP="00F70F22">
      <w:pPr>
        <w:pStyle w:val="Displayedquotation"/>
        <w:rPr>
          <w:lang w:eastAsia="en-GB"/>
        </w:rPr>
      </w:pPr>
      <w:r w:rsidRPr="008051CE">
        <w:rPr>
          <w:lang w:eastAsia="en-GB"/>
        </w:rPr>
        <w:lastRenderedPageBreak/>
        <w:t>Not having [an] SFHEA was proving a barrier for some work with other institutions … (Male, Educational/staff developer, SFHEA, UNI-F)</w:t>
      </w:r>
    </w:p>
    <w:p w14:paraId="6964828D" w14:textId="4A8DE842" w:rsidR="00FE1C5E" w:rsidRPr="008051CE" w:rsidRDefault="00FE1C5E" w:rsidP="00F70F22">
      <w:pPr>
        <w:pStyle w:val="Newparagraph"/>
        <w:spacing w:line="480" w:lineRule="auto"/>
      </w:pPr>
      <w:r w:rsidRPr="008051CE">
        <w:t xml:space="preserve">For others, </w:t>
      </w:r>
      <w:r w:rsidRPr="008051CE">
        <w:rPr>
          <w:lang w:eastAsia="en-GB"/>
        </w:rPr>
        <w:t>the</w:t>
      </w:r>
      <w:r w:rsidRPr="008051CE">
        <w:t xml:space="preserve"> impact on career was less tangible; however, in the Australian institution 61%</w:t>
      </w:r>
      <w:r w:rsidR="00E4133C">
        <w:t xml:space="preserve"> of participants</w:t>
      </w:r>
      <w:r w:rsidRPr="008051CE">
        <w:t xml:space="preserve"> </w:t>
      </w:r>
      <w:r w:rsidR="00E4133C">
        <w:t>stated</w:t>
      </w:r>
      <w:r w:rsidR="00E4133C" w:rsidRPr="008051CE">
        <w:t xml:space="preserve"> </w:t>
      </w:r>
      <w:r w:rsidRPr="008051CE">
        <w:t>that it had helped their career. We surmise that this may reflect the relative newness of the PSF to the Australian sector and the fact that being a fellow in Australia is less common than in the UK:</w:t>
      </w:r>
    </w:p>
    <w:p w14:paraId="4FF1537B" w14:textId="77777777" w:rsidR="00FE1C5E" w:rsidRPr="008051CE" w:rsidRDefault="00FE1C5E" w:rsidP="00F70F22">
      <w:pPr>
        <w:pStyle w:val="Displayedquotation"/>
        <w:rPr>
          <w:lang w:eastAsia="en-GB"/>
        </w:rPr>
      </w:pPr>
      <w:r w:rsidRPr="008051CE">
        <w:rPr>
          <w:lang w:eastAsia="en-GB"/>
        </w:rPr>
        <w:t xml:space="preserve">It gave me visibility with senior staff (as SFHEA was rare at the time), wonderful supporting comments to use in a promotion application, and confidence that a weakness in my academic practice had been overcome. (Female, Traditional academic, SFHEA, UNI-C) </w:t>
      </w:r>
    </w:p>
    <w:p w14:paraId="781C83FA" w14:textId="77777777" w:rsidR="00FE1C5E" w:rsidRPr="008051CE" w:rsidRDefault="00FE1C5E" w:rsidP="00F70F22">
      <w:pPr>
        <w:pStyle w:val="Displayedquotation"/>
        <w:rPr>
          <w:lang w:eastAsia="en-GB"/>
        </w:rPr>
      </w:pPr>
    </w:p>
    <w:p w14:paraId="78FFF60B" w14:textId="064E53C5" w:rsidR="00FE1C5E" w:rsidRPr="008051CE" w:rsidRDefault="7D063387" w:rsidP="00F70F22">
      <w:pPr>
        <w:pStyle w:val="Newparagraph"/>
        <w:spacing w:line="480" w:lineRule="auto"/>
      </w:pPr>
      <w:r w:rsidRPr="008051CE">
        <w:t xml:space="preserve">There were, however, </w:t>
      </w:r>
      <w:r w:rsidR="00FE6530" w:rsidRPr="008051CE">
        <w:t>criticisms</w:t>
      </w:r>
      <w:r w:rsidRPr="008051CE">
        <w:t xml:space="preserve"> and</w:t>
      </w:r>
      <w:r w:rsidR="00FA133B" w:rsidRPr="008051CE">
        <w:t xml:space="preserve"> some</w:t>
      </w:r>
      <w:r w:rsidRPr="008051CE">
        <w:t xml:space="preserve"> </w:t>
      </w:r>
      <w:r w:rsidR="0024143E">
        <w:t>expressed</w:t>
      </w:r>
      <w:r w:rsidR="0024143E" w:rsidRPr="008051CE">
        <w:t xml:space="preserve"> </w:t>
      </w:r>
      <w:r w:rsidRPr="008051CE">
        <w:t>disappointment when recognition did not lead to promotion. Again,</w:t>
      </w:r>
      <w:r w:rsidR="00FA133B" w:rsidRPr="008051CE">
        <w:t xml:space="preserve"> these</w:t>
      </w:r>
      <w:r w:rsidRPr="008051CE">
        <w:t xml:space="preserve"> were more prevalent in the UK-based institutions, with 16.2% disagreeing that fellowship had helped their career, compared to 10% from the Australian institution. </w:t>
      </w:r>
      <w:r w:rsidR="004D10CC">
        <w:t>Some</w:t>
      </w:r>
      <w:r w:rsidR="004D10CC" w:rsidRPr="008051CE">
        <w:t xml:space="preserve"> </w:t>
      </w:r>
      <w:r w:rsidRPr="008051CE">
        <w:t xml:space="preserve">questioned the authenticity of the process which they saw as </w:t>
      </w:r>
      <w:r w:rsidR="00FE6530" w:rsidRPr="008051CE">
        <w:t xml:space="preserve">a rhetorical </w:t>
      </w:r>
      <w:r w:rsidRPr="008051CE">
        <w:t>exercise:</w:t>
      </w:r>
    </w:p>
    <w:p w14:paraId="0E8EF750" w14:textId="77777777" w:rsidR="00FE1C5E" w:rsidRPr="008051CE" w:rsidRDefault="00FE1C5E" w:rsidP="00F70F22">
      <w:pPr>
        <w:spacing w:line="360" w:lineRule="auto"/>
        <w:ind w:left="720"/>
        <w:rPr>
          <w:sz w:val="22"/>
        </w:rPr>
      </w:pPr>
      <w:r w:rsidRPr="008051CE">
        <w:rPr>
          <w:sz w:val="22"/>
        </w:rPr>
        <w:t>I worry it is a process very sensitive to people who are able to inflate their contributions with lots of weasel words. (Female, Research-focused academic, SFHEA, UNI-D)</w:t>
      </w:r>
    </w:p>
    <w:p w14:paraId="1DB28085" w14:textId="77777777" w:rsidR="00FE1C5E" w:rsidRPr="008051CE" w:rsidRDefault="00FE1C5E" w:rsidP="00F70F22">
      <w:pPr>
        <w:spacing w:line="360" w:lineRule="auto"/>
        <w:ind w:left="720"/>
        <w:rPr>
          <w:sz w:val="22"/>
        </w:rPr>
      </w:pPr>
    </w:p>
    <w:p w14:paraId="63F93A97" w14:textId="3E0C5568" w:rsidR="00FE1C5E" w:rsidRPr="008051CE" w:rsidRDefault="00FE1C5E" w:rsidP="00F70F22">
      <w:pPr>
        <w:pStyle w:val="Newparagraph"/>
        <w:spacing w:line="480" w:lineRule="auto"/>
      </w:pPr>
      <w:r w:rsidRPr="008051CE">
        <w:t>This may reflect an emergent disillusionment particularly in institutions where fellowships form performance targets and staff are under pressure to achieve recognition:</w:t>
      </w:r>
    </w:p>
    <w:p w14:paraId="6B49AF9C" w14:textId="77777777" w:rsidR="00FE1C5E" w:rsidRPr="008051CE" w:rsidRDefault="00FE1C5E" w:rsidP="00F70F22">
      <w:pPr>
        <w:pStyle w:val="Displayedquotation"/>
        <w:rPr>
          <w:lang w:eastAsia="en-GB"/>
        </w:rPr>
      </w:pPr>
      <w:r w:rsidRPr="008051CE">
        <w:rPr>
          <w:lang w:eastAsia="en-GB"/>
        </w:rPr>
        <w:t>Was told to get it in order to help my promotion case, at the end (after I got it) was told it didn't matter. (Female, Traditional academic, SFHEA, UNI-D)</w:t>
      </w:r>
    </w:p>
    <w:p w14:paraId="04E2DE13" w14:textId="77777777" w:rsidR="00FE1C5E" w:rsidRPr="008051CE" w:rsidRDefault="00FE1C5E" w:rsidP="001361EE">
      <w:pPr>
        <w:pStyle w:val="Displayedquotation"/>
        <w:ind w:left="0"/>
        <w:rPr>
          <w:lang w:eastAsia="en-GB"/>
        </w:rPr>
      </w:pPr>
    </w:p>
    <w:p w14:paraId="0E6E2FAF" w14:textId="77777777" w:rsidR="00FE1C5E" w:rsidRPr="008051CE" w:rsidRDefault="00FE1C5E" w:rsidP="00F70F22">
      <w:pPr>
        <w:pStyle w:val="Displayedquotation"/>
        <w:rPr>
          <w:lang w:eastAsia="en-GB"/>
        </w:rPr>
      </w:pPr>
      <w:r w:rsidRPr="008051CE">
        <w:rPr>
          <w:lang w:eastAsia="en-GB"/>
        </w:rPr>
        <w:t>…it has not given me any opportunities at all. It was not valued for promotion and not for leadership positions in the department. (Female, Traditional academic, SFHEA  UNI-A)</w:t>
      </w:r>
    </w:p>
    <w:p w14:paraId="34280991" w14:textId="77777777" w:rsidR="00FE1C5E" w:rsidRPr="008051CE" w:rsidRDefault="00FE1C5E" w:rsidP="00F70F22">
      <w:pPr>
        <w:pStyle w:val="Heading3"/>
      </w:pPr>
      <w:r w:rsidRPr="008051CE">
        <w:lastRenderedPageBreak/>
        <w:t>Impact on practice and the student learning experience</w:t>
      </w:r>
    </w:p>
    <w:p w14:paraId="7F03D3F7" w14:textId="05F05F99" w:rsidR="00FE1C5E" w:rsidRPr="008051CE" w:rsidRDefault="00DD4349" w:rsidP="00F70F22">
      <w:pPr>
        <w:pStyle w:val="Paragraph"/>
        <w:spacing w:line="480" w:lineRule="auto"/>
      </w:pPr>
      <w:r w:rsidRPr="008051CE">
        <w:t xml:space="preserve">Although fellowship often represents </w:t>
      </w:r>
      <w:r w:rsidR="7D063387" w:rsidRPr="008051CE">
        <w:t xml:space="preserve">one strand </w:t>
      </w:r>
      <w:r w:rsidRPr="008051CE">
        <w:t xml:space="preserve">within </w:t>
      </w:r>
      <w:r w:rsidR="7D063387" w:rsidRPr="008051CE">
        <w:t xml:space="preserve">institutional approaches to enhancing students’ learning experiences, our results highlight a number of practical ways in which recognition impacted on </w:t>
      </w:r>
      <w:r w:rsidR="00E4133C">
        <w:t>practice</w:t>
      </w:r>
      <w:r w:rsidR="7D063387" w:rsidRPr="008051CE">
        <w:t xml:space="preserve">. The impact </w:t>
      </w:r>
      <w:r w:rsidR="00183BFF" w:rsidRPr="008051CE">
        <w:t xml:space="preserve">on students </w:t>
      </w:r>
      <w:r w:rsidR="7D063387" w:rsidRPr="008051CE">
        <w:t>remains an important but underexplored research area</w:t>
      </w:r>
      <w:r w:rsidR="00486EF7" w:rsidRPr="008051CE">
        <w:t>,</w:t>
      </w:r>
      <w:r w:rsidR="7D063387" w:rsidRPr="008051CE">
        <w:t xml:space="preserve"> despite being a primary concern of academic developers </w:t>
      </w:r>
      <w:r w:rsidR="7D063387" w:rsidRPr="008051CE">
        <w:rPr>
          <w:noProof/>
        </w:rPr>
        <w:t>(Bell &amp; Brooks, 2019)</w:t>
      </w:r>
      <w:r w:rsidR="7D063387" w:rsidRPr="008051CE">
        <w:t>. Our analysis</w:t>
      </w:r>
      <w:r w:rsidRPr="008051CE">
        <w:t xml:space="preserve"> indicates</w:t>
      </w:r>
      <w:r w:rsidR="7D063387" w:rsidRPr="008051CE">
        <w:t xml:space="preserve"> a number of ways in which fellowship impacts on practice with students.</w:t>
      </w:r>
    </w:p>
    <w:p w14:paraId="50E7B832" w14:textId="3A12324A" w:rsidR="00FE1C5E" w:rsidRPr="008051CE" w:rsidRDefault="7D063387" w:rsidP="00F70F22">
      <w:pPr>
        <w:pStyle w:val="Newparagraph"/>
        <w:spacing w:line="480" w:lineRule="auto"/>
      </w:pPr>
      <w:r w:rsidRPr="008051CE">
        <w:t xml:space="preserve">The majority of respondents (82%) stated that the process of applying for fellowship had deepened their understanding of practice, including enhanced academic writing, improved reflection, and the use of new teaching methods. Many noted that changes to their practice were shaped by exposure to new pedagogy </w:t>
      </w:r>
      <w:r w:rsidR="00E4133C">
        <w:t>through</w:t>
      </w:r>
      <w:r w:rsidRPr="008051CE">
        <w:t xml:space="preserve"> taught components of the fellowship pathway.</w:t>
      </w:r>
    </w:p>
    <w:p w14:paraId="64922D9A" w14:textId="5249E3EF" w:rsidR="00FE1C5E" w:rsidRPr="008051CE" w:rsidRDefault="00FE1C5E" w:rsidP="00F70F22">
      <w:pPr>
        <w:pStyle w:val="Displayedquotation"/>
        <w:rPr>
          <w:lang w:eastAsia="en-GB"/>
        </w:rPr>
      </w:pPr>
      <w:r w:rsidRPr="008051CE">
        <w:rPr>
          <w:lang w:eastAsia="en-GB"/>
        </w:rPr>
        <w:t>…we were asked to formulate lesson plans/approaches for a variety of topics/experiences, deliver the session, gain feedback from students and peer observers</w:t>
      </w:r>
      <w:r w:rsidR="00E51085">
        <w:rPr>
          <w:lang w:eastAsia="en-GB"/>
        </w:rPr>
        <w:t>..</w:t>
      </w:r>
      <w:r w:rsidRPr="008051CE">
        <w:rPr>
          <w:lang w:eastAsia="en-GB"/>
        </w:rPr>
        <w:t>. These methods still form the basis for my current teaching. (Female, Teaching-focused academic, FHEA, UNI-B)</w:t>
      </w:r>
    </w:p>
    <w:p w14:paraId="56EC6C2C" w14:textId="77777777" w:rsidR="00FE1C5E" w:rsidRPr="008051CE" w:rsidRDefault="00FE1C5E" w:rsidP="00F70F22"/>
    <w:p w14:paraId="46FEBE28" w14:textId="6060FB0A" w:rsidR="00FE1C5E" w:rsidRPr="008051CE" w:rsidRDefault="00FE1C5E" w:rsidP="00F70F22">
      <w:pPr>
        <w:pStyle w:val="Newparagraph"/>
        <w:spacing w:line="480" w:lineRule="auto"/>
      </w:pPr>
      <w:r w:rsidRPr="008051CE">
        <w:t xml:space="preserve">For some, changes to practice came from the reflective act of recording and writing about their </w:t>
      </w:r>
      <w:r w:rsidRPr="008051CE">
        <w:rPr>
          <w:lang w:eastAsia="en-GB"/>
        </w:rPr>
        <w:t>work</w:t>
      </w:r>
      <w:r w:rsidRPr="008051CE">
        <w:t>, a process that forced them to stop and ask ‘why?’:</w:t>
      </w:r>
    </w:p>
    <w:p w14:paraId="35D1ED22" w14:textId="77777777" w:rsidR="00FE1C5E" w:rsidRPr="008051CE" w:rsidRDefault="00FE1C5E" w:rsidP="00F70F22">
      <w:pPr>
        <w:pStyle w:val="Displayedquotation"/>
        <w:rPr>
          <w:lang w:eastAsia="en-GB"/>
        </w:rPr>
      </w:pPr>
      <w:r w:rsidRPr="008051CE">
        <w:rPr>
          <w:lang w:eastAsia="en-GB"/>
        </w:rPr>
        <w:t>There can be no doubt that having to think hard and record one's teaching practices over many years helps to identify the essential factors in good practice and reinforces them. (Male, Part-time teacher (hourly paid role), FHEA, UNI-A)</w:t>
      </w:r>
    </w:p>
    <w:p w14:paraId="5182FAB5" w14:textId="77777777" w:rsidR="00FE1C5E" w:rsidRPr="008051CE" w:rsidRDefault="00FE1C5E" w:rsidP="00F70F22">
      <w:pPr>
        <w:pStyle w:val="Displayedquotation"/>
        <w:rPr>
          <w:lang w:eastAsia="en-GB"/>
        </w:rPr>
      </w:pPr>
    </w:p>
    <w:p w14:paraId="28D8C4ED" w14:textId="4E6DF7BA" w:rsidR="00FE1C5E" w:rsidRPr="008051CE" w:rsidRDefault="5B02A8CB" w:rsidP="002646FB">
      <w:pPr>
        <w:pStyle w:val="Newparagraph"/>
        <w:spacing w:line="480" w:lineRule="auto"/>
        <w:rPr>
          <w:lang w:eastAsia="en-GB"/>
        </w:rPr>
      </w:pPr>
      <w:r w:rsidRPr="008051CE">
        <w:t>Significantly, for some, the application process reminded them</w:t>
      </w:r>
      <w:r w:rsidR="0084124E" w:rsidRPr="008051CE">
        <w:t xml:space="preserve"> of the student perspective</w:t>
      </w:r>
      <w:r w:rsidRPr="008051CE">
        <w:t xml:space="preserve">, </w:t>
      </w:r>
      <w:r w:rsidR="00486EF7" w:rsidRPr="008051CE">
        <w:t>prompting</w:t>
      </w:r>
      <w:r w:rsidRPr="008051CE">
        <w:t xml:space="preserve"> a more thoughtful and empathetic approach to practice:</w:t>
      </w:r>
    </w:p>
    <w:p w14:paraId="1F078367" w14:textId="3D22ABFA" w:rsidR="00FE1C5E" w:rsidRPr="008051CE" w:rsidRDefault="00FE1C5E" w:rsidP="00F70F22">
      <w:pPr>
        <w:pStyle w:val="Displayedquotation"/>
        <w:rPr>
          <w:lang w:eastAsia="en-GB"/>
        </w:rPr>
      </w:pPr>
      <w:r w:rsidRPr="008051CE">
        <w:rPr>
          <w:lang w:eastAsia="en-GB"/>
        </w:rPr>
        <w:lastRenderedPageBreak/>
        <w:t xml:space="preserve">It reinforced the iterative nature of the reading and writing process; the value of tutor feedback and of listening to the questions and difficulties experienced by others </w:t>
      </w:r>
      <w:r w:rsidR="00183BFF" w:rsidRPr="008051CE">
        <w:rPr>
          <w:lang w:eastAsia="en-GB"/>
        </w:rPr>
        <w:t>…</w:t>
      </w:r>
      <w:r w:rsidRPr="008051CE">
        <w:rPr>
          <w:lang w:eastAsia="en-GB"/>
        </w:rPr>
        <w:t xml:space="preserve"> as well as in carving out space and time to get writing done. (Female, Learning support role, FHEA, UNI-A)</w:t>
      </w:r>
    </w:p>
    <w:p w14:paraId="7E48CEF2" w14:textId="7BD446E0" w:rsidR="00FE1C5E" w:rsidRPr="008051CE" w:rsidRDefault="0084124E" w:rsidP="00F70F22">
      <w:pPr>
        <w:pStyle w:val="Newparagraph"/>
        <w:spacing w:line="480" w:lineRule="auto"/>
      </w:pPr>
      <w:r w:rsidRPr="008051CE">
        <w:t>Over</w:t>
      </w:r>
      <w:r w:rsidR="00FE1C5E" w:rsidRPr="008051CE">
        <w:t xml:space="preserve"> three quarters of participants (78%) stated that the process had influenced their own </w:t>
      </w:r>
      <w:r w:rsidR="00E4133C">
        <w:t>approach to teaching</w:t>
      </w:r>
      <w:r w:rsidR="00FE1C5E" w:rsidRPr="008051CE">
        <w:t xml:space="preserve">, </w:t>
      </w:r>
      <w:r w:rsidR="00E4133C">
        <w:t>confirming</w:t>
      </w:r>
      <w:r w:rsidR="002646FB" w:rsidRPr="008051CE">
        <w:t xml:space="preserve"> that </w:t>
      </w:r>
      <w:r w:rsidR="00FE1C5E" w:rsidRPr="008051CE">
        <w:t xml:space="preserve">the pathway to developing an application for recognition has an important impact on practice. </w:t>
      </w:r>
      <w:r w:rsidR="002646FB" w:rsidRPr="008051CE">
        <w:t>P</w:t>
      </w:r>
      <w:r w:rsidR="00FE1C5E" w:rsidRPr="008051CE">
        <w:t xml:space="preserve">articipants described a </w:t>
      </w:r>
      <w:r w:rsidR="002646FB" w:rsidRPr="008051CE">
        <w:t xml:space="preserve">new </w:t>
      </w:r>
      <w:r w:rsidR="00FE1C5E" w:rsidRPr="008051CE">
        <w:t>confidence in exploring</w:t>
      </w:r>
      <w:r w:rsidR="002646FB" w:rsidRPr="008051CE">
        <w:t xml:space="preserve"> </w:t>
      </w:r>
      <w:r w:rsidR="00FE1C5E" w:rsidRPr="008051CE">
        <w:t xml:space="preserve">innovative approaches to support learning; others drew on their emerging knowledge of </w:t>
      </w:r>
      <w:r w:rsidR="00E37EAD" w:rsidRPr="008051CE">
        <w:t>pedagogy</w:t>
      </w:r>
      <w:r w:rsidR="00FE1C5E" w:rsidRPr="008051CE">
        <w:t xml:space="preserve">: </w:t>
      </w:r>
    </w:p>
    <w:p w14:paraId="4A381386" w14:textId="77777777" w:rsidR="00FE1C5E" w:rsidRPr="008051CE" w:rsidRDefault="00FE1C5E" w:rsidP="00F70F22">
      <w:pPr>
        <w:pStyle w:val="Displayedquotation"/>
        <w:rPr>
          <w:lang w:eastAsia="en-GB"/>
        </w:rPr>
      </w:pPr>
      <w:r w:rsidRPr="008051CE">
        <w:rPr>
          <w:lang w:eastAsia="en-GB"/>
        </w:rPr>
        <w:t>I wouldn't be able to mention any dramatic changes; it is more a matter of becoming more aware and consistent and thoughtful about things I already did sometimes – for example, in giving feedback that students can really 'hear'. (Female, Traditional academic, FHEA, UNI-F)</w:t>
      </w:r>
    </w:p>
    <w:p w14:paraId="6451CE06" w14:textId="6EB5522C" w:rsidR="00FE1C5E" w:rsidRPr="008051CE" w:rsidRDefault="7D063387" w:rsidP="007A6309">
      <w:pPr>
        <w:pStyle w:val="Newparagraph"/>
        <w:spacing w:line="480" w:lineRule="auto"/>
        <w:ind w:firstLine="709"/>
      </w:pPr>
      <w:r w:rsidRPr="008051CE">
        <w:t xml:space="preserve">A number noted that the process led them to </w:t>
      </w:r>
      <w:r w:rsidR="00486EF7" w:rsidRPr="008051CE">
        <w:t>reconceptualise</w:t>
      </w:r>
      <w:r w:rsidRPr="008051CE">
        <w:t xml:space="preserve"> their students as partners in learning rather than passive recipients. This was shaped by exposure to the PSF, reminding  them that </w:t>
      </w:r>
      <w:r w:rsidR="00486EF7" w:rsidRPr="008051CE">
        <w:t xml:space="preserve">student-centredness </w:t>
      </w:r>
      <w:r w:rsidRPr="008051CE">
        <w:t>is at the heart of effective practice:</w:t>
      </w:r>
    </w:p>
    <w:p w14:paraId="5872063B" w14:textId="0C62570E" w:rsidR="00FE1C5E" w:rsidRPr="008051CE" w:rsidRDefault="00FE1C5E" w:rsidP="0022715F">
      <w:pPr>
        <w:pStyle w:val="Displayedquotation"/>
      </w:pPr>
      <w:r w:rsidRPr="008051CE">
        <w:t xml:space="preserve">It has also encouraged me to simplify the language I use and to seek more feedback from </w:t>
      </w:r>
      <w:r w:rsidRPr="008051CE">
        <w:rPr>
          <w:lang w:eastAsia="en-GB"/>
        </w:rPr>
        <w:t>students</w:t>
      </w:r>
      <w:r w:rsidRPr="008051CE">
        <w:t xml:space="preserve">, not least that they have understood points made or instructions given. (Male, </w:t>
      </w:r>
      <w:r w:rsidRPr="008051CE">
        <w:rPr>
          <w:lang w:eastAsia="en-GB"/>
        </w:rPr>
        <w:t>Teaching</w:t>
      </w:r>
      <w:r w:rsidRPr="008051CE">
        <w:t>-focused academic, FHEA, UNI-A)</w:t>
      </w:r>
      <w:r w:rsidRPr="008051CE">
        <w:rPr>
          <w:rFonts w:ascii="Charter Roman" w:hAnsi="Charter Roman"/>
          <w:color w:val="000000" w:themeColor="text1"/>
        </w:rPr>
        <w:t xml:space="preserve"> </w:t>
      </w:r>
    </w:p>
    <w:p w14:paraId="2965FAEC" w14:textId="582ED2AC" w:rsidR="00FE1C5E" w:rsidRPr="008051CE" w:rsidRDefault="00486EF7" w:rsidP="00E23E32">
      <w:pPr>
        <w:pStyle w:val="Newparagraph"/>
        <w:spacing w:line="480" w:lineRule="auto"/>
      </w:pPr>
      <w:r w:rsidRPr="008051CE">
        <w:t>This shift</w:t>
      </w:r>
      <w:r w:rsidR="7D063387" w:rsidRPr="008051CE">
        <w:t xml:space="preserve"> was </w:t>
      </w:r>
      <w:r w:rsidRPr="008051CE">
        <w:t xml:space="preserve">also </w:t>
      </w:r>
      <w:r w:rsidR="7D063387" w:rsidRPr="008051CE">
        <w:t xml:space="preserve">evident in responses to questions about the impact on learners. Some talked about the affirming experience of reflection on practice, noting </w:t>
      </w:r>
      <w:r w:rsidR="0084124E" w:rsidRPr="008051CE">
        <w:t>the challenges</w:t>
      </w:r>
      <w:r w:rsidR="7D063387" w:rsidRPr="008051CE">
        <w:t xml:space="preserve"> but, ultimately, emphasising its value in shaping their student-facing practice:</w:t>
      </w:r>
    </w:p>
    <w:p w14:paraId="48580261" w14:textId="77777777" w:rsidR="00FE1C5E" w:rsidRPr="008051CE" w:rsidRDefault="00FE1C5E" w:rsidP="00F70F22">
      <w:pPr>
        <w:pStyle w:val="Displayedquotation"/>
        <w:rPr>
          <w:lang w:eastAsia="en-GB"/>
        </w:rPr>
      </w:pPr>
      <w:r w:rsidRPr="008051CE">
        <w:rPr>
          <w:lang w:eastAsia="en-GB"/>
        </w:rPr>
        <w:t>… I was encouraged to think about studentship, understanding the question, etc., but most importantly, [it] helped me to sympathise with student workloads and deadlines. Reflecting on teaching practice is crucial in understanding what works and what doesn't. (Female, Teaching-focused academic, SFHEA, UNI-E)</w:t>
      </w:r>
    </w:p>
    <w:p w14:paraId="73602A7D" w14:textId="605C5EF7" w:rsidR="00FE1C5E" w:rsidRPr="008051CE" w:rsidRDefault="7D063387" w:rsidP="00620714">
      <w:pPr>
        <w:pStyle w:val="Newparagraph"/>
        <w:spacing w:line="480" w:lineRule="auto"/>
      </w:pPr>
      <w:r w:rsidRPr="008051CE">
        <w:lastRenderedPageBreak/>
        <w:t>Significantly, the professional values within the PSF were clearly seen as shaping staff engagement with students, and, for some, this had a profound impact</w:t>
      </w:r>
      <w:r w:rsidR="00486EF7" w:rsidRPr="008051CE">
        <w:t>:</w:t>
      </w:r>
    </w:p>
    <w:p w14:paraId="4B4AE2CA" w14:textId="77777777" w:rsidR="00FE1C5E" w:rsidRPr="008051CE" w:rsidRDefault="00FE1C5E" w:rsidP="00F70F22">
      <w:pPr>
        <w:pStyle w:val="Displayedquotation"/>
      </w:pPr>
      <w:r w:rsidRPr="008051CE">
        <w:t xml:space="preserve">I found them [the dimensions of practice] intuitive and clarifying, on the whole. For example, </w:t>
      </w:r>
      <w:r w:rsidRPr="008051CE">
        <w:rPr>
          <w:lang w:eastAsia="en-GB"/>
        </w:rPr>
        <w:t>those</w:t>
      </w:r>
      <w:r w:rsidRPr="008051CE">
        <w:t xml:space="preserve"> on inclusive teaching are important reminders to check habitual practices that might disadvantage some students. (Female, Traditional academic, FHEA, UNI-F)</w:t>
      </w:r>
    </w:p>
    <w:p w14:paraId="13EE967C" w14:textId="69BE8C70" w:rsidR="0084124E" w:rsidRPr="008051CE" w:rsidRDefault="0084124E" w:rsidP="00F70F22">
      <w:pPr>
        <w:pStyle w:val="Newparagraph"/>
        <w:spacing w:line="480" w:lineRule="auto"/>
      </w:pPr>
      <w:r w:rsidRPr="008051CE">
        <w:t>Others saw fellowship as symbolically significant, giving students confidence in institutional teaching quality:</w:t>
      </w:r>
    </w:p>
    <w:p w14:paraId="63A06128" w14:textId="77777777" w:rsidR="00FE1C5E" w:rsidRPr="008051CE" w:rsidRDefault="00FE1C5E" w:rsidP="00F70F22">
      <w:pPr>
        <w:pStyle w:val="Displayedquotation"/>
      </w:pPr>
      <w:r w:rsidRPr="008051CE">
        <w:t xml:space="preserve">This allows </w:t>
      </w:r>
      <w:r w:rsidRPr="008051CE">
        <w:rPr>
          <w:lang w:eastAsia="en-GB"/>
        </w:rPr>
        <w:t>the</w:t>
      </w:r>
      <w:r w:rsidRPr="008051CE">
        <w:t xml:space="preserve"> university to confidently state that their academic staff are focused on students. (Female, Teaching-focused academic, SFHEA, UNI-C)</w:t>
      </w:r>
    </w:p>
    <w:p w14:paraId="59AC46CF" w14:textId="77777777" w:rsidR="004C6DFB" w:rsidRPr="008051CE" w:rsidRDefault="004C6DFB" w:rsidP="004C6DFB">
      <w:pPr>
        <w:pStyle w:val="Newparagraph"/>
        <w:spacing w:line="480" w:lineRule="auto"/>
        <w:ind w:firstLine="0"/>
        <w:rPr>
          <w:rFonts w:cs="Arial"/>
          <w:bCs/>
          <w:i/>
          <w:szCs w:val="26"/>
        </w:rPr>
      </w:pPr>
      <w:r w:rsidRPr="008051CE">
        <w:rPr>
          <w:rFonts w:cs="Arial"/>
          <w:bCs/>
          <w:i/>
          <w:szCs w:val="26"/>
        </w:rPr>
        <w:t>Negative perceptions of HEA Fellowship</w:t>
      </w:r>
    </w:p>
    <w:p w14:paraId="3D16A8FA" w14:textId="5C58E6B6" w:rsidR="00FE1C5E" w:rsidRPr="008051CE" w:rsidRDefault="00FE1C5E" w:rsidP="00F70F22">
      <w:pPr>
        <w:pStyle w:val="Newparagraph"/>
        <w:spacing w:line="480" w:lineRule="auto"/>
      </w:pPr>
      <w:r w:rsidRPr="008051CE">
        <w:t>Not all participants were positive about the impact of fellowship on their practice, and 19%</w:t>
      </w:r>
      <w:r w:rsidR="0084124E" w:rsidRPr="008051CE">
        <w:t xml:space="preserve"> </w:t>
      </w:r>
      <w:r w:rsidR="0084124E" w:rsidRPr="008051CE">
        <w:rPr>
          <w:lang w:eastAsia="en-GB"/>
        </w:rPr>
        <w:t xml:space="preserve">indicated </w:t>
      </w:r>
      <w:r w:rsidRPr="008051CE">
        <w:t xml:space="preserve">negative consequences (14% in Australia). Some noted that </w:t>
      </w:r>
      <w:r w:rsidR="005B6F7D" w:rsidRPr="008051CE">
        <w:t>it</w:t>
      </w:r>
      <w:r w:rsidRPr="008051CE">
        <w:t xml:space="preserve"> had actually taken them away from </w:t>
      </w:r>
      <w:r w:rsidR="005B6F7D" w:rsidRPr="008051CE">
        <w:t xml:space="preserve">core </w:t>
      </w:r>
      <w:r w:rsidRPr="008051CE">
        <w:t>work:</w:t>
      </w:r>
    </w:p>
    <w:p w14:paraId="295D5238" w14:textId="77777777" w:rsidR="00FE1C5E" w:rsidRPr="008051CE" w:rsidRDefault="00FE1C5E" w:rsidP="00F70F22">
      <w:pPr>
        <w:pStyle w:val="Displayedquotation"/>
      </w:pPr>
      <w:r w:rsidRPr="008051CE">
        <w:t xml:space="preserve">If anything, it </w:t>
      </w:r>
      <w:r w:rsidRPr="008051CE">
        <w:rPr>
          <w:lang w:eastAsia="en-GB"/>
        </w:rPr>
        <w:t>impacted</w:t>
      </w:r>
      <w:r w:rsidRPr="008051CE">
        <w:t xml:space="preserve"> the learning experience of my students negatively – the time spent engaging with the fellowship process could have been time spent thinking about things that would have really made a difference to the students. (Male, Traditional academic, FHEA, UNI-A)</w:t>
      </w:r>
    </w:p>
    <w:p w14:paraId="7C27E82F" w14:textId="77777777" w:rsidR="00FE1C5E" w:rsidRPr="008051CE" w:rsidRDefault="00FE1C5E" w:rsidP="00F70F22">
      <w:pPr>
        <w:pStyle w:val="Displayedquotation"/>
      </w:pPr>
    </w:p>
    <w:p w14:paraId="22035BF8" w14:textId="2F7CC03F" w:rsidR="00FE1C5E" w:rsidRPr="008051CE" w:rsidRDefault="00FE1C5E" w:rsidP="00F70F22">
      <w:pPr>
        <w:pStyle w:val="Displayedquotation"/>
      </w:pPr>
      <w:r w:rsidRPr="008051CE">
        <w:t>It was a huge drain on my time that necessarily impacted on my teaching</w:t>
      </w:r>
      <w:r w:rsidR="00183BFF" w:rsidRPr="008051CE">
        <w:t>…</w:t>
      </w:r>
      <w:r w:rsidRPr="008051CE">
        <w:t xml:space="preserve"> at one point, I had to cancel a class to undertake this activity. (Male, Traditional academic, FHEA, UNI-E)</w:t>
      </w:r>
    </w:p>
    <w:p w14:paraId="75EC0D89" w14:textId="0C630665" w:rsidR="00FE1C5E" w:rsidRPr="008051CE" w:rsidRDefault="00FE1C5E" w:rsidP="00F70F22">
      <w:pPr>
        <w:pStyle w:val="Newparagraph"/>
        <w:spacing w:line="480" w:lineRule="auto"/>
      </w:pPr>
      <w:r w:rsidRPr="008051CE">
        <w:t xml:space="preserve">Others commented on the curious disconnect between the fellowship application process and </w:t>
      </w:r>
      <w:r w:rsidRPr="008051CE">
        <w:rPr>
          <w:lang w:eastAsia="en-GB"/>
        </w:rPr>
        <w:t>the</w:t>
      </w:r>
      <w:r w:rsidRPr="008051CE">
        <w:t xml:space="preserve"> student body, questioning whether students were </w:t>
      </w:r>
      <w:r w:rsidR="00486EF7" w:rsidRPr="008051CE">
        <w:t xml:space="preserve">aware of </w:t>
      </w:r>
      <w:r w:rsidR="00E4133C">
        <w:t xml:space="preserve">or cared about </w:t>
      </w:r>
      <w:r w:rsidRPr="008051CE">
        <w:t xml:space="preserve">fellowship: </w:t>
      </w:r>
    </w:p>
    <w:p w14:paraId="7BD035CE" w14:textId="77777777" w:rsidR="00FE1C5E" w:rsidRPr="008051CE" w:rsidRDefault="00FE1C5E" w:rsidP="00F70F22">
      <w:pPr>
        <w:pStyle w:val="Displayedquotation"/>
      </w:pPr>
      <w:r w:rsidRPr="008051CE">
        <w:t xml:space="preserve">I have </w:t>
      </w:r>
      <w:r w:rsidRPr="008051CE">
        <w:rPr>
          <w:lang w:eastAsia="en-GB"/>
        </w:rPr>
        <w:t>difficulty</w:t>
      </w:r>
      <w:r w:rsidRPr="008051CE">
        <w:t xml:space="preserve"> imagining why they would know or be interested in this. (Female, Research-focused academic/Part-time teacher, FHEA, UNI-B) </w:t>
      </w:r>
    </w:p>
    <w:p w14:paraId="7DAD158B" w14:textId="77777777" w:rsidR="00FE1C5E" w:rsidRPr="008051CE" w:rsidRDefault="00FE1C5E" w:rsidP="00F70F22">
      <w:pPr>
        <w:pStyle w:val="Displayedquotation"/>
      </w:pPr>
    </w:p>
    <w:p w14:paraId="7420837B" w14:textId="77777777" w:rsidR="00FE1C5E" w:rsidRPr="008051CE" w:rsidRDefault="00FE1C5E" w:rsidP="00F70F22">
      <w:pPr>
        <w:pStyle w:val="Heading3"/>
      </w:pPr>
      <w:r w:rsidRPr="008051CE">
        <w:t>Impact on peers and a sense of belonging to a community of educators</w:t>
      </w:r>
    </w:p>
    <w:p w14:paraId="1E610DFB" w14:textId="54E82DFB" w:rsidR="00FE1C5E" w:rsidRPr="008051CE" w:rsidRDefault="00FE1C5E" w:rsidP="00E23E32">
      <w:pPr>
        <w:pStyle w:val="Paragraph"/>
        <w:spacing w:line="480" w:lineRule="auto"/>
      </w:pPr>
      <w:r w:rsidRPr="008051CE">
        <w:t>Almost half (47.2%)</w:t>
      </w:r>
      <w:r w:rsidR="00E4133C">
        <w:t xml:space="preserve"> of participants</w:t>
      </w:r>
      <w:r w:rsidRPr="008051CE">
        <w:t xml:space="preserve"> stated that the </w:t>
      </w:r>
      <w:r w:rsidR="00E4133C">
        <w:t xml:space="preserve">recognition process </w:t>
      </w:r>
      <w:r w:rsidRPr="008051CE">
        <w:t xml:space="preserve">had led to engagement in new networks. This highlights the potential impact of the fellowship process in brokering new professional relationships and expanding the usual ‘significant networks’ </w:t>
      </w:r>
      <w:r w:rsidR="00B179AF" w:rsidRPr="008051CE">
        <w:t xml:space="preserve">drawn on in educational practice </w:t>
      </w:r>
      <w:r w:rsidRPr="008051CE">
        <w:t>(</w:t>
      </w:r>
      <w:proofErr w:type="spellStart"/>
      <w:r w:rsidRPr="008051CE">
        <w:t>Roxå</w:t>
      </w:r>
      <w:proofErr w:type="spellEnd"/>
      <w:r w:rsidRPr="008051CE">
        <w:t xml:space="preserve"> &amp; </w:t>
      </w:r>
      <w:proofErr w:type="spellStart"/>
      <w:r w:rsidRPr="008051CE">
        <w:t>Mårtensson</w:t>
      </w:r>
      <w:proofErr w:type="spellEnd"/>
      <w:r w:rsidRPr="008051CE">
        <w:t>, 2009, p. 556):</w:t>
      </w:r>
    </w:p>
    <w:p w14:paraId="0C62193F" w14:textId="77777777" w:rsidR="00FE1C5E" w:rsidRPr="008051CE" w:rsidRDefault="00FE1C5E" w:rsidP="00F70F22">
      <w:pPr>
        <w:pStyle w:val="Displayedquotation"/>
      </w:pPr>
      <w:r w:rsidRPr="008051CE">
        <w:t>As my tacit knowledge became more explicit</w:t>
      </w:r>
      <w:r w:rsidR="00AE0923" w:rsidRPr="008051CE">
        <w:t>…</w:t>
      </w:r>
      <w:r w:rsidRPr="008051CE">
        <w:t xml:space="preserve"> I grew in confidence in the classroom. I knew that a lot of the students liked what I did, but it was good to talk to colleagues about it. We don't do enough of that. (Male, Traditional academic, SFHEA, UNI-B)</w:t>
      </w:r>
    </w:p>
    <w:p w14:paraId="40DD7E46" w14:textId="2459FC45" w:rsidR="006A60D8" w:rsidRPr="008051CE" w:rsidRDefault="006A60D8" w:rsidP="00F70F22">
      <w:pPr>
        <w:pStyle w:val="Newparagraph"/>
        <w:spacing w:line="480" w:lineRule="auto"/>
      </w:pPr>
      <w:r w:rsidRPr="008051CE">
        <w:t>Some asserted the positive impact of the fellowship process on practice was rooted in their sense of belonging to a supportive community of practice (Wenger, 2000):</w:t>
      </w:r>
    </w:p>
    <w:p w14:paraId="0B3CF0D4" w14:textId="77777777" w:rsidR="00FE1C5E" w:rsidRPr="008051CE" w:rsidRDefault="00FE1C5E" w:rsidP="00516728">
      <w:pPr>
        <w:pStyle w:val="Displayedquotation"/>
      </w:pPr>
      <w:r w:rsidRPr="008051CE">
        <w:t xml:space="preserve">A badge can't improve confidence. The support and encouragement of colleagues and </w:t>
      </w:r>
      <w:r w:rsidRPr="008051CE">
        <w:rPr>
          <w:lang w:eastAsia="en-GB"/>
        </w:rPr>
        <w:t>support</w:t>
      </w:r>
      <w:r w:rsidRPr="008051CE">
        <w:t xml:space="preserve"> of the organisation for REAL career long[-term] development is the only way to do that. (Male, Learning support role/Technical, FHEA, UNI-A) </w:t>
      </w:r>
    </w:p>
    <w:p w14:paraId="3BEF9E14" w14:textId="616DD1FC" w:rsidR="00FE1C5E" w:rsidRPr="008051CE" w:rsidRDefault="006A60D8" w:rsidP="00F70F22">
      <w:pPr>
        <w:pStyle w:val="Newparagraph"/>
        <w:spacing w:line="480" w:lineRule="auto"/>
      </w:pPr>
      <w:r w:rsidRPr="008051CE">
        <w:t>Several participants highlighted  t</w:t>
      </w:r>
      <w:r w:rsidR="00FE1C5E" w:rsidRPr="008051CE">
        <w:t xml:space="preserve">he enduring nature of the networks created through the process </w:t>
      </w:r>
      <w:r w:rsidRPr="008051CE">
        <w:t xml:space="preserve">whose </w:t>
      </w:r>
      <w:r w:rsidR="00FE1C5E" w:rsidRPr="008051CE">
        <w:t xml:space="preserve"> perceived benefits </w:t>
      </w:r>
      <w:r w:rsidR="00B179AF" w:rsidRPr="008051CE">
        <w:t xml:space="preserve">clearly </w:t>
      </w:r>
      <w:r w:rsidR="00FE1C5E" w:rsidRPr="008051CE">
        <w:t xml:space="preserve">continued after the </w:t>
      </w:r>
      <w:r w:rsidR="00B179AF" w:rsidRPr="008051CE">
        <w:t xml:space="preserve">award of </w:t>
      </w:r>
      <w:r w:rsidR="00FE1C5E" w:rsidRPr="008051CE">
        <w:t>fellowship</w:t>
      </w:r>
      <w:r w:rsidR="004D10CC">
        <w:t>.</w:t>
      </w:r>
      <w:r w:rsidR="00E23E32" w:rsidRPr="008051CE">
        <w:t xml:space="preserve"> </w:t>
      </w:r>
    </w:p>
    <w:p w14:paraId="72902D6B" w14:textId="1984A9C3" w:rsidR="00FE1C5E" w:rsidRPr="008051CE" w:rsidRDefault="00B25E39" w:rsidP="00F70F22">
      <w:pPr>
        <w:pStyle w:val="Heading1"/>
        <w:rPr>
          <w:lang w:eastAsia="en-GB"/>
        </w:rPr>
      </w:pPr>
      <w:r>
        <w:rPr>
          <w:lang w:eastAsia="en-GB"/>
        </w:rPr>
        <w:t xml:space="preserve">Discussion and </w:t>
      </w:r>
      <w:r w:rsidR="00FE1C5E" w:rsidRPr="008051CE">
        <w:rPr>
          <w:lang w:eastAsia="en-GB"/>
        </w:rPr>
        <w:t>Conclusions</w:t>
      </w:r>
    </w:p>
    <w:p w14:paraId="202B5F01" w14:textId="24734420" w:rsidR="00FE1C5E" w:rsidRPr="008051CE" w:rsidRDefault="00FE1C5E" w:rsidP="00F70F22">
      <w:pPr>
        <w:pStyle w:val="Paragraph"/>
        <w:spacing w:line="480" w:lineRule="auto"/>
      </w:pPr>
      <w:r w:rsidRPr="008051CE">
        <w:t xml:space="preserve">Our analysis shows that </w:t>
      </w:r>
      <w:r w:rsidR="00D2798E" w:rsidRPr="008051CE">
        <w:t xml:space="preserve">for </w:t>
      </w:r>
      <w:r w:rsidR="00F16901">
        <w:t>u</w:t>
      </w:r>
      <w:r w:rsidR="00C56179" w:rsidRPr="008051CE">
        <w:t xml:space="preserve">niversity educators the </w:t>
      </w:r>
      <w:r w:rsidRPr="008051CE">
        <w:t xml:space="preserve">process of applying for and </w:t>
      </w:r>
      <w:r w:rsidR="00D2798E" w:rsidRPr="008051CE">
        <w:t xml:space="preserve">gaining </w:t>
      </w:r>
      <w:r w:rsidRPr="008051CE">
        <w:t>HEA Fellow</w:t>
      </w:r>
      <w:r w:rsidR="00D2798E" w:rsidRPr="008051CE">
        <w:t xml:space="preserve">ship </w:t>
      </w:r>
      <w:r w:rsidR="00C56179" w:rsidRPr="008051CE">
        <w:t>i</w:t>
      </w:r>
      <w:r w:rsidRPr="008051CE">
        <w:t>mpact</w:t>
      </w:r>
      <w:r w:rsidR="00B179AF" w:rsidRPr="008051CE">
        <w:t xml:space="preserve">s </w:t>
      </w:r>
      <w:r w:rsidRPr="008051CE">
        <w:t xml:space="preserve">on </w:t>
      </w:r>
      <w:r w:rsidR="00C56179" w:rsidRPr="008051CE">
        <w:t>their sense of self</w:t>
      </w:r>
      <w:r w:rsidRPr="008051CE">
        <w:t>, their practice, and their sense of belonging to a broader community of educators. Significantly</w:t>
      </w:r>
      <w:r w:rsidR="001D57A8" w:rsidRPr="008051CE">
        <w:t xml:space="preserve"> for academic developers</w:t>
      </w:r>
      <w:r w:rsidRPr="008051CE">
        <w:t xml:space="preserve">, </w:t>
      </w:r>
      <w:r w:rsidR="00D2798E" w:rsidRPr="008051CE">
        <w:t xml:space="preserve">much of the meaningful impact identified resulted from </w:t>
      </w:r>
      <w:r w:rsidR="009071AB" w:rsidRPr="008051CE">
        <w:t>the process</w:t>
      </w:r>
      <w:r w:rsidRPr="008051CE">
        <w:t xml:space="preserve"> of developing a fellowship</w:t>
      </w:r>
      <w:r w:rsidR="009071AB" w:rsidRPr="008051CE">
        <w:t xml:space="preserve"> application</w:t>
      </w:r>
      <w:r w:rsidR="00D2798E" w:rsidRPr="008051CE">
        <w:t xml:space="preserve"> through a </w:t>
      </w:r>
      <w:r w:rsidRPr="008051CE">
        <w:t xml:space="preserve">combination of exposure to a scholarly evidence base, deep reflection on practice, and structured alignment with the PSF. The model below articulates this relationship between reflection and the transformation of self, practice, and peers, </w:t>
      </w:r>
      <w:r w:rsidR="00E74A76" w:rsidRPr="008051CE">
        <w:t>with the potential to shape the</w:t>
      </w:r>
      <w:r w:rsidRPr="008051CE">
        <w:t xml:space="preserve"> </w:t>
      </w:r>
      <w:r w:rsidRPr="008051CE">
        <w:lastRenderedPageBreak/>
        <w:t xml:space="preserve">student learning experience. </w:t>
      </w:r>
    </w:p>
    <w:p w14:paraId="3AE86A07" w14:textId="199D07FB" w:rsidR="00FE1C5E" w:rsidRPr="008051CE" w:rsidRDefault="00FE1C5E" w:rsidP="00F70F22">
      <w:pPr>
        <w:pStyle w:val="Displayedquotation"/>
        <w:ind w:left="0"/>
        <w:jc w:val="center"/>
      </w:pPr>
      <w:r w:rsidRPr="008051CE">
        <w:t xml:space="preserve">[Insert Figure </w:t>
      </w:r>
      <w:r w:rsidR="000D07BE" w:rsidRPr="008051CE">
        <w:t>2</w:t>
      </w:r>
      <w:r w:rsidRPr="008051CE">
        <w:t>]</w:t>
      </w:r>
    </w:p>
    <w:p w14:paraId="01385F05" w14:textId="257368B8" w:rsidR="00FE1C5E" w:rsidRPr="008051CE" w:rsidRDefault="00FE1C5E" w:rsidP="00F70F22">
      <w:pPr>
        <w:pStyle w:val="Newparagraph"/>
        <w:spacing w:line="480" w:lineRule="auto"/>
      </w:pPr>
      <w:r w:rsidRPr="008051CE">
        <w:t xml:space="preserve">University educators are time-poor, </w:t>
      </w:r>
      <w:r w:rsidR="00D2798E" w:rsidRPr="008051CE">
        <w:t xml:space="preserve">and </w:t>
      </w:r>
      <w:r w:rsidRPr="008051CE">
        <w:t xml:space="preserve">under pressure to deliver against competing demands. In this context, time </w:t>
      </w:r>
      <w:r w:rsidR="00D2798E" w:rsidRPr="008051CE">
        <w:t>spent</w:t>
      </w:r>
      <w:r w:rsidRPr="008051CE">
        <w:t xml:space="preserve"> </w:t>
      </w:r>
      <w:r w:rsidR="0024143E">
        <w:t>on</w:t>
      </w:r>
      <w:r w:rsidRPr="008051CE">
        <w:t xml:space="preserve"> fellowship must add value </w:t>
      </w:r>
      <w:r w:rsidR="00AB163C" w:rsidRPr="008051CE">
        <w:t xml:space="preserve">for </w:t>
      </w:r>
      <w:r w:rsidRPr="008051CE">
        <w:t>them</w:t>
      </w:r>
      <w:r w:rsidR="0084062E">
        <w:t xml:space="preserve"> and</w:t>
      </w:r>
      <w:r w:rsidRPr="008051CE">
        <w:t xml:space="preserve"> their students. The institutional context shapes how staff </w:t>
      </w:r>
      <w:r w:rsidR="0022715F" w:rsidRPr="008051CE">
        <w:t>perceive and respond</w:t>
      </w:r>
      <w:r w:rsidRPr="008051CE">
        <w:t xml:space="preserve"> to fellowship, </w:t>
      </w:r>
      <w:proofErr w:type="gramStart"/>
      <w:r w:rsidRPr="008051CE">
        <w:t>and,</w:t>
      </w:r>
      <w:proofErr w:type="gramEnd"/>
      <w:r w:rsidRPr="008051CE">
        <w:t xml:space="preserve"> as noted elsewhere, ‘some staff feel pushed to achieve recognition’ </w:t>
      </w:r>
      <w:r w:rsidRPr="008051CE">
        <w:rPr>
          <w:noProof/>
        </w:rPr>
        <w:t>(Spowart et al., 2019, p. 1299)</w:t>
      </w:r>
      <w:r w:rsidRPr="008051CE">
        <w:t xml:space="preserve">. Our analysis points to the complex relationship that many have with HEA Fellowship, and the frustration and disappointment </w:t>
      </w:r>
      <w:r w:rsidR="00950102" w:rsidRPr="008051CE">
        <w:t xml:space="preserve">experienced </w:t>
      </w:r>
      <w:r w:rsidRPr="008051CE">
        <w:t xml:space="preserve">when </w:t>
      </w:r>
      <w:r w:rsidR="002259B3" w:rsidRPr="008051CE">
        <w:t>recognition</w:t>
      </w:r>
      <w:r w:rsidRPr="008051CE">
        <w:t xml:space="preserve"> does not deliver the anticipated benefits. </w:t>
      </w:r>
    </w:p>
    <w:p w14:paraId="6AA1F970" w14:textId="57852D57" w:rsidR="00FE1C5E" w:rsidRPr="008051CE" w:rsidRDefault="00FE1C5E" w:rsidP="00F70F22">
      <w:pPr>
        <w:pStyle w:val="Newparagraph"/>
        <w:spacing w:line="480" w:lineRule="auto"/>
        <w:rPr>
          <w:b/>
          <w:bCs/>
        </w:rPr>
      </w:pPr>
      <w:r w:rsidRPr="008051CE">
        <w:t>It is clear from our analysis that connection with the community, peer engagement, and support are central to maximising the gains from the fellowship experience.</w:t>
      </w:r>
      <w:r w:rsidRPr="008051CE">
        <w:rPr>
          <w:b/>
          <w:bCs/>
        </w:rPr>
        <w:t xml:space="preserve"> </w:t>
      </w:r>
      <w:r w:rsidR="001D57A8" w:rsidRPr="008051CE">
        <w:t>This has important implications for institutions that may seek to separate academic development from recognition processes, and make fellowship an individual endeavour, rather than a collegial process. The</w:t>
      </w:r>
      <w:r w:rsidRPr="008051CE">
        <w:t xml:space="preserve"> developmental potential of engaging in this largely self-reflective exercise is augmented when the impact is understood as inextricably linked to relationships with others, and a platform for ongoing collegial networks and development.</w:t>
      </w:r>
      <w:r w:rsidR="00117D86" w:rsidRPr="008051CE">
        <w:t xml:space="preserve"> </w:t>
      </w:r>
    </w:p>
    <w:p w14:paraId="62EB277C" w14:textId="58DC2898" w:rsidR="00FE1C5E" w:rsidRPr="008051CE" w:rsidRDefault="7D063387" w:rsidP="00F70F22">
      <w:pPr>
        <w:pStyle w:val="Newparagraph"/>
        <w:spacing w:line="480" w:lineRule="auto"/>
        <w:rPr>
          <w:lang w:eastAsia="en-GB"/>
        </w:rPr>
      </w:pPr>
      <w:r w:rsidRPr="008051CE">
        <w:rPr>
          <w:lang w:eastAsia="en-GB"/>
        </w:rPr>
        <w:t xml:space="preserve">Central to enhanced self-efficacy was the </w:t>
      </w:r>
      <w:r w:rsidR="00B179AF" w:rsidRPr="008051CE">
        <w:rPr>
          <w:lang w:eastAsia="en-GB"/>
        </w:rPr>
        <w:t xml:space="preserve">reflective </w:t>
      </w:r>
      <w:r w:rsidRPr="008051CE">
        <w:rPr>
          <w:lang w:eastAsia="en-GB"/>
        </w:rPr>
        <w:t>process underpinn</w:t>
      </w:r>
      <w:r w:rsidR="00B179AF" w:rsidRPr="008051CE">
        <w:rPr>
          <w:lang w:eastAsia="en-GB"/>
        </w:rPr>
        <w:t>ing</w:t>
      </w:r>
      <w:r w:rsidRPr="008051CE">
        <w:rPr>
          <w:lang w:eastAsia="en-GB"/>
        </w:rPr>
        <w:t xml:space="preserve"> </w:t>
      </w:r>
      <w:r w:rsidR="00950102" w:rsidRPr="008051CE">
        <w:rPr>
          <w:lang w:eastAsia="en-GB"/>
        </w:rPr>
        <w:t xml:space="preserve">fellowship </w:t>
      </w:r>
      <w:r w:rsidRPr="008051CE">
        <w:rPr>
          <w:lang w:eastAsia="en-GB"/>
        </w:rPr>
        <w:t xml:space="preserve">applications, and that </w:t>
      </w:r>
      <w:r w:rsidR="00B179AF" w:rsidRPr="008051CE">
        <w:rPr>
          <w:lang w:eastAsia="en-GB"/>
        </w:rPr>
        <w:t xml:space="preserve">this </w:t>
      </w:r>
      <w:r w:rsidRPr="008051CE">
        <w:rPr>
          <w:lang w:eastAsia="en-GB"/>
        </w:rPr>
        <w:t xml:space="preserve">reflection on practice made the experience meaningful. This is an important finding, confirming </w:t>
      </w:r>
      <w:r w:rsidR="001D57A8" w:rsidRPr="008051CE">
        <w:rPr>
          <w:lang w:eastAsia="en-GB"/>
        </w:rPr>
        <w:t xml:space="preserve">for academic developers </w:t>
      </w:r>
      <w:r w:rsidRPr="008051CE">
        <w:rPr>
          <w:lang w:eastAsia="en-GB"/>
        </w:rPr>
        <w:t xml:space="preserve">the key role of reflection on practice </w:t>
      </w:r>
      <w:r w:rsidR="00950102" w:rsidRPr="008051CE">
        <w:rPr>
          <w:lang w:eastAsia="en-GB"/>
        </w:rPr>
        <w:t xml:space="preserve">within </w:t>
      </w:r>
      <w:r w:rsidRPr="008051CE">
        <w:rPr>
          <w:lang w:eastAsia="en-GB"/>
        </w:rPr>
        <w:t xml:space="preserve">professional learning. </w:t>
      </w:r>
      <w:r w:rsidR="0024143E">
        <w:rPr>
          <w:lang w:eastAsia="en-GB"/>
        </w:rPr>
        <w:t>C</w:t>
      </w:r>
      <w:r w:rsidRPr="008051CE">
        <w:rPr>
          <w:lang w:eastAsia="en-GB"/>
        </w:rPr>
        <w:t>onfidence levels were not objectively substantiated</w:t>
      </w:r>
      <w:r w:rsidR="00950102" w:rsidRPr="008051CE">
        <w:rPr>
          <w:lang w:eastAsia="en-GB"/>
        </w:rPr>
        <w:t xml:space="preserve">; however, </w:t>
      </w:r>
      <w:r w:rsidRPr="008051CE">
        <w:rPr>
          <w:lang w:eastAsia="en-GB"/>
        </w:rPr>
        <w:t xml:space="preserve">previous research </w:t>
      </w:r>
      <w:r w:rsidR="0022715F" w:rsidRPr="008051CE">
        <w:rPr>
          <w:lang w:eastAsia="en-GB"/>
        </w:rPr>
        <w:t>clearly aligns</w:t>
      </w:r>
      <w:r w:rsidRPr="008051CE">
        <w:rPr>
          <w:lang w:eastAsia="en-GB"/>
        </w:rPr>
        <w:t xml:space="preserve"> self-reported confidence levels with enhanced persistence, performance, and innovati</w:t>
      </w:r>
      <w:r w:rsidR="0024143E">
        <w:rPr>
          <w:lang w:eastAsia="en-GB"/>
        </w:rPr>
        <w:t>on</w:t>
      </w:r>
      <w:r w:rsidR="00812373">
        <w:rPr>
          <w:lang w:eastAsia="en-GB"/>
        </w:rPr>
        <w:t xml:space="preserve"> </w:t>
      </w:r>
      <w:r w:rsidRPr="008051CE">
        <w:rPr>
          <w:lang w:eastAsia="en-GB"/>
        </w:rPr>
        <w:t>(Bandura, 1986; Greer et al.</w:t>
      </w:r>
      <w:r w:rsidR="00F16901">
        <w:rPr>
          <w:lang w:eastAsia="en-GB"/>
        </w:rPr>
        <w:t>,</w:t>
      </w:r>
      <w:r w:rsidRPr="008051CE">
        <w:rPr>
          <w:lang w:eastAsia="en-GB"/>
        </w:rPr>
        <w:t xml:space="preserve"> 2016). Above all, our findings point to a role for academic developers in supporting reflective practice that moves fellowships beyond</w:t>
      </w:r>
      <w:r w:rsidR="00B179AF" w:rsidRPr="008051CE">
        <w:rPr>
          <w:lang w:eastAsia="en-GB"/>
        </w:rPr>
        <w:t xml:space="preserve"> a </w:t>
      </w:r>
      <w:r w:rsidR="00BD29B5" w:rsidRPr="008051CE">
        <w:rPr>
          <w:lang w:eastAsia="en-GB"/>
        </w:rPr>
        <w:t>performative</w:t>
      </w:r>
      <w:r w:rsidR="00B179AF" w:rsidRPr="008051CE">
        <w:rPr>
          <w:lang w:eastAsia="en-GB"/>
        </w:rPr>
        <w:t xml:space="preserve"> exercise</w:t>
      </w:r>
      <w:r w:rsidRPr="008051CE">
        <w:rPr>
          <w:lang w:eastAsia="en-GB"/>
        </w:rPr>
        <w:t>. The power of the PSF lies not in the award (although clearly valued) but, in its enduring impact on practice:</w:t>
      </w:r>
    </w:p>
    <w:p w14:paraId="7256B7A1" w14:textId="77777777" w:rsidR="00FE1C5E" w:rsidRPr="008051CE" w:rsidRDefault="00FE1C5E" w:rsidP="00F70F22">
      <w:pPr>
        <w:pStyle w:val="Displayedquotation"/>
        <w:rPr>
          <w:lang w:eastAsia="en-GB"/>
        </w:rPr>
      </w:pPr>
      <w:r w:rsidRPr="008051CE">
        <w:rPr>
          <w:lang w:eastAsia="en-GB"/>
        </w:rPr>
        <w:lastRenderedPageBreak/>
        <w:t xml:space="preserve">The reflection that is undertaken [for fellowship] was at a depth and intensity that is unsustainable over a longer period. You had to make time to give it attention because it was being assessed. Once that imperative is removed then the impetus is reduced. However, the residual flavour is left behind, and the insights gained remain with you. (Female, Traditional academic, SFHEA, UNI-B) </w:t>
      </w:r>
    </w:p>
    <w:p w14:paraId="08E11902" w14:textId="1064F1EE" w:rsidR="007A38FB" w:rsidRPr="008051CE" w:rsidRDefault="7D063387" w:rsidP="007A38FB">
      <w:pPr>
        <w:pStyle w:val="Newparagraph"/>
        <w:spacing w:line="480" w:lineRule="auto"/>
      </w:pPr>
      <w:r w:rsidRPr="008051CE">
        <w:t xml:space="preserve">A limitation of this paper is the absence of student perceptions of the impact of fellowship on their learning experience. </w:t>
      </w:r>
      <w:r w:rsidR="00986FE5" w:rsidRPr="008051CE">
        <w:t xml:space="preserve">Although </w:t>
      </w:r>
      <w:r w:rsidR="00F5627F" w:rsidRPr="008051CE">
        <w:t>t</w:t>
      </w:r>
      <w:r w:rsidRPr="008051CE">
        <w:t>he article extends the UK</w:t>
      </w:r>
      <w:r w:rsidR="00950102" w:rsidRPr="008051CE">
        <w:t>-</w:t>
      </w:r>
      <w:r w:rsidRPr="008051CE">
        <w:t xml:space="preserve">centric focus of previous research by incorporating </w:t>
      </w:r>
      <w:r w:rsidR="00B179AF" w:rsidRPr="008051CE">
        <w:t>an Australian perspective</w:t>
      </w:r>
      <w:r w:rsidRPr="008051CE">
        <w:t xml:space="preserve">, it nevertheless retains an Anglocentric </w:t>
      </w:r>
      <w:r w:rsidR="00950102" w:rsidRPr="008051CE">
        <w:t>viewpoint</w:t>
      </w:r>
      <w:r w:rsidRPr="008051CE">
        <w:t xml:space="preserve">. Furthermore, while </w:t>
      </w:r>
      <w:r w:rsidR="00B8143E" w:rsidRPr="008051CE">
        <w:t xml:space="preserve">highlighting </w:t>
      </w:r>
      <w:r w:rsidR="00783462" w:rsidRPr="008051CE">
        <w:t>widespread</w:t>
      </w:r>
      <w:r w:rsidRPr="008051CE">
        <w:t xml:space="preserve"> self-reported impact, </w:t>
      </w:r>
      <w:r w:rsidR="00B8143E" w:rsidRPr="008051CE">
        <w:t xml:space="preserve">identification of </w:t>
      </w:r>
      <w:r w:rsidR="00783462" w:rsidRPr="008051CE">
        <w:t>sustained change</w:t>
      </w:r>
      <w:r w:rsidRPr="008051CE">
        <w:t xml:space="preserve"> </w:t>
      </w:r>
      <w:r w:rsidR="00B8143E" w:rsidRPr="008051CE">
        <w:t xml:space="preserve">requires </w:t>
      </w:r>
      <w:r w:rsidRPr="008051CE">
        <w:t xml:space="preserve">a longitudinal study. In light of  recent attention  to decolonising the curriculum, </w:t>
      </w:r>
      <w:r w:rsidR="00783462" w:rsidRPr="008051CE">
        <w:t xml:space="preserve">and the </w:t>
      </w:r>
      <w:r w:rsidRPr="008051CE">
        <w:t xml:space="preserve">growth in </w:t>
      </w:r>
      <w:r w:rsidR="00783462" w:rsidRPr="008051CE">
        <w:t xml:space="preserve">fellowships </w:t>
      </w:r>
      <w:r w:rsidR="00950102" w:rsidRPr="008051CE">
        <w:t>outside the UK</w:t>
      </w:r>
      <w:r w:rsidR="00783462" w:rsidRPr="008051CE">
        <w:t xml:space="preserve">, </w:t>
      </w:r>
      <w:r w:rsidRPr="008051CE">
        <w:t>these are important areas for future research.</w:t>
      </w:r>
    </w:p>
    <w:p w14:paraId="2E644EC5" w14:textId="3D3B0EB3" w:rsidR="00F1380D" w:rsidRPr="008051CE" w:rsidRDefault="7D063387" w:rsidP="006B7213">
      <w:pPr>
        <w:spacing w:line="480" w:lineRule="auto"/>
        <w:rPr>
          <w:rFonts w:ascii="-webkit-standard" w:hAnsi="-webkit-standard"/>
          <w:color w:val="000000"/>
        </w:rPr>
      </w:pPr>
      <w:r w:rsidRPr="008051CE">
        <w:t xml:space="preserve">From the results, the PSF and HEA Fellowship scheme impact positively on </w:t>
      </w:r>
      <w:r w:rsidR="00A24149" w:rsidRPr="008051CE">
        <w:t>higher education</w:t>
      </w:r>
      <w:r w:rsidR="00950102" w:rsidRPr="008051CE">
        <w:t xml:space="preserve"> in a range of ways</w:t>
      </w:r>
      <w:r w:rsidRPr="008051CE">
        <w:t xml:space="preserve">. Fellowships </w:t>
      </w:r>
      <w:r w:rsidR="00A24149" w:rsidRPr="008051CE">
        <w:t xml:space="preserve">introduce </w:t>
      </w:r>
      <w:r w:rsidRPr="008051CE">
        <w:t xml:space="preserve">staff to the scholarly evidence base, create a sense of community, </w:t>
      </w:r>
      <w:r w:rsidR="00F5627F" w:rsidRPr="008051CE">
        <w:t>promote teaching standards</w:t>
      </w:r>
      <w:r w:rsidRPr="008051CE">
        <w:t xml:space="preserve">, </w:t>
      </w:r>
      <w:r w:rsidR="00F5627F" w:rsidRPr="008051CE">
        <w:t xml:space="preserve">and shape confidence </w:t>
      </w:r>
      <w:r w:rsidRPr="008051CE">
        <w:t xml:space="preserve">and innovative practice. However, institutions </w:t>
      </w:r>
      <w:r w:rsidR="00B8143E" w:rsidRPr="008051CE">
        <w:t xml:space="preserve">may be </w:t>
      </w:r>
      <w:r w:rsidRPr="008051CE">
        <w:t xml:space="preserve">failing our staff and students by reducing the rich, complex, reflective act of recognition to a metric-driven, tick-box exercise. </w:t>
      </w:r>
      <w:r w:rsidR="009825B7" w:rsidRPr="008051CE">
        <w:t>The</w:t>
      </w:r>
      <w:r w:rsidR="00F5627F" w:rsidRPr="008051CE">
        <w:t xml:space="preserve"> view of fellowship</w:t>
      </w:r>
      <w:r w:rsidR="00BD29B5" w:rsidRPr="008051CE">
        <w:t>,</w:t>
      </w:r>
      <w:r w:rsidR="00F5627F" w:rsidRPr="008051CE">
        <w:t xml:space="preserve"> as </w:t>
      </w:r>
      <w:r w:rsidR="009825B7" w:rsidRPr="008051CE">
        <w:t>a</w:t>
      </w:r>
      <w:r w:rsidR="00F5627F" w:rsidRPr="008051CE">
        <w:t xml:space="preserve"> formulaic exercise in weasel words and compliance</w:t>
      </w:r>
      <w:r w:rsidR="00BD29B5" w:rsidRPr="008051CE">
        <w:t>,</w:t>
      </w:r>
      <w:r w:rsidR="00F5627F" w:rsidRPr="008051CE">
        <w:t xml:space="preserve"> is misplaced</w:t>
      </w:r>
      <w:r w:rsidR="00C6435D" w:rsidRPr="008051CE">
        <w:t xml:space="preserve">. </w:t>
      </w:r>
      <w:r w:rsidR="00812373">
        <w:t xml:space="preserve">However, </w:t>
      </w:r>
      <w:r w:rsidRPr="008051CE">
        <w:t xml:space="preserve">academic developers </w:t>
      </w:r>
      <w:r w:rsidR="00812373">
        <w:t>must</w:t>
      </w:r>
      <w:r w:rsidR="00F1380D" w:rsidRPr="008051CE">
        <w:t xml:space="preserve"> highlight the </w:t>
      </w:r>
      <w:r w:rsidR="00657D53" w:rsidRPr="008051CE">
        <w:t xml:space="preserve">multifaceted </w:t>
      </w:r>
      <w:r w:rsidR="00C6435D" w:rsidRPr="008051CE">
        <w:t>benefits</w:t>
      </w:r>
      <w:r w:rsidR="00657D53" w:rsidRPr="008051CE">
        <w:t xml:space="preserve"> of fellowship schemes</w:t>
      </w:r>
      <w:r w:rsidRPr="008051CE">
        <w:t xml:space="preserve"> </w:t>
      </w:r>
      <w:r w:rsidR="00657D53" w:rsidRPr="008051CE">
        <w:t xml:space="preserve">encompassing </w:t>
      </w:r>
      <w:r w:rsidRPr="008051CE">
        <w:t>stronger academic self-efficacy, deeper connections to peers and scholarship, and, above all, a rich reflective stance</w:t>
      </w:r>
      <w:r w:rsidR="00C956A2" w:rsidRPr="008051CE">
        <w:t>,</w:t>
      </w:r>
      <w:r w:rsidR="00E016A9" w:rsidRPr="008051CE">
        <w:t xml:space="preserve"> </w:t>
      </w:r>
      <w:r w:rsidR="00C956A2" w:rsidRPr="008051CE">
        <w:t xml:space="preserve">which stimulates </w:t>
      </w:r>
      <w:r w:rsidR="00E016A9" w:rsidRPr="008051CE">
        <w:t>a focus on</w:t>
      </w:r>
      <w:r w:rsidR="00C956A2" w:rsidRPr="008051CE">
        <w:t xml:space="preserve"> student learning. </w:t>
      </w:r>
    </w:p>
    <w:p w14:paraId="77136F16" w14:textId="6CD8878C" w:rsidR="006B7213" w:rsidRPr="008051CE" w:rsidRDefault="7D063387" w:rsidP="006B7213">
      <w:pPr>
        <w:spacing w:line="480" w:lineRule="auto"/>
      </w:pPr>
      <w:proofErr w:type="spellStart"/>
      <w:r w:rsidRPr="008051CE">
        <w:t>Spowart</w:t>
      </w:r>
      <w:proofErr w:type="spellEnd"/>
      <w:r w:rsidRPr="008051CE">
        <w:t xml:space="preserve"> et al</w:t>
      </w:r>
      <w:r w:rsidR="00D64C6C">
        <w:t>.</w:t>
      </w:r>
      <w:r w:rsidRPr="008051CE">
        <w:t xml:space="preserve"> (2017</w:t>
      </w:r>
      <w:r w:rsidR="00D64C6C">
        <w:t>,</w:t>
      </w:r>
      <w:r w:rsidRPr="008051CE">
        <w:t xml:space="preserve"> p</w:t>
      </w:r>
      <w:r w:rsidR="00D64C6C">
        <w:t xml:space="preserve">. </w:t>
      </w:r>
      <w:r w:rsidRPr="008051CE">
        <w:t>369) acknowledge that ‘measuring impact is challenging’ and evaluation is ‘poorly conceptualised and understood across the sector’. Our study moves beyond post-event feedback sheets to a nuanced approach capturing reflections on the fellowship experience</w:t>
      </w:r>
      <w:r w:rsidR="00812373">
        <w:t>,</w:t>
      </w:r>
      <w:r w:rsidR="00B8143E" w:rsidRPr="008051CE">
        <w:t xml:space="preserve"> </w:t>
      </w:r>
      <w:r w:rsidRPr="008051CE">
        <w:t xml:space="preserve">subsequent changes </w:t>
      </w:r>
      <w:r w:rsidR="00C6435D" w:rsidRPr="008051CE">
        <w:t>to</w:t>
      </w:r>
      <w:r w:rsidRPr="008051CE">
        <w:t xml:space="preserve"> practice and </w:t>
      </w:r>
      <w:r w:rsidR="00C6435D" w:rsidRPr="008051CE">
        <w:t>potentially</w:t>
      </w:r>
      <w:r w:rsidRPr="008051CE">
        <w:t xml:space="preserve"> the student</w:t>
      </w:r>
      <w:r w:rsidR="00657D53" w:rsidRPr="008051CE">
        <w:t>s’</w:t>
      </w:r>
      <w:r w:rsidRPr="008051CE">
        <w:t xml:space="preserve"> </w:t>
      </w:r>
      <w:r w:rsidRPr="008051CE">
        <w:lastRenderedPageBreak/>
        <w:t xml:space="preserve">experience. Impact is shaped by an institutional context where engagement with the PSF is just one </w:t>
      </w:r>
      <w:r w:rsidR="00B8143E" w:rsidRPr="008051CE">
        <w:t xml:space="preserve">strand </w:t>
      </w:r>
      <w:r w:rsidRPr="008051CE">
        <w:t xml:space="preserve">of a strategy pursuing educational excellence. </w:t>
      </w:r>
    </w:p>
    <w:p w14:paraId="03CF97CC" w14:textId="296E2684" w:rsidR="00FE1C5E" w:rsidRDefault="007C5746" w:rsidP="006B7213">
      <w:pPr>
        <w:spacing w:line="480" w:lineRule="auto"/>
      </w:pPr>
      <w:r w:rsidRPr="008051CE">
        <w:t>Given the widespread engagement with HEA Fellowship</w:t>
      </w:r>
      <w:r w:rsidR="00B8143E" w:rsidRPr="008051CE">
        <w:t xml:space="preserve">, the paucity of  </w:t>
      </w:r>
      <w:r w:rsidRPr="008051CE">
        <w:t>research on its efficacy</w:t>
      </w:r>
      <w:r w:rsidR="00B8143E" w:rsidRPr="008051CE">
        <w:t xml:space="preserve"> is surprising, </w:t>
      </w:r>
      <w:r w:rsidRPr="008051CE">
        <w:t xml:space="preserve">and it is hoped that this study will </w:t>
      </w:r>
      <w:r w:rsidR="00BD29B5" w:rsidRPr="008051CE">
        <w:t>encourage</w:t>
      </w:r>
      <w:r w:rsidRPr="008051CE">
        <w:t xml:space="preserve"> further interrogation </w:t>
      </w:r>
      <w:r w:rsidR="00812373">
        <w:t>incorporating</w:t>
      </w:r>
      <w:r w:rsidR="00812373" w:rsidRPr="008051CE">
        <w:t xml:space="preserve"> </w:t>
      </w:r>
      <w:r w:rsidRPr="008051CE">
        <w:t xml:space="preserve">student perceptions, and insights from culturally and linguistically diverse members. </w:t>
      </w:r>
      <w:r w:rsidR="00657D53" w:rsidRPr="008051CE">
        <w:t>Fellowships</w:t>
      </w:r>
      <w:r w:rsidR="00FE1C5E" w:rsidRPr="008051CE">
        <w:t xml:space="preserve"> can be a powerful force for change within HE</w:t>
      </w:r>
      <w:r w:rsidR="00657D53" w:rsidRPr="008051CE">
        <w:t>,</w:t>
      </w:r>
      <w:r w:rsidR="00FE1C5E" w:rsidRPr="008051CE">
        <w:t xml:space="preserve"> but only if we </w:t>
      </w:r>
      <w:r w:rsidR="00CA052C">
        <w:t xml:space="preserve">look </w:t>
      </w:r>
      <w:r w:rsidR="00B8143E" w:rsidRPr="008051CE">
        <w:t xml:space="preserve">beyond </w:t>
      </w:r>
      <w:r w:rsidR="00CA052C">
        <w:t>metrics</w:t>
      </w:r>
      <w:r w:rsidR="00812373">
        <w:t>.</w:t>
      </w:r>
    </w:p>
    <w:p w14:paraId="01C8593E" w14:textId="77777777" w:rsidR="00135807" w:rsidRDefault="00135807" w:rsidP="006B7213">
      <w:pPr>
        <w:spacing w:line="480" w:lineRule="auto"/>
      </w:pPr>
    </w:p>
    <w:p w14:paraId="64C75BFD" w14:textId="77777777" w:rsidR="00135807" w:rsidRPr="008051CE" w:rsidRDefault="00135807" w:rsidP="00135807">
      <w:pPr>
        <w:pStyle w:val="Notesoncontributors"/>
      </w:pPr>
      <w:r w:rsidRPr="008051CE">
        <w:rPr>
          <w:b/>
          <w:bCs/>
        </w:rPr>
        <w:t>Abby Cathcart</w:t>
      </w:r>
      <w:r w:rsidRPr="008051CE">
        <w:t xml:space="preserve"> </w:t>
      </w:r>
      <w:r w:rsidRPr="008051CE">
        <w:rPr>
          <w:vertAlign w:val="superscript"/>
        </w:rPr>
        <w:t>a</w:t>
      </w:r>
      <w:r w:rsidRPr="008051CE">
        <w:t xml:space="preserve"> is a </w:t>
      </w:r>
      <w:r w:rsidRPr="008051CE">
        <w:rPr>
          <w:lang w:eastAsia="en-GB"/>
        </w:rPr>
        <w:t>Professor of Higher E</w:t>
      </w:r>
      <w:r w:rsidRPr="008051CE">
        <w:t xml:space="preserve">ducation Governance, and Director of the Queensland University of Technology Academy of Learning and Teaching, Australia. She is a Principal Fellow of the Higher Education Academy (HEA), and an Advance HE Strategic Advisor (Australasia). </w:t>
      </w:r>
    </w:p>
    <w:p w14:paraId="4F20E46F" w14:textId="77777777" w:rsidR="00135807" w:rsidRPr="008051CE" w:rsidRDefault="00135807" w:rsidP="00135807">
      <w:pPr>
        <w:pStyle w:val="Notesoncontributors"/>
      </w:pPr>
      <w:r w:rsidRPr="008051CE">
        <w:rPr>
          <w:b/>
          <w:bCs/>
        </w:rPr>
        <w:t xml:space="preserve">Mark Dransfield </w:t>
      </w:r>
      <w:r w:rsidRPr="008051CE">
        <w:rPr>
          <w:vertAlign w:val="superscript"/>
        </w:rPr>
        <w:t>b</w:t>
      </w:r>
      <w:r w:rsidRPr="008051CE">
        <w:t xml:space="preserve"> is a Senior Lecturer in Academic Practice at York St John University, UK. He is a Senior Fellow of the HEA and an institutional lead for Advance HE accredited provision.</w:t>
      </w:r>
    </w:p>
    <w:p w14:paraId="3BE842E7" w14:textId="77777777" w:rsidR="00135807" w:rsidRPr="008051CE" w:rsidRDefault="00135807" w:rsidP="00135807">
      <w:pPr>
        <w:pStyle w:val="Notesoncontributors"/>
      </w:pPr>
      <w:r w:rsidRPr="008051CE">
        <w:rPr>
          <w:b/>
          <w:bCs/>
        </w:rPr>
        <w:t>Dr Sarah Floyd</w:t>
      </w:r>
      <w:r w:rsidRPr="008051CE">
        <w:t xml:space="preserve"> </w:t>
      </w:r>
      <w:r w:rsidRPr="008051CE">
        <w:rPr>
          <w:vertAlign w:val="superscript"/>
        </w:rPr>
        <w:t>c</w:t>
      </w:r>
      <w:r w:rsidRPr="008051CE">
        <w:t xml:space="preserve"> is a Reader in Higher Education Practice in the Centre for Higher Education Research and Practice at Ulster University. She is a Principal Fellow of the HEA, an institutional lead for Advance HE accredited provision, and an Advance HE Accreditor.</w:t>
      </w:r>
    </w:p>
    <w:p w14:paraId="585B63D2" w14:textId="77777777" w:rsidR="00135807" w:rsidRPr="008051CE" w:rsidRDefault="00135807" w:rsidP="00135807">
      <w:pPr>
        <w:pStyle w:val="Notesoncontributors"/>
        <w:rPr>
          <w:b/>
          <w:bCs/>
        </w:rPr>
      </w:pPr>
      <w:r w:rsidRPr="008051CE">
        <w:rPr>
          <w:b/>
          <w:bCs/>
        </w:rPr>
        <w:t>Lauri-Anne Campbell</w:t>
      </w:r>
      <w:r w:rsidRPr="008051CE">
        <w:t xml:space="preserve"> </w:t>
      </w:r>
      <w:r w:rsidRPr="008051CE">
        <w:rPr>
          <w:vertAlign w:val="superscript"/>
        </w:rPr>
        <w:t>d</w:t>
      </w:r>
      <w:r w:rsidRPr="008051CE">
        <w:t xml:space="preserve"> is a Research Assistant at Edinburgh Napier</w:t>
      </w:r>
    </w:p>
    <w:p w14:paraId="45114934" w14:textId="77777777" w:rsidR="00135807" w:rsidRPr="008051CE" w:rsidRDefault="00135807" w:rsidP="00135807">
      <w:pPr>
        <w:pStyle w:val="Notesoncontributors"/>
      </w:pPr>
      <w:r w:rsidRPr="008051CE">
        <w:rPr>
          <w:b/>
          <w:bCs/>
        </w:rPr>
        <w:t xml:space="preserve">Dr Rachael </w:t>
      </w:r>
      <w:proofErr w:type="spellStart"/>
      <w:r w:rsidRPr="008051CE">
        <w:rPr>
          <w:b/>
          <w:bCs/>
        </w:rPr>
        <w:t>Carkett</w:t>
      </w:r>
      <w:proofErr w:type="spellEnd"/>
      <w:r w:rsidRPr="008051CE">
        <w:t> </w:t>
      </w:r>
      <w:r w:rsidRPr="008051CE">
        <w:rPr>
          <w:vertAlign w:val="superscript"/>
        </w:rPr>
        <w:t>e</w:t>
      </w:r>
      <w:r w:rsidRPr="008051CE">
        <w:t xml:space="preserve"> is a Senior Academic Staff Developer at the University of Bath, UK. She is a National Teaching Fellow, </w:t>
      </w:r>
      <w:r w:rsidRPr="008051CE">
        <w:rPr>
          <w:lang w:eastAsia="en-GB"/>
        </w:rPr>
        <w:t>HEA</w:t>
      </w:r>
      <w:r w:rsidRPr="008051CE">
        <w:t xml:space="preserve"> Principal Fellow, Senior Fellow SEDA, </w:t>
      </w:r>
      <w:r>
        <w:t xml:space="preserve">and </w:t>
      </w:r>
      <w:r w:rsidRPr="008051CE">
        <w:t>Advance HE Accreditor.</w:t>
      </w:r>
    </w:p>
    <w:p w14:paraId="43322888" w14:textId="77777777" w:rsidR="00135807" w:rsidRPr="008051CE" w:rsidRDefault="00135807" w:rsidP="00135807">
      <w:pPr>
        <w:pStyle w:val="Notesoncontributors"/>
      </w:pPr>
      <w:r w:rsidRPr="008051CE">
        <w:rPr>
          <w:b/>
          <w:bCs/>
        </w:rPr>
        <w:t>Vicky Davies</w:t>
      </w:r>
      <w:r w:rsidRPr="008051CE">
        <w:t xml:space="preserve"> </w:t>
      </w:r>
      <w:r w:rsidRPr="008051CE">
        <w:rPr>
          <w:vertAlign w:val="superscript"/>
        </w:rPr>
        <w:t>f</w:t>
      </w:r>
      <w:r w:rsidRPr="008051CE">
        <w:t xml:space="preserve"> is a Lecturer in Higher Education in the Centre for Higher Education Research and Practice at Ulster University. She is a Principal Fellow of the HEA, </w:t>
      </w:r>
      <w:r>
        <w:t>an institutional</w:t>
      </w:r>
      <w:r w:rsidRPr="008051CE">
        <w:t xml:space="preserve"> lead for Advance HE accredited provision, and an Advance HE Accreditor.</w:t>
      </w:r>
    </w:p>
    <w:p w14:paraId="7649BEAC" w14:textId="77777777" w:rsidR="00135807" w:rsidRPr="008051CE" w:rsidRDefault="00135807" w:rsidP="00135807">
      <w:pPr>
        <w:pStyle w:val="Notesoncontributors"/>
      </w:pPr>
      <w:r w:rsidRPr="008051CE">
        <w:rPr>
          <w:b/>
          <w:bCs/>
        </w:rPr>
        <w:t xml:space="preserve">Dr Rosalind </w:t>
      </w:r>
      <w:proofErr w:type="spellStart"/>
      <w:r w:rsidRPr="008051CE">
        <w:rPr>
          <w:b/>
          <w:bCs/>
        </w:rPr>
        <w:t>Duhs</w:t>
      </w:r>
      <w:proofErr w:type="spellEnd"/>
      <w:r w:rsidRPr="008051CE">
        <w:t> </w:t>
      </w:r>
      <w:r w:rsidRPr="008051CE">
        <w:rPr>
          <w:vertAlign w:val="superscript"/>
        </w:rPr>
        <w:t>g</w:t>
      </w:r>
      <w:r w:rsidRPr="008051CE">
        <w:t xml:space="preserve"> is a </w:t>
      </w:r>
      <w:r w:rsidRPr="008051CE">
        <w:rPr>
          <w:lang w:eastAsia="en-GB"/>
        </w:rPr>
        <w:t>Principal</w:t>
      </w:r>
      <w:r w:rsidRPr="008051CE">
        <w:t xml:space="preserve"> Teaching Fellow at the Arena Centre for Research-Based Education, University College London (UCL). She is a Principal Fellow of the Higher Education Academy and an Advance HE </w:t>
      </w:r>
      <w:r>
        <w:t>A</w:t>
      </w:r>
      <w:r w:rsidRPr="008051CE">
        <w:t>ccreditor.</w:t>
      </w:r>
    </w:p>
    <w:p w14:paraId="0624C174" w14:textId="77777777" w:rsidR="00135807" w:rsidRPr="008051CE" w:rsidRDefault="00135807" w:rsidP="00135807">
      <w:pPr>
        <w:pStyle w:val="Notesoncontributors"/>
      </w:pPr>
      <w:r w:rsidRPr="008051CE">
        <w:rPr>
          <w:b/>
          <w:bCs/>
        </w:rPr>
        <w:t xml:space="preserve">Dr Fiona Smart </w:t>
      </w:r>
      <w:r w:rsidRPr="008051CE">
        <w:rPr>
          <w:vertAlign w:val="superscript"/>
        </w:rPr>
        <w:t>h</w:t>
      </w:r>
      <w:r w:rsidRPr="008051CE">
        <w:t xml:space="preserve"> is an Associate Professor in Learning and Teaching and Head of the Department of Learning and Teaching Enhancement at Edinburgh Napier. She is a Principal Fellow of the HEA and an </w:t>
      </w:r>
      <w:r>
        <w:t>Advance</w:t>
      </w:r>
      <w:r w:rsidRPr="008051CE">
        <w:t xml:space="preserve"> HE </w:t>
      </w:r>
      <w:r>
        <w:t>Accreditor</w:t>
      </w:r>
      <w:r w:rsidRPr="008051CE">
        <w:t xml:space="preserve">. </w:t>
      </w:r>
    </w:p>
    <w:p w14:paraId="4DFF2DC6" w14:textId="77777777" w:rsidR="00FE1C5E" w:rsidRPr="008051CE" w:rsidRDefault="00FE1C5E"/>
    <w:p w14:paraId="518BD567" w14:textId="4B1E2115" w:rsidR="00FE1C5E" w:rsidRPr="008051CE" w:rsidRDefault="00FE1C5E" w:rsidP="00F70F22">
      <w:pPr>
        <w:spacing w:line="480" w:lineRule="auto"/>
        <w:rPr>
          <w:b/>
        </w:rPr>
      </w:pPr>
      <w:r w:rsidRPr="008051CE">
        <w:rPr>
          <w:b/>
        </w:rPr>
        <w:t>References</w:t>
      </w:r>
    </w:p>
    <w:p w14:paraId="7C86AD67" w14:textId="7E145757" w:rsidR="00FE1C5E" w:rsidRPr="008051CE" w:rsidRDefault="00FE1C5E" w:rsidP="00F70F22">
      <w:pPr>
        <w:pStyle w:val="EndNoteBibliography"/>
        <w:ind w:left="720" w:hanging="720"/>
        <w:rPr>
          <w:noProof/>
        </w:rPr>
      </w:pPr>
      <w:r w:rsidRPr="008051CE">
        <w:rPr>
          <w:noProof/>
        </w:rPr>
        <w:t>Advance HE. (2019). We are Advance HE. https://www.advance-he.ac.uk/about-us#More</w:t>
      </w:r>
    </w:p>
    <w:p w14:paraId="55B73237" w14:textId="73D4C0AF" w:rsidR="00FE1C5E" w:rsidRPr="008051CE" w:rsidRDefault="00FE1C5E" w:rsidP="00F70F22">
      <w:pPr>
        <w:pStyle w:val="EndNoteBibliography"/>
        <w:ind w:left="720" w:hanging="720"/>
        <w:rPr>
          <w:noProof/>
        </w:rPr>
      </w:pPr>
      <w:r w:rsidRPr="008051CE">
        <w:rPr>
          <w:noProof/>
        </w:rPr>
        <w:t xml:space="preserve">Asghar, M., &amp; Pilkington, R. (2018). The relational value of professional dialogue for academics pursuing HEA fellowship. </w:t>
      </w:r>
      <w:r w:rsidRPr="008051CE">
        <w:rPr>
          <w:i/>
          <w:noProof/>
        </w:rPr>
        <w:t>International Journal for Academic Development, 23</w:t>
      </w:r>
      <w:r w:rsidRPr="008051CE">
        <w:rPr>
          <w:noProof/>
        </w:rPr>
        <w:t xml:space="preserve">(2), 135-146. </w:t>
      </w:r>
      <w:r w:rsidR="00D64C6C">
        <w:rPr>
          <w:noProof/>
        </w:rPr>
        <w:t>https://doi.org/</w:t>
      </w:r>
      <w:r w:rsidRPr="008051CE">
        <w:rPr>
          <w:noProof/>
        </w:rPr>
        <w:t>10.1080/1360144X.2017.1386566</w:t>
      </w:r>
    </w:p>
    <w:p w14:paraId="700E5419" w14:textId="075F764F" w:rsidR="00FE1C5E" w:rsidRPr="008051CE" w:rsidRDefault="00FE1C5E" w:rsidP="00F70F22">
      <w:pPr>
        <w:pStyle w:val="EndNoteBibliography"/>
        <w:ind w:left="720" w:hanging="720"/>
        <w:rPr>
          <w:noProof/>
        </w:rPr>
      </w:pPr>
      <w:r w:rsidRPr="008051CE">
        <w:rPr>
          <w:noProof/>
        </w:rPr>
        <w:t xml:space="preserve">Bamber, V., &amp; Stefani, L. (2016). Taking up the challenge of evidencing value in educational development: </w:t>
      </w:r>
      <w:r w:rsidR="00D64C6C" w:rsidRPr="008051CE">
        <w:rPr>
          <w:noProof/>
        </w:rPr>
        <w:t xml:space="preserve">From </w:t>
      </w:r>
      <w:r w:rsidRPr="008051CE">
        <w:rPr>
          <w:noProof/>
        </w:rPr>
        <w:t xml:space="preserve">theory to practice. </w:t>
      </w:r>
      <w:r w:rsidRPr="008051CE">
        <w:rPr>
          <w:i/>
          <w:noProof/>
        </w:rPr>
        <w:t>International Journal for Academic Development, 21</w:t>
      </w:r>
      <w:r w:rsidRPr="008051CE">
        <w:rPr>
          <w:noProof/>
        </w:rPr>
        <w:t>(3), 242-254. doi:10.1080/1360144X.2015.1100112</w:t>
      </w:r>
    </w:p>
    <w:p w14:paraId="70BD4767" w14:textId="7C5D9714" w:rsidR="00FE1C5E" w:rsidRPr="008051CE" w:rsidRDefault="00FE1C5E" w:rsidP="00F70F22">
      <w:pPr>
        <w:pStyle w:val="EndNoteBibliography"/>
        <w:ind w:left="720" w:hanging="720"/>
        <w:rPr>
          <w:noProof/>
        </w:rPr>
      </w:pPr>
      <w:r w:rsidRPr="008051CE">
        <w:rPr>
          <w:noProof/>
        </w:rPr>
        <w:t xml:space="preserve">Bandura, A. (1986). </w:t>
      </w:r>
      <w:r w:rsidRPr="008051CE">
        <w:rPr>
          <w:i/>
          <w:noProof/>
        </w:rPr>
        <w:t>Social foundations of thought and action: A social cognitive theory</w:t>
      </w:r>
      <w:r w:rsidRPr="008051CE">
        <w:rPr>
          <w:noProof/>
        </w:rPr>
        <w:t>. Prentice-Hall.</w:t>
      </w:r>
    </w:p>
    <w:p w14:paraId="2869323B" w14:textId="1B7F17E4" w:rsidR="00FE1C5E" w:rsidRPr="008051CE" w:rsidRDefault="00FE1C5E" w:rsidP="00F70F22">
      <w:pPr>
        <w:pStyle w:val="EndNoteBibliography"/>
        <w:ind w:left="720" w:hanging="720"/>
        <w:rPr>
          <w:noProof/>
        </w:rPr>
      </w:pPr>
      <w:r w:rsidRPr="008051CE">
        <w:rPr>
          <w:noProof/>
        </w:rPr>
        <w:t xml:space="preserve">Barkas, L. A., Scott, J. M., Poppitt, N. J., &amp; Smith, P. J. (2019). Tinker, tailor, policy-maker: </w:t>
      </w:r>
      <w:r w:rsidR="00D64C6C" w:rsidRPr="008051CE">
        <w:rPr>
          <w:noProof/>
        </w:rPr>
        <w:t xml:space="preserve">Can </w:t>
      </w:r>
      <w:r w:rsidRPr="008051CE">
        <w:rPr>
          <w:noProof/>
        </w:rPr>
        <w:t xml:space="preserve">the UK government’s teaching excellence framework deliver its objectives? </w:t>
      </w:r>
      <w:r w:rsidRPr="008051CE">
        <w:rPr>
          <w:i/>
          <w:noProof/>
        </w:rPr>
        <w:t>Journal of Further and Higher Education, 43</w:t>
      </w:r>
      <w:r w:rsidRPr="008051CE">
        <w:rPr>
          <w:noProof/>
        </w:rPr>
        <w:t xml:space="preserve">(6), 801-813. </w:t>
      </w:r>
      <w:r w:rsidR="00D64C6C" w:rsidRPr="00D64C6C">
        <w:rPr>
          <w:noProof/>
        </w:rPr>
        <w:t>https://doi.org/10.1080/0309877x.2017.1408789</w:t>
      </w:r>
    </w:p>
    <w:p w14:paraId="66B8C5FE" w14:textId="4896A0BA" w:rsidR="00FE1C5E" w:rsidRPr="008051CE" w:rsidRDefault="00FE1C5E" w:rsidP="00F70F22">
      <w:pPr>
        <w:pStyle w:val="EndNoteBibliography"/>
        <w:ind w:left="720" w:hanging="720"/>
        <w:rPr>
          <w:noProof/>
        </w:rPr>
      </w:pPr>
      <w:r w:rsidRPr="008051CE">
        <w:rPr>
          <w:noProof/>
        </w:rPr>
        <w:t>Beckmann, E. A. &amp; Cathcart, A. (2019). Institutional strategies for developing postgraduate research students’ teaching and communication capabilities. In F. F. Padró, R.</w:t>
      </w:r>
      <w:r w:rsidR="000F0571" w:rsidRPr="000F0571">
        <w:rPr>
          <w:noProof/>
        </w:rPr>
        <w:t xml:space="preserve"> </w:t>
      </w:r>
      <w:r w:rsidR="000F0571" w:rsidRPr="008051CE">
        <w:rPr>
          <w:noProof/>
        </w:rPr>
        <w:t>Erwee</w:t>
      </w:r>
      <w:r w:rsidRPr="008051CE">
        <w:rPr>
          <w:noProof/>
        </w:rPr>
        <w:t xml:space="preserve">, M. </w:t>
      </w:r>
      <w:r w:rsidR="000F0571" w:rsidRPr="008051CE">
        <w:rPr>
          <w:noProof/>
        </w:rPr>
        <w:t>Harmes</w:t>
      </w:r>
      <w:r w:rsidR="000F0571">
        <w:rPr>
          <w:noProof/>
        </w:rPr>
        <w:t>,</w:t>
      </w:r>
      <w:r w:rsidR="000F0571" w:rsidRPr="008051CE">
        <w:rPr>
          <w:noProof/>
        </w:rPr>
        <w:t xml:space="preserve"> </w:t>
      </w:r>
      <w:r w:rsidRPr="008051CE">
        <w:rPr>
          <w:noProof/>
        </w:rPr>
        <w:t xml:space="preserve">&amp; P.A. </w:t>
      </w:r>
      <w:r w:rsidR="000F0571" w:rsidRPr="008051CE">
        <w:rPr>
          <w:noProof/>
        </w:rPr>
        <w:t xml:space="preserve">Danaher </w:t>
      </w:r>
      <w:r w:rsidRPr="008051CE">
        <w:rPr>
          <w:noProof/>
        </w:rPr>
        <w:t>(Eds.)</w:t>
      </w:r>
      <w:r w:rsidR="00D64C6C">
        <w:rPr>
          <w:noProof/>
        </w:rPr>
        <w:t xml:space="preserve">, </w:t>
      </w:r>
      <w:r w:rsidRPr="008051CE">
        <w:rPr>
          <w:i/>
          <w:noProof/>
        </w:rPr>
        <w:t xml:space="preserve">Postgraduate </w:t>
      </w:r>
      <w:r w:rsidR="00D64C6C" w:rsidRPr="008051CE">
        <w:rPr>
          <w:i/>
          <w:noProof/>
        </w:rPr>
        <w:t>education in higher education</w:t>
      </w:r>
      <w:r w:rsidRPr="008051CE">
        <w:rPr>
          <w:i/>
          <w:noProof/>
        </w:rPr>
        <w:t>.</w:t>
      </w:r>
      <w:r w:rsidRPr="008051CE">
        <w:rPr>
          <w:noProof/>
        </w:rPr>
        <w:t xml:space="preserve"> Sprin</w:t>
      </w:r>
      <w:r w:rsidR="000F0571">
        <w:rPr>
          <w:noProof/>
        </w:rPr>
        <w:t>g</w:t>
      </w:r>
      <w:r w:rsidRPr="008051CE">
        <w:rPr>
          <w:noProof/>
        </w:rPr>
        <w:t>er.</w:t>
      </w:r>
      <w:r w:rsidR="000F0571">
        <w:rPr>
          <w:noProof/>
        </w:rPr>
        <w:t xml:space="preserve"> </w:t>
      </w:r>
      <w:r w:rsidR="000F0571" w:rsidRPr="000F0571">
        <w:rPr>
          <w:noProof/>
        </w:rPr>
        <w:t>https://doi.org/10.1007/978-981-10-0468-1_1-1</w:t>
      </w:r>
    </w:p>
    <w:p w14:paraId="599082D4" w14:textId="635BB712" w:rsidR="00FE1C5E" w:rsidRPr="008051CE" w:rsidRDefault="00FE1C5E" w:rsidP="00F70F22">
      <w:pPr>
        <w:pStyle w:val="EndNoteBibliography"/>
        <w:ind w:left="720" w:hanging="720"/>
        <w:rPr>
          <w:noProof/>
        </w:rPr>
      </w:pPr>
      <w:r w:rsidRPr="008051CE">
        <w:rPr>
          <w:noProof/>
        </w:rPr>
        <w:t>Bell, A. R., &amp; Brooks, C. (2019). Is there a ‘magic link’</w:t>
      </w:r>
      <w:r w:rsidR="00D64C6C">
        <w:rPr>
          <w:noProof/>
        </w:rPr>
        <w:t xml:space="preserve"> </w:t>
      </w:r>
      <w:r w:rsidRPr="008051CE">
        <w:rPr>
          <w:noProof/>
        </w:rPr>
        <w:t xml:space="preserve">between research activity, professional teaching qualifications and student satisfaction? </w:t>
      </w:r>
      <w:r w:rsidRPr="008051CE">
        <w:rPr>
          <w:i/>
          <w:noProof/>
        </w:rPr>
        <w:t>Higher Education Policy, 32</w:t>
      </w:r>
      <w:r w:rsidRPr="008051CE">
        <w:rPr>
          <w:noProof/>
        </w:rPr>
        <w:t xml:space="preserve">(2), 227-248. </w:t>
      </w:r>
      <w:r w:rsidR="000F0571" w:rsidRPr="000F0571">
        <w:rPr>
          <w:noProof/>
        </w:rPr>
        <w:t>https://doi.org/10.2139/ssrn.2712412</w:t>
      </w:r>
    </w:p>
    <w:p w14:paraId="17F7EBE4" w14:textId="508B1CE2" w:rsidR="00FE1C5E" w:rsidRPr="008051CE" w:rsidRDefault="00FE1C5E" w:rsidP="00F70F22">
      <w:pPr>
        <w:pStyle w:val="EndNoteBibliography"/>
        <w:ind w:left="720" w:hanging="720"/>
        <w:rPr>
          <w:noProof/>
        </w:rPr>
      </w:pPr>
      <w:r w:rsidRPr="008051CE">
        <w:rPr>
          <w:noProof/>
        </w:rPr>
        <w:t xml:space="preserve">Boyer, E. L. (1990). </w:t>
      </w:r>
      <w:r w:rsidRPr="008051CE">
        <w:rPr>
          <w:i/>
          <w:noProof/>
        </w:rPr>
        <w:t>Scholarship reconsidered: Priorities of the professoriate</w:t>
      </w:r>
      <w:r w:rsidRPr="008051CE">
        <w:rPr>
          <w:noProof/>
        </w:rPr>
        <w:t>. Carnegie Foundation for the Advancement of Teaching.</w:t>
      </w:r>
    </w:p>
    <w:p w14:paraId="1D213A62" w14:textId="7CD9F246" w:rsidR="00FE1C5E" w:rsidRPr="008051CE" w:rsidRDefault="00FE1C5E" w:rsidP="00F70F22">
      <w:pPr>
        <w:pStyle w:val="EndNoteBibliography"/>
        <w:ind w:left="720" w:hanging="720"/>
        <w:rPr>
          <w:noProof/>
        </w:rPr>
      </w:pPr>
      <w:r w:rsidRPr="008051CE">
        <w:rPr>
          <w:noProof/>
        </w:rPr>
        <w:t xml:space="preserve">Buissink, N., Diamond, P., Hallas, J., Swann, J., &amp; Sciascia, A. D. (2017). Challenging a measured university from an indigenous perspective: </w:t>
      </w:r>
      <w:r w:rsidR="000F0571" w:rsidRPr="008051CE">
        <w:rPr>
          <w:noProof/>
        </w:rPr>
        <w:t xml:space="preserve">Placing </w:t>
      </w:r>
      <w:r w:rsidRPr="008051CE">
        <w:rPr>
          <w:noProof/>
        </w:rPr>
        <w:t xml:space="preserve">'manaaki' at the heart of our professional development programme. </w:t>
      </w:r>
      <w:r w:rsidRPr="008051CE">
        <w:rPr>
          <w:i/>
          <w:noProof/>
        </w:rPr>
        <w:t>Higher Education Research &amp; Development, 36</w:t>
      </w:r>
      <w:r w:rsidRPr="008051CE">
        <w:rPr>
          <w:noProof/>
        </w:rPr>
        <w:t xml:space="preserve">(3), 569-582. </w:t>
      </w:r>
      <w:r w:rsidR="000F0571" w:rsidRPr="000F0571">
        <w:rPr>
          <w:noProof/>
        </w:rPr>
        <w:t>https://doi.org/</w:t>
      </w:r>
      <w:r w:rsidRPr="008051CE">
        <w:rPr>
          <w:noProof/>
        </w:rPr>
        <w:t>10.1080/07294360.2017.1288706</w:t>
      </w:r>
    </w:p>
    <w:p w14:paraId="1EC9900E" w14:textId="6DEDC311" w:rsidR="00FE1C5E" w:rsidRPr="008051CE" w:rsidRDefault="00FE1C5E" w:rsidP="00F70F22">
      <w:pPr>
        <w:pStyle w:val="EndNoteBibliography"/>
        <w:ind w:left="720" w:hanging="720"/>
        <w:rPr>
          <w:noProof/>
        </w:rPr>
      </w:pPr>
      <w:r w:rsidRPr="008051CE">
        <w:rPr>
          <w:noProof/>
        </w:rPr>
        <w:t xml:space="preserve">Butcher, J., &amp; Stoncel, D. (2012). The impact of a </w:t>
      </w:r>
      <w:r w:rsidR="000F0571" w:rsidRPr="008051CE">
        <w:rPr>
          <w:noProof/>
        </w:rPr>
        <w:t>postgraduate certificate in teaching in higher education on university l</w:t>
      </w:r>
      <w:r w:rsidRPr="008051CE">
        <w:rPr>
          <w:noProof/>
        </w:rPr>
        <w:t xml:space="preserve">ecturers appointed for their professional expertise at a teaching-led university: 'It's made me braver'. </w:t>
      </w:r>
      <w:r w:rsidRPr="008051CE">
        <w:rPr>
          <w:i/>
          <w:noProof/>
        </w:rPr>
        <w:t>International Journal for Academic Development, 17</w:t>
      </w:r>
      <w:r w:rsidRPr="008051CE">
        <w:rPr>
          <w:noProof/>
        </w:rPr>
        <w:t xml:space="preserve">(2), 149-162. </w:t>
      </w:r>
      <w:r w:rsidR="000F0571" w:rsidRPr="000F0571">
        <w:rPr>
          <w:noProof/>
        </w:rPr>
        <w:t>https://doi.org/</w:t>
      </w:r>
      <w:r w:rsidRPr="008051CE">
        <w:rPr>
          <w:noProof/>
        </w:rPr>
        <w:t>10.1080/1360144X.2011.620107</w:t>
      </w:r>
    </w:p>
    <w:p w14:paraId="629CD4A0" w14:textId="111D955E" w:rsidR="00121945" w:rsidRPr="008051CE" w:rsidRDefault="00121945" w:rsidP="003C567B">
      <w:pPr>
        <w:autoSpaceDE w:val="0"/>
        <w:autoSpaceDN w:val="0"/>
        <w:adjustRightInd w:val="0"/>
        <w:ind w:left="720" w:hanging="720"/>
        <w:rPr>
          <w:noProof/>
        </w:rPr>
      </w:pPr>
      <w:r w:rsidRPr="008051CE">
        <w:rPr>
          <w:noProof/>
        </w:rPr>
        <w:t xml:space="preserve">Cook, C., Heath, F., &amp; Thompson, R. L. (2000). A </w:t>
      </w:r>
      <w:r w:rsidR="000F0571" w:rsidRPr="008051CE">
        <w:rPr>
          <w:noProof/>
        </w:rPr>
        <w:t>meta-analysis of response rates in web- or internet-based surveys</w:t>
      </w:r>
      <w:r w:rsidRPr="008051CE">
        <w:rPr>
          <w:noProof/>
        </w:rPr>
        <w:t xml:space="preserve">. </w:t>
      </w:r>
      <w:r w:rsidRPr="000F0571">
        <w:rPr>
          <w:i/>
          <w:iCs/>
          <w:noProof/>
        </w:rPr>
        <w:t>Educational and Psychological Measurement, 60</w:t>
      </w:r>
      <w:r w:rsidRPr="008051CE">
        <w:rPr>
          <w:noProof/>
        </w:rPr>
        <w:t xml:space="preserve">(6), 821-836. </w:t>
      </w:r>
      <w:hyperlink r:id="rId9" w:history="1">
        <w:r w:rsidRPr="008051CE">
          <w:rPr>
            <w:noProof/>
          </w:rPr>
          <w:t>https://doi.org/10.1177/00131640021970934</w:t>
        </w:r>
      </w:hyperlink>
      <w:r w:rsidRPr="008051CE">
        <w:rPr>
          <w:noProof/>
        </w:rPr>
        <w:t xml:space="preserve"> </w:t>
      </w:r>
    </w:p>
    <w:p w14:paraId="35A82362" w14:textId="7720EE4B" w:rsidR="00FE1C5E" w:rsidRPr="008051CE" w:rsidRDefault="00FE1C5E" w:rsidP="00F70F22">
      <w:pPr>
        <w:pStyle w:val="EndNoteBibliography"/>
        <w:ind w:left="720" w:hanging="720"/>
        <w:rPr>
          <w:noProof/>
        </w:rPr>
      </w:pPr>
      <w:r w:rsidRPr="008051CE">
        <w:rPr>
          <w:noProof/>
        </w:rPr>
        <w:t xml:space="preserve">Corbin, J., &amp; Strauss, A. (2008). </w:t>
      </w:r>
      <w:r w:rsidRPr="008051CE">
        <w:rPr>
          <w:i/>
          <w:noProof/>
        </w:rPr>
        <w:t>Basics of qualitative research</w:t>
      </w:r>
      <w:r w:rsidRPr="008051CE">
        <w:rPr>
          <w:noProof/>
        </w:rPr>
        <w:t xml:space="preserve"> (3rd ed.). Sage Publications.</w:t>
      </w:r>
    </w:p>
    <w:p w14:paraId="0E622638" w14:textId="550B7734" w:rsidR="00FE1C5E" w:rsidRPr="008051CE" w:rsidRDefault="00FE1C5E" w:rsidP="00F70F22">
      <w:pPr>
        <w:pStyle w:val="EndNoteBibliography"/>
        <w:ind w:left="720" w:hanging="720"/>
        <w:rPr>
          <w:noProof/>
        </w:rPr>
      </w:pPr>
      <w:r w:rsidRPr="008051CE">
        <w:rPr>
          <w:noProof/>
        </w:rPr>
        <w:t xml:space="preserve">Daniels, J. (2017). Professional learning in higher education: </w:t>
      </w:r>
      <w:r w:rsidR="00E054C3" w:rsidRPr="008051CE">
        <w:rPr>
          <w:noProof/>
        </w:rPr>
        <w:t xml:space="preserve">Making </w:t>
      </w:r>
      <w:r w:rsidRPr="008051CE">
        <w:rPr>
          <w:noProof/>
        </w:rPr>
        <w:t xml:space="preserve">good practice relevant. </w:t>
      </w:r>
      <w:r w:rsidRPr="008051CE">
        <w:rPr>
          <w:i/>
          <w:noProof/>
        </w:rPr>
        <w:t>International Journal for Academic Development, 22</w:t>
      </w:r>
      <w:r w:rsidRPr="008051CE">
        <w:rPr>
          <w:noProof/>
        </w:rPr>
        <w:t xml:space="preserve">(2), 170-181. </w:t>
      </w:r>
      <w:r w:rsidR="00E054C3" w:rsidRPr="00E054C3">
        <w:rPr>
          <w:noProof/>
        </w:rPr>
        <w:t>https://doi.org/</w:t>
      </w:r>
      <w:r w:rsidRPr="008051CE">
        <w:rPr>
          <w:noProof/>
        </w:rPr>
        <w:t>10.1080/1360144X.2016.1261352</w:t>
      </w:r>
    </w:p>
    <w:p w14:paraId="6660EDFC" w14:textId="05BA490B" w:rsidR="00FE1C5E" w:rsidRPr="008051CE" w:rsidRDefault="00FE1C5E" w:rsidP="00F70F22">
      <w:pPr>
        <w:pStyle w:val="EndNoteBibliography"/>
        <w:ind w:left="720" w:hanging="720"/>
        <w:rPr>
          <w:noProof/>
        </w:rPr>
      </w:pPr>
      <w:r w:rsidRPr="008051CE">
        <w:rPr>
          <w:noProof/>
        </w:rPr>
        <w:t xml:space="preserve">Department of Education. (2019). </w:t>
      </w:r>
      <w:r w:rsidRPr="000F2366">
        <w:rPr>
          <w:i/>
          <w:iCs/>
          <w:noProof/>
        </w:rPr>
        <w:t xml:space="preserve">Quality </w:t>
      </w:r>
      <w:r w:rsidR="00E054C3" w:rsidRPr="000F2366">
        <w:rPr>
          <w:i/>
          <w:iCs/>
          <w:noProof/>
        </w:rPr>
        <w:t>indicators for learning and teachin</w:t>
      </w:r>
      <w:r w:rsidRPr="000F2366">
        <w:rPr>
          <w:i/>
          <w:iCs/>
          <w:noProof/>
        </w:rPr>
        <w:t>g.</w:t>
      </w:r>
      <w:r w:rsidRPr="008051CE">
        <w:rPr>
          <w:noProof/>
        </w:rPr>
        <w:t xml:space="preserve"> https://www.qilt.edu.au/</w:t>
      </w:r>
    </w:p>
    <w:p w14:paraId="2F96CCDE" w14:textId="1177764F" w:rsidR="00FE1C5E" w:rsidRPr="008051CE" w:rsidRDefault="00FE1C5E" w:rsidP="00F70F22">
      <w:pPr>
        <w:pStyle w:val="EndNoteBibliography"/>
        <w:ind w:left="720" w:hanging="720"/>
        <w:rPr>
          <w:noProof/>
        </w:rPr>
      </w:pPr>
      <w:r w:rsidRPr="008051CE">
        <w:rPr>
          <w:noProof/>
        </w:rPr>
        <w:t xml:space="preserve">Duhs, R. M., Evans, J., Williams, P., &amp; Chaudhury, P. (2019). The early impact of initiatives to close attainment gaps at UCL. </w:t>
      </w:r>
      <w:r w:rsidRPr="008051CE">
        <w:rPr>
          <w:i/>
          <w:noProof/>
        </w:rPr>
        <w:t>Compass: Journal of Learning and Teaching, 12</w:t>
      </w:r>
      <w:r w:rsidRPr="008051CE">
        <w:rPr>
          <w:noProof/>
        </w:rPr>
        <w:t xml:space="preserve">(1). </w:t>
      </w:r>
      <w:r w:rsidR="00E054C3" w:rsidRPr="00E054C3">
        <w:rPr>
          <w:noProof/>
        </w:rPr>
        <w:t>https://doi.org/10.21100/compass.v12i1.1026</w:t>
      </w:r>
    </w:p>
    <w:p w14:paraId="37E801B4" w14:textId="7DB5F1D8" w:rsidR="00524255" w:rsidRPr="008051CE" w:rsidRDefault="00524255" w:rsidP="003C567B">
      <w:pPr>
        <w:ind w:left="709" w:hanging="709"/>
        <w:rPr>
          <w:noProof/>
        </w:rPr>
      </w:pPr>
      <w:r w:rsidRPr="008051CE">
        <w:rPr>
          <w:noProof/>
        </w:rPr>
        <w:t>Fan, W., &amp; Yan, Z. (2010). Factors affecting response rates of the web survey: A systematic review. </w:t>
      </w:r>
      <w:r w:rsidRPr="00E054C3">
        <w:rPr>
          <w:i/>
          <w:iCs/>
          <w:noProof/>
        </w:rPr>
        <w:t>Computers in Human Behavior, 26</w:t>
      </w:r>
      <w:r w:rsidRPr="008051CE">
        <w:rPr>
          <w:noProof/>
        </w:rPr>
        <w:t>(2), 132–139.</w:t>
      </w:r>
      <w:r w:rsidR="00E054C3" w:rsidRPr="00E054C3">
        <w:t xml:space="preserve"> </w:t>
      </w:r>
      <w:r w:rsidR="00E054C3" w:rsidRPr="00E054C3">
        <w:rPr>
          <w:noProof/>
        </w:rPr>
        <w:t>https://doi.org/10.1016/j.chb.2009.10.015</w:t>
      </w:r>
    </w:p>
    <w:p w14:paraId="3531EECE" w14:textId="48633D4E" w:rsidR="00FE1C5E" w:rsidRPr="008051CE" w:rsidRDefault="00FE1C5E" w:rsidP="00F70F22">
      <w:pPr>
        <w:pStyle w:val="EndNoteBibliography"/>
        <w:ind w:left="720" w:hanging="720"/>
        <w:rPr>
          <w:noProof/>
        </w:rPr>
      </w:pPr>
      <w:r w:rsidRPr="008051CE">
        <w:rPr>
          <w:noProof/>
        </w:rPr>
        <w:t>Fraser, K., Ryan, Y., Bolt, S., Copeman, P., Cottman, C., Fisher, M. B.,</w:t>
      </w:r>
      <w:r w:rsidR="001354E3">
        <w:rPr>
          <w:noProof/>
        </w:rPr>
        <w:t xml:space="preserve"> Fleming, J.,</w:t>
      </w:r>
      <w:r w:rsidRPr="008051CE">
        <w:rPr>
          <w:noProof/>
        </w:rPr>
        <w:t xml:space="preserve"> Luzeckyj, A. (2019). Contemporary induction to teaching in Australian universities. </w:t>
      </w:r>
      <w:r w:rsidRPr="008051CE">
        <w:rPr>
          <w:i/>
          <w:noProof/>
        </w:rPr>
        <w:lastRenderedPageBreak/>
        <w:t>International Journal for Academic Development, 24</w:t>
      </w:r>
      <w:r w:rsidRPr="008051CE">
        <w:rPr>
          <w:noProof/>
        </w:rPr>
        <w:t xml:space="preserve">(3), 286-300. </w:t>
      </w:r>
      <w:r w:rsidR="001354E3" w:rsidRPr="001354E3">
        <w:rPr>
          <w:noProof/>
        </w:rPr>
        <w:t>https://doi.org/10.1080/1360144X.2019.161275</w:t>
      </w:r>
    </w:p>
    <w:p w14:paraId="57A3205D" w14:textId="19755556" w:rsidR="00FE1C5E" w:rsidRPr="008051CE" w:rsidRDefault="00FE1C5E" w:rsidP="00F70F22">
      <w:pPr>
        <w:pStyle w:val="EndNoteBibliography"/>
        <w:ind w:left="720" w:hanging="720"/>
        <w:rPr>
          <w:noProof/>
        </w:rPr>
      </w:pPr>
      <w:r w:rsidRPr="008051CE">
        <w:rPr>
          <w:noProof/>
        </w:rPr>
        <w:t xml:space="preserve">Fung, D. (2014). It's all about 'us':  Lessons learned from running an accredited CPD framework. </w:t>
      </w:r>
      <w:r w:rsidRPr="008051CE">
        <w:rPr>
          <w:i/>
          <w:noProof/>
        </w:rPr>
        <w:t>Educational Developments</w:t>
      </w:r>
      <w:r w:rsidR="001354E3">
        <w:rPr>
          <w:i/>
          <w:noProof/>
        </w:rPr>
        <w:t>, 15</w:t>
      </w:r>
      <w:r w:rsidR="001354E3" w:rsidRPr="001354E3">
        <w:rPr>
          <w:iCs/>
          <w:noProof/>
        </w:rPr>
        <w:t>(2)</w:t>
      </w:r>
      <w:r w:rsidRPr="001354E3">
        <w:rPr>
          <w:iCs/>
          <w:noProof/>
        </w:rPr>
        <w:t>, 8</w:t>
      </w:r>
      <w:r w:rsidRPr="008051CE">
        <w:rPr>
          <w:noProof/>
        </w:rPr>
        <w:t xml:space="preserve">-10. </w:t>
      </w:r>
    </w:p>
    <w:p w14:paraId="281D6D39" w14:textId="41C59A99" w:rsidR="00FE1C5E" w:rsidRPr="008051CE" w:rsidRDefault="00FE1C5E" w:rsidP="00F70F22">
      <w:pPr>
        <w:pStyle w:val="EndNoteBibliography"/>
        <w:ind w:left="720" w:hanging="720"/>
        <w:rPr>
          <w:noProof/>
        </w:rPr>
      </w:pPr>
      <w:r w:rsidRPr="008051CE">
        <w:rPr>
          <w:noProof/>
        </w:rPr>
        <w:t xml:space="preserve">George, S., &amp; Rowland, J. (2019). Demonstrating the impact of your teaching: </w:t>
      </w:r>
      <w:r w:rsidR="001354E3" w:rsidRPr="008051CE">
        <w:rPr>
          <w:noProof/>
        </w:rPr>
        <w:t xml:space="preserve">Benefits </w:t>
      </w:r>
      <w:r w:rsidRPr="008051CE">
        <w:rPr>
          <w:noProof/>
        </w:rPr>
        <w:t xml:space="preserve">of Higher Education Academy Fellowship for librarians. </w:t>
      </w:r>
      <w:r w:rsidRPr="008051CE">
        <w:rPr>
          <w:i/>
          <w:noProof/>
        </w:rPr>
        <w:t>Health Information &amp; Libraries Journal, 36</w:t>
      </w:r>
      <w:r w:rsidRPr="008051CE">
        <w:rPr>
          <w:noProof/>
        </w:rPr>
        <w:t xml:space="preserve">(3), 288-293. </w:t>
      </w:r>
      <w:r w:rsidR="001354E3" w:rsidRPr="001354E3">
        <w:rPr>
          <w:noProof/>
        </w:rPr>
        <w:t>https://doi.org/10.1111/hir.12272</w:t>
      </w:r>
    </w:p>
    <w:p w14:paraId="0BF3EA98" w14:textId="192AE2B1" w:rsidR="00FE1C5E" w:rsidRPr="008051CE" w:rsidRDefault="00FE1C5E" w:rsidP="00F70F22">
      <w:pPr>
        <w:pStyle w:val="EndNoteBibliography"/>
        <w:ind w:left="720" w:hanging="720"/>
        <w:rPr>
          <w:noProof/>
        </w:rPr>
      </w:pPr>
      <w:r w:rsidRPr="008051CE">
        <w:rPr>
          <w:noProof/>
        </w:rPr>
        <w:t xml:space="preserve">Greer, D. A., Cathcart, A., &amp; Neale, L. (2016). Helping doctoral students teach: </w:t>
      </w:r>
      <w:r w:rsidR="001354E3" w:rsidRPr="008051CE">
        <w:rPr>
          <w:noProof/>
        </w:rPr>
        <w:t xml:space="preserve">Transitioning </w:t>
      </w:r>
      <w:r w:rsidRPr="008051CE">
        <w:rPr>
          <w:noProof/>
        </w:rPr>
        <w:t xml:space="preserve">to early career academia through cognitive apprenticeship. </w:t>
      </w:r>
      <w:r w:rsidRPr="008051CE">
        <w:rPr>
          <w:i/>
          <w:noProof/>
        </w:rPr>
        <w:t>Higher Education Research &amp; Development, 35</w:t>
      </w:r>
      <w:r w:rsidRPr="008051CE">
        <w:rPr>
          <w:noProof/>
        </w:rPr>
        <w:t xml:space="preserve">(4), 712-726. </w:t>
      </w:r>
      <w:r w:rsidR="001354E3" w:rsidRPr="001354E3">
        <w:rPr>
          <w:noProof/>
        </w:rPr>
        <w:t>https://doi.org/</w:t>
      </w:r>
      <w:r w:rsidRPr="008051CE">
        <w:rPr>
          <w:noProof/>
        </w:rPr>
        <w:t>10.1080/07294360.2015.1137873</w:t>
      </w:r>
    </w:p>
    <w:p w14:paraId="62A92984" w14:textId="665818F9" w:rsidR="000D32FB" w:rsidRDefault="00316B97" w:rsidP="000D32FB">
      <w:pPr>
        <w:ind w:left="709" w:hanging="709"/>
        <w:rPr>
          <w:noProof/>
          <w:lang w:eastAsia="en-US"/>
        </w:rPr>
      </w:pPr>
      <w:r w:rsidRPr="008051CE">
        <w:rPr>
          <w:noProof/>
        </w:rPr>
        <w:t>Greer, D.</w:t>
      </w:r>
      <w:r w:rsidR="000F2366">
        <w:rPr>
          <w:noProof/>
        </w:rPr>
        <w:t xml:space="preserve"> </w:t>
      </w:r>
      <w:r w:rsidR="000D32FB">
        <w:rPr>
          <w:noProof/>
        </w:rPr>
        <w:t>A.,</w:t>
      </w:r>
      <w:r w:rsidRPr="008051CE">
        <w:rPr>
          <w:noProof/>
        </w:rPr>
        <w:t xml:space="preserve"> Cathcart, A.</w:t>
      </w:r>
      <w:r w:rsidR="000F2366">
        <w:rPr>
          <w:noProof/>
        </w:rPr>
        <w:t>,</w:t>
      </w:r>
      <w:r w:rsidRPr="008051CE">
        <w:rPr>
          <w:noProof/>
        </w:rPr>
        <w:t xml:space="preserve"> </w:t>
      </w:r>
      <w:r w:rsidR="001354E3">
        <w:rPr>
          <w:noProof/>
        </w:rPr>
        <w:t>&amp;</w:t>
      </w:r>
      <w:r w:rsidRPr="008051CE">
        <w:rPr>
          <w:noProof/>
        </w:rPr>
        <w:t xml:space="preserve"> Swalwell, G</w:t>
      </w:r>
      <w:r w:rsidR="001354E3">
        <w:rPr>
          <w:noProof/>
        </w:rPr>
        <w:t>.</w:t>
      </w:r>
      <w:r w:rsidRPr="008051CE">
        <w:rPr>
          <w:noProof/>
        </w:rPr>
        <w:t xml:space="preserve"> (</w:t>
      </w:r>
      <w:r w:rsidR="007933C7">
        <w:rPr>
          <w:noProof/>
        </w:rPr>
        <w:t>2021</w:t>
      </w:r>
      <w:r w:rsidRPr="008051CE">
        <w:rPr>
          <w:noProof/>
        </w:rPr>
        <w:t xml:space="preserve">). Compounding the impact of teaching development programs in China and Hong Kong SAR: Using the Professional Standards Framework to deepen learning and improve teaching self-efficacy. </w:t>
      </w:r>
      <w:r w:rsidRPr="008051CE">
        <w:rPr>
          <w:i/>
          <w:iCs/>
          <w:noProof/>
        </w:rPr>
        <w:t>International Journal for Academic Development</w:t>
      </w:r>
      <w:r w:rsidR="000D32FB">
        <w:rPr>
          <w:noProof/>
        </w:rPr>
        <w:t xml:space="preserve">. </w:t>
      </w:r>
      <w:r w:rsidR="001354E3" w:rsidRPr="001354E3">
        <w:rPr>
          <w:noProof/>
        </w:rPr>
        <w:t>https://doi.org/</w:t>
      </w:r>
      <w:hyperlink r:id="rId10" w:history="1">
        <w:r w:rsidR="000D32FB" w:rsidRPr="000D32FB">
          <w:rPr>
            <w:noProof/>
            <w:lang w:eastAsia="en-US"/>
          </w:rPr>
          <w:t>10.1080/1360144X.2021.1878032</w:t>
        </w:r>
      </w:hyperlink>
    </w:p>
    <w:p w14:paraId="46745575" w14:textId="76818731" w:rsidR="00FE1C5E" w:rsidRPr="008051CE" w:rsidRDefault="00FE1C5E" w:rsidP="00F70F22">
      <w:pPr>
        <w:pStyle w:val="EndNoteBibliography"/>
        <w:ind w:left="720" w:hanging="720"/>
        <w:rPr>
          <w:noProof/>
        </w:rPr>
      </w:pPr>
      <w:r w:rsidRPr="008051CE">
        <w:rPr>
          <w:noProof/>
        </w:rPr>
        <w:t xml:space="preserve">Higher Education Academy. (2011). </w:t>
      </w:r>
      <w:r w:rsidRPr="001354E3">
        <w:rPr>
          <w:i/>
          <w:iCs/>
          <w:noProof/>
        </w:rPr>
        <w:t>The UK Professional Standards Framework for teaching and supporting learning in higher education (UKPSF).</w:t>
      </w:r>
      <w:r w:rsidRPr="008051CE">
        <w:rPr>
          <w:noProof/>
        </w:rPr>
        <w:t xml:space="preserve"> https://www.heacademy.ac.uk/system/files/downloads/UKPSF_2011_English.pdf</w:t>
      </w:r>
    </w:p>
    <w:p w14:paraId="77FF4C08" w14:textId="64571F35" w:rsidR="00FE1C5E" w:rsidRPr="008051CE" w:rsidRDefault="00FE1C5E" w:rsidP="00F70F22">
      <w:pPr>
        <w:pStyle w:val="EndNoteBibliography"/>
        <w:ind w:left="720" w:hanging="720"/>
        <w:rPr>
          <w:noProof/>
        </w:rPr>
      </w:pPr>
      <w:r w:rsidRPr="008051CE">
        <w:rPr>
          <w:noProof/>
        </w:rPr>
        <w:t xml:space="preserve">Higher Education Academy. (2016). </w:t>
      </w:r>
      <w:r w:rsidRPr="001354E3">
        <w:rPr>
          <w:i/>
          <w:iCs/>
          <w:noProof/>
        </w:rPr>
        <w:t>UKPSF Terms of Use Policy</w:t>
      </w:r>
      <w:r w:rsidRPr="008051CE">
        <w:rPr>
          <w:noProof/>
        </w:rPr>
        <w:t>. https://www.heacademy.ac.uk/sites/default/files/downloads/ukpsf_terms_of_use_policy_april_2016_0.pdf</w:t>
      </w:r>
    </w:p>
    <w:p w14:paraId="1814C9A4" w14:textId="0B9EC0CD" w:rsidR="00FE1C5E" w:rsidRPr="008051CE" w:rsidRDefault="00FE1C5E" w:rsidP="00F70F22">
      <w:pPr>
        <w:pStyle w:val="EndNoteBibliography"/>
        <w:ind w:left="720" w:hanging="720"/>
        <w:rPr>
          <w:noProof/>
        </w:rPr>
      </w:pPr>
      <w:r w:rsidRPr="008051CE">
        <w:rPr>
          <w:noProof/>
        </w:rPr>
        <w:t xml:space="preserve">Kneale, P., Winter, J., Turner, R., Spowart, L., Hughes, J., McKenna, C., &amp; Muneer, R. (2015). </w:t>
      </w:r>
      <w:r w:rsidRPr="008051CE">
        <w:rPr>
          <w:i/>
          <w:noProof/>
        </w:rPr>
        <w:t xml:space="preserve">Evaluating teaching development activities in higher education: </w:t>
      </w:r>
      <w:r w:rsidR="001354E3">
        <w:rPr>
          <w:i/>
          <w:noProof/>
        </w:rPr>
        <w:t>A</w:t>
      </w:r>
      <w:r w:rsidRPr="008051CE">
        <w:rPr>
          <w:i/>
          <w:noProof/>
        </w:rPr>
        <w:t xml:space="preserve"> toolkit.</w:t>
      </w:r>
      <w:r w:rsidRPr="008051CE">
        <w:rPr>
          <w:noProof/>
        </w:rPr>
        <w:t xml:space="preserve"> https://www.heacademy.ac.uk/knowledge-hub/evaluating-teaching-development-higher-education</w:t>
      </w:r>
    </w:p>
    <w:p w14:paraId="7088606F" w14:textId="77777777" w:rsidR="00FE1C5E" w:rsidRPr="008051CE" w:rsidRDefault="00FE1C5E" w:rsidP="00F70F22">
      <w:pPr>
        <w:pStyle w:val="EndNoteBibliography"/>
        <w:ind w:left="720" w:hanging="720"/>
        <w:rPr>
          <w:noProof/>
        </w:rPr>
      </w:pPr>
      <w:r w:rsidRPr="008051CE">
        <w:rPr>
          <w:noProof/>
        </w:rPr>
        <w:t xml:space="preserve">Kreber, C. (2013). The transformative potential of the scholarship of teaching. </w:t>
      </w:r>
      <w:r w:rsidRPr="008051CE">
        <w:rPr>
          <w:i/>
          <w:noProof/>
        </w:rPr>
        <w:t>Teaching and Learning Inquiry, 1</w:t>
      </w:r>
      <w:r w:rsidRPr="008051CE">
        <w:rPr>
          <w:noProof/>
        </w:rPr>
        <w:t xml:space="preserve">(1), 5-18. </w:t>
      </w:r>
    </w:p>
    <w:p w14:paraId="78127265" w14:textId="67A4DBE4" w:rsidR="00F073CD" w:rsidRPr="008051CE" w:rsidRDefault="00F073CD" w:rsidP="003C567B">
      <w:pPr>
        <w:ind w:left="709" w:hanging="709"/>
        <w:rPr>
          <w:noProof/>
        </w:rPr>
      </w:pPr>
      <w:r w:rsidRPr="008051CE">
        <w:rPr>
          <w:noProof/>
        </w:rPr>
        <w:t>Moore, J., Higham, L.</w:t>
      </w:r>
      <w:r w:rsidR="000F2366">
        <w:rPr>
          <w:noProof/>
        </w:rPr>
        <w:t>,</w:t>
      </w:r>
      <w:r w:rsidRPr="008051CE">
        <w:rPr>
          <w:noProof/>
        </w:rPr>
        <w:t xml:space="preserve"> </w:t>
      </w:r>
      <w:r w:rsidR="000F2366">
        <w:rPr>
          <w:noProof/>
        </w:rPr>
        <w:t>&amp;</w:t>
      </w:r>
      <w:r w:rsidRPr="008051CE">
        <w:rPr>
          <w:noProof/>
        </w:rPr>
        <w:t xml:space="preserve"> Sanders, J. (2017). </w:t>
      </w:r>
      <w:r w:rsidRPr="001354E3">
        <w:rPr>
          <w:i/>
          <w:iCs/>
          <w:noProof/>
        </w:rPr>
        <w:t>Evidencing teaching excellence: Analysis of the Teaching Excellence Framework (TEF2) provider submissions. Higher Education Academy</w:t>
      </w:r>
      <w:r w:rsidRPr="008051CE">
        <w:rPr>
          <w:noProof/>
        </w:rPr>
        <w:t xml:space="preserve">. </w:t>
      </w:r>
      <w:hyperlink r:id="rId11" w:history="1">
        <w:r w:rsidRPr="008051CE">
          <w:rPr>
            <w:noProof/>
          </w:rPr>
          <w:t>https://www.advance-he.ac.uk/knowledge-hub/evidencing-teaching-excellence</w:t>
        </w:r>
      </w:hyperlink>
    </w:p>
    <w:p w14:paraId="5B83E0B6" w14:textId="3A94A37B" w:rsidR="00F073CD" w:rsidRPr="008051CE" w:rsidRDefault="00524255" w:rsidP="003C567B">
      <w:pPr>
        <w:autoSpaceDE w:val="0"/>
        <w:autoSpaceDN w:val="0"/>
        <w:adjustRightInd w:val="0"/>
        <w:ind w:left="709" w:hanging="709"/>
        <w:rPr>
          <w:noProof/>
        </w:rPr>
      </w:pPr>
      <w:r w:rsidRPr="008051CE">
        <w:rPr>
          <w:noProof/>
        </w:rPr>
        <w:t>Nulty, D.</w:t>
      </w:r>
      <w:r w:rsidR="000F2366">
        <w:rPr>
          <w:noProof/>
        </w:rPr>
        <w:t xml:space="preserve"> </w:t>
      </w:r>
      <w:r w:rsidRPr="008051CE">
        <w:rPr>
          <w:noProof/>
        </w:rPr>
        <w:t>D.</w:t>
      </w:r>
      <w:r w:rsidR="001354E3">
        <w:rPr>
          <w:noProof/>
        </w:rPr>
        <w:t xml:space="preserve"> </w:t>
      </w:r>
      <w:r w:rsidRPr="008051CE">
        <w:rPr>
          <w:noProof/>
        </w:rPr>
        <w:t>(2008)</w:t>
      </w:r>
      <w:r w:rsidR="001354E3">
        <w:rPr>
          <w:noProof/>
        </w:rPr>
        <w:t>.</w:t>
      </w:r>
      <w:r w:rsidRPr="008051CE">
        <w:rPr>
          <w:noProof/>
        </w:rPr>
        <w:t xml:space="preserve"> The adequacy of response rates to online and paper surveys: </w:t>
      </w:r>
      <w:r w:rsidR="001354E3" w:rsidRPr="008051CE">
        <w:rPr>
          <w:noProof/>
        </w:rPr>
        <w:t xml:space="preserve">What </w:t>
      </w:r>
      <w:r w:rsidRPr="008051CE">
        <w:rPr>
          <w:noProof/>
        </w:rPr>
        <w:t>can be done?</w:t>
      </w:r>
      <w:r w:rsidR="001354E3">
        <w:rPr>
          <w:noProof/>
        </w:rPr>
        <w:t xml:space="preserve"> </w:t>
      </w:r>
      <w:r w:rsidRPr="008051CE">
        <w:rPr>
          <w:i/>
          <w:iCs/>
          <w:noProof/>
        </w:rPr>
        <w:t>Assessment &amp; Evaluation in Higher Education</w:t>
      </w:r>
      <w:r w:rsidRPr="008051CE">
        <w:rPr>
          <w:noProof/>
        </w:rPr>
        <w:t>,</w:t>
      </w:r>
      <w:r w:rsidRPr="001354E3">
        <w:rPr>
          <w:i/>
          <w:iCs/>
          <w:noProof/>
        </w:rPr>
        <w:t xml:space="preserve"> 33</w:t>
      </w:r>
      <w:r w:rsidR="001354E3">
        <w:rPr>
          <w:noProof/>
        </w:rPr>
        <w:t>(</w:t>
      </w:r>
      <w:r w:rsidRPr="008051CE">
        <w:rPr>
          <w:noProof/>
        </w:rPr>
        <w:t>3</w:t>
      </w:r>
      <w:r w:rsidR="001354E3">
        <w:rPr>
          <w:noProof/>
        </w:rPr>
        <w:t>)</w:t>
      </w:r>
      <w:r w:rsidRPr="008051CE">
        <w:rPr>
          <w:noProof/>
        </w:rPr>
        <w:t>, 301-314</w:t>
      </w:r>
      <w:r w:rsidR="001354E3">
        <w:rPr>
          <w:noProof/>
        </w:rPr>
        <w:t>.</w:t>
      </w:r>
    </w:p>
    <w:p w14:paraId="3AE86395" w14:textId="2C08C960" w:rsidR="00FE1C5E" w:rsidRPr="008051CE" w:rsidRDefault="00FE1C5E" w:rsidP="00F70F22">
      <w:pPr>
        <w:pStyle w:val="EndNoteBibliography"/>
        <w:ind w:left="720" w:hanging="720"/>
        <w:rPr>
          <w:noProof/>
        </w:rPr>
      </w:pPr>
      <w:r w:rsidRPr="008051CE">
        <w:rPr>
          <w:noProof/>
        </w:rPr>
        <w:t xml:space="preserve">Office for </w:t>
      </w:r>
      <w:r w:rsidR="001354E3" w:rsidRPr="008051CE">
        <w:rPr>
          <w:noProof/>
        </w:rPr>
        <w:t>Students</w:t>
      </w:r>
      <w:r w:rsidRPr="008051CE">
        <w:rPr>
          <w:noProof/>
        </w:rPr>
        <w:t xml:space="preserve">. (2019). </w:t>
      </w:r>
      <w:r w:rsidRPr="001354E3">
        <w:rPr>
          <w:i/>
          <w:iCs/>
          <w:noProof/>
        </w:rPr>
        <w:t>The Teaching Excellence and Students Outcomes Framework.</w:t>
      </w:r>
      <w:r w:rsidRPr="008051CE">
        <w:rPr>
          <w:noProof/>
        </w:rPr>
        <w:t xml:space="preserve"> https://www.officeforstudents.org.uk/media/0c6bd23e-57b8-4f22-a236-fb27346cde6e/tef_short_guide_-june_2019_final.pdf</w:t>
      </w:r>
    </w:p>
    <w:p w14:paraId="00411C48" w14:textId="694934DF" w:rsidR="00FE1C5E" w:rsidRPr="008051CE" w:rsidRDefault="00FE1C5E" w:rsidP="00F70F22">
      <w:pPr>
        <w:pStyle w:val="EndNoteBibliography"/>
        <w:ind w:left="720" w:hanging="720"/>
        <w:rPr>
          <w:noProof/>
        </w:rPr>
      </w:pPr>
      <w:r w:rsidRPr="008051CE">
        <w:rPr>
          <w:noProof/>
        </w:rPr>
        <w:t xml:space="preserve">Parkman, A. (2016). The </w:t>
      </w:r>
      <w:r w:rsidR="001354E3" w:rsidRPr="008051CE">
        <w:rPr>
          <w:noProof/>
        </w:rPr>
        <w:t>imposter phenomenon in higher education</w:t>
      </w:r>
      <w:r w:rsidRPr="008051CE">
        <w:rPr>
          <w:noProof/>
        </w:rPr>
        <w:t xml:space="preserve">: Incidence </w:t>
      </w:r>
      <w:r w:rsidR="001354E3" w:rsidRPr="008051CE">
        <w:rPr>
          <w:noProof/>
        </w:rPr>
        <w:t>and impact.</w:t>
      </w:r>
      <w:r w:rsidRPr="008051CE">
        <w:rPr>
          <w:noProof/>
        </w:rPr>
        <w:t xml:space="preserve"> </w:t>
      </w:r>
      <w:r w:rsidRPr="008051CE">
        <w:rPr>
          <w:i/>
          <w:noProof/>
        </w:rPr>
        <w:t>Journal of Higher Education Theory and Practice, 16</w:t>
      </w:r>
      <w:r w:rsidRPr="008051CE">
        <w:rPr>
          <w:noProof/>
        </w:rPr>
        <w:t xml:space="preserve">(1), 51-60. </w:t>
      </w:r>
    </w:p>
    <w:p w14:paraId="5CE69EC4" w14:textId="387E4CD1" w:rsidR="00FE1C5E" w:rsidRPr="008051CE" w:rsidRDefault="00FE1C5E" w:rsidP="00F70F22">
      <w:pPr>
        <w:pStyle w:val="EndNoteBibliography"/>
        <w:ind w:left="720" w:hanging="720"/>
        <w:rPr>
          <w:noProof/>
        </w:rPr>
      </w:pPr>
      <w:r w:rsidRPr="008051CE">
        <w:rPr>
          <w:noProof/>
        </w:rPr>
        <w:t xml:space="preserve">PedRio. (2016). </w:t>
      </w:r>
      <w:r w:rsidRPr="001354E3">
        <w:rPr>
          <w:i/>
          <w:iCs/>
          <w:noProof/>
        </w:rPr>
        <w:t>HEA CPD Toolkit</w:t>
      </w:r>
      <w:r w:rsidRPr="008051CE">
        <w:rPr>
          <w:noProof/>
        </w:rPr>
        <w:t>. https://www.plymouth.ac.uk/research/institutes/pedagogic/toolkit-2</w:t>
      </w:r>
    </w:p>
    <w:p w14:paraId="7F337E6D" w14:textId="065C5BD2" w:rsidR="00334F3B" w:rsidRPr="008051CE" w:rsidRDefault="00334F3B" w:rsidP="003C567B">
      <w:pPr>
        <w:ind w:left="709" w:hanging="709"/>
        <w:rPr>
          <w:noProof/>
        </w:rPr>
      </w:pPr>
      <w:r w:rsidRPr="008051CE">
        <w:rPr>
          <w:noProof/>
        </w:rPr>
        <w:t xml:space="preserve">Robertson, A., Cleaver, E., </w:t>
      </w:r>
      <w:r w:rsidR="00902197">
        <w:rPr>
          <w:noProof/>
        </w:rPr>
        <w:t>&amp;</w:t>
      </w:r>
      <w:r w:rsidRPr="008051CE">
        <w:rPr>
          <w:noProof/>
        </w:rPr>
        <w:t xml:space="preserve"> Smart, F</w:t>
      </w:r>
      <w:r w:rsidR="001354E3">
        <w:rPr>
          <w:noProof/>
        </w:rPr>
        <w:t>.</w:t>
      </w:r>
      <w:r w:rsidRPr="008051CE">
        <w:rPr>
          <w:noProof/>
        </w:rPr>
        <w:t xml:space="preserve"> (2019). </w:t>
      </w:r>
      <w:r w:rsidRPr="001354E3">
        <w:rPr>
          <w:i/>
          <w:iCs/>
          <w:noProof/>
        </w:rPr>
        <w:t xml:space="preserve">Beyond the metrics: Identifying, evidencing and enhancing the less tangible assets of higher education. </w:t>
      </w:r>
      <w:hyperlink r:id="rId12" w:history="1">
        <w:r w:rsidRPr="008051CE">
          <w:rPr>
            <w:noProof/>
          </w:rPr>
          <w:t>https://www.enhancementthemes.ac.uk/evidence-for-enhancement/defining-and-capturing-evidence/the-intangibles-beyond-the-metrics</w:t>
        </w:r>
      </w:hyperlink>
    </w:p>
    <w:p w14:paraId="5E83C676" w14:textId="7F490860" w:rsidR="00A056E9" w:rsidRDefault="00FE1C5E" w:rsidP="00812373">
      <w:pPr>
        <w:pStyle w:val="EndNoteBibliography"/>
        <w:ind w:left="720" w:hanging="720"/>
        <w:rPr>
          <w:noProof/>
        </w:rPr>
      </w:pPr>
      <w:r w:rsidRPr="008051CE">
        <w:rPr>
          <w:noProof/>
        </w:rPr>
        <w:t xml:space="preserve">Roxå, T., &amp; Mårtensson, K. (2009). Significant conversations and significant networks – exploring the backstage of the teaching arena. </w:t>
      </w:r>
      <w:r w:rsidRPr="008051CE">
        <w:rPr>
          <w:i/>
          <w:noProof/>
        </w:rPr>
        <w:t>Studies in Higher Education, 34</w:t>
      </w:r>
      <w:r w:rsidRPr="008051CE">
        <w:rPr>
          <w:noProof/>
        </w:rPr>
        <w:t xml:space="preserve">(5), 547-559. </w:t>
      </w:r>
      <w:r w:rsidR="001354E3" w:rsidRPr="001354E3">
        <w:rPr>
          <w:noProof/>
        </w:rPr>
        <w:t>https://doi.org/</w:t>
      </w:r>
      <w:r w:rsidRPr="008051CE">
        <w:rPr>
          <w:noProof/>
        </w:rPr>
        <w:t>10.1080/03075070802597200</w:t>
      </w:r>
    </w:p>
    <w:p w14:paraId="6FDA6875" w14:textId="55D64CA8" w:rsidR="00FE1C5E" w:rsidRPr="008051CE" w:rsidRDefault="00FE1C5E" w:rsidP="00F70F22">
      <w:pPr>
        <w:pStyle w:val="EndNoteBibliography"/>
        <w:ind w:left="720" w:hanging="720"/>
        <w:rPr>
          <w:noProof/>
        </w:rPr>
      </w:pPr>
      <w:r w:rsidRPr="008051CE">
        <w:rPr>
          <w:noProof/>
        </w:rPr>
        <w:t xml:space="preserve">Silverman, D., &amp; Marvasti, A. (2008). </w:t>
      </w:r>
      <w:r w:rsidRPr="008051CE">
        <w:rPr>
          <w:i/>
          <w:noProof/>
        </w:rPr>
        <w:t xml:space="preserve">Doing </w:t>
      </w:r>
      <w:r w:rsidR="00902197" w:rsidRPr="008051CE">
        <w:rPr>
          <w:i/>
          <w:noProof/>
        </w:rPr>
        <w:t>qualitative research</w:t>
      </w:r>
      <w:r w:rsidRPr="008051CE">
        <w:rPr>
          <w:i/>
          <w:noProof/>
        </w:rPr>
        <w:t>: A comprehensive guide</w:t>
      </w:r>
      <w:r w:rsidRPr="008051CE">
        <w:rPr>
          <w:noProof/>
        </w:rPr>
        <w:t>. Sage Publications.</w:t>
      </w:r>
    </w:p>
    <w:p w14:paraId="28E6397B" w14:textId="7DA1CA0E" w:rsidR="00FE1C5E" w:rsidRPr="008051CE" w:rsidRDefault="00FE1C5E" w:rsidP="00F70F22">
      <w:pPr>
        <w:pStyle w:val="EndNoteBibliography"/>
        <w:ind w:left="720" w:hanging="720"/>
        <w:rPr>
          <w:noProof/>
        </w:rPr>
      </w:pPr>
      <w:r w:rsidRPr="008051CE">
        <w:rPr>
          <w:noProof/>
        </w:rPr>
        <w:lastRenderedPageBreak/>
        <w:t xml:space="preserve">Smart, F., Asghar, M., Campbell, L.-A., &amp; Huxham, M. (2019). Electing to speak: </w:t>
      </w:r>
      <w:r w:rsidR="00902197" w:rsidRPr="008051CE">
        <w:rPr>
          <w:noProof/>
        </w:rPr>
        <w:t xml:space="preserve">Professional </w:t>
      </w:r>
      <w:r w:rsidRPr="008051CE">
        <w:rPr>
          <w:noProof/>
        </w:rPr>
        <w:t xml:space="preserve">dialogue in the context of Fellowship of the Higher Education Academy. </w:t>
      </w:r>
      <w:r w:rsidRPr="008051CE">
        <w:rPr>
          <w:i/>
          <w:noProof/>
        </w:rPr>
        <w:t>International Journal for Academic Development, 24</w:t>
      </w:r>
      <w:r w:rsidRPr="008051CE">
        <w:rPr>
          <w:noProof/>
        </w:rPr>
        <w:t xml:space="preserve">(3), 232-245. </w:t>
      </w:r>
      <w:r w:rsidR="00902197" w:rsidRPr="00902197">
        <w:rPr>
          <w:noProof/>
        </w:rPr>
        <w:t>https://doi.org/</w:t>
      </w:r>
      <w:r w:rsidRPr="008051CE">
        <w:rPr>
          <w:noProof/>
        </w:rPr>
        <w:t>10.1080/1360144X.2019.1585356</w:t>
      </w:r>
    </w:p>
    <w:p w14:paraId="2337E998" w14:textId="42D16749" w:rsidR="00FE1C5E" w:rsidRPr="008051CE" w:rsidRDefault="00FE1C5E" w:rsidP="00F70F22">
      <w:pPr>
        <w:pStyle w:val="EndNoteBibliography"/>
        <w:ind w:left="720" w:hanging="720"/>
        <w:rPr>
          <w:noProof/>
        </w:rPr>
      </w:pPr>
      <w:r w:rsidRPr="008051CE">
        <w:rPr>
          <w:noProof/>
        </w:rPr>
        <w:t xml:space="preserve">Smith, L. (2018). </w:t>
      </w:r>
      <w:r w:rsidRPr="008051CE">
        <w:rPr>
          <w:i/>
          <w:noProof/>
        </w:rPr>
        <w:t>Annual review of Advance HE accredited CPD schemes 2017-18</w:t>
      </w:r>
      <w:r w:rsidRPr="008051CE">
        <w:rPr>
          <w:noProof/>
        </w:rPr>
        <w:t>. https://www.heacademy.ac.uk/download/annual-review-advance-he-accredited-cpd-schemes</w:t>
      </w:r>
    </w:p>
    <w:p w14:paraId="03E4A3C8" w14:textId="3A4D5DCB" w:rsidR="005C7D9F" w:rsidRPr="008051CE" w:rsidRDefault="005C7D9F" w:rsidP="00F70F22">
      <w:pPr>
        <w:pStyle w:val="EndNoteBibliography"/>
        <w:ind w:left="720" w:hanging="720"/>
        <w:rPr>
          <w:noProof/>
        </w:rPr>
      </w:pPr>
      <w:r w:rsidRPr="008051CE">
        <w:rPr>
          <w:noProof/>
        </w:rPr>
        <w:t xml:space="preserve">Spowart, L., Winter, J., Turner, R., Muneer, R., McKenna, C., </w:t>
      </w:r>
      <w:r w:rsidR="00902197">
        <w:rPr>
          <w:noProof/>
        </w:rPr>
        <w:t>&amp;</w:t>
      </w:r>
      <w:r w:rsidRPr="008051CE">
        <w:rPr>
          <w:noProof/>
        </w:rPr>
        <w:t xml:space="preserve"> Kneale, P. (2017). Evidencing the impact of teaching-related CPD: </w:t>
      </w:r>
      <w:r w:rsidR="00902197" w:rsidRPr="008051CE">
        <w:rPr>
          <w:noProof/>
        </w:rPr>
        <w:t xml:space="preserve">Beyond </w:t>
      </w:r>
      <w:r w:rsidRPr="008051CE">
        <w:rPr>
          <w:noProof/>
        </w:rPr>
        <w:t xml:space="preserve">the ‘Happy Sheets’. </w:t>
      </w:r>
      <w:r w:rsidRPr="008051CE">
        <w:rPr>
          <w:i/>
          <w:iCs/>
          <w:noProof/>
        </w:rPr>
        <w:t>International Journal of Academic Development</w:t>
      </w:r>
      <w:r w:rsidRPr="008051CE">
        <w:rPr>
          <w:noProof/>
        </w:rPr>
        <w:t xml:space="preserve">, </w:t>
      </w:r>
      <w:r w:rsidRPr="00902197">
        <w:rPr>
          <w:i/>
          <w:iCs/>
          <w:noProof/>
        </w:rPr>
        <w:t>22</w:t>
      </w:r>
      <w:r w:rsidRPr="008051CE">
        <w:rPr>
          <w:noProof/>
        </w:rPr>
        <w:t>(4), 360-372</w:t>
      </w:r>
      <w:r w:rsidR="00902197">
        <w:rPr>
          <w:noProof/>
        </w:rPr>
        <w:t>.</w:t>
      </w:r>
    </w:p>
    <w:p w14:paraId="02C6822C" w14:textId="3DC63462" w:rsidR="00FE1C5E" w:rsidRPr="008051CE" w:rsidRDefault="00FE1C5E" w:rsidP="00F70F22">
      <w:pPr>
        <w:pStyle w:val="EndNoteBibliography"/>
        <w:ind w:left="720" w:hanging="720"/>
        <w:rPr>
          <w:noProof/>
        </w:rPr>
      </w:pPr>
      <w:r w:rsidRPr="008051CE">
        <w:rPr>
          <w:noProof/>
        </w:rPr>
        <w:t xml:space="preserve">Spowart, L., Winter, J., Turner, R., Burden, P., Botham, K. A., Muneer, R., </w:t>
      </w:r>
      <w:r w:rsidR="00902197">
        <w:rPr>
          <w:noProof/>
        </w:rPr>
        <w:t xml:space="preserve">van der Sluis, H., </w:t>
      </w:r>
      <w:r w:rsidR="000F2366">
        <w:rPr>
          <w:noProof/>
        </w:rPr>
        <w:t xml:space="preserve">&amp; </w:t>
      </w:r>
      <w:r w:rsidRPr="008051CE">
        <w:rPr>
          <w:noProof/>
        </w:rPr>
        <w:t xml:space="preserve">Huet, I. (2019). ‘Left with a title but nothing else’: </w:t>
      </w:r>
      <w:r w:rsidR="00902197" w:rsidRPr="008051CE">
        <w:rPr>
          <w:noProof/>
        </w:rPr>
        <w:t xml:space="preserve">The </w:t>
      </w:r>
      <w:r w:rsidRPr="008051CE">
        <w:rPr>
          <w:noProof/>
        </w:rPr>
        <w:t xml:space="preserve">challenges of embedding professional recognition schemes for teachers within higher education institutions. </w:t>
      </w:r>
      <w:r w:rsidRPr="008051CE">
        <w:rPr>
          <w:i/>
          <w:noProof/>
        </w:rPr>
        <w:t>Higher Education Research &amp; Development, 38</w:t>
      </w:r>
      <w:r w:rsidRPr="008051CE">
        <w:rPr>
          <w:noProof/>
        </w:rPr>
        <w:t xml:space="preserve">(6), 1299-1312. </w:t>
      </w:r>
      <w:r w:rsidR="00902197" w:rsidRPr="00902197">
        <w:rPr>
          <w:noProof/>
        </w:rPr>
        <w:t>https://doi.org/10.1080/07294360.2019.1616675</w:t>
      </w:r>
    </w:p>
    <w:p w14:paraId="147C8949" w14:textId="6FD264F0" w:rsidR="00FE1C5E" w:rsidRPr="008051CE" w:rsidRDefault="00FE1C5E" w:rsidP="00F70F22">
      <w:pPr>
        <w:pStyle w:val="EndNoteBibliography"/>
        <w:ind w:left="720" w:hanging="720"/>
        <w:rPr>
          <w:noProof/>
        </w:rPr>
      </w:pPr>
      <w:r w:rsidRPr="008051CE">
        <w:rPr>
          <w:noProof/>
        </w:rPr>
        <w:t xml:space="preserve">Times Higher Education. (2019). </w:t>
      </w:r>
      <w:r w:rsidRPr="00902197">
        <w:rPr>
          <w:i/>
          <w:iCs/>
          <w:noProof/>
        </w:rPr>
        <w:t xml:space="preserve">The </w:t>
      </w:r>
      <w:r w:rsidR="00902197" w:rsidRPr="00902197">
        <w:rPr>
          <w:i/>
          <w:iCs/>
          <w:noProof/>
        </w:rPr>
        <w:t xml:space="preserve">world university rankings </w:t>
      </w:r>
      <w:r w:rsidRPr="00902197">
        <w:rPr>
          <w:i/>
          <w:iCs/>
          <w:noProof/>
        </w:rPr>
        <w:t xml:space="preserve">2020: </w:t>
      </w:r>
      <w:r w:rsidR="00902197" w:rsidRPr="00902197">
        <w:rPr>
          <w:i/>
          <w:iCs/>
          <w:noProof/>
        </w:rPr>
        <w:t>M</w:t>
      </w:r>
      <w:r w:rsidRPr="00902197">
        <w:rPr>
          <w:i/>
          <w:iCs/>
          <w:noProof/>
        </w:rPr>
        <w:t>ethodology.</w:t>
      </w:r>
      <w:r w:rsidRPr="008051CE">
        <w:rPr>
          <w:noProof/>
        </w:rPr>
        <w:t xml:space="preserve"> https://www.timeshighereducation.com/world-university-rankings/methodology-world-university-rankings-2020</w:t>
      </w:r>
    </w:p>
    <w:p w14:paraId="08AB6AF3" w14:textId="4555EDA5" w:rsidR="00FE1C5E" w:rsidRPr="008051CE" w:rsidRDefault="00FE1C5E" w:rsidP="00F70F22">
      <w:pPr>
        <w:pStyle w:val="EndNoteBibliography"/>
        <w:ind w:left="720" w:hanging="720"/>
        <w:rPr>
          <w:noProof/>
        </w:rPr>
      </w:pPr>
      <w:r w:rsidRPr="008051CE">
        <w:rPr>
          <w:noProof/>
        </w:rPr>
        <w:t xml:space="preserve">Turner, N., Oliver, M., McKenna, C., Hughes, J., Smith, H., Deepwell, F., &amp; Shrives, L. (2013). </w:t>
      </w:r>
      <w:r w:rsidRPr="008051CE">
        <w:rPr>
          <w:i/>
          <w:noProof/>
        </w:rPr>
        <w:t>Measuring the impact of the UK Professional Standards Framework for Teaching and Supporting Learning (UKPSF)</w:t>
      </w:r>
      <w:r w:rsidRPr="008051CE">
        <w:rPr>
          <w:noProof/>
        </w:rPr>
        <w:t xml:space="preserve">. </w:t>
      </w:r>
      <w:r w:rsidR="00902197" w:rsidRPr="00902197">
        <w:rPr>
          <w:noProof/>
        </w:rPr>
        <w:t>https://www.advance-he.ac.uk/knowledge-hub/measuring-impact-uk-professional-standards-framework-teaching-and-supporting-learning</w:t>
      </w:r>
    </w:p>
    <w:p w14:paraId="3332A3F3" w14:textId="2DE91C24" w:rsidR="00FE1C5E" w:rsidRPr="008051CE" w:rsidRDefault="00FE1C5E" w:rsidP="00F70F22">
      <w:pPr>
        <w:pStyle w:val="EndNoteBibliography"/>
        <w:ind w:left="720" w:hanging="720"/>
        <w:rPr>
          <w:noProof/>
        </w:rPr>
      </w:pPr>
      <w:r w:rsidRPr="008051CE">
        <w:rPr>
          <w:noProof/>
        </w:rPr>
        <w:t xml:space="preserve">Wenger, E. (2000). Communities </w:t>
      </w:r>
      <w:r w:rsidR="00902197" w:rsidRPr="008051CE">
        <w:rPr>
          <w:noProof/>
        </w:rPr>
        <w:t>of practice and social learning systems</w:t>
      </w:r>
      <w:r w:rsidRPr="008051CE">
        <w:rPr>
          <w:noProof/>
        </w:rPr>
        <w:t xml:space="preserve">. </w:t>
      </w:r>
      <w:r w:rsidRPr="008051CE">
        <w:rPr>
          <w:i/>
          <w:noProof/>
        </w:rPr>
        <w:t>Organization, 7</w:t>
      </w:r>
      <w:r w:rsidRPr="008051CE">
        <w:rPr>
          <w:noProof/>
        </w:rPr>
        <w:t xml:space="preserve">(2), 225-246. </w:t>
      </w:r>
      <w:r w:rsidR="00902197" w:rsidRPr="00902197">
        <w:rPr>
          <w:noProof/>
        </w:rPr>
        <w:t>https://doi.org/</w:t>
      </w:r>
      <w:r w:rsidRPr="008051CE">
        <w:rPr>
          <w:noProof/>
        </w:rPr>
        <w:t>10.1177/135050840072002</w:t>
      </w:r>
    </w:p>
    <w:p w14:paraId="38C8798B" w14:textId="5BF7FA71" w:rsidR="006810DF" w:rsidRDefault="006810DF">
      <w:r>
        <w:br w:type="page"/>
      </w:r>
    </w:p>
    <w:p w14:paraId="32547337" w14:textId="77777777" w:rsidR="006810DF" w:rsidRPr="00967440" w:rsidRDefault="006810DF" w:rsidP="006810DF">
      <w:r>
        <w:lastRenderedPageBreak/>
        <w:t xml:space="preserve">Figure 1. Growth of fellowships globally. </w:t>
      </w:r>
      <w:r w:rsidRPr="00967440">
        <w:t>Source: Advance HE, August 2020 {used with permission}</w:t>
      </w:r>
    </w:p>
    <w:p w14:paraId="534FAAB3" w14:textId="77777777" w:rsidR="006810DF" w:rsidRDefault="006810DF"/>
    <w:p w14:paraId="381A2661" w14:textId="77777777" w:rsidR="006810DF" w:rsidRPr="00967440" w:rsidRDefault="006810DF" w:rsidP="006810DF">
      <w:r w:rsidRPr="00967440">
        <w:rPr>
          <w:noProof/>
        </w:rPr>
        <w:drawing>
          <wp:inline distT="0" distB="0" distL="0" distR="0" wp14:anchorId="3A7B503B" wp14:editId="27C1B1FD">
            <wp:extent cx="5734050" cy="2733675"/>
            <wp:effectExtent l="0" t="0" r="0" b="9525"/>
            <wp:docPr id="1"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2733675"/>
                    </a:xfrm>
                    <a:prstGeom prst="rect">
                      <a:avLst/>
                    </a:prstGeom>
                    <a:solidFill>
                      <a:srgbClr val="FFFFFF"/>
                    </a:solidFill>
                    <a:ln>
                      <a:noFill/>
                    </a:ln>
                  </pic:spPr>
                </pic:pic>
              </a:graphicData>
            </a:graphic>
          </wp:inline>
        </w:drawing>
      </w:r>
    </w:p>
    <w:p w14:paraId="5E3F3905" w14:textId="77777777" w:rsidR="006810DF" w:rsidRPr="00967440" w:rsidRDefault="006810DF" w:rsidP="006810DF"/>
    <w:p w14:paraId="16675117" w14:textId="77777777" w:rsidR="006810DF" w:rsidRDefault="006810DF" w:rsidP="006810DF">
      <w:pPr>
        <w:spacing w:line="360" w:lineRule="auto"/>
      </w:pPr>
      <w:r>
        <w:t>Figure 2. Perceptions of the impact of fellowship on the student experience.</w:t>
      </w:r>
    </w:p>
    <w:p w14:paraId="5450BAC6" w14:textId="1C73BC47" w:rsidR="00FE1C5E" w:rsidRDefault="00FE1C5E"/>
    <w:p w14:paraId="760B3737" w14:textId="77777777" w:rsidR="006810DF" w:rsidRDefault="006810DF" w:rsidP="006810DF"/>
    <w:p w14:paraId="34BBEE4B" w14:textId="685A94CC" w:rsidR="006810DF" w:rsidRPr="00967440" w:rsidRDefault="006810DF" w:rsidP="006810DF">
      <w:r>
        <w:rPr>
          <w:noProof/>
        </w:rPr>
        <w:lastRenderedPageBreak/>
        <w:drawing>
          <wp:inline distT="0" distB="0" distL="0" distR="0" wp14:anchorId="28B177BB" wp14:editId="3B4B1B86">
            <wp:extent cx="5396865" cy="5396865"/>
            <wp:effectExtent l="0" t="0" r="0" b="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evic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865" cy="5396865"/>
                    </a:xfrm>
                    <a:prstGeom prst="rect">
                      <a:avLst/>
                    </a:prstGeom>
                    <a:noFill/>
                    <a:ln>
                      <a:noFill/>
                    </a:ln>
                  </pic:spPr>
                </pic:pic>
              </a:graphicData>
            </a:graphic>
          </wp:inline>
        </w:drawing>
      </w:r>
    </w:p>
    <w:p w14:paraId="3CCB25F4" w14:textId="587BD988" w:rsidR="006810DF" w:rsidRDefault="006810DF"/>
    <w:p w14:paraId="57C9E5E8" w14:textId="3FD391A9" w:rsidR="006810DF" w:rsidRDefault="006810DF" w:rsidP="006810DF">
      <w:pPr>
        <w:pStyle w:val="Tabletitle"/>
      </w:pPr>
      <w:r>
        <w:t>Table 1. Participating institutions.</w:t>
      </w:r>
    </w:p>
    <w:p w14:paraId="3287CAA6" w14:textId="1E761C5F" w:rsidR="006810DF" w:rsidRDefault="006810DF" w:rsidP="006810DF">
      <w:pPr>
        <w:rPr>
          <w:lang w:eastAsia="en-US"/>
        </w:rPr>
      </w:pPr>
    </w:p>
    <w:p w14:paraId="76C63498" w14:textId="77777777" w:rsidR="006810DF" w:rsidRDefault="006810DF" w:rsidP="006810DF">
      <w:pPr>
        <w:rPr>
          <w:rFonts w:cs="Calibri"/>
          <w:sz w:val="22"/>
          <w:szCs w:val="22"/>
        </w:rPr>
      </w:pPr>
    </w:p>
    <w:tbl>
      <w:tblPr>
        <w:tblpPr w:leftFromText="180" w:rightFromText="180" w:vertAnchor="text" w:horzAnchor="margin" w:tblpY="203"/>
        <w:tblW w:w="9495" w:type="dxa"/>
        <w:tblLayout w:type="fixed"/>
        <w:tblCellMar>
          <w:left w:w="0" w:type="dxa"/>
          <w:right w:w="0" w:type="dxa"/>
        </w:tblCellMar>
        <w:tblLook w:val="0420" w:firstRow="1" w:lastRow="0" w:firstColumn="0" w:lastColumn="0" w:noHBand="0" w:noVBand="1"/>
      </w:tblPr>
      <w:tblGrid>
        <w:gridCol w:w="1697"/>
        <w:gridCol w:w="2695"/>
        <w:gridCol w:w="1417"/>
        <w:gridCol w:w="1134"/>
        <w:gridCol w:w="1276"/>
        <w:gridCol w:w="1276"/>
      </w:tblGrid>
      <w:tr w:rsidR="006810DF" w14:paraId="70D0B312" w14:textId="77777777" w:rsidTr="00823517">
        <w:trPr>
          <w:trHeight w:val="20"/>
        </w:trPr>
        <w:tc>
          <w:tcPr>
            <w:tcW w:w="1696" w:type="dxa"/>
            <w:tcBorders>
              <w:top w:val="single" w:sz="4" w:space="0" w:color="auto"/>
              <w:left w:val="nil"/>
              <w:bottom w:val="single" w:sz="4" w:space="0" w:color="auto"/>
              <w:right w:val="nil"/>
            </w:tcBorders>
            <w:tcMar>
              <w:top w:w="72" w:type="dxa"/>
              <w:left w:w="144" w:type="dxa"/>
              <w:bottom w:w="72" w:type="dxa"/>
              <w:right w:w="144" w:type="dxa"/>
            </w:tcMar>
            <w:hideMark/>
          </w:tcPr>
          <w:p w14:paraId="2CDCA0EF" w14:textId="77777777" w:rsidR="006810DF" w:rsidRDefault="006810DF" w:rsidP="00823517">
            <w:pPr>
              <w:ind w:left="-5"/>
              <w:rPr>
                <w:sz w:val="22"/>
                <w:szCs w:val="22"/>
              </w:rPr>
            </w:pPr>
            <w:r>
              <w:rPr>
                <w:b/>
                <w:bCs/>
                <w:sz w:val="22"/>
                <w:szCs w:val="22"/>
              </w:rPr>
              <w:t>Institution</w:t>
            </w:r>
          </w:p>
        </w:tc>
        <w:tc>
          <w:tcPr>
            <w:tcW w:w="2694" w:type="dxa"/>
            <w:tcBorders>
              <w:top w:val="single" w:sz="4" w:space="0" w:color="auto"/>
              <w:left w:val="nil"/>
              <w:bottom w:val="single" w:sz="4" w:space="0" w:color="auto"/>
              <w:right w:val="nil"/>
            </w:tcBorders>
            <w:tcMar>
              <w:top w:w="72" w:type="dxa"/>
              <w:left w:w="144" w:type="dxa"/>
              <w:bottom w:w="72" w:type="dxa"/>
              <w:right w:w="144" w:type="dxa"/>
            </w:tcMar>
            <w:hideMark/>
          </w:tcPr>
          <w:p w14:paraId="2716B217" w14:textId="77777777" w:rsidR="006810DF" w:rsidRDefault="006810DF" w:rsidP="00823517">
            <w:pPr>
              <w:ind w:left="-16"/>
              <w:rPr>
                <w:sz w:val="22"/>
                <w:szCs w:val="22"/>
              </w:rPr>
            </w:pPr>
            <w:r>
              <w:rPr>
                <w:b/>
                <w:bCs/>
                <w:sz w:val="22"/>
                <w:szCs w:val="22"/>
              </w:rPr>
              <w:t>Nature of institution</w:t>
            </w:r>
          </w:p>
        </w:tc>
        <w:tc>
          <w:tcPr>
            <w:tcW w:w="1417" w:type="dxa"/>
            <w:tcBorders>
              <w:top w:val="single" w:sz="4" w:space="0" w:color="auto"/>
              <w:left w:val="nil"/>
              <w:bottom w:val="single" w:sz="4" w:space="0" w:color="auto"/>
              <w:right w:val="nil"/>
            </w:tcBorders>
            <w:hideMark/>
          </w:tcPr>
          <w:p w14:paraId="2CBAD7DA" w14:textId="77777777" w:rsidR="006810DF" w:rsidRDefault="006810DF" w:rsidP="00823517">
            <w:pPr>
              <w:ind w:left="139"/>
              <w:rPr>
                <w:b/>
                <w:bCs/>
                <w:sz w:val="22"/>
                <w:szCs w:val="22"/>
              </w:rPr>
            </w:pPr>
            <w:r>
              <w:rPr>
                <w:b/>
                <w:bCs/>
                <w:sz w:val="22"/>
                <w:szCs w:val="22"/>
              </w:rPr>
              <w:t>Number of academic  staff</w:t>
            </w:r>
          </w:p>
        </w:tc>
        <w:tc>
          <w:tcPr>
            <w:tcW w:w="1134" w:type="dxa"/>
            <w:tcBorders>
              <w:top w:val="single" w:sz="4" w:space="0" w:color="auto"/>
              <w:left w:val="nil"/>
              <w:bottom w:val="single" w:sz="4" w:space="0" w:color="auto"/>
              <w:right w:val="nil"/>
            </w:tcBorders>
            <w:hideMark/>
          </w:tcPr>
          <w:p w14:paraId="16F78237" w14:textId="77777777" w:rsidR="006810DF" w:rsidRDefault="006810DF" w:rsidP="00823517">
            <w:pPr>
              <w:ind w:left="143"/>
              <w:rPr>
                <w:b/>
                <w:bCs/>
                <w:sz w:val="22"/>
                <w:szCs w:val="22"/>
              </w:rPr>
            </w:pPr>
            <w:r>
              <w:rPr>
                <w:b/>
                <w:bCs/>
                <w:sz w:val="22"/>
                <w:szCs w:val="22"/>
              </w:rPr>
              <w:t>Accredited provision since</w:t>
            </w:r>
          </w:p>
        </w:tc>
        <w:tc>
          <w:tcPr>
            <w:tcW w:w="1276" w:type="dxa"/>
            <w:tcBorders>
              <w:top w:val="single" w:sz="4" w:space="0" w:color="auto"/>
              <w:left w:val="nil"/>
              <w:bottom w:val="single" w:sz="4" w:space="0" w:color="auto"/>
              <w:right w:val="nil"/>
            </w:tcBorders>
            <w:hideMark/>
          </w:tcPr>
          <w:p w14:paraId="304B3E6A" w14:textId="77777777" w:rsidR="006810DF" w:rsidRDefault="006810DF" w:rsidP="00823517">
            <w:pPr>
              <w:ind w:left="143"/>
              <w:rPr>
                <w:b/>
                <w:bCs/>
                <w:sz w:val="22"/>
                <w:szCs w:val="22"/>
              </w:rPr>
            </w:pPr>
            <w:r>
              <w:rPr>
                <w:b/>
                <w:bCs/>
                <w:sz w:val="22"/>
                <w:szCs w:val="22"/>
              </w:rPr>
              <w:t>Accredited fellowship categories</w:t>
            </w:r>
          </w:p>
        </w:tc>
        <w:tc>
          <w:tcPr>
            <w:tcW w:w="1276" w:type="dxa"/>
            <w:tcBorders>
              <w:top w:val="single" w:sz="4" w:space="0" w:color="auto"/>
              <w:left w:val="nil"/>
              <w:bottom w:val="single" w:sz="4" w:space="0" w:color="auto"/>
              <w:right w:val="nil"/>
            </w:tcBorders>
            <w:hideMark/>
          </w:tcPr>
          <w:p w14:paraId="51A63875" w14:textId="77777777" w:rsidR="006810DF" w:rsidRDefault="006810DF" w:rsidP="00823517">
            <w:pPr>
              <w:ind w:left="143"/>
              <w:rPr>
                <w:b/>
                <w:bCs/>
                <w:sz w:val="22"/>
                <w:szCs w:val="22"/>
              </w:rPr>
            </w:pPr>
            <w:r>
              <w:rPr>
                <w:b/>
                <w:bCs/>
                <w:sz w:val="22"/>
                <w:szCs w:val="22"/>
              </w:rPr>
              <w:t>Accredited taught pathway to fellowship</w:t>
            </w:r>
          </w:p>
        </w:tc>
      </w:tr>
      <w:tr w:rsidR="006810DF" w14:paraId="20065BFE" w14:textId="77777777" w:rsidTr="00823517">
        <w:trPr>
          <w:trHeight w:val="20"/>
        </w:trPr>
        <w:tc>
          <w:tcPr>
            <w:tcW w:w="1696" w:type="dxa"/>
            <w:tcBorders>
              <w:top w:val="single" w:sz="4" w:space="0" w:color="auto"/>
              <w:left w:val="nil"/>
              <w:bottom w:val="nil"/>
              <w:right w:val="nil"/>
            </w:tcBorders>
            <w:tcMar>
              <w:top w:w="72" w:type="dxa"/>
              <w:left w:w="144" w:type="dxa"/>
              <w:bottom w:w="72" w:type="dxa"/>
              <w:right w:w="144" w:type="dxa"/>
            </w:tcMar>
            <w:hideMark/>
          </w:tcPr>
          <w:p w14:paraId="1172C030" w14:textId="77777777" w:rsidR="006810DF" w:rsidRDefault="006810DF" w:rsidP="00823517">
            <w:pPr>
              <w:ind w:left="432"/>
              <w:rPr>
                <w:sz w:val="22"/>
                <w:szCs w:val="22"/>
              </w:rPr>
            </w:pPr>
            <w:r>
              <w:rPr>
                <w:sz w:val="22"/>
                <w:szCs w:val="22"/>
              </w:rPr>
              <w:t>UNI-A</w:t>
            </w:r>
          </w:p>
        </w:tc>
        <w:tc>
          <w:tcPr>
            <w:tcW w:w="2694" w:type="dxa"/>
            <w:tcBorders>
              <w:top w:val="single" w:sz="4" w:space="0" w:color="auto"/>
              <w:left w:val="nil"/>
              <w:bottom w:val="nil"/>
              <w:right w:val="nil"/>
            </w:tcBorders>
            <w:tcMar>
              <w:top w:w="72" w:type="dxa"/>
              <w:left w:w="144" w:type="dxa"/>
              <w:bottom w:w="72" w:type="dxa"/>
              <w:right w:w="144" w:type="dxa"/>
            </w:tcMar>
            <w:hideMark/>
          </w:tcPr>
          <w:p w14:paraId="7A43B4A5" w14:textId="77777777" w:rsidR="006810DF" w:rsidRDefault="006810DF" w:rsidP="00823517">
            <w:pPr>
              <w:ind w:left="-16"/>
              <w:rPr>
                <w:sz w:val="22"/>
                <w:szCs w:val="22"/>
              </w:rPr>
            </w:pPr>
            <w:r>
              <w:rPr>
                <w:sz w:val="22"/>
                <w:szCs w:val="22"/>
              </w:rPr>
              <w:t xml:space="preserve">UK; medium-sized 1966 university with a reputation for excellence in teaching and research. </w:t>
            </w:r>
          </w:p>
        </w:tc>
        <w:tc>
          <w:tcPr>
            <w:tcW w:w="1417" w:type="dxa"/>
            <w:tcBorders>
              <w:top w:val="single" w:sz="4" w:space="0" w:color="auto"/>
              <w:left w:val="nil"/>
              <w:bottom w:val="nil"/>
              <w:right w:val="nil"/>
            </w:tcBorders>
            <w:hideMark/>
          </w:tcPr>
          <w:p w14:paraId="12761B86" w14:textId="77777777" w:rsidR="006810DF" w:rsidRDefault="006810DF" w:rsidP="00823517">
            <w:pPr>
              <w:ind w:left="139"/>
              <w:rPr>
                <w:sz w:val="22"/>
                <w:szCs w:val="22"/>
              </w:rPr>
            </w:pPr>
            <w:r>
              <w:rPr>
                <w:sz w:val="22"/>
                <w:szCs w:val="22"/>
              </w:rPr>
              <w:t xml:space="preserve">&lt;1000 </w:t>
            </w:r>
          </w:p>
        </w:tc>
        <w:tc>
          <w:tcPr>
            <w:tcW w:w="1134" w:type="dxa"/>
            <w:tcBorders>
              <w:top w:val="single" w:sz="4" w:space="0" w:color="auto"/>
              <w:left w:val="nil"/>
              <w:bottom w:val="nil"/>
              <w:right w:val="nil"/>
            </w:tcBorders>
            <w:hideMark/>
          </w:tcPr>
          <w:p w14:paraId="580AA7A3" w14:textId="77777777" w:rsidR="006810DF" w:rsidRDefault="006810DF" w:rsidP="00823517">
            <w:pPr>
              <w:ind w:left="143"/>
              <w:jc w:val="both"/>
              <w:rPr>
                <w:sz w:val="22"/>
                <w:szCs w:val="22"/>
              </w:rPr>
            </w:pPr>
            <w:r>
              <w:rPr>
                <w:sz w:val="22"/>
                <w:szCs w:val="22"/>
              </w:rPr>
              <w:t>2013</w:t>
            </w:r>
          </w:p>
        </w:tc>
        <w:tc>
          <w:tcPr>
            <w:tcW w:w="1276" w:type="dxa"/>
            <w:tcBorders>
              <w:top w:val="single" w:sz="4" w:space="0" w:color="auto"/>
              <w:left w:val="nil"/>
              <w:bottom w:val="nil"/>
              <w:right w:val="nil"/>
            </w:tcBorders>
            <w:hideMark/>
          </w:tcPr>
          <w:p w14:paraId="2BCE0EC1" w14:textId="77777777" w:rsidR="006810DF" w:rsidRDefault="006810DF" w:rsidP="00823517">
            <w:pPr>
              <w:ind w:left="143"/>
              <w:rPr>
                <w:sz w:val="22"/>
                <w:szCs w:val="22"/>
              </w:rPr>
            </w:pPr>
            <w:r>
              <w:rPr>
                <w:sz w:val="22"/>
                <w:szCs w:val="22"/>
              </w:rPr>
              <w:t>D1–D3</w:t>
            </w:r>
          </w:p>
        </w:tc>
        <w:tc>
          <w:tcPr>
            <w:tcW w:w="1276" w:type="dxa"/>
            <w:tcBorders>
              <w:top w:val="single" w:sz="4" w:space="0" w:color="auto"/>
              <w:left w:val="nil"/>
              <w:bottom w:val="nil"/>
              <w:right w:val="nil"/>
            </w:tcBorders>
            <w:hideMark/>
          </w:tcPr>
          <w:p w14:paraId="1B18C33B" w14:textId="77777777" w:rsidR="006810DF" w:rsidRDefault="006810DF" w:rsidP="00823517">
            <w:pPr>
              <w:ind w:left="143"/>
              <w:jc w:val="both"/>
              <w:rPr>
                <w:sz w:val="22"/>
                <w:szCs w:val="22"/>
              </w:rPr>
            </w:pPr>
            <w:r>
              <w:rPr>
                <w:sz w:val="22"/>
                <w:szCs w:val="22"/>
              </w:rPr>
              <w:t>D1–D2</w:t>
            </w:r>
          </w:p>
        </w:tc>
      </w:tr>
      <w:tr w:rsidR="006810DF" w14:paraId="0E56BF99" w14:textId="77777777" w:rsidTr="00823517">
        <w:trPr>
          <w:trHeight w:val="20"/>
        </w:trPr>
        <w:tc>
          <w:tcPr>
            <w:tcW w:w="1696" w:type="dxa"/>
            <w:tcMar>
              <w:top w:w="72" w:type="dxa"/>
              <w:left w:w="144" w:type="dxa"/>
              <w:bottom w:w="72" w:type="dxa"/>
              <w:right w:w="144" w:type="dxa"/>
            </w:tcMar>
            <w:hideMark/>
          </w:tcPr>
          <w:p w14:paraId="2F03E389" w14:textId="77777777" w:rsidR="006810DF" w:rsidRDefault="006810DF" w:rsidP="00823517">
            <w:pPr>
              <w:ind w:left="432"/>
              <w:rPr>
                <w:sz w:val="22"/>
                <w:szCs w:val="22"/>
              </w:rPr>
            </w:pPr>
            <w:r>
              <w:rPr>
                <w:sz w:val="22"/>
                <w:szCs w:val="22"/>
              </w:rPr>
              <w:t>UNI-B</w:t>
            </w:r>
          </w:p>
        </w:tc>
        <w:tc>
          <w:tcPr>
            <w:tcW w:w="2694" w:type="dxa"/>
            <w:tcMar>
              <w:top w:w="72" w:type="dxa"/>
              <w:left w:w="144" w:type="dxa"/>
              <w:bottom w:w="72" w:type="dxa"/>
              <w:right w:w="144" w:type="dxa"/>
            </w:tcMar>
            <w:hideMark/>
          </w:tcPr>
          <w:p w14:paraId="433CC474" w14:textId="77777777" w:rsidR="006810DF" w:rsidRDefault="006810DF" w:rsidP="00823517">
            <w:pPr>
              <w:ind w:left="-16"/>
              <w:rPr>
                <w:sz w:val="22"/>
                <w:szCs w:val="22"/>
              </w:rPr>
            </w:pPr>
            <w:r>
              <w:rPr>
                <w:sz w:val="22"/>
                <w:szCs w:val="22"/>
              </w:rPr>
              <w:t>UK; post-1992 public university with an international reputation for graduate employability.</w:t>
            </w:r>
          </w:p>
        </w:tc>
        <w:tc>
          <w:tcPr>
            <w:tcW w:w="1417" w:type="dxa"/>
            <w:hideMark/>
          </w:tcPr>
          <w:p w14:paraId="0D496D23" w14:textId="77777777" w:rsidR="006810DF" w:rsidRDefault="006810DF" w:rsidP="00823517">
            <w:pPr>
              <w:ind w:left="139"/>
              <w:rPr>
                <w:sz w:val="22"/>
                <w:szCs w:val="22"/>
              </w:rPr>
            </w:pPr>
            <w:r>
              <w:rPr>
                <w:sz w:val="22"/>
                <w:szCs w:val="22"/>
              </w:rPr>
              <w:t xml:space="preserve">&lt; 1000 </w:t>
            </w:r>
          </w:p>
        </w:tc>
        <w:tc>
          <w:tcPr>
            <w:tcW w:w="1134" w:type="dxa"/>
            <w:hideMark/>
          </w:tcPr>
          <w:p w14:paraId="54EC86C5" w14:textId="77777777" w:rsidR="006810DF" w:rsidRDefault="006810DF" w:rsidP="00823517">
            <w:pPr>
              <w:ind w:left="143"/>
              <w:jc w:val="both"/>
              <w:rPr>
                <w:sz w:val="22"/>
                <w:szCs w:val="22"/>
              </w:rPr>
            </w:pPr>
            <w:r>
              <w:rPr>
                <w:sz w:val="22"/>
                <w:szCs w:val="22"/>
              </w:rPr>
              <w:t>2013</w:t>
            </w:r>
          </w:p>
        </w:tc>
        <w:tc>
          <w:tcPr>
            <w:tcW w:w="1276" w:type="dxa"/>
            <w:hideMark/>
          </w:tcPr>
          <w:p w14:paraId="10FB101B" w14:textId="77777777" w:rsidR="006810DF" w:rsidRDefault="006810DF" w:rsidP="00823517">
            <w:pPr>
              <w:ind w:left="143"/>
              <w:rPr>
                <w:sz w:val="22"/>
                <w:szCs w:val="22"/>
              </w:rPr>
            </w:pPr>
            <w:r>
              <w:rPr>
                <w:sz w:val="22"/>
                <w:szCs w:val="22"/>
              </w:rPr>
              <w:t>D1–D4</w:t>
            </w:r>
          </w:p>
        </w:tc>
        <w:tc>
          <w:tcPr>
            <w:tcW w:w="1276" w:type="dxa"/>
            <w:hideMark/>
          </w:tcPr>
          <w:p w14:paraId="0AA59BCD" w14:textId="77777777" w:rsidR="006810DF" w:rsidRDefault="006810DF" w:rsidP="00823517">
            <w:pPr>
              <w:ind w:left="143"/>
              <w:jc w:val="both"/>
              <w:rPr>
                <w:sz w:val="22"/>
                <w:szCs w:val="22"/>
              </w:rPr>
            </w:pPr>
            <w:r>
              <w:rPr>
                <w:sz w:val="22"/>
                <w:szCs w:val="22"/>
              </w:rPr>
              <w:t>D2</w:t>
            </w:r>
          </w:p>
        </w:tc>
      </w:tr>
      <w:tr w:rsidR="006810DF" w14:paraId="5D0A6192" w14:textId="77777777" w:rsidTr="00823517">
        <w:trPr>
          <w:trHeight w:val="20"/>
        </w:trPr>
        <w:tc>
          <w:tcPr>
            <w:tcW w:w="1696" w:type="dxa"/>
            <w:tcMar>
              <w:top w:w="72" w:type="dxa"/>
              <w:left w:w="144" w:type="dxa"/>
              <w:bottom w:w="72" w:type="dxa"/>
              <w:right w:w="144" w:type="dxa"/>
            </w:tcMar>
            <w:hideMark/>
          </w:tcPr>
          <w:p w14:paraId="310105EF" w14:textId="77777777" w:rsidR="006810DF" w:rsidRDefault="006810DF" w:rsidP="00823517">
            <w:pPr>
              <w:ind w:left="432"/>
              <w:rPr>
                <w:sz w:val="22"/>
                <w:szCs w:val="22"/>
              </w:rPr>
            </w:pPr>
            <w:r>
              <w:rPr>
                <w:sz w:val="22"/>
                <w:szCs w:val="22"/>
              </w:rPr>
              <w:lastRenderedPageBreak/>
              <w:t>UNI-C</w:t>
            </w:r>
          </w:p>
        </w:tc>
        <w:tc>
          <w:tcPr>
            <w:tcW w:w="2694" w:type="dxa"/>
            <w:tcMar>
              <w:top w:w="72" w:type="dxa"/>
              <w:left w:w="144" w:type="dxa"/>
              <w:bottom w:w="72" w:type="dxa"/>
              <w:right w:w="144" w:type="dxa"/>
            </w:tcMar>
            <w:hideMark/>
          </w:tcPr>
          <w:p w14:paraId="0F4D61E4" w14:textId="77777777" w:rsidR="006810DF" w:rsidRDefault="006810DF" w:rsidP="00823517">
            <w:pPr>
              <w:ind w:left="-16"/>
              <w:rPr>
                <w:sz w:val="22"/>
                <w:szCs w:val="22"/>
              </w:rPr>
            </w:pPr>
            <w:r>
              <w:rPr>
                <w:sz w:val="22"/>
                <w:szCs w:val="22"/>
              </w:rPr>
              <w:t xml:space="preserve">Australia; large public university with a strategic focus on real-world learning and research. </w:t>
            </w:r>
          </w:p>
        </w:tc>
        <w:tc>
          <w:tcPr>
            <w:tcW w:w="1417" w:type="dxa"/>
            <w:hideMark/>
          </w:tcPr>
          <w:p w14:paraId="26B126EB" w14:textId="77777777" w:rsidR="006810DF" w:rsidRDefault="006810DF" w:rsidP="00823517">
            <w:pPr>
              <w:ind w:left="139"/>
              <w:rPr>
                <w:sz w:val="22"/>
                <w:szCs w:val="22"/>
              </w:rPr>
            </w:pPr>
            <w:r>
              <w:rPr>
                <w:rFonts w:eastAsiaTheme="minorEastAsia"/>
                <w:sz w:val="22"/>
                <w:szCs w:val="22"/>
              </w:rPr>
              <w:t>&gt;</w:t>
            </w:r>
            <w:r>
              <w:rPr>
                <w:sz w:val="22"/>
                <w:szCs w:val="22"/>
              </w:rPr>
              <w:t xml:space="preserve"> 2000 </w:t>
            </w:r>
          </w:p>
        </w:tc>
        <w:tc>
          <w:tcPr>
            <w:tcW w:w="1134" w:type="dxa"/>
            <w:hideMark/>
          </w:tcPr>
          <w:p w14:paraId="752EDCF6" w14:textId="77777777" w:rsidR="006810DF" w:rsidRDefault="006810DF" w:rsidP="00823517">
            <w:pPr>
              <w:ind w:left="143"/>
              <w:jc w:val="both"/>
              <w:rPr>
                <w:sz w:val="22"/>
                <w:szCs w:val="22"/>
              </w:rPr>
            </w:pPr>
            <w:r>
              <w:rPr>
                <w:sz w:val="22"/>
                <w:szCs w:val="22"/>
              </w:rPr>
              <w:t>2015</w:t>
            </w:r>
          </w:p>
        </w:tc>
        <w:tc>
          <w:tcPr>
            <w:tcW w:w="1276" w:type="dxa"/>
            <w:hideMark/>
          </w:tcPr>
          <w:p w14:paraId="21DFB02C" w14:textId="77777777" w:rsidR="006810DF" w:rsidRDefault="006810DF" w:rsidP="00823517">
            <w:pPr>
              <w:ind w:left="143"/>
              <w:rPr>
                <w:sz w:val="22"/>
                <w:szCs w:val="22"/>
              </w:rPr>
            </w:pPr>
            <w:r>
              <w:rPr>
                <w:sz w:val="22"/>
                <w:szCs w:val="22"/>
              </w:rPr>
              <w:t>D1–D4</w:t>
            </w:r>
          </w:p>
        </w:tc>
        <w:tc>
          <w:tcPr>
            <w:tcW w:w="1276" w:type="dxa"/>
            <w:hideMark/>
          </w:tcPr>
          <w:p w14:paraId="1D76438E" w14:textId="77777777" w:rsidR="006810DF" w:rsidRDefault="006810DF" w:rsidP="00823517">
            <w:pPr>
              <w:ind w:left="143"/>
              <w:jc w:val="both"/>
              <w:rPr>
                <w:sz w:val="22"/>
                <w:szCs w:val="22"/>
              </w:rPr>
            </w:pPr>
            <w:r>
              <w:rPr>
                <w:sz w:val="22"/>
                <w:szCs w:val="22"/>
              </w:rPr>
              <w:t>D1–D2</w:t>
            </w:r>
          </w:p>
        </w:tc>
      </w:tr>
      <w:tr w:rsidR="006810DF" w14:paraId="74C8ABCC" w14:textId="77777777" w:rsidTr="00823517">
        <w:trPr>
          <w:trHeight w:val="20"/>
        </w:trPr>
        <w:tc>
          <w:tcPr>
            <w:tcW w:w="1696" w:type="dxa"/>
            <w:tcMar>
              <w:top w:w="72" w:type="dxa"/>
              <w:left w:w="144" w:type="dxa"/>
              <w:bottom w:w="72" w:type="dxa"/>
              <w:right w:w="144" w:type="dxa"/>
            </w:tcMar>
            <w:hideMark/>
          </w:tcPr>
          <w:p w14:paraId="724E06B6" w14:textId="77777777" w:rsidR="006810DF" w:rsidRDefault="006810DF" w:rsidP="00823517">
            <w:pPr>
              <w:ind w:left="432"/>
              <w:rPr>
                <w:sz w:val="22"/>
                <w:szCs w:val="22"/>
              </w:rPr>
            </w:pPr>
            <w:r>
              <w:rPr>
                <w:sz w:val="22"/>
                <w:szCs w:val="22"/>
              </w:rPr>
              <w:t>UNI-D</w:t>
            </w:r>
          </w:p>
        </w:tc>
        <w:tc>
          <w:tcPr>
            <w:tcW w:w="2694" w:type="dxa"/>
            <w:tcMar>
              <w:top w:w="72" w:type="dxa"/>
              <w:left w:w="144" w:type="dxa"/>
              <w:bottom w:w="72" w:type="dxa"/>
              <w:right w:w="144" w:type="dxa"/>
            </w:tcMar>
            <w:hideMark/>
          </w:tcPr>
          <w:p w14:paraId="36646ACE" w14:textId="77777777" w:rsidR="006810DF" w:rsidRDefault="006810DF" w:rsidP="00823517">
            <w:pPr>
              <w:ind w:left="-16"/>
              <w:rPr>
                <w:sz w:val="22"/>
                <w:szCs w:val="22"/>
              </w:rPr>
            </w:pPr>
            <w:r>
              <w:rPr>
                <w:sz w:val="22"/>
                <w:szCs w:val="22"/>
              </w:rPr>
              <w:t xml:space="preserve">UK; large Russell Group university; highly ranked for research and committed to research-based education. </w:t>
            </w:r>
          </w:p>
        </w:tc>
        <w:tc>
          <w:tcPr>
            <w:tcW w:w="1417" w:type="dxa"/>
            <w:hideMark/>
          </w:tcPr>
          <w:p w14:paraId="45622FE3" w14:textId="77777777" w:rsidR="006810DF" w:rsidRDefault="006810DF" w:rsidP="00823517">
            <w:pPr>
              <w:ind w:left="139"/>
              <w:rPr>
                <w:sz w:val="22"/>
                <w:szCs w:val="22"/>
              </w:rPr>
            </w:pPr>
            <w:r>
              <w:rPr>
                <w:rFonts w:eastAsiaTheme="minorEastAsia"/>
                <w:sz w:val="22"/>
                <w:szCs w:val="22"/>
              </w:rPr>
              <w:t>&gt;</w:t>
            </w:r>
            <w:r>
              <w:rPr>
                <w:sz w:val="22"/>
                <w:szCs w:val="22"/>
              </w:rPr>
              <w:t xml:space="preserve"> 4000</w:t>
            </w:r>
          </w:p>
        </w:tc>
        <w:tc>
          <w:tcPr>
            <w:tcW w:w="1134" w:type="dxa"/>
            <w:hideMark/>
          </w:tcPr>
          <w:p w14:paraId="62D3E324" w14:textId="77777777" w:rsidR="006810DF" w:rsidRDefault="006810DF" w:rsidP="00823517">
            <w:pPr>
              <w:ind w:left="143"/>
              <w:jc w:val="both"/>
              <w:rPr>
                <w:sz w:val="22"/>
                <w:szCs w:val="22"/>
              </w:rPr>
            </w:pPr>
            <w:r>
              <w:rPr>
                <w:sz w:val="22"/>
                <w:szCs w:val="22"/>
              </w:rPr>
              <w:t>2014</w:t>
            </w:r>
          </w:p>
        </w:tc>
        <w:tc>
          <w:tcPr>
            <w:tcW w:w="1276" w:type="dxa"/>
            <w:hideMark/>
          </w:tcPr>
          <w:p w14:paraId="75BDC773" w14:textId="77777777" w:rsidR="006810DF" w:rsidRDefault="006810DF" w:rsidP="00823517">
            <w:pPr>
              <w:ind w:left="143"/>
              <w:rPr>
                <w:sz w:val="22"/>
                <w:szCs w:val="22"/>
              </w:rPr>
            </w:pPr>
            <w:r>
              <w:rPr>
                <w:sz w:val="22"/>
                <w:szCs w:val="22"/>
              </w:rPr>
              <w:t>D1–D4</w:t>
            </w:r>
          </w:p>
        </w:tc>
        <w:tc>
          <w:tcPr>
            <w:tcW w:w="1276" w:type="dxa"/>
            <w:hideMark/>
          </w:tcPr>
          <w:p w14:paraId="0C996BC9" w14:textId="77777777" w:rsidR="006810DF" w:rsidRDefault="006810DF" w:rsidP="00823517">
            <w:pPr>
              <w:ind w:left="143"/>
              <w:jc w:val="both"/>
              <w:rPr>
                <w:sz w:val="22"/>
                <w:szCs w:val="22"/>
              </w:rPr>
            </w:pPr>
            <w:r>
              <w:rPr>
                <w:sz w:val="22"/>
                <w:szCs w:val="22"/>
              </w:rPr>
              <w:t>D1–D2</w:t>
            </w:r>
          </w:p>
        </w:tc>
      </w:tr>
      <w:tr w:rsidR="006810DF" w14:paraId="3BD21D7B" w14:textId="77777777" w:rsidTr="00823517">
        <w:trPr>
          <w:trHeight w:val="20"/>
        </w:trPr>
        <w:tc>
          <w:tcPr>
            <w:tcW w:w="1696" w:type="dxa"/>
            <w:tcMar>
              <w:top w:w="72" w:type="dxa"/>
              <w:left w:w="144" w:type="dxa"/>
              <w:bottom w:w="72" w:type="dxa"/>
              <w:right w:w="144" w:type="dxa"/>
            </w:tcMar>
            <w:hideMark/>
          </w:tcPr>
          <w:p w14:paraId="5173B0A3" w14:textId="77777777" w:rsidR="006810DF" w:rsidRDefault="006810DF" w:rsidP="00823517">
            <w:pPr>
              <w:ind w:left="432"/>
              <w:rPr>
                <w:sz w:val="22"/>
                <w:szCs w:val="22"/>
              </w:rPr>
            </w:pPr>
            <w:r>
              <w:rPr>
                <w:sz w:val="22"/>
                <w:szCs w:val="22"/>
              </w:rPr>
              <w:t>UNI-E</w:t>
            </w:r>
          </w:p>
        </w:tc>
        <w:tc>
          <w:tcPr>
            <w:tcW w:w="2694" w:type="dxa"/>
            <w:tcMar>
              <w:top w:w="72" w:type="dxa"/>
              <w:left w:w="144" w:type="dxa"/>
              <w:bottom w:w="72" w:type="dxa"/>
              <w:right w:w="144" w:type="dxa"/>
            </w:tcMar>
            <w:hideMark/>
          </w:tcPr>
          <w:p w14:paraId="5E4C3D0C" w14:textId="77777777" w:rsidR="006810DF" w:rsidRDefault="006810DF" w:rsidP="00823517">
            <w:pPr>
              <w:ind w:left="-16"/>
              <w:rPr>
                <w:sz w:val="22"/>
                <w:szCs w:val="22"/>
              </w:rPr>
            </w:pPr>
            <w:r>
              <w:rPr>
                <w:sz w:val="22"/>
                <w:szCs w:val="22"/>
              </w:rPr>
              <w:t xml:space="preserve">UK; large, distributed, pre-1992, university; mission is academic excellence and civic engagement. </w:t>
            </w:r>
          </w:p>
        </w:tc>
        <w:tc>
          <w:tcPr>
            <w:tcW w:w="1417" w:type="dxa"/>
            <w:hideMark/>
          </w:tcPr>
          <w:p w14:paraId="2DCEDB6A" w14:textId="77777777" w:rsidR="006810DF" w:rsidRDefault="006810DF" w:rsidP="00823517">
            <w:pPr>
              <w:ind w:left="139"/>
              <w:rPr>
                <w:sz w:val="22"/>
                <w:szCs w:val="22"/>
              </w:rPr>
            </w:pPr>
            <w:r>
              <w:rPr>
                <w:sz w:val="22"/>
                <w:szCs w:val="22"/>
              </w:rPr>
              <w:t>&lt; 1000</w:t>
            </w:r>
          </w:p>
        </w:tc>
        <w:tc>
          <w:tcPr>
            <w:tcW w:w="1134" w:type="dxa"/>
            <w:hideMark/>
          </w:tcPr>
          <w:p w14:paraId="73C4341E" w14:textId="77777777" w:rsidR="006810DF" w:rsidRDefault="006810DF" w:rsidP="00823517">
            <w:pPr>
              <w:ind w:left="143"/>
              <w:jc w:val="both"/>
              <w:rPr>
                <w:sz w:val="22"/>
                <w:szCs w:val="22"/>
              </w:rPr>
            </w:pPr>
            <w:r>
              <w:rPr>
                <w:sz w:val="22"/>
                <w:szCs w:val="22"/>
              </w:rPr>
              <w:t>2013</w:t>
            </w:r>
          </w:p>
        </w:tc>
        <w:tc>
          <w:tcPr>
            <w:tcW w:w="1276" w:type="dxa"/>
            <w:hideMark/>
          </w:tcPr>
          <w:p w14:paraId="49104F18" w14:textId="77777777" w:rsidR="006810DF" w:rsidRDefault="006810DF" w:rsidP="00823517">
            <w:pPr>
              <w:ind w:left="143"/>
              <w:rPr>
                <w:sz w:val="22"/>
                <w:szCs w:val="22"/>
              </w:rPr>
            </w:pPr>
            <w:r>
              <w:rPr>
                <w:sz w:val="22"/>
                <w:szCs w:val="22"/>
              </w:rPr>
              <w:t>D1–D4</w:t>
            </w:r>
          </w:p>
        </w:tc>
        <w:tc>
          <w:tcPr>
            <w:tcW w:w="1276" w:type="dxa"/>
            <w:hideMark/>
          </w:tcPr>
          <w:p w14:paraId="11B730A6" w14:textId="77777777" w:rsidR="006810DF" w:rsidRDefault="006810DF" w:rsidP="00823517">
            <w:pPr>
              <w:ind w:left="143"/>
              <w:jc w:val="both"/>
              <w:rPr>
                <w:sz w:val="22"/>
                <w:szCs w:val="22"/>
              </w:rPr>
            </w:pPr>
            <w:r>
              <w:rPr>
                <w:sz w:val="22"/>
                <w:szCs w:val="22"/>
              </w:rPr>
              <w:t>D1–D2</w:t>
            </w:r>
          </w:p>
        </w:tc>
      </w:tr>
      <w:tr w:rsidR="006810DF" w14:paraId="6BE59916" w14:textId="77777777" w:rsidTr="00823517">
        <w:trPr>
          <w:trHeight w:val="20"/>
        </w:trPr>
        <w:tc>
          <w:tcPr>
            <w:tcW w:w="1696" w:type="dxa"/>
            <w:tcBorders>
              <w:top w:val="nil"/>
              <w:left w:val="nil"/>
              <w:bottom w:val="single" w:sz="4" w:space="0" w:color="auto"/>
              <w:right w:val="nil"/>
            </w:tcBorders>
            <w:tcMar>
              <w:top w:w="72" w:type="dxa"/>
              <w:left w:w="144" w:type="dxa"/>
              <w:bottom w:w="72" w:type="dxa"/>
              <w:right w:w="144" w:type="dxa"/>
            </w:tcMar>
            <w:hideMark/>
          </w:tcPr>
          <w:p w14:paraId="06C1D4F9" w14:textId="77777777" w:rsidR="006810DF" w:rsidRDefault="006810DF" w:rsidP="00823517">
            <w:pPr>
              <w:ind w:left="432"/>
              <w:rPr>
                <w:sz w:val="22"/>
                <w:szCs w:val="22"/>
              </w:rPr>
            </w:pPr>
            <w:r>
              <w:rPr>
                <w:sz w:val="22"/>
                <w:szCs w:val="22"/>
              </w:rPr>
              <w:t>UNI-F</w:t>
            </w:r>
          </w:p>
        </w:tc>
        <w:tc>
          <w:tcPr>
            <w:tcW w:w="2694" w:type="dxa"/>
            <w:tcBorders>
              <w:top w:val="nil"/>
              <w:left w:val="nil"/>
              <w:bottom w:val="single" w:sz="4" w:space="0" w:color="auto"/>
              <w:right w:val="nil"/>
            </w:tcBorders>
            <w:tcMar>
              <w:top w:w="72" w:type="dxa"/>
              <w:left w:w="144" w:type="dxa"/>
              <w:bottom w:w="72" w:type="dxa"/>
              <w:right w:w="144" w:type="dxa"/>
            </w:tcMar>
            <w:hideMark/>
          </w:tcPr>
          <w:p w14:paraId="55140D67" w14:textId="77777777" w:rsidR="006810DF" w:rsidRDefault="006810DF" w:rsidP="00823517">
            <w:pPr>
              <w:ind w:left="-16"/>
              <w:rPr>
                <w:sz w:val="22"/>
                <w:szCs w:val="22"/>
              </w:rPr>
            </w:pPr>
            <w:proofErr w:type="gramStart"/>
            <w:r>
              <w:rPr>
                <w:sz w:val="22"/>
                <w:szCs w:val="22"/>
              </w:rPr>
              <w:t>UK;</w:t>
            </w:r>
            <w:proofErr w:type="gramEnd"/>
            <w:r>
              <w:rPr>
                <w:sz w:val="22"/>
                <w:szCs w:val="22"/>
              </w:rPr>
              <w:t xml:space="preserve"> small post-1992 university, mission to inspire students.</w:t>
            </w:r>
          </w:p>
        </w:tc>
        <w:tc>
          <w:tcPr>
            <w:tcW w:w="1417" w:type="dxa"/>
            <w:tcBorders>
              <w:top w:val="nil"/>
              <w:left w:val="nil"/>
              <w:bottom w:val="single" w:sz="4" w:space="0" w:color="auto"/>
              <w:right w:val="nil"/>
            </w:tcBorders>
            <w:hideMark/>
          </w:tcPr>
          <w:p w14:paraId="7D53040D" w14:textId="77777777" w:rsidR="006810DF" w:rsidRDefault="006810DF" w:rsidP="00823517">
            <w:pPr>
              <w:ind w:left="139"/>
              <w:rPr>
                <w:sz w:val="22"/>
                <w:szCs w:val="22"/>
              </w:rPr>
            </w:pPr>
            <w:r>
              <w:rPr>
                <w:sz w:val="22"/>
                <w:szCs w:val="22"/>
              </w:rPr>
              <w:t>300</w:t>
            </w:r>
          </w:p>
        </w:tc>
        <w:tc>
          <w:tcPr>
            <w:tcW w:w="1134" w:type="dxa"/>
            <w:tcBorders>
              <w:top w:val="nil"/>
              <w:left w:val="nil"/>
              <w:bottom w:val="single" w:sz="4" w:space="0" w:color="auto"/>
              <w:right w:val="nil"/>
            </w:tcBorders>
            <w:hideMark/>
          </w:tcPr>
          <w:p w14:paraId="74CF6C8B" w14:textId="77777777" w:rsidR="006810DF" w:rsidRDefault="006810DF" w:rsidP="00823517">
            <w:pPr>
              <w:ind w:left="143"/>
              <w:jc w:val="both"/>
              <w:rPr>
                <w:sz w:val="22"/>
                <w:szCs w:val="22"/>
              </w:rPr>
            </w:pPr>
            <w:r>
              <w:rPr>
                <w:sz w:val="22"/>
                <w:szCs w:val="22"/>
              </w:rPr>
              <w:t>2012</w:t>
            </w:r>
          </w:p>
        </w:tc>
        <w:tc>
          <w:tcPr>
            <w:tcW w:w="1276" w:type="dxa"/>
            <w:tcBorders>
              <w:top w:val="nil"/>
              <w:left w:val="nil"/>
              <w:bottom w:val="single" w:sz="4" w:space="0" w:color="auto"/>
              <w:right w:val="nil"/>
            </w:tcBorders>
            <w:hideMark/>
          </w:tcPr>
          <w:p w14:paraId="5483FA38" w14:textId="77777777" w:rsidR="006810DF" w:rsidRDefault="006810DF" w:rsidP="00823517">
            <w:pPr>
              <w:ind w:left="143"/>
              <w:rPr>
                <w:sz w:val="22"/>
                <w:szCs w:val="22"/>
              </w:rPr>
            </w:pPr>
            <w:r>
              <w:rPr>
                <w:sz w:val="22"/>
                <w:szCs w:val="22"/>
              </w:rPr>
              <w:t>D1–D4</w:t>
            </w:r>
          </w:p>
        </w:tc>
        <w:tc>
          <w:tcPr>
            <w:tcW w:w="1276" w:type="dxa"/>
            <w:tcBorders>
              <w:top w:val="nil"/>
              <w:left w:val="nil"/>
              <w:bottom w:val="single" w:sz="4" w:space="0" w:color="auto"/>
              <w:right w:val="nil"/>
            </w:tcBorders>
            <w:hideMark/>
          </w:tcPr>
          <w:p w14:paraId="66231B92" w14:textId="77777777" w:rsidR="006810DF" w:rsidRDefault="006810DF" w:rsidP="00823517">
            <w:pPr>
              <w:ind w:left="143"/>
              <w:jc w:val="both"/>
              <w:rPr>
                <w:sz w:val="22"/>
                <w:szCs w:val="22"/>
              </w:rPr>
            </w:pPr>
            <w:r>
              <w:rPr>
                <w:sz w:val="22"/>
                <w:szCs w:val="22"/>
              </w:rPr>
              <w:t>D2</w:t>
            </w:r>
          </w:p>
        </w:tc>
      </w:tr>
    </w:tbl>
    <w:p w14:paraId="342B28BA" w14:textId="77777777" w:rsidR="006810DF" w:rsidRPr="006810DF" w:rsidRDefault="006810DF" w:rsidP="006810DF">
      <w:pPr>
        <w:rPr>
          <w:lang w:eastAsia="en-US"/>
        </w:rPr>
      </w:pPr>
    </w:p>
    <w:p w14:paraId="7785D137" w14:textId="135A2E08" w:rsidR="006810DF" w:rsidRDefault="006810DF" w:rsidP="006810DF">
      <w:pPr>
        <w:spacing w:line="360" w:lineRule="auto"/>
      </w:pPr>
      <w:r>
        <w:t>Table 2. Response rates.</w:t>
      </w:r>
    </w:p>
    <w:p w14:paraId="35559B83" w14:textId="77777777" w:rsidR="006810DF" w:rsidRPr="00B772FD" w:rsidRDefault="006810DF" w:rsidP="006810DF">
      <w:pPr>
        <w:rPr>
          <w:b/>
          <w:sz w:val="22"/>
          <w:szCs w:val="22"/>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13"/>
        <w:gridCol w:w="3018"/>
      </w:tblGrid>
      <w:tr w:rsidR="006810DF" w:rsidRPr="00B772FD" w14:paraId="7E53587C" w14:textId="77777777" w:rsidTr="00823517">
        <w:trPr>
          <w:trHeight w:val="390"/>
        </w:trPr>
        <w:tc>
          <w:tcPr>
            <w:tcW w:w="2785" w:type="dxa"/>
            <w:tcBorders>
              <w:top w:val="single" w:sz="4" w:space="0" w:color="auto"/>
              <w:left w:val="nil"/>
              <w:bottom w:val="single" w:sz="4" w:space="0" w:color="auto"/>
              <w:right w:val="nil"/>
            </w:tcBorders>
            <w:hideMark/>
          </w:tcPr>
          <w:p w14:paraId="303BBBE5" w14:textId="77777777" w:rsidR="006810DF" w:rsidRPr="00B772FD" w:rsidRDefault="006810DF" w:rsidP="00823517">
            <w:pPr>
              <w:rPr>
                <w:color w:val="000000"/>
                <w:lang w:val="en-AU"/>
              </w:rPr>
            </w:pPr>
            <w:r w:rsidRPr="00B772FD">
              <w:rPr>
                <w:color w:val="000000"/>
                <w:lang w:val="en-AU"/>
              </w:rPr>
              <w:t>Demographics</w:t>
            </w:r>
          </w:p>
        </w:tc>
        <w:tc>
          <w:tcPr>
            <w:tcW w:w="3213" w:type="dxa"/>
            <w:tcBorders>
              <w:top w:val="single" w:sz="4" w:space="0" w:color="auto"/>
              <w:left w:val="nil"/>
              <w:bottom w:val="single" w:sz="4" w:space="0" w:color="auto"/>
              <w:right w:val="nil"/>
            </w:tcBorders>
            <w:noWrap/>
            <w:hideMark/>
          </w:tcPr>
          <w:p w14:paraId="7EA408B8" w14:textId="77777777" w:rsidR="006810DF" w:rsidRPr="00B772FD" w:rsidRDefault="006810DF" w:rsidP="00823517">
            <w:pPr>
              <w:rPr>
                <w:color w:val="000000"/>
                <w:lang w:val="en-AU"/>
              </w:rPr>
            </w:pPr>
          </w:p>
        </w:tc>
        <w:tc>
          <w:tcPr>
            <w:tcW w:w="3018" w:type="dxa"/>
            <w:tcBorders>
              <w:top w:val="single" w:sz="4" w:space="0" w:color="auto"/>
              <w:left w:val="nil"/>
              <w:bottom w:val="single" w:sz="4" w:space="0" w:color="auto"/>
              <w:right w:val="nil"/>
            </w:tcBorders>
            <w:noWrap/>
            <w:hideMark/>
          </w:tcPr>
          <w:p w14:paraId="75EF7473" w14:textId="77777777" w:rsidR="006810DF" w:rsidRPr="00B772FD" w:rsidRDefault="006810DF" w:rsidP="00823517">
            <w:pPr>
              <w:jc w:val="center"/>
              <w:rPr>
                <w:color w:val="000000"/>
              </w:rPr>
            </w:pPr>
            <w:r w:rsidRPr="00B772FD">
              <w:rPr>
                <w:color w:val="000000"/>
                <w:lang w:val="en-AU"/>
              </w:rPr>
              <w:t>Percentage</w:t>
            </w:r>
          </w:p>
        </w:tc>
      </w:tr>
      <w:tr w:rsidR="006810DF" w:rsidRPr="00B772FD" w14:paraId="2DA240D0" w14:textId="77777777" w:rsidTr="00823517">
        <w:trPr>
          <w:trHeight w:val="300"/>
        </w:trPr>
        <w:tc>
          <w:tcPr>
            <w:tcW w:w="2785" w:type="dxa"/>
            <w:tcBorders>
              <w:top w:val="single" w:sz="4" w:space="0" w:color="auto"/>
              <w:left w:val="nil"/>
              <w:bottom w:val="nil"/>
              <w:right w:val="nil"/>
            </w:tcBorders>
            <w:hideMark/>
          </w:tcPr>
          <w:p w14:paraId="5E767EDD" w14:textId="77777777" w:rsidR="006810DF" w:rsidRPr="00B772FD" w:rsidRDefault="006810DF" w:rsidP="00823517">
            <w:pPr>
              <w:rPr>
                <w:color w:val="000000"/>
                <w:lang w:val="en-AU"/>
              </w:rPr>
            </w:pPr>
            <w:r w:rsidRPr="00B772FD">
              <w:rPr>
                <w:color w:val="000000"/>
                <w:lang w:val="en-AU"/>
              </w:rPr>
              <w:t>Gender:</w:t>
            </w:r>
          </w:p>
        </w:tc>
        <w:tc>
          <w:tcPr>
            <w:tcW w:w="3213" w:type="dxa"/>
            <w:tcBorders>
              <w:top w:val="single" w:sz="4" w:space="0" w:color="auto"/>
              <w:left w:val="nil"/>
              <w:bottom w:val="nil"/>
              <w:right w:val="nil"/>
            </w:tcBorders>
            <w:noWrap/>
            <w:hideMark/>
          </w:tcPr>
          <w:p w14:paraId="02EDBAD5" w14:textId="77777777" w:rsidR="006810DF" w:rsidRPr="00B772FD" w:rsidRDefault="006810DF" w:rsidP="00823517">
            <w:pPr>
              <w:rPr>
                <w:color w:val="000000"/>
                <w:lang w:val="en-AU"/>
              </w:rPr>
            </w:pPr>
          </w:p>
        </w:tc>
        <w:tc>
          <w:tcPr>
            <w:tcW w:w="3018" w:type="dxa"/>
            <w:tcBorders>
              <w:top w:val="single" w:sz="4" w:space="0" w:color="auto"/>
              <w:left w:val="nil"/>
              <w:bottom w:val="nil"/>
              <w:right w:val="nil"/>
            </w:tcBorders>
            <w:noWrap/>
            <w:hideMark/>
          </w:tcPr>
          <w:p w14:paraId="752528FC" w14:textId="77777777" w:rsidR="006810DF" w:rsidRPr="00B772FD" w:rsidRDefault="006810DF" w:rsidP="00823517">
            <w:pPr>
              <w:rPr>
                <w:lang w:val="en-AU" w:eastAsia="en-AU"/>
              </w:rPr>
            </w:pPr>
          </w:p>
        </w:tc>
      </w:tr>
      <w:tr w:rsidR="006810DF" w:rsidRPr="00B772FD" w14:paraId="79C513B8" w14:textId="77777777" w:rsidTr="00823517">
        <w:trPr>
          <w:trHeight w:val="300"/>
        </w:trPr>
        <w:tc>
          <w:tcPr>
            <w:tcW w:w="2785" w:type="dxa"/>
            <w:tcBorders>
              <w:top w:val="nil"/>
              <w:left w:val="nil"/>
              <w:bottom w:val="single" w:sz="4" w:space="0" w:color="auto"/>
              <w:right w:val="nil"/>
            </w:tcBorders>
            <w:hideMark/>
          </w:tcPr>
          <w:p w14:paraId="449D404E" w14:textId="77777777" w:rsidR="006810DF" w:rsidRPr="00B772FD" w:rsidRDefault="006810DF" w:rsidP="00823517">
            <w:pPr>
              <w:ind w:left="320"/>
            </w:pPr>
            <w:r w:rsidRPr="00B772FD">
              <w:rPr>
                <w:color w:val="000000"/>
                <w:lang w:val="en-AU"/>
              </w:rPr>
              <w:t>Fem</w:t>
            </w:r>
            <w:r w:rsidRPr="00B772FD">
              <w:rPr>
                <w:lang w:val="en-AU"/>
              </w:rPr>
              <w:t>ale</w:t>
            </w:r>
          </w:p>
          <w:p w14:paraId="5FB8DAE2" w14:textId="77777777" w:rsidR="006810DF" w:rsidRPr="00B772FD" w:rsidRDefault="006810DF" w:rsidP="00823517">
            <w:pPr>
              <w:ind w:left="320"/>
              <w:rPr>
                <w:color w:val="000000"/>
                <w:lang w:val="en-AU"/>
              </w:rPr>
            </w:pPr>
            <w:r w:rsidRPr="00B772FD">
              <w:rPr>
                <w:lang w:val="en-AU"/>
              </w:rPr>
              <w:t>Male</w:t>
            </w:r>
          </w:p>
        </w:tc>
        <w:tc>
          <w:tcPr>
            <w:tcW w:w="3213" w:type="dxa"/>
            <w:tcBorders>
              <w:top w:val="nil"/>
              <w:left w:val="nil"/>
              <w:bottom w:val="single" w:sz="4" w:space="0" w:color="auto"/>
              <w:right w:val="nil"/>
            </w:tcBorders>
            <w:noWrap/>
            <w:hideMark/>
          </w:tcPr>
          <w:p w14:paraId="51B1F52E" w14:textId="77777777" w:rsidR="006810DF" w:rsidRPr="00B772FD" w:rsidRDefault="006810DF" w:rsidP="00823517">
            <w:pPr>
              <w:rPr>
                <w:color w:val="000000"/>
                <w:lang w:val="en-AU"/>
              </w:rPr>
            </w:pPr>
          </w:p>
        </w:tc>
        <w:tc>
          <w:tcPr>
            <w:tcW w:w="3018" w:type="dxa"/>
            <w:tcBorders>
              <w:top w:val="nil"/>
              <w:left w:val="nil"/>
              <w:bottom w:val="single" w:sz="4" w:space="0" w:color="auto"/>
              <w:right w:val="nil"/>
            </w:tcBorders>
            <w:noWrap/>
            <w:hideMark/>
          </w:tcPr>
          <w:p w14:paraId="3317C0D3" w14:textId="77777777" w:rsidR="006810DF" w:rsidRPr="00B772FD" w:rsidRDefault="006810DF" w:rsidP="00823517">
            <w:pPr>
              <w:jc w:val="center"/>
              <w:rPr>
                <w:color w:val="000000"/>
              </w:rPr>
            </w:pPr>
            <w:r w:rsidRPr="00B772FD">
              <w:rPr>
                <w:color w:val="000000"/>
                <w:lang w:val="en-AU"/>
              </w:rPr>
              <w:t>66.0%</w:t>
            </w:r>
          </w:p>
          <w:p w14:paraId="314D33B2" w14:textId="77777777" w:rsidR="006810DF" w:rsidRPr="00B772FD" w:rsidRDefault="006810DF" w:rsidP="00823517">
            <w:pPr>
              <w:jc w:val="center"/>
              <w:rPr>
                <w:color w:val="000000"/>
                <w:lang w:val="en-AU"/>
              </w:rPr>
            </w:pPr>
            <w:r w:rsidRPr="00B772FD">
              <w:rPr>
                <w:color w:val="000000"/>
                <w:lang w:val="en-AU"/>
              </w:rPr>
              <w:t>34.0%</w:t>
            </w:r>
          </w:p>
        </w:tc>
      </w:tr>
      <w:tr w:rsidR="006810DF" w:rsidRPr="00B772FD" w14:paraId="4597B929" w14:textId="77777777" w:rsidTr="00823517">
        <w:trPr>
          <w:trHeight w:val="300"/>
        </w:trPr>
        <w:tc>
          <w:tcPr>
            <w:tcW w:w="9016" w:type="dxa"/>
            <w:gridSpan w:val="3"/>
            <w:tcBorders>
              <w:top w:val="single" w:sz="4" w:space="0" w:color="auto"/>
              <w:left w:val="nil"/>
              <w:bottom w:val="nil"/>
              <w:right w:val="nil"/>
            </w:tcBorders>
            <w:hideMark/>
          </w:tcPr>
          <w:p w14:paraId="189274CE" w14:textId="77777777" w:rsidR="006810DF" w:rsidRPr="00B772FD" w:rsidRDefault="006810DF" w:rsidP="00823517">
            <w:pPr>
              <w:jc w:val="both"/>
              <w:rPr>
                <w:lang w:val="en-AU"/>
              </w:rPr>
            </w:pPr>
            <w:r w:rsidRPr="00B772FD">
              <w:rPr>
                <w:lang w:val="en-AU"/>
              </w:rPr>
              <w:t>Time teaching/supporting learning in HE:</w:t>
            </w:r>
          </w:p>
        </w:tc>
      </w:tr>
      <w:tr w:rsidR="006810DF" w:rsidRPr="00B772FD" w14:paraId="7123B7CA" w14:textId="77777777" w:rsidTr="00823517">
        <w:trPr>
          <w:trHeight w:val="300"/>
        </w:trPr>
        <w:tc>
          <w:tcPr>
            <w:tcW w:w="2785" w:type="dxa"/>
            <w:tcBorders>
              <w:top w:val="nil"/>
              <w:left w:val="nil"/>
              <w:bottom w:val="single" w:sz="4" w:space="0" w:color="auto"/>
              <w:right w:val="nil"/>
            </w:tcBorders>
            <w:hideMark/>
          </w:tcPr>
          <w:p w14:paraId="68A727D1" w14:textId="77777777" w:rsidR="006810DF" w:rsidRPr="00B772FD" w:rsidRDefault="006810DF" w:rsidP="00823517">
            <w:pPr>
              <w:ind w:left="320"/>
              <w:rPr>
                <w:lang w:val="en-AU"/>
              </w:rPr>
            </w:pPr>
            <w:r w:rsidRPr="00B772FD">
              <w:rPr>
                <w:lang w:val="en-AU"/>
              </w:rPr>
              <w:t>Less than 3 years</w:t>
            </w:r>
          </w:p>
          <w:p w14:paraId="6FAF7987" w14:textId="77777777" w:rsidR="006810DF" w:rsidRPr="00B772FD" w:rsidRDefault="006810DF" w:rsidP="00823517">
            <w:pPr>
              <w:ind w:left="320"/>
              <w:rPr>
                <w:lang w:val="en-AU"/>
              </w:rPr>
            </w:pPr>
            <w:r w:rsidRPr="00B772FD">
              <w:rPr>
                <w:lang w:val="en-AU"/>
              </w:rPr>
              <w:t>3–5 years</w:t>
            </w:r>
          </w:p>
          <w:p w14:paraId="39D632DE" w14:textId="77777777" w:rsidR="006810DF" w:rsidRPr="00B772FD" w:rsidRDefault="006810DF" w:rsidP="00823517">
            <w:pPr>
              <w:ind w:left="320"/>
              <w:rPr>
                <w:lang w:val="en-AU"/>
              </w:rPr>
            </w:pPr>
            <w:r w:rsidRPr="00B772FD">
              <w:rPr>
                <w:lang w:val="en-AU"/>
              </w:rPr>
              <w:t>More than 5 years</w:t>
            </w:r>
          </w:p>
        </w:tc>
        <w:tc>
          <w:tcPr>
            <w:tcW w:w="3213" w:type="dxa"/>
            <w:hideMark/>
          </w:tcPr>
          <w:p w14:paraId="696A4E2E" w14:textId="77777777" w:rsidR="006810DF" w:rsidRPr="00B772FD" w:rsidRDefault="006810DF" w:rsidP="00823517">
            <w:pPr>
              <w:rPr>
                <w:lang w:val="en-AU"/>
              </w:rPr>
            </w:pPr>
          </w:p>
        </w:tc>
        <w:tc>
          <w:tcPr>
            <w:tcW w:w="3018" w:type="dxa"/>
            <w:noWrap/>
            <w:hideMark/>
          </w:tcPr>
          <w:p w14:paraId="2E462B41" w14:textId="77777777" w:rsidR="006810DF" w:rsidRPr="00B772FD" w:rsidRDefault="006810DF" w:rsidP="00823517">
            <w:pPr>
              <w:jc w:val="center"/>
            </w:pPr>
            <w:r w:rsidRPr="00B772FD">
              <w:rPr>
                <w:lang w:val="en-AU"/>
              </w:rPr>
              <w:t>9.7%</w:t>
            </w:r>
          </w:p>
          <w:p w14:paraId="54F62FB5" w14:textId="77777777" w:rsidR="006810DF" w:rsidRPr="00B772FD" w:rsidRDefault="006810DF" w:rsidP="00823517">
            <w:pPr>
              <w:jc w:val="center"/>
              <w:rPr>
                <w:lang w:val="en-AU"/>
              </w:rPr>
            </w:pPr>
            <w:r w:rsidRPr="00B772FD">
              <w:rPr>
                <w:lang w:val="en-AU"/>
              </w:rPr>
              <w:t>16.7%</w:t>
            </w:r>
          </w:p>
          <w:p w14:paraId="03911D75" w14:textId="77777777" w:rsidR="006810DF" w:rsidRPr="00B772FD" w:rsidRDefault="006810DF" w:rsidP="00823517">
            <w:pPr>
              <w:jc w:val="center"/>
              <w:rPr>
                <w:lang w:val="en-AU"/>
              </w:rPr>
            </w:pPr>
            <w:r w:rsidRPr="00B772FD">
              <w:rPr>
                <w:lang w:val="en-AU"/>
              </w:rPr>
              <w:t>74.2%</w:t>
            </w:r>
          </w:p>
        </w:tc>
      </w:tr>
      <w:tr w:rsidR="006810DF" w:rsidRPr="00B772FD" w14:paraId="2133B858" w14:textId="77777777" w:rsidTr="00823517">
        <w:trPr>
          <w:trHeight w:val="285"/>
        </w:trPr>
        <w:tc>
          <w:tcPr>
            <w:tcW w:w="9016" w:type="dxa"/>
            <w:gridSpan w:val="3"/>
            <w:tcBorders>
              <w:top w:val="single" w:sz="4" w:space="0" w:color="auto"/>
              <w:left w:val="nil"/>
              <w:bottom w:val="nil"/>
              <w:right w:val="nil"/>
            </w:tcBorders>
            <w:hideMark/>
          </w:tcPr>
          <w:p w14:paraId="024EB99F" w14:textId="77777777" w:rsidR="006810DF" w:rsidRPr="00B772FD" w:rsidRDefault="006810DF" w:rsidP="00823517">
            <w:pPr>
              <w:rPr>
                <w:lang w:val="en-AU"/>
              </w:rPr>
            </w:pPr>
            <w:r w:rsidRPr="00B772FD">
              <w:rPr>
                <w:lang w:val="en-AU"/>
              </w:rPr>
              <w:t>Fellowship category:</w:t>
            </w:r>
          </w:p>
        </w:tc>
      </w:tr>
      <w:tr w:rsidR="006810DF" w:rsidRPr="00B772FD" w14:paraId="36BAF216" w14:textId="77777777" w:rsidTr="00823517">
        <w:trPr>
          <w:trHeight w:val="300"/>
        </w:trPr>
        <w:tc>
          <w:tcPr>
            <w:tcW w:w="2785" w:type="dxa"/>
            <w:tcBorders>
              <w:top w:val="nil"/>
              <w:left w:val="nil"/>
              <w:bottom w:val="single" w:sz="4" w:space="0" w:color="auto"/>
              <w:right w:val="nil"/>
            </w:tcBorders>
            <w:hideMark/>
          </w:tcPr>
          <w:p w14:paraId="5833C88F" w14:textId="77777777" w:rsidR="006810DF" w:rsidRPr="00B772FD" w:rsidRDefault="006810DF" w:rsidP="00823517">
            <w:pPr>
              <w:ind w:left="320"/>
              <w:rPr>
                <w:lang w:val="en-AU"/>
              </w:rPr>
            </w:pPr>
            <w:r w:rsidRPr="00B772FD">
              <w:rPr>
                <w:lang w:val="en-AU"/>
              </w:rPr>
              <w:t>Associate Fellow</w:t>
            </w:r>
          </w:p>
          <w:p w14:paraId="55A1F675" w14:textId="77777777" w:rsidR="006810DF" w:rsidRPr="00B772FD" w:rsidRDefault="006810DF" w:rsidP="00823517">
            <w:pPr>
              <w:ind w:left="320"/>
              <w:rPr>
                <w:lang w:val="en-AU"/>
              </w:rPr>
            </w:pPr>
            <w:r w:rsidRPr="00B772FD">
              <w:rPr>
                <w:lang w:val="en-AU"/>
              </w:rPr>
              <w:t>Fellow</w:t>
            </w:r>
          </w:p>
          <w:p w14:paraId="4178BE8B" w14:textId="77777777" w:rsidR="006810DF" w:rsidRPr="00B772FD" w:rsidRDefault="006810DF" w:rsidP="00823517">
            <w:pPr>
              <w:ind w:left="320"/>
              <w:rPr>
                <w:lang w:val="en-AU"/>
              </w:rPr>
            </w:pPr>
            <w:r w:rsidRPr="00B772FD">
              <w:rPr>
                <w:lang w:val="en-AU"/>
              </w:rPr>
              <w:t>Senior Fellow</w:t>
            </w:r>
          </w:p>
          <w:p w14:paraId="5032C4BE" w14:textId="77777777" w:rsidR="006810DF" w:rsidRPr="00B772FD" w:rsidRDefault="006810DF" w:rsidP="00823517">
            <w:pPr>
              <w:ind w:left="320"/>
              <w:rPr>
                <w:lang w:val="en-AU"/>
              </w:rPr>
            </w:pPr>
            <w:r w:rsidRPr="00B772FD">
              <w:rPr>
                <w:lang w:val="en-AU"/>
              </w:rPr>
              <w:t>Principal Fellow</w:t>
            </w:r>
          </w:p>
        </w:tc>
        <w:tc>
          <w:tcPr>
            <w:tcW w:w="3213" w:type="dxa"/>
            <w:tcBorders>
              <w:top w:val="nil"/>
              <w:left w:val="nil"/>
              <w:bottom w:val="single" w:sz="4" w:space="0" w:color="auto"/>
              <w:right w:val="nil"/>
            </w:tcBorders>
            <w:hideMark/>
          </w:tcPr>
          <w:p w14:paraId="46B29C97" w14:textId="77777777" w:rsidR="006810DF" w:rsidRPr="00B772FD" w:rsidRDefault="006810DF" w:rsidP="00823517">
            <w:pPr>
              <w:rPr>
                <w:lang w:val="en-AU"/>
              </w:rPr>
            </w:pPr>
          </w:p>
        </w:tc>
        <w:tc>
          <w:tcPr>
            <w:tcW w:w="3018" w:type="dxa"/>
            <w:tcBorders>
              <w:top w:val="nil"/>
              <w:left w:val="nil"/>
              <w:bottom w:val="single" w:sz="4" w:space="0" w:color="auto"/>
              <w:right w:val="nil"/>
            </w:tcBorders>
            <w:noWrap/>
            <w:hideMark/>
          </w:tcPr>
          <w:p w14:paraId="4D2E3874" w14:textId="77777777" w:rsidR="006810DF" w:rsidRPr="00B772FD" w:rsidRDefault="006810DF" w:rsidP="00823517">
            <w:pPr>
              <w:jc w:val="center"/>
            </w:pPr>
            <w:r w:rsidRPr="00B772FD">
              <w:rPr>
                <w:lang w:val="en-AU"/>
              </w:rPr>
              <w:t>19.8%</w:t>
            </w:r>
          </w:p>
          <w:p w14:paraId="01388DB1" w14:textId="77777777" w:rsidR="006810DF" w:rsidRPr="00B772FD" w:rsidRDefault="006810DF" w:rsidP="00823517">
            <w:pPr>
              <w:jc w:val="center"/>
              <w:rPr>
                <w:lang w:val="en-AU"/>
              </w:rPr>
            </w:pPr>
            <w:r w:rsidRPr="00B772FD">
              <w:rPr>
                <w:lang w:val="en-AU"/>
              </w:rPr>
              <w:t>42.9%</w:t>
            </w:r>
          </w:p>
          <w:p w14:paraId="71A060B7" w14:textId="77777777" w:rsidR="006810DF" w:rsidRPr="00B772FD" w:rsidRDefault="006810DF" w:rsidP="00823517">
            <w:pPr>
              <w:jc w:val="center"/>
              <w:rPr>
                <w:lang w:val="en-AU"/>
              </w:rPr>
            </w:pPr>
            <w:r w:rsidRPr="00B772FD">
              <w:rPr>
                <w:lang w:val="en-AU"/>
              </w:rPr>
              <w:t>33.7%</w:t>
            </w:r>
          </w:p>
          <w:p w14:paraId="30AB4D23" w14:textId="77777777" w:rsidR="006810DF" w:rsidRPr="00B772FD" w:rsidRDefault="006810DF" w:rsidP="00823517">
            <w:pPr>
              <w:jc w:val="center"/>
              <w:rPr>
                <w:lang w:val="en-AU"/>
              </w:rPr>
            </w:pPr>
            <w:r w:rsidRPr="00B772FD">
              <w:rPr>
                <w:lang w:val="en-AU"/>
              </w:rPr>
              <w:t>3.6%</w:t>
            </w:r>
          </w:p>
        </w:tc>
      </w:tr>
      <w:tr w:rsidR="006810DF" w:rsidRPr="00B772FD" w14:paraId="5E177149" w14:textId="77777777" w:rsidTr="00823517">
        <w:trPr>
          <w:trHeight w:val="300"/>
        </w:trPr>
        <w:tc>
          <w:tcPr>
            <w:tcW w:w="9016" w:type="dxa"/>
            <w:gridSpan w:val="3"/>
            <w:tcBorders>
              <w:top w:val="single" w:sz="4" w:space="0" w:color="auto"/>
              <w:left w:val="nil"/>
              <w:bottom w:val="nil"/>
              <w:right w:val="nil"/>
            </w:tcBorders>
            <w:hideMark/>
          </w:tcPr>
          <w:p w14:paraId="3CE5FC93" w14:textId="77777777" w:rsidR="006810DF" w:rsidRPr="00B772FD" w:rsidRDefault="006810DF" w:rsidP="00823517">
            <w:pPr>
              <w:rPr>
                <w:lang w:val="en-AU"/>
              </w:rPr>
            </w:pPr>
            <w:r w:rsidRPr="00B772FD">
              <w:rPr>
                <w:lang w:val="en-AU"/>
              </w:rPr>
              <w:t>Length of time since recent fellowship:</w:t>
            </w:r>
          </w:p>
        </w:tc>
      </w:tr>
      <w:tr w:rsidR="006810DF" w:rsidRPr="00B772FD" w14:paraId="1E0B8A1D" w14:textId="77777777" w:rsidTr="00823517">
        <w:trPr>
          <w:trHeight w:val="300"/>
        </w:trPr>
        <w:tc>
          <w:tcPr>
            <w:tcW w:w="2785" w:type="dxa"/>
            <w:tcBorders>
              <w:top w:val="nil"/>
              <w:left w:val="nil"/>
              <w:bottom w:val="single" w:sz="4" w:space="0" w:color="auto"/>
              <w:right w:val="nil"/>
            </w:tcBorders>
            <w:hideMark/>
          </w:tcPr>
          <w:p w14:paraId="4461EE36" w14:textId="77777777" w:rsidR="006810DF" w:rsidRPr="00B772FD" w:rsidRDefault="006810DF" w:rsidP="00823517">
            <w:pPr>
              <w:ind w:left="320"/>
              <w:rPr>
                <w:lang w:val="en-AU"/>
              </w:rPr>
            </w:pPr>
            <w:r w:rsidRPr="00B772FD">
              <w:rPr>
                <w:color w:val="000000"/>
                <w:lang w:val="en-AU"/>
              </w:rPr>
              <w:t>Less t</w:t>
            </w:r>
            <w:r w:rsidRPr="00B772FD">
              <w:rPr>
                <w:lang w:val="en-AU"/>
              </w:rPr>
              <w:t>han six months</w:t>
            </w:r>
          </w:p>
          <w:p w14:paraId="7BFC6EA5" w14:textId="77777777" w:rsidR="006810DF" w:rsidRPr="00B772FD" w:rsidRDefault="006810DF" w:rsidP="00823517">
            <w:pPr>
              <w:ind w:left="320"/>
              <w:rPr>
                <w:lang w:val="en-AU"/>
              </w:rPr>
            </w:pPr>
            <w:r w:rsidRPr="00B772FD">
              <w:rPr>
                <w:lang w:val="en-AU"/>
              </w:rPr>
              <w:t>Six months to 1 year</w:t>
            </w:r>
          </w:p>
          <w:p w14:paraId="1E2DB8C3" w14:textId="77777777" w:rsidR="006810DF" w:rsidRPr="00B772FD" w:rsidRDefault="006810DF" w:rsidP="00823517">
            <w:pPr>
              <w:ind w:left="320"/>
              <w:rPr>
                <w:lang w:val="en-AU"/>
              </w:rPr>
            </w:pPr>
            <w:r w:rsidRPr="00B772FD">
              <w:rPr>
                <w:lang w:val="en-AU"/>
              </w:rPr>
              <w:t>1–2 years</w:t>
            </w:r>
          </w:p>
          <w:p w14:paraId="5B15DE64" w14:textId="77777777" w:rsidR="006810DF" w:rsidRPr="00B772FD" w:rsidRDefault="006810DF" w:rsidP="00823517">
            <w:pPr>
              <w:ind w:left="320"/>
              <w:rPr>
                <w:color w:val="000000"/>
                <w:lang w:val="en-AU"/>
              </w:rPr>
            </w:pPr>
            <w:r w:rsidRPr="00B772FD">
              <w:rPr>
                <w:lang w:val="en-AU"/>
              </w:rPr>
              <w:t>More t</w:t>
            </w:r>
            <w:r w:rsidRPr="00B772FD">
              <w:rPr>
                <w:color w:val="000000"/>
                <w:lang w:val="en-AU"/>
              </w:rPr>
              <w:t>han 2 years</w:t>
            </w:r>
          </w:p>
        </w:tc>
        <w:tc>
          <w:tcPr>
            <w:tcW w:w="3213" w:type="dxa"/>
            <w:tcBorders>
              <w:top w:val="nil"/>
              <w:left w:val="nil"/>
              <w:bottom w:val="single" w:sz="4" w:space="0" w:color="auto"/>
              <w:right w:val="nil"/>
            </w:tcBorders>
            <w:hideMark/>
          </w:tcPr>
          <w:p w14:paraId="71017C17" w14:textId="77777777" w:rsidR="006810DF" w:rsidRPr="00B772FD" w:rsidRDefault="006810DF" w:rsidP="00823517">
            <w:pPr>
              <w:rPr>
                <w:color w:val="000000"/>
                <w:lang w:val="en-AU"/>
              </w:rPr>
            </w:pPr>
          </w:p>
        </w:tc>
        <w:tc>
          <w:tcPr>
            <w:tcW w:w="3018" w:type="dxa"/>
            <w:tcBorders>
              <w:top w:val="nil"/>
              <w:left w:val="nil"/>
              <w:bottom w:val="single" w:sz="4" w:space="0" w:color="auto"/>
              <w:right w:val="nil"/>
            </w:tcBorders>
            <w:noWrap/>
            <w:hideMark/>
          </w:tcPr>
          <w:p w14:paraId="61026F6C" w14:textId="77777777" w:rsidR="006810DF" w:rsidRPr="00B772FD" w:rsidRDefault="006810DF" w:rsidP="00823517">
            <w:pPr>
              <w:jc w:val="center"/>
            </w:pPr>
            <w:r w:rsidRPr="00B772FD">
              <w:rPr>
                <w:lang w:val="en-AU"/>
              </w:rPr>
              <w:t>21.0%</w:t>
            </w:r>
          </w:p>
          <w:p w14:paraId="35795FD2" w14:textId="77777777" w:rsidR="006810DF" w:rsidRPr="00B772FD" w:rsidRDefault="006810DF" w:rsidP="00823517">
            <w:pPr>
              <w:jc w:val="center"/>
              <w:rPr>
                <w:lang w:val="en-AU"/>
              </w:rPr>
            </w:pPr>
            <w:r w:rsidRPr="00B772FD">
              <w:rPr>
                <w:lang w:val="en-AU"/>
              </w:rPr>
              <w:t>27.4%</w:t>
            </w:r>
          </w:p>
          <w:p w14:paraId="0C5DD01D" w14:textId="77777777" w:rsidR="006810DF" w:rsidRPr="00B772FD" w:rsidRDefault="006810DF" w:rsidP="00823517">
            <w:pPr>
              <w:jc w:val="center"/>
              <w:rPr>
                <w:lang w:val="en-AU"/>
              </w:rPr>
            </w:pPr>
            <w:r w:rsidRPr="00B772FD">
              <w:rPr>
                <w:lang w:val="en-AU"/>
              </w:rPr>
              <w:t>35.6%</w:t>
            </w:r>
          </w:p>
          <w:p w14:paraId="06058D54" w14:textId="77777777" w:rsidR="006810DF" w:rsidRPr="00B772FD" w:rsidRDefault="006810DF" w:rsidP="00823517">
            <w:pPr>
              <w:jc w:val="center"/>
              <w:rPr>
                <w:lang w:val="en-AU"/>
              </w:rPr>
            </w:pPr>
            <w:r w:rsidRPr="00B772FD">
              <w:rPr>
                <w:lang w:val="en-AU"/>
              </w:rPr>
              <w:t>16.1%</w:t>
            </w:r>
          </w:p>
        </w:tc>
      </w:tr>
      <w:tr w:rsidR="006810DF" w:rsidRPr="00B772FD" w14:paraId="0A3737EC" w14:textId="77777777" w:rsidTr="00823517">
        <w:trPr>
          <w:trHeight w:val="300"/>
        </w:trPr>
        <w:tc>
          <w:tcPr>
            <w:tcW w:w="9016" w:type="dxa"/>
            <w:gridSpan w:val="3"/>
            <w:tcBorders>
              <w:top w:val="single" w:sz="4" w:space="0" w:color="auto"/>
              <w:left w:val="nil"/>
              <w:bottom w:val="nil"/>
              <w:right w:val="nil"/>
            </w:tcBorders>
            <w:hideMark/>
          </w:tcPr>
          <w:p w14:paraId="3BBE2FA9" w14:textId="77777777" w:rsidR="006810DF" w:rsidRPr="00B772FD" w:rsidRDefault="006810DF" w:rsidP="00823517">
            <w:pPr>
              <w:rPr>
                <w:lang w:val="en-AU"/>
              </w:rPr>
            </w:pPr>
            <w:r w:rsidRPr="00B772FD">
              <w:rPr>
                <w:lang w:val="en-AU"/>
              </w:rPr>
              <w:t>Route taken:</w:t>
            </w:r>
          </w:p>
        </w:tc>
      </w:tr>
      <w:tr w:rsidR="006810DF" w:rsidRPr="00B772FD" w14:paraId="0831FDF9" w14:textId="77777777" w:rsidTr="00823517">
        <w:trPr>
          <w:trHeight w:val="300"/>
        </w:trPr>
        <w:tc>
          <w:tcPr>
            <w:tcW w:w="2785" w:type="dxa"/>
            <w:tcBorders>
              <w:top w:val="nil"/>
              <w:left w:val="nil"/>
              <w:bottom w:val="single" w:sz="4" w:space="0" w:color="auto"/>
              <w:right w:val="nil"/>
            </w:tcBorders>
          </w:tcPr>
          <w:p w14:paraId="0368FDD4" w14:textId="77777777" w:rsidR="006810DF" w:rsidRPr="00B772FD" w:rsidRDefault="006810DF" w:rsidP="00823517">
            <w:pPr>
              <w:ind w:left="320"/>
              <w:rPr>
                <w:lang w:val="en-AU"/>
              </w:rPr>
            </w:pPr>
            <w:r w:rsidRPr="00B772FD">
              <w:rPr>
                <w:color w:val="000000"/>
                <w:lang w:val="en-AU"/>
              </w:rPr>
              <w:t>Ta</w:t>
            </w:r>
            <w:r w:rsidRPr="00B772FD">
              <w:rPr>
                <w:lang w:val="en-AU"/>
              </w:rPr>
              <w:t>ught</w:t>
            </w:r>
          </w:p>
          <w:p w14:paraId="6DDE5E1E" w14:textId="77777777" w:rsidR="006810DF" w:rsidRPr="00B772FD" w:rsidRDefault="006810DF" w:rsidP="00823517">
            <w:pPr>
              <w:ind w:left="320"/>
              <w:rPr>
                <w:lang w:val="en-AU"/>
              </w:rPr>
            </w:pPr>
            <w:r w:rsidRPr="00B772FD">
              <w:rPr>
                <w:lang w:val="en-AU"/>
              </w:rPr>
              <w:t>Experiential Institutional Scheme</w:t>
            </w:r>
          </w:p>
          <w:p w14:paraId="06CD9645" w14:textId="77777777" w:rsidR="006810DF" w:rsidRPr="00B772FD" w:rsidRDefault="006810DF" w:rsidP="00823517">
            <w:pPr>
              <w:ind w:left="320"/>
              <w:rPr>
                <w:color w:val="000000"/>
                <w:lang w:val="en-AU"/>
              </w:rPr>
            </w:pPr>
          </w:p>
        </w:tc>
        <w:tc>
          <w:tcPr>
            <w:tcW w:w="3213" w:type="dxa"/>
            <w:tcBorders>
              <w:top w:val="nil"/>
              <w:left w:val="nil"/>
              <w:bottom w:val="single" w:sz="4" w:space="0" w:color="auto"/>
              <w:right w:val="nil"/>
            </w:tcBorders>
            <w:hideMark/>
          </w:tcPr>
          <w:p w14:paraId="180A81CD" w14:textId="77777777" w:rsidR="006810DF" w:rsidRPr="00B772FD" w:rsidRDefault="006810DF" w:rsidP="00823517">
            <w:pPr>
              <w:rPr>
                <w:color w:val="000000"/>
                <w:lang w:val="en-AU"/>
              </w:rPr>
            </w:pPr>
          </w:p>
        </w:tc>
        <w:tc>
          <w:tcPr>
            <w:tcW w:w="3018" w:type="dxa"/>
            <w:tcBorders>
              <w:top w:val="nil"/>
              <w:left w:val="nil"/>
              <w:bottom w:val="single" w:sz="4" w:space="0" w:color="auto"/>
              <w:right w:val="nil"/>
            </w:tcBorders>
            <w:noWrap/>
            <w:hideMark/>
          </w:tcPr>
          <w:p w14:paraId="662259CE" w14:textId="77777777" w:rsidR="006810DF" w:rsidRPr="00B772FD" w:rsidRDefault="006810DF" w:rsidP="00823517">
            <w:pPr>
              <w:jc w:val="center"/>
            </w:pPr>
            <w:r w:rsidRPr="00B772FD">
              <w:rPr>
                <w:lang w:val="en-AU"/>
              </w:rPr>
              <w:t>23.7%</w:t>
            </w:r>
          </w:p>
          <w:p w14:paraId="4EDC26DA" w14:textId="77777777" w:rsidR="006810DF" w:rsidRPr="00B772FD" w:rsidRDefault="006810DF" w:rsidP="00823517">
            <w:pPr>
              <w:jc w:val="center"/>
              <w:rPr>
                <w:lang w:val="en-AU"/>
              </w:rPr>
            </w:pPr>
            <w:r w:rsidRPr="00B772FD">
              <w:rPr>
                <w:lang w:val="en-AU"/>
              </w:rPr>
              <w:t>68.7%</w:t>
            </w:r>
          </w:p>
          <w:p w14:paraId="6ECB4C10" w14:textId="77777777" w:rsidR="006810DF" w:rsidRPr="00B772FD" w:rsidRDefault="006810DF" w:rsidP="00823517">
            <w:pPr>
              <w:jc w:val="center"/>
              <w:rPr>
                <w:lang w:val="en-AU"/>
              </w:rPr>
            </w:pPr>
            <w:r w:rsidRPr="00B772FD">
              <w:rPr>
                <w:lang w:val="en-AU"/>
              </w:rPr>
              <w:t>7.6%</w:t>
            </w:r>
          </w:p>
        </w:tc>
      </w:tr>
      <w:tr w:rsidR="006810DF" w:rsidRPr="00B772FD" w14:paraId="02B99FCB" w14:textId="77777777" w:rsidTr="00823517">
        <w:trPr>
          <w:trHeight w:val="300"/>
        </w:trPr>
        <w:tc>
          <w:tcPr>
            <w:tcW w:w="9016" w:type="dxa"/>
            <w:gridSpan w:val="3"/>
            <w:tcBorders>
              <w:top w:val="single" w:sz="4" w:space="0" w:color="auto"/>
              <w:left w:val="nil"/>
              <w:bottom w:val="nil"/>
              <w:right w:val="nil"/>
            </w:tcBorders>
            <w:hideMark/>
          </w:tcPr>
          <w:p w14:paraId="00E8EC30" w14:textId="77777777" w:rsidR="006810DF" w:rsidRPr="00B772FD" w:rsidRDefault="006810DF" w:rsidP="00823517">
            <w:pPr>
              <w:rPr>
                <w:lang w:val="en-AU"/>
              </w:rPr>
            </w:pPr>
            <w:r w:rsidRPr="00B772FD">
              <w:rPr>
                <w:lang w:val="en-AU"/>
              </w:rPr>
              <w:t>Previous fellowship:</w:t>
            </w:r>
          </w:p>
        </w:tc>
      </w:tr>
      <w:tr w:rsidR="006810DF" w:rsidRPr="00B772FD" w14:paraId="6F8CBDBF" w14:textId="77777777" w:rsidTr="00823517">
        <w:trPr>
          <w:trHeight w:val="314"/>
        </w:trPr>
        <w:tc>
          <w:tcPr>
            <w:tcW w:w="2785" w:type="dxa"/>
            <w:tcBorders>
              <w:top w:val="nil"/>
              <w:left w:val="nil"/>
              <w:bottom w:val="single" w:sz="4" w:space="0" w:color="auto"/>
              <w:right w:val="nil"/>
            </w:tcBorders>
            <w:hideMark/>
          </w:tcPr>
          <w:p w14:paraId="2633E49F" w14:textId="77777777" w:rsidR="006810DF" w:rsidRPr="00B772FD" w:rsidRDefault="006810DF" w:rsidP="00823517">
            <w:pPr>
              <w:ind w:left="320"/>
              <w:rPr>
                <w:lang w:val="en-AU"/>
              </w:rPr>
            </w:pPr>
            <w:r w:rsidRPr="00B772FD">
              <w:rPr>
                <w:lang w:val="en-AU"/>
              </w:rPr>
              <w:t>Associate Fellow</w:t>
            </w:r>
          </w:p>
          <w:p w14:paraId="2FD67DBE" w14:textId="77777777" w:rsidR="006810DF" w:rsidRPr="00B772FD" w:rsidRDefault="006810DF" w:rsidP="00823517">
            <w:pPr>
              <w:ind w:left="320"/>
              <w:rPr>
                <w:lang w:val="en-AU"/>
              </w:rPr>
            </w:pPr>
            <w:r w:rsidRPr="00B772FD">
              <w:rPr>
                <w:lang w:val="en-AU"/>
              </w:rPr>
              <w:t>Fellow</w:t>
            </w:r>
          </w:p>
          <w:p w14:paraId="52A2A246" w14:textId="77777777" w:rsidR="006810DF" w:rsidRPr="00B772FD" w:rsidRDefault="006810DF" w:rsidP="00823517">
            <w:pPr>
              <w:ind w:left="320"/>
              <w:rPr>
                <w:lang w:val="en-AU"/>
              </w:rPr>
            </w:pPr>
            <w:r w:rsidRPr="00B772FD">
              <w:rPr>
                <w:lang w:val="en-AU"/>
              </w:rPr>
              <w:t>Senior Fellow</w:t>
            </w:r>
          </w:p>
          <w:p w14:paraId="44383B1F" w14:textId="77777777" w:rsidR="006810DF" w:rsidRPr="00B772FD" w:rsidRDefault="006810DF" w:rsidP="00823517">
            <w:pPr>
              <w:ind w:left="320"/>
              <w:rPr>
                <w:color w:val="000000"/>
                <w:lang w:val="en-AU"/>
              </w:rPr>
            </w:pPr>
            <w:r w:rsidRPr="00B772FD">
              <w:rPr>
                <w:lang w:val="en-AU"/>
              </w:rPr>
              <w:t>None</w:t>
            </w:r>
          </w:p>
        </w:tc>
        <w:tc>
          <w:tcPr>
            <w:tcW w:w="3213" w:type="dxa"/>
            <w:tcBorders>
              <w:top w:val="nil"/>
              <w:left w:val="nil"/>
              <w:bottom w:val="single" w:sz="4" w:space="0" w:color="auto"/>
              <w:right w:val="nil"/>
            </w:tcBorders>
            <w:hideMark/>
          </w:tcPr>
          <w:p w14:paraId="3C40F4C5" w14:textId="77777777" w:rsidR="006810DF" w:rsidRPr="00B772FD" w:rsidRDefault="006810DF" w:rsidP="00823517">
            <w:pPr>
              <w:rPr>
                <w:color w:val="000000"/>
                <w:lang w:val="en-AU"/>
              </w:rPr>
            </w:pPr>
          </w:p>
        </w:tc>
        <w:tc>
          <w:tcPr>
            <w:tcW w:w="3018" w:type="dxa"/>
            <w:tcBorders>
              <w:top w:val="nil"/>
              <w:left w:val="nil"/>
              <w:bottom w:val="single" w:sz="4" w:space="0" w:color="auto"/>
              <w:right w:val="nil"/>
            </w:tcBorders>
            <w:noWrap/>
            <w:hideMark/>
          </w:tcPr>
          <w:p w14:paraId="22FB019C" w14:textId="77777777" w:rsidR="006810DF" w:rsidRPr="00B772FD" w:rsidRDefault="006810DF" w:rsidP="00823517">
            <w:pPr>
              <w:jc w:val="center"/>
            </w:pPr>
            <w:r w:rsidRPr="00B772FD">
              <w:rPr>
                <w:lang w:val="en-AU"/>
              </w:rPr>
              <w:t>7%</w:t>
            </w:r>
          </w:p>
          <w:p w14:paraId="1279818F" w14:textId="77777777" w:rsidR="006810DF" w:rsidRPr="00B772FD" w:rsidRDefault="006810DF" w:rsidP="00823517">
            <w:pPr>
              <w:jc w:val="center"/>
              <w:rPr>
                <w:lang w:val="en-AU"/>
              </w:rPr>
            </w:pPr>
            <w:r w:rsidRPr="00B772FD">
              <w:rPr>
                <w:lang w:val="en-AU"/>
              </w:rPr>
              <w:t>16%</w:t>
            </w:r>
          </w:p>
          <w:p w14:paraId="5A6C1427" w14:textId="77777777" w:rsidR="006810DF" w:rsidRPr="00B772FD" w:rsidRDefault="006810DF" w:rsidP="00823517">
            <w:pPr>
              <w:jc w:val="center"/>
              <w:rPr>
                <w:lang w:val="en-AU"/>
              </w:rPr>
            </w:pPr>
            <w:r w:rsidRPr="00B772FD">
              <w:rPr>
                <w:lang w:val="en-AU"/>
              </w:rPr>
              <w:t>2%</w:t>
            </w:r>
          </w:p>
          <w:p w14:paraId="7F4E07C3" w14:textId="77777777" w:rsidR="006810DF" w:rsidRPr="00B772FD" w:rsidRDefault="006810DF" w:rsidP="00823517">
            <w:pPr>
              <w:jc w:val="center"/>
              <w:rPr>
                <w:lang w:val="en-AU"/>
              </w:rPr>
            </w:pPr>
            <w:r w:rsidRPr="00B772FD">
              <w:rPr>
                <w:lang w:val="en-AU"/>
              </w:rPr>
              <w:t>75%</w:t>
            </w:r>
          </w:p>
        </w:tc>
      </w:tr>
    </w:tbl>
    <w:p w14:paraId="0558369C" w14:textId="77777777" w:rsidR="006810DF" w:rsidRPr="00B772FD" w:rsidRDefault="006810DF" w:rsidP="006810DF"/>
    <w:p w14:paraId="05A49831" w14:textId="166F3485" w:rsidR="006810DF" w:rsidRDefault="006810DF" w:rsidP="006810DF">
      <w:pPr>
        <w:spacing w:line="360" w:lineRule="auto"/>
      </w:pPr>
    </w:p>
    <w:p w14:paraId="433E85F1" w14:textId="77777777" w:rsidR="006810DF" w:rsidRDefault="006810DF" w:rsidP="006810DF">
      <w:pPr>
        <w:spacing w:line="360" w:lineRule="auto"/>
      </w:pPr>
    </w:p>
    <w:p w14:paraId="63B82650" w14:textId="77777777" w:rsidR="006810DF" w:rsidRDefault="006810DF" w:rsidP="006810DF">
      <w:r>
        <w:t>Table 3. Profile of survey participants.</w:t>
      </w:r>
    </w:p>
    <w:p w14:paraId="2AA2A44E" w14:textId="77777777" w:rsidR="006810DF" w:rsidRPr="00DE4C21" w:rsidRDefault="006810DF" w:rsidP="006810DF"/>
    <w:p w14:paraId="41CBC220" w14:textId="77777777" w:rsidR="00636E21" w:rsidRPr="008051CE" w:rsidRDefault="00636E21" w:rsidP="00636E21">
      <w:pPr>
        <w:rPr>
          <w:rFonts w:cstheme="majorHAnsi"/>
          <w:b/>
          <w:sz w:val="22"/>
          <w:szCs w:val="22"/>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13"/>
        <w:gridCol w:w="3018"/>
      </w:tblGrid>
      <w:tr w:rsidR="00636E21" w:rsidRPr="008051CE" w14:paraId="31229AAD" w14:textId="77777777" w:rsidTr="00823517">
        <w:trPr>
          <w:trHeight w:val="390"/>
        </w:trPr>
        <w:tc>
          <w:tcPr>
            <w:tcW w:w="2785" w:type="dxa"/>
            <w:tcBorders>
              <w:top w:val="single" w:sz="4" w:space="0" w:color="auto"/>
              <w:bottom w:val="single" w:sz="4" w:space="0" w:color="auto"/>
            </w:tcBorders>
            <w:shd w:val="clear" w:color="auto" w:fill="auto"/>
          </w:tcPr>
          <w:p w14:paraId="40E328FB" w14:textId="77777777" w:rsidR="00636E21" w:rsidRPr="008051CE" w:rsidRDefault="00636E21" w:rsidP="00823517">
            <w:pPr>
              <w:rPr>
                <w:color w:val="000000"/>
              </w:rPr>
            </w:pPr>
            <w:r w:rsidRPr="008051CE">
              <w:rPr>
                <w:color w:val="000000"/>
              </w:rPr>
              <w:t>Demographics</w:t>
            </w:r>
          </w:p>
        </w:tc>
        <w:tc>
          <w:tcPr>
            <w:tcW w:w="3213" w:type="dxa"/>
            <w:tcBorders>
              <w:top w:val="single" w:sz="4" w:space="0" w:color="auto"/>
              <w:bottom w:val="single" w:sz="4" w:space="0" w:color="auto"/>
            </w:tcBorders>
            <w:shd w:val="clear" w:color="auto" w:fill="auto"/>
            <w:noWrap/>
            <w:hideMark/>
          </w:tcPr>
          <w:p w14:paraId="65A7F97A" w14:textId="77777777" w:rsidR="00636E21" w:rsidRPr="008051CE" w:rsidRDefault="00636E21" w:rsidP="00823517">
            <w:pPr>
              <w:rPr>
                <w:color w:val="000000"/>
              </w:rPr>
            </w:pPr>
          </w:p>
        </w:tc>
        <w:tc>
          <w:tcPr>
            <w:tcW w:w="3018" w:type="dxa"/>
            <w:tcBorders>
              <w:top w:val="single" w:sz="4" w:space="0" w:color="auto"/>
              <w:bottom w:val="single" w:sz="4" w:space="0" w:color="auto"/>
            </w:tcBorders>
            <w:shd w:val="clear" w:color="auto" w:fill="auto"/>
            <w:noWrap/>
            <w:hideMark/>
          </w:tcPr>
          <w:p w14:paraId="781AA46B" w14:textId="77777777" w:rsidR="00636E21" w:rsidRPr="008051CE" w:rsidRDefault="00636E21" w:rsidP="00823517">
            <w:pPr>
              <w:jc w:val="center"/>
              <w:rPr>
                <w:color w:val="000000"/>
              </w:rPr>
            </w:pPr>
            <w:r w:rsidRPr="008051CE">
              <w:rPr>
                <w:color w:val="000000"/>
              </w:rPr>
              <w:t>Percentage</w:t>
            </w:r>
          </w:p>
        </w:tc>
      </w:tr>
      <w:tr w:rsidR="00636E21" w:rsidRPr="008051CE" w14:paraId="4DDA949B" w14:textId="77777777" w:rsidTr="00823517">
        <w:trPr>
          <w:trHeight w:val="300"/>
        </w:trPr>
        <w:tc>
          <w:tcPr>
            <w:tcW w:w="2785" w:type="dxa"/>
            <w:tcBorders>
              <w:top w:val="single" w:sz="4" w:space="0" w:color="auto"/>
            </w:tcBorders>
          </w:tcPr>
          <w:p w14:paraId="1794B7CA" w14:textId="77777777" w:rsidR="00636E21" w:rsidRPr="008051CE" w:rsidRDefault="00636E21" w:rsidP="00823517">
            <w:pPr>
              <w:rPr>
                <w:color w:val="000000"/>
              </w:rPr>
            </w:pPr>
            <w:r w:rsidRPr="008051CE">
              <w:rPr>
                <w:color w:val="000000"/>
              </w:rPr>
              <w:t>Gender:</w:t>
            </w:r>
          </w:p>
        </w:tc>
        <w:tc>
          <w:tcPr>
            <w:tcW w:w="3213" w:type="dxa"/>
            <w:tcBorders>
              <w:top w:val="single" w:sz="4" w:space="0" w:color="auto"/>
            </w:tcBorders>
            <w:noWrap/>
            <w:hideMark/>
          </w:tcPr>
          <w:p w14:paraId="3F5B8B29" w14:textId="77777777" w:rsidR="00636E21" w:rsidRPr="008051CE" w:rsidRDefault="00636E21" w:rsidP="00823517">
            <w:pPr>
              <w:rPr>
                <w:color w:val="000000"/>
              </w:rPr>
            </w:pPr>
          </w:p>
        </w:tc>
        <w:tc>
          <w:tcPr>
            <w:tcW w:w="3018" w:type="dxa"/>
            <w:tcBorders>
              <w:top w:val="single" w:sz="4" w:space="0" w:color="auto"/>
            </w:tcBorders>
            <w:noWrap/>
            <w:hideMark/>
          </w:tcPr>
          <w:p w14:paraId="35F68860" w14:textId="77777777" w:rsidR="00636E21" w:rsidRPr="008051CE" w:rsidRDefault="00636E21" w:rsidP="00823517">
            <w:pPr>
              <w:jc w:val="center"/>
              <w:rPr>
                <w:color w:val="000000"/>
              </w:rPr>
            </w:pPr>
          </w:p>
        </w:tc>
      </w:tr>
      <w:tr w:rsidR="00636E21" w:rsidRPr="008051CE" w14:paraId="74A76CE8" w14:textId="77777777" w:rsidTr="00823517">
        <w:trPr>
          <w:trHeight w:val="300"/>
        </w:trPr>
        <w:tc>
          <w:tcPr>
            <w:tcW w:w="2785" w:type="dxa"/>
            <w:tcBorders>
              <w:bottom w:val="single" w:sz="4" w:space="0" w:color="auto"/>
            </w:tcBorders>
          </w:tcPr>
          <w:p w14:paraId="5583CDF5" w14:textId="77777777" w:rsidR="00636E21" w:rsidRPr="008051CE" w:rsidRDefault="00636E21" w:rsidP="00823517">
            <w:pPr>
              <w:ind w:left="320"/>
            </w:pPr>
            <w:r w:rsidRPr="008051CE">
              <w:rPr>
                <w:color w:val="000000"/>
              </w:rPr>
              <w:t>Fem</w:t>
            </w:r>
            <w:r w:rsidRPr="008051CE">
              <w:t>ale</w:t>
            </w:r>
          </w:p>
          <w:p w14:paraId="3C810D11" w14:textId="77777777" w:rsidR="00636E21" w:rsidRPr="008051CE" w:rsidRDefault="00636E21" w:rsidP="00823517">
            <w:pPr>
              <w:ind w:left="320"/>
              <w:rPr>
                <w:color w:val="000000"/>
              </w:rPr>
            </w:pPr>
            <w:r w:rsidRPr="008051CE">
              <w:t>Male</w:t>
            </w:r>
          </w:p>
        </w:tc>
        <w:tc>
          <w:tcPr>
            <w:tcW w:w="3213" w:type="dxa"/>
            <w:tcBorders>
              <w:bottom w:val="single" w:sz="4" w:space="0" w:color="auto"/>
            </w:tcBorders>
            <w:noWrap/>
            <w:hideMark/>
          </w:tcPr>
          <w:p w14:paraId="3DDF0F94" w14:textId="77777777" w:rsidR="00636E21" w:rsidRPr="008051CE" w:rsidRDefault="00636E21" w:rsidP="00823517">
            <w:pPr>
              <w:rPr>
                <w:color w:val="000000"/>
              </w:rPr>
            </w:pPr>
          </w:p>
        </w:tc>
        <w:tc>
          <w:tcPr>
            <w:tcW w:w="3018" w:type="dxa"/>
            <w:tcBorders>
              <w:bottom w:val="single" w:sz="4" w:space="0" w:color="auto"/>
            </w:tcBorders>
            <w:noWrap/>
            <w:hideMark/>
          </w:tcPr>
          <w:p w14:paraId="316588C4" w14:textId="77777777" w:rsidR="00636E21" w:rsidRPr="008051CE" w:rsidRDefault="00636E21" w:rsidP="00823517">
            <w:pPr>
              <w:jc w:val="center"/>
              <w:rPr>
                <w:color w:val="000000"/>
              </w:rPr>
            </w:pPr>
            <w:r w:rsidRPr="008051CE">
              <w:rPr>
                <w:color w:val="000000"/>
              </w:rPr>
              <w:t>66.0%</w:t>
            </w:r>
          </w:p>
          <w:p w14:paraId="1F3CA58A" w14:textId="77777777" w:rsidR="00636E21" w:rsidRPr="008051CE" w:rsidRDefault="00636E21" w:rsidP="00823517">
            <w:pPr>
              <w:jc w:val="center"/>
              <w:rPr>
                <w:color w:val="000000"/>
              </w:rPr>
            </w:pPr>
            <w:r w:rsidRPr="008051CE">
              <w:rPr>
                <w:color w:val="000000"/>
              </w:rPr>
              <w:t>34.0%</w:t>
            </w:r>
          </w:p>
        </w:tc>
      </w:tr>
      <w:tr w:rsidR="00636E21" w:rsidRPr="008051CE" w14:paraId="5620C50E" w14:textId="77777777" w:rsidTr="00823517">
        <w:trPr>
          <w:trHeight w:val="300"/>
        </w:trPr>
        <w:tc>
          <w:tcPr>
            <w:tcW w:w="9016" w:type="dxa"/>
            <w:gridSpan w:val="3"/>
            <w:tcBorders>
              <w:top w:val="single" w:sz="4" w:space="0" w:color="auto"/>
            </w:tcBorders>
            <w:shd w:val="clear" w:color="auto" w:fill="auto"/>
          </w:tcPr>
          <w:p w14:paraId="5609EEF3" w14:textId="77777777" w:rsidR="00636E21" w:rsidRPr="008051CE" w:rsidRDefault="00636E21" w:rsidP="00823517">
            <w:pPr>
              <w:jc w:val="both"/>
            </w:pPr>
            <w:r w:rsidRPr="008051CE">
              <w:t>Time teaching/supporting learning in HE:</w:t>
            </w:r>
          </w:p>
        </w:tc>
      </w:tr>
      <w:tr w:rsidR="00636E21" w:rsidRPr="008051CE" w14:paraId="7E53DE82" w14:textId="77777777" w:rsidTr="00823517">
        <w:trPr>
          <w:trHeight w:val="300"/>
        </w:trPr>
        <w:tc>
          <w:tcPr>
            <w:tcW w:w="2785" w:type="dxa"/>
            <w:tcBorders>
              <w:bottom w:val="single" w:sz="4" w:space="0" w:color="auto"/>
            </w:tcBorders>
          </w:tcPr>
          <w:p w14:paraId="42348FB0" w14:textId="77777777" w:rsidR="00636E21" w:rsidRPr="008051CE" w:rsidRDefault="00636E21" w:rsidP="00823517">
            <w:pPr>
              <w:ind w:left="320"/>
            </w:pPr>
            <w:r w:rsidRPr="008051CE">
              <w:t>Less than 3 years</w:t>
            </w:r>
          </w:p>
          <w:p w14:paraId="75793876" w14:textId="77777777" w:rsidR="00636E21" w:rsidRPr="008051CE" w:rsidRDefault="00636E21" w:rsidP="00823517">
            <w:pPr>
              <w:ind w:left="320"/>
            </w:pPr>
            <w:r w:rsidRPr="008051CE">
              <w:t>3–5 years</w:t>
            </w:r>
          </w:p>
          <w:p w14:paraId="46780BCA" w14:textId="77777777" w:rsidR="00636E21" w:rsidRPr="008051CE" w:rsidRDefault="00636E21" w:rsidP="00823517">
            <w:pPr>
              <w:ind w:left="320"/>
            </w:pPr>
            <w:r w:rsidRPr="008051CE">
              <w:t>More than 5 years</w:t>
            </w:r>
          </w:p>
        </w:tc>
        <w:tc>
          <w:tcPr>
            <w:tcW w:w="3213" w:type="dxa"/>
            <w:hideMark/>
          </w:tcPr>
          <w:p w14:paraId="06692738" w14:textId="77777777" w:rsidR="00636E21" w:rsidRPr="008051CE" w:rsidRDefault="00636E21" w:rsidP="00823517"/>
        </w:tc>
        <w:tc>
          <w:tcPr>
            <w:tcW w:w="3018" w:type="dxa"/>
            <w:noWrap/>
            <w:hideMark/>
          </w:tcPr>
          <w:p w14:paraId="0B1232DD" w14:textId="77777777" w:rsidR="00636E21" w:rsidRPr="008051CE" w:rsidRDefault="00636E21" w:rsidP="00823517">
            <w:pPr>
              <w:jc w:val="center"/>
            </w:pPr>
            <w:r w:rsidRPr="008051CE">
              <w:t>9.7%</w:t>
            </w:r>
          </w:p>
          <w:p w14:paraId="5435FF82" w14:textId="77777777" w:rsidR="00636E21" w:rsidRPr="008051CE" w:rsidRDefault="00636E21" w:rsidP="00823517">
            <w:pPr>
              <w:jc w:val="center"/>
            </w:pPr>
            <w:r w:rsidRPr="008051CE">
              <w:t>16.7%</w:t>
            </w:r>
          </w:p>
          <w:p w14:paraId="3697F30C" w14:textId="77777777" w:rsidR="00636E21" w:rsidRPr="008051CE" w:rsidRDefault="00636E21" w:rsidP="00823517">
            <w:pPr>
              <w:jc w:val="center"/>
            </w:pPr>
            <w:r w:rsidRPr="008051CE">
              <w:t>74.2%</w:t>
            </w:r>
          </w:p>
        </w:tc>
      </w:tr>
      <w:tr w:rsidR="00636E21" w:rsidRPr="008051CE" w14:paraId="05FC5E80" w14:textId="77777777" w:rsidTr="00823517">
        <w:trPr>
          <w:trHeight w:val="285"/>
        </w:trPr>
        <w:tc>
          <w:tcPr>
            <w:tcW w:w="9016" w:type="dxa"/>
            <w:gridSpan w:val="3"/>
            <w:tcBorders>
              <w:top w:val="single" w:sz="4" w:space="0" w:color="auto"/>
            </w:tcBorders>
          </w:tcPr>
          <w:p w14:paraId="728C288B" w14:textId="77777777" w:rsidR="00636E21" w:rsidRPr="008051CE" w:rsidRDefault="00636E21" w:rsidP="00823517">
            <w:r w:rsidRPr="008051CE">
              <w:t>Fellowship category:</w:t>
            </w:r>
          </w:p>
        </w:tc>
      </w:tr>
      <w:tr w:rsidR="00636E21" w:rsidRPr="008051CE" w14:paraId="71B97AED" w14:textId="77777777" w:rsidTr="00823517">
        <w:trPr>
          <w:trHeight w:val="300"/>
        </w:trPr>
        <w:tc>
          <w:tcPr>
            <w:tcW w:w="2785" w:type="dxa"/>
            <w:tcBorders>
              <w:bottom w:val="single" w:sz="4" w:space="0" w:color="auto"/>
            </w:tcBorders>
          </w:tcPr>
          <w:p w14:paraId="3DC20DAC" w14:textId="77777777" w:rsidR="00636E21" w:rsidRPr="008051CE" w:rsidRDefault="00636E21" w:rsidP="00823517">
            <w:pPr>
              <w:ind w:left="320"/>
            </w:pPr>
            <w:r w:rsidRPr="008051CE">
              <w:t>Associate Fellow</w:t>
            </w:r>
          </w:p>
          <w:p w14:paraId="589349AA" w14:textId="77777777" w:rsidR="00636E21" w:rsidRPr="008051CE" w:rsidRDefault="00636E21" w:rsidP="00823517">
            <w:pPr>
              <w:ind w:left="320"/>
            </w:pPr>
            <w:r w:rsidRPr="008051CE">
              <w:t>Fellow</w:t>
            </w:r>
          </w:p>
          <w:p w14:paraId="257DD1DB" w14:textId="77777777" w:rsidR="00636E21" w:rsidRPr="008051CE" w:rsidRDefault="00636E21" w:rsidP="00823517">
            <w:pPr>
              <w:ind w:left="320"/>
            </w:pPr>
            <w:r w:rsidRPr="008051CE">
              <w:t>Senior Fellow</w:t>
            </w:r>
          </w:p>
          <w:p w14:paraId="66E882E4" w14:textId="77777777" w:rsidR="00636E21" w:rsidRPr="008051CE" w:rsidRDefault="00636E21" w:rsidP="00823517">
            <w:pPr>
              <w:ind w:left="320"/>
            </w:pPr>
            <w:r w:rsidRPr="008051CE">
              <w:t>Principal Fellow</w:t>
            </w:r>
          </w:p>
        </w:tc>
        <w:tc>
          <w:tcPr>
            <w:tcW w:w="3213" w:type="dxa"/>
            <w:tcBorders>
              <w:bottom w:val="single" w:sz="4" w:space="0" w:color="auto"/>
            </w:tcBorders>
            <w:hideMark/>
          </w:tcPr>
          <w:p w14:paraId="00F257D9" w14:textId="77777777" w:rsidR="00636E21" w:rsidRPr="008051CE" w:rsidRDefault="00636E21" w:rsidP="00823517"/>
        </w:tc>
        <w:tc>
          <w:tcPr>
            <w:tcW w:w="3018" w:type="dxa"/>
            <w:tcBorders>
              <w:bottom w:val="single" w:sz="4" w:space="0" w:color="auto"/>
            </w:tcBorders>
            <w:noWrap/>
            <w:hideMark/>
          </w:tcPr>
          <w:p w14:paraId="6C20CC56" w14:textId="77777777" w:rsidR="00636E21" w:rsidRPr="008051CE" w:rsidRDefault="00636E21" w:rsidP="00823517">
            <w:pPr>
              <w:jc w:val="center"/>
            </w:pPr>
            <w:r w:rsidRPr="008051CE">
              <w:t>19.8%</w:t>
            </w:r>
          </w:p>
          <w:p w14:paraId="414BFB66" w14:textId="77777777" w:rsidR="00636E21" w:rsidRPr="008051CE" w:rsidRDefault="00636E21" w:rsidP="00823517">
            <w:pPr>
              <w:jc w:val="center"/>
            </w:pPr>
            <w:r w:rsidRPr="008051CE">
              <w:t>42.9%</w:t>
            </w:r>
          </w:p>
          <w:p w14:paraId="1AF85CB0" w14:textId="77777777" w:rsidR="00636E21" w:rsidRPr="008051CE" w:rsidRDefault="00636E21" w:rsidP="00823517">
            <w:pPr>
              <w:jc w:val="center"/>
            </w:pPr>
            <w:r w:rsidRPr="008051CE">
              <w:t>33.7%</w:t>
            </w:r>
          </w:p>
          <w:p w14:paraId="45087D3E" w14:textId="77777777" w:rsidR="00636E21" w:rsidRPr="008051CE" w:rsidRDefault="00636E21" w:rsidP="00823517">
            <w:pPr>
              <w:jc w:val="center"/>
            </w:pPr>
            <w:r w:rsidRPr="008051CE">
              <w:t>3.6%</w:t>
            </w:r>
          </w:p>
        </w:tc>
      </w:tr>
      <w:tr w:rsidR="00636E21" w:rsidRPr="008051CE" w14:paraId="6F9B72CA" w14:textId="77777777" w:rsidTr="00823517">
        <w:trPr>
          <w:trHeight w:val="300"/>
        </w:trPr>
        <w:tc>
          <w:tcPr>
            <w:tcW w:w="9016" w:type="dxa"/>
            <w:gridSpan w:val="3"/>
            <w:tcBorders>
              <w:top w:val="single" w:sz="4" w:space="0" w:color="auto"/>
            </w:tcBorders>
          </w:tcPr>
          <w:p w14:paraId="73ADDA45" w14:textId="77777777" w:rsidR="00636E21" w:rsidRPr="008051CE" w:rsidRDefault="00636E21" w:rsidP="00823517">
            <w:r w:rsidRPr="008051CE">
              <w:t>Length of time since recent fellowship:</w:t>
            </w:r>
          </w:p>
        </w:tc>
      </w:tr>
      <w:tr w:rsidR="00636E21" w:rsidRPr="008051CE" w14:paraId="2F2B7E38" w14:textId="77777777" w:rsidTr="00823517">
        <w:trPr>
          <w:trHeight w:val="300"/>
        </w:trPr>
        <w:tc>
          <w:tcPr>
            <w:tcW w:w="2785" w:type="dxa"/>
            <w:tcBorders>
              <w:bottom w:val="single" w:sz="4" w:space="0" w:color="auto"/>
            </w:tcBorders>
          </w:tcPr>
          <w:p w14:paraId="398F949D" w14:textId="77777777" w:rsidR="00636E21" w:rsidRPr="008051CE" w:rsidRDefault="00636E21" w:rsidP="00823517">
            <w:pPr>
              <w:ind w:left="320"/>
            </w:pPr>
            <w:r w:rsidRPr="008051CE">
              <w:rPr>
                <w:color w:val="000000"/>
              </w:rPr>
              <w:t>Less t</w:t>
            </w:r>
            <w:r w:rsidRPr="008051CE">
              <w:t>han six months</w:t>
            </w:r>
          </w:p>
          <w:p w14:paraId="54450DCC" w14:textId="77777777" w:rsidR="00636E21" w:rsidRPr="008051CE" w:rsidRDefault="00636E21" w:rsidP="00823517">
            <w:pPr>
              <w:ind w:left="320"/>
            </w:pPr>
            <w:r w:rsidRPr="008051CE">
              <w:t>Six months to 1 year</w:t>
            </w:r>
          </w:p>
          <w:p w14:paraId="782F1EE0" w14:textId="77777777" w:rsidR="00636E21" w:rsidRPr="008051CE" w:rsidRDefault="00636E21" w:rsidP="00823517">
            <w:pPr>
              <w:ind w:left="320"/>
            </w:pPr>
            <w:r w:rsidRPr="008051CE">
              <w:t>1–2 years</w:t>
            </w:r>
          </w:p>
          <w:p w14:paraId="42C07A6D" w14:textId="77777777" w:rsidR="00636E21" w:rsidRPr="008051CE" w:rsidRDefault="00636E21" w:rsidP="00823517">
            <w:pPr>
              <w:ind w:left="320"/>
              <w:rPr>
                <w:color w:val="000000"/>
              </w:rPr>
            </w:pPr>
            <w:r w:rsidRPr="008051CE">
              <w:t>More t</w:t>
            </w:r>
            <w:r w:rsidRPr="008051CE">
              <w:rPr>
                <w:color w:val="000000"/>
              </w:rPr>
              <w:t>han 2 years</w:t>
            </w:r>
          </w:p>
        </w:tc>
        <w:tc>
          <w:tcPr>
            <w:tcW w:w="3213" w:type="dxa"/>
            <w:tcBorders>
              <w:bottom w:val="single" w:sz="4" w:space="0" w:color="auto"/>
            </w:tcBorders>
            <w:hideMark/>
          </w:tcPr>
          <w:p w14:paraId="6D257598" w14:textId="77777777" w:rsidR="00636E21" w:rsidRPr="008051CE" w:rsidRDefault="00636E21" w:rsidP="00823517">
            <w:pPr>
              <w:rPr>
                <w:color w:val="000000"/>
              </w:rPr>
            </w:pPr>
          </w:p>
        </w:tc>
        <w:tc>
          <w:tcPr>
            <w:tcW w:w="3018" w:type="dxa"/>
            <w:tcBorders>
              <w:bottom w:val="single" w:sz="4" w:space="0" w:color="auto"/>
            </w:tcBorders>
            <w:noWrap/>
            <w:hideMark/>
          </w:tcPr>
          <w:p w14:paraId="511D4BCB" w14:textId="77777777" w:rsidR="00636E21" w:rsidRPr="008051CE" w:rsidRDefault="00636E21" w:rsidP="00823517">
            <w:pPr>
              <w:jc w:val="center"/>
            </w:pPr>
            <w:r w:rsidRPr="008051CE">
              <w:t>21.0%</w:t>
            </w:r>
          </w:p>
          <w:p w14:paraId="6BF18316" w14:textId="77777777" w:rsidR="00636E21" w:rsidRPr="008051CE" w:rsidRDefault="00636E21" w:rsidP="00823517">
            <w:pPr>
              <w:jc w:val="center"/>
            </w:pPr>
            <w:r w:rsidRPr="008051CE">
              <w:t>27.4%</w:t>
            </w:r>
          </w:p>
          <w:p w14:paraId="2B3EC2C1" w14:textId="77777777" w:rsidR="00636E21" w:rsidRPr="008051CE" w:rsidRDefault="00636E21" w:rsidP="00823517">
            <w:pPr>
              <w:jc w:val="center"/>
            </w:pPr>
            <w:r w:rsidRPr="008051CE">
              <w:t>35.6%</w:t>
            </w:r>
          </w:p>
          <w:p w14:paraId="21C21EFC" w14:textId="77777777" w:rsidR="00636E21" w:rsidRPr="008051CE" w:rsidRDefault="00636E21" w:rsidP="00823517">
            <w:pPr>
              <w:jc w:val="center"/>
            </w:pPr>
            <w:r w:rsidRPr="008051CE">
              <w:t>16.1%</w:t>
            </w:r>
          </w:p>
        </w:tc>
      </w:tr>
      <w:tr w:rsidR="00636E21" w:rsidRPr="008051CE" w14:paraId="3BE14226" w14:textId="77777777" w:rsidTr="00823517">
        <w:trPr>
          <w:trHeight w:val="300"/>
        </w:trPr>
        <w:tc>
          <w:tcPr>
            <w:tcW w:w="9016" w:type="dxa"/>
            <w:gridSpan w:val="3"/>
            <w:tcBorders>
              <w:top w:val="single" w:sz="4" w:space="0" w:color="auto"/>
            </w:tcBorders>
          </w:tcPr>
          <w:p w14:paraId="3295E790" w14:textId="77777777" w:rsidR="00636E21" w:rsidRPr="008051CE" w:rsidRDefault="00636E21" w:rsidP="00823517">
            <w:r w:rsidRPr="008051CE">
              <w:t>Route taken:</w:t>
            </w:r>
          </w:p>
        </w:tc>
      </w:tr>
      <w:tr w:rsidR="00636E21" w:rsidRPr="008051CE" w14:paraId="3A29E9C3" w14:textId="77777777" w:rsidTr="00823517">
        <w:trPr>
          <w:trHeight w:val="300"/>
        </w:trPr>
        <w:tc>
          <w:tcPr>
            <w:tcW w:w="2785" w:type="dxa"/>
            <w:tcBorders>
              <w:bottom w:val="single" w:sz="4" w:space="0" w:color="auto"/>
            </w:tcBorders>
          </w:tcPr>
          <w:p w14:paraId="4BB3868B" w14:textId="77777777" w:rsidR="00636E21" w:rsidRPr="008051CE" w:rsidRDefault="00636E21" w:rsidP="00823517">
            <w:pPr>
              <w:ind w:left="320"/>
            </w:pPr>
            <w:r w:rsidRPr="008051CE">
              <w:rPr>
                <w:color w:val="000000"/>
              </w:rPr>
              <w:t>Ta</w:t>
            </w:r>
            <w:r w:rsidRPr="008051CE">
              <w:t>ught</w:t>
            </w:r>
          </w:p>
          <w:p w14:paraId="413D5B10" w14:textId="77777777" w:rsidR="00636E21" w:rsidRPr="008051CE" w:rsidRDefault="00636E21" w:rsidP="00823517">
            <w:pPr>
              <w:ind w:left="320"/>
            </w:pPr>
            <w:r w:rsidRPr="008051CE">
              <w:t>Experiential Institutional Scheme</w:t>
            </w:r>
          </w:p>
          <w:p w14:paraId="69DB431C" w14:textId="77777777" w:rsidR="00636E21" w:rsidRPr="008051CE" w:rsidRDefault="00636E21" w:rsidP="00823517">
            <w:pPr>
              <w:ind w:left="320"/>
              <w:rPr>
                <w:color w:val="000000"/>
              </w:rPr>
            </w:pPr>
          </w:p>
        </w:tc>
        <w:tc>
          <w:tcPr>
            <w:tcW w:w="3213" w:type="dxa"/>
            <w:tcBorders>
              <w:bottom w:val="single" w:sz="4" w:space="0" w:color="auto"/>
            </w:tcBorders>
            <w:hideMark/>
          </w:tcPr>
          <w:p w14:paraId="1BAA8242" w14:textId="77777777" w:rsidR="00636E21" w:rsidRPr="008051CE" w:rsidRDefault="00636E21" w:rsidP="00823517">
            <w:pPr>
              <w:rPr>
                <w:color w:val="000000"/>
              </w:rPr>
            </w:pPr>
          </w:p>
        </w:tc>
        <w:tc>
          <w:tcPr>
            <w:tcW w:w="3018" w:type="dxa"/>
            <w:tcBorders>
              <w:bottom w:val="single" w:sz="4" w:space="0" w:color="auto"/>
            </w:tcBorders>
            <w:noWrap/>
            <w:hideMark/>
          </w:tcPr>
          <w:p w14:paraId="7753E5D4" w14:textId="77777777" w:rsidR="00636E21" w:rsidRPr="008051CE" w:rsidRDefault="00636E21" w:rsidP="00823517">
            <w:pPr>
              <w:jc w:val="center"/>
            </w:pPr>
            <w:r w:rsidRPr="008051CE">
              <w:t>23.7%</w:t>
            </w:r>
          </w:p>
          <w:p w14:paraId="68A4FDA2" w14:textId="77777777" w:rsidR="00636E21" w:rsidRPr="008051CE" w:rsidRDefault="00636E21" w:rsidP="00823517">
            <w:pPr>
              <w:jc w:val="center"/>
            </w:pPr>
            <w:r w:rsidRPr="008051CE">
              <w:t>68.7%</w:t>
            </w:r>
          </w:p>
          <w:p w14:paraId="1CA3275D" w14:textId="77777777" w:rsidR="00636E21" w:rsidRPr="008051CE" w:rsidRDefault="00636E21" w:rsidP="00823517">
            <w:pPr>
              <w:jc w:val="center"/>
            </w:pPr>
            <w:r w:rsidRPr="008051CE">
              <w:t>7.6%</w:t>
            </w:r>
          </w:p>
        </w:tc>
      </w:tr>
      <w:tr w:rsidR="00636E21" w:rsidRPr="008051CE" w14:paraId="27DDC45B" w14:textId="77777777" w:rsidTr="00823517">
        <w:trPr>
          <w:trHeight w:val="300"/>
        </w:trPr>
        <w:tc>
          <w:tcPr>
            <w:tcW w:w="9016" w:type="dxa"/>
            <w:gridSpan w:val="3"/>
            <w:tcBorders>
              <w:top w:val="single" w:sz="4" w:space="0" w:color="auto"/>
            </w:tcBorders>
          </w:tcPr>
          <w:p w14:paraId="74F9A28C" w14:textId="77777777" w:rsidR="00636E21" w:rsidRPr="008051CE" w:rsidRDefault="00636E21" w:rsidP="00823517">
            <w:r w:rsidRPr="008051CE">
              <w:t>Previous fellowship:</w:t>
            </w:r>
          </w:p>
        </w:tc>
      </w:tr>
      <w:tr w:rsidR="00636E21" w:rsidRPr="008051CE" w14:paraId="159B0EB9" w14:textId="77777777" w:rsidTr="00823517">
        <w:trPr>
          <w:trHeight w:val="314"/>
        </w:trPr>
        <w:tc>
          <w:tcPr>
            <w:tcW w:w="2785" w:type="dxa"/>
            <w:tcBorders>
              <w:bottom w:val="single" w:sz="4" w:space="0" w:color="auto"/>
            </w:tcBorders>
          </w:tcPr>
          <w:p w14:paraId="01C29554" w14:textId="77777777" w:rsidR="00636E21" w:rsidRPr="008051CE" w:rsidRDefault="00636E21" w:rsidP="00823517">
            <w:pPr>
              <w:ind w:left="320"/>
            </w:pPr>
            <w:r w:rsidRPr="008051CE">
              <w:t>Associate Fellow</w:t>
            </w:r>
          </w:p>
          <w:p w14:paraId="20E768D2" w14:textId="77777777" w:rsidR="00636E21" w:rsidRPr="008051CE" w:rsidRDefault="00636E21" w:rsidP="00823517">
            <w:pPr>
              <w:ind w:left="320"/>
            </w:pPr>
            <w:r w:rsidRPr="008051CE">
              <w:t>Fellow</w:t>
            </w:r>
          </w:p>
          <w:p w14:paraId="68AD07B2" w14:textId="77777777" w:rsidR="00636E21" w:rsidRPr="008051CE" w:rsidRDefault="00636E21" w:rsidP="00823517">
            <w:pPr>
              <w:ind w:left="320"/>
            </w:pPr>
            <w:r w:rsidRPr="008051CE">
              <w:t>Senior Fellow</w:t>
            </w:r>
          </w:p>
          <w:p w14:paraId="510D2C7A" w14:textId="77777777" w:rsidR="00636E21" w:rsidRPr="008051CE" w:rsidRDefault="00636E21" w:rsidP="00823517">
            <w:pPr>
              <w:ind w:left="320"/>
              <w:rPr>
                <w:color w:val="000000"/>
              </w:rPr>
            </w:pPr>
            <w:r w:rsidRPr="008051CE">
              <w:t>None</w:t>
            </w:r>
          </w:p>
        </w:tc>
        <w:tc>
          <w:tcPr>
            <w:tcW w:w="3213" w:type="dxa"/>
            <w:tcBorders>
              <w:bottom w:val="single" w:sz="4" w:space="0" w:color="auto"/>
            </w:tcBorders>
            <w:hideMark/>
          </w:tcPr>
          <w:p w14:paraId="017024FB" w14:textId="77777777" w:rsidR="00636E21" w:rsidRPr="008051CE" w:rsidRDefault="00636E21" w:rsidP="00823517">
            <w:pPr>
              <w:rPr>
                <w:color w:val="000000"/>
              </w:rPr>
            </w:pPr>
          </w:p>
        </w:tc>
        <w:tc>
          <w:tcPr>
            <w:tcW w:w="3018" w:type="dxa"/>
            <w:tcBorders>
              <w:bottom w:val="single" w:sz="4" w:space="0" w:color="auto"/>
            </w:tcBorders>
            <w:noWrap/>
            <w:hideMark/>
          </w:tcPr>
          <w:p w14:paraId="464770CC" w14:textId="77777777" w:rsidR="00636E21" w:rsidRPr="008051CE" w:rsidRDefault="00636E21" w:rsidP="00823517">
            <w:pPr>
              <w:jc w:val="center"/>
            </w:pPr>
            <w:r w:rsidRPr="008051CE">
              <w:t>7%</w:t>
            </w:r>
          </w:p>
          <w:p w14:paraId="3DBF241E" w14:textId="77777777" w:rsidR="00636E21" w:rsidRPr="008051CE" w:rsidRDefault="00636E21" w:rsidP="00823517">
            <w:pPr>
              <w:jc w:val="center"/>
            </w:pPr>
            <w:r w:rsidRPr="008051CE">
              <w:t>16%</w:t>
            </w:r>
          </w:p>
          <w:p w14:paraId="68D96851" w14:textId="77777777" w:rsidR="00636E21" w:rsidRPr="008051CE" w:rsidRDefault="00636E21" w:rsidP="00823517">
            <w:pPr>
              <w:jc w:val="center"/>
            </w:pPr>
            <w:r w:rsidRPr="008051CE">
              <w:t>2%</w:t>
            </w:r>
          </w:p>
          <w:p w14:paraId="7783C7F6" w14:textId="77777777" w:rsidR="00636E21" w:rsidRPr="008051CE" w:rsidRDefault="00636E21" w:rsidP="00823517">
            <w:pPr>
              <w:jc w:val="center"/>
            </w:pPr>
            <w:r w:rsidRPr="008051CE">
              <w:t>75%</w:t>
            </w:r>
          </w:p>
        </w:tc>
      </w:tr>
    </w:tbl>
    <w:p w14:paraId="7890877A" w14:textId="77777777" w:rsidR="00636E21" w:rsidRDefault="00636E21" w:rsidP="00636E21"/>
    <w:p w14:paraId="14FEB924" w14:textId="0B1146E4" w:rsidR="006810DF" w:rsidRDefault="006810DF"/>
    <w:p w14:paraId="30D93DC5" w14:textId="77777777" w:rsidR="006810DF" w:rsidRPr="008051CE" w:rsidRDefault="006810DF"/>
    <w:sectPr w:rsidR="006810DF" w:rsidRPr="008051CE" w:rsidSect="00F70F22">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E7D15" w14:textId="77777777" w:rsidR="00565C6C" w:rsidRDefault="00565C6C">
      <w:r>
        <w:separator/>
      </w:r>
    </w:p>
  </w:endnote>
  <w:endnote w:type="continuationSeparator" w:id="0">
    <w:p w14:paraId="7CA4D068" w14:textId="77777777" w:rsidR="00565C6C" w:rsidRDefault="005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harter Roman">
    <w:altName w:val="CHARTER ROMAN"/>
    <w:panose1 w:val="02040503050506020203"/>
    <w:charset w:val="00"/>
    <w:family w:val="roman"/>
    <w:pitch w:val="variable"/>
    <w:sig w:usb0="800000AF" w:usb1="1000204A" w:usb2="00000000" w:usb3="00000000" w:csb0="0000001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397899"/>
      <w:docPartObj>
        <w:docPartGallery w:val="Page Numbers (Bottom of Page)"/>
        <w:docPartUnique/>
      </w:docPartObj>
    </w:sdtPr>
    <w:sdtEndPr>
      <w:rPr>
        <w:rStyle w:val="PageNumber"/>
      </w:rPr>
    </w:sdtEndPr>
    <w:sdtContent>
      <w:p w14:paraId="72BB09AB" w14:textId="77777777" w:rsidR="004D10CC" w:rsidRDefault="004D10CC" w:rsidP="00F70F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EE1BB" w14:textId="77777777" w:rsidR="004D10CC" w:rsidRDefault="004D10CC" w:rsidP="00F70F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242083"/>
      <w:docPartObj>
        <w:docPartGallery w:val="Page Numbers (Bottom of Page)"/>
        <w:docPartUnique/>
      </w:docPartObj>
    </w:sdtPr>
    <w:sdtEndPr>
      <w:rPr>
        <w:rStyle w:val="PageNumber"/>
      </w:rPr>
    </w:sdtEndPr>
    <w:sdtContent>
      <w:p w14:paraId="02F0E72A" w14:textId="77777777" w:rsidR="004D10CC" w:rsidRDefault="004D10CC" w:rsidP="00F70F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0EE60" w14:textId="77777777" w:rsidR="004D10CC" w:rsidRDefault="004D10CC" w:rsidP="00F7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EE49" w14:textId="77777777" w:rsidR="00565C6C" w:rsidRDefault="00565C6C">
      <w:r>
        <w:separator/>
      </w:r>
    </w:p>
  </w:footnote>
  <w:footnote w:type="continuationSeparator" w:id="0">
    <w:p w14:paraId="3B508845" w14:textId="77777777" w:rsidR="00565C6C" w:rsidRDefault="0056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8465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6009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2E42DB"/>
    <w:multiLevelType w:val="hybridMultilevel"/>
    <w:tmpl w:val="02DADD3A"/>
    <w:lvl w:ilvl="0" w:tplc="E64A4A40">
      <w:start w:val="1000"/>
      <w:numFmt w:val="bullet"/>
      <w:lvlText w:val=""/>
      <w:lvlJc w:val="left"/>
      <w:pPr>
        <w:ind w:left="499" w:hanging="360"/>
      </w:pPr>
      <w:rPr>
        <w:rFonts w:ascii="Wingdings" w:eastAsia="Times New Roman" w:hAnsi="Wingdings"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41781"/>
    <w:multiLevelType w:val="hybridMultilevel"/>
    <w:tmpl w:val="9ED02AC0"/>
    <w:lvl w:ilvl="0" w:tplc="39B6467E">
      <w:start w:val="1000"/>
      <w:numFmt w:val="bullet"/>
      <w:lvlText w:val=""/>
      <w:lvlJc w:val="left"/>
      <w:pPr>
        <w:ind w:left="859" w:hanging="360"/>
      </w:pPr>
      <w:rPr>
        <w:rFonts w:ascii="Wingdings" w:eastAsiaTheme="minorEastAsia" w:hAnsi="Wingdings" w:cs="Times New Roman"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2B50FD"/>
    <w:multiLevelType w:val="hybridMultilevel"/>
    <w:tmpl w:val="856E445C"/>
    <w:lvl w:ilvl="0" w:tplc="D4F416D6">
      <w:start w:val="1"/>
      <w:numFmt w:val="decimal"/>
      <w:lvlText w:val="%1."/>
      <w:lvlJc w:val="left"/>
      <w:pPr>
        <w:tabs>
          <w:tab w:val="num" w:pos="720"/>
        </w:tabs>
        <w:ind w:left="720" w:hanging="360"/>
      </w:pPr>
    </w:lvl>
    <w:lvl w:ilvl="1" w:tplc="91F296BE" w:tentative="1">
      <w:start w:val="1"/>
      <w:numFmt w:val="decimal"/>
      <w:lvlText w:val="%2."/>
      <w:lvlJc w:val="left"/>
      <w:pPr>
        <w:tabs>
          <w:tab w:val="num" w:pos="1440"/>
        </w:tabs>
        <w:ind w:left="1440" w:hanging="360"/>
      </w:pPr>
    </w:lvl>
    <w:lvl w:ilvl="2" w:tplc="A45844A2" w:tentative="1">
      <w:start w:val="1"/>
      <w:numFmt w:val="decimal"/>
      <w:lvlText w:val="%3."/>
      <w:lvlJc w:val="left"/>
      <w:pPr>
        <w:tabs>
          <w:tab w:val="num" w:pos="2160"/>
        </w:tabs>
        <w:ind w:left="2160" w:hanging="360"/>
      </w:pPr>
    </w:lvl>
    <w:lvl w:ilvl="3" w:tplc="4D7E298A" w:tentative="1">
      <w:start w:val="1"/>
      <w:numFmt w:val="decimal"/>
      <w:lvlText w:val="%4."/>
      <w:lvlJc w:val="left"/>
      <w:pPr>
        <w:tabs>
          <w:tab w:val="num" w:pos="2880"/>
        </w:tabs>
        <w:ind w:left="2880" w:hanging="360"/>
      </w:pPr>
    </w:lvl>
    <w:lvl w:ilvl="4" w:tplc="0C2401F6" w:tentative="1">
      <w:start w:val="1"/>
      <w:numFmt w:val="decimal"/>
      <w:lvlText w:val="%5."/>
      <w:lvlJc w:val="left"/>
      <w:pPr>
        <w:tabs>
          <w:tab w:val="num" w:pos="3600"/>
        </w:tabs>
        <w:ind w:left="3600" w:hanging="360"/>
      </w:pPr>
    </w:lvl>
    <w:lvl w:ilvl="5" w:tplc="9C4CB908" w:tentative="1">
      <w:start w:val="1"/>
      <w:numFmt w:val="decimal"/>
      <w:lvlText w:val="%6."/>
      <w:lvlJc w:val="left"/>
      <w:pPr>
        <w:tabs>
          <w:tab w:val="num" w:pos="4320"/>
        </w:tabs>
        <w:ind w:left="4320" w:hanging="360"/>
      </w:pPr>
    </w:lvl>
    <w:lvl w:ilvl="6" w:tplc="15ACEE0A" w:tentative="1">
      <w:start w:val="1"/>
      <w:numFmt w:val="decimal"/>
      <w:lvlText w:val="%7."/>
      <w:lvlJc w:val="left"/>
      <w:pPr>
        <w:tabs>
          <w:tab w:val="num" w:pos="5040"/>
        </w:tabs>
        <w:ind w:left="5040" w:hanging="360"/>
      </w:pPr>
    </w:lvl>
    <w:lvl w:ilvl="7" w:tplc="B0A89BDA" w:tentative="1">
      <w:start w:val="1"/>
      <w:numFmt w:val="decimal"/>
      <w:lvlText w:val="%8."/>
      <w:lvlJc w:val="left"/>
      <w:pPr>
        <w:tabs>
          <w:tab w:val="num" w:pos="5760"/>
        </w:tabs>
        <w:ind w:left="5760" w:hanging="360"/>
      </w:pPr>
    </w:lvl>
    <w:lvl w:ilvl="8" w:tplc="619E7BB4" w:tentative="1">
      <w:start w:val="1"/>
      <w:numFmt w:val="decimal"/>
      <w:lvlText w:val="%9."/>
      <w:lvlJc w:val="left"/>
      <w:pPr>
        <w:tabs>
          <w:tab w:val="num" w:pos="6480"/>
        </w:tabs>
        <w:ind w:left="6480" w:hanging="36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212726"/>
    <w:multiLevelType w:val="hybridMultilevel"/>
    <w:tmpl w:val="D30E5A90"/>
    <w:lvl w:ilvl="0" w:tplc="FAE23E28">
      <w:start w:val="1000"/>
      <w:numFmt w:val="bullet"/>
      <w:lvlText w:val=""/>
      <w:lvlJc w:val="left"/>
      <w:pPr>
        <w:ind w:left="859" w:hanging="360"/>
      </w:pPr>
      <w:rPr>
        <w:rFonts w:ascii="Wingdings" w:eastAsiaTheme="minorEastAsia" w:hAnsi="Wingdings" w:cs="Calibri"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0" w15:restartNumberingAfterBreak="0">
    <w:nsid w:val="350C3A29"/>
    <w:multiLevelType w:val="hybridMultilevel"/>
    <w:tmpl w:val="5524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DE37C6"/>
    <w:multiLevelType w:val="hybridMultilevel"/>
    <w:tmpl w:val="AEACA462"/>
    <w:lvl w:ilvl="0" w:tplc="D9E23BB6">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D1A9F"/>
    <w:multiLevelType w:val="hybridMultilevel"/>
    <w:tmpl w:val="72AA7E12"/>
    <w:lvl w:ilvl="0" w:tplc="70D63D50">
      <w:start w:val="1000"/>
      <w:numFmt w:val="bullet"/>
      <w:lvlText w:val=""/>
      <w:lvlJc w:val="left"/>
      <w:pPr>
        <w:ind w:left="499" w:hanging="360"/>
      </w:pPr>
      <w:rPr>
        <w:rFonts w:ascii="Wingdings" w:eastAsia="Times New Roman" w:hAnsi="Wingdings" w:cs="Calibri"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6"/>
  </w:num>
  <w:num w:numId="16">
    <w:abstractNumId w:val="21"/>
  </w:num>
  <w:num w:numId="17">
    <w:abstractNumId w:val="11"/>
  </w:num>
  <w:num w:numId="18">
    <w:abstractNumId w:val="0"/>
  </w:num>
  <w:num w:numId="19">
    <w:abstractNumId w:val="13"/>
  </w:num>
  <w:num w:numId="20">
    <w:abstractNumId w:val="23"/>
  </w:num>
  <w:num w:numId="21">
    <w:abstractNumId w:val="27"/>
  </w:num>
  <w:num w:numId="22">
    <w:abstractNumId w:val="28"/>
  </w:num>
  <w:num w:numId="23">
    <w:abstractNumId w:val="15"/>
  </w:num>
  <w:num w:numId="24">
    <w:abstractNumId w:val="30"/>
  </w:num>
  <w:num w:numId="25">
    <w:abstractNumId w:val="24"/>
  </w:num>
  <w:num w:numId="26">
    <w:abstractNumId w:val="29"/>
  </w:num>
  <w:num w:numId="27">
    <w:abstractNumId w:val="19"/>
  </w:num>
  <w:num w:numId="28">
    <w:abstractNumId w:val="12"/>
  </w:num>
  <w:num w:numId="29">
    <w:abstractNumId w:val="14"/>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E1C5E"/>
    <w:rsid w:val="000173AF"/>
    <w:rsid w:val="00035A53"/>
    <w:rsid w:val="00053323"/>
    <w:rsid w:val="00061F3A"/>
    <w:rsid w:val="00063444"/>
    <w:rsid w:val="000676CE"/>
    <w:rsid w:val="000A1CCB"/>
    <w:rsid w:val="000C54CA"/>
    <w:rsid w:val="000C6770"/>
    <w:rsid w:val="000D07BE"/>
    <w:rsid w:val="000D32FB"/>
    <w:rsid w:val="000E2A43"/>
    <w:rsid w:val="000E57F7"/>
    <w:rsid w:val="000F0571"/>
    <w:rsid w:val="000F2366"/>
    <w:rsid w:val="0010687D"/>
    <w:rsid w:val="00110391"/>
    <w:rsid w:val="00117D86"/>
    <w:rsid w:val="00121945"/>
    <w:rsid w:val="00132DDF"/>
    <w:rsid w:val="001336F6"/>
    <w:rsid w:val="00133FE8"/>
    <w:rsid w:val="001354E3"/>
    <w:rsid w:val="00135807"/>
    <w:rsid w:val="001361EE"/>
    <w:rsid w:val="00137277"/>
    <w:rsid w:val="001460EE"/>
    <w:rsid w:val="00180910"/>
    <w:rsid w:val="00183BFF"/>
    <w:rsid w:val="00192924"/>
    <w:rsid w:val="001B4E0B"/>
    <w:rsid w:val="001B5635"/>
    <w:rsid w:val="001C07E2"/>
    <w:rsid w:val="001C0D03"/>
    <w:rsid w:val="001D57A8"/>
    <w:rsid w:val="001E6C60"/>
    <w:rsid w:val="0021505F"/>
    <w:rsid w:val="002259B3"/>
    <w:rsid w:val="0022715F"/>
    <w:rsid w:val="002304ED"/>
    <w:rsid w:val="0024143E"/>
    <w:rsid w:val="002471D6"/>
    <w:rsid w:val="0024751C"/>
    <w:rsid w:val="00247F02"/>
    <w:rsid w:val="002646FB"/>
    <w:rsid w:val="00283822"/>
    <w:rsid w:val="002B1E7C"/>
    <w:rsid w:val="002B310D"/>
    <w:rsid w:val="002B59C6"/>
    <w:rsid w:val="002B63E0"/>
    <w:rsid w:val="002C44F3"/>
    <w:rsid w:val="002C458B"/>
    <w:rsid w:val="002D1CFA"/>
    <w:rsid w:val="002E30CD"/>
    <w:rsid w:val="00313AA7"/>
    <w:rsid w:val="00316B97"/>
    <w:rsid w:val="003250D7"/>
    <w:rsid w:val="003278A0"/>
    <w:rsid w:val="00334F3B"/>
    <w:rsid w:val="003403E3"/>
    <w:rsid w:val="00362E0F"/>
    <w:rsid w:val="0037003C"/>
    <w:rsid w:val="00387404"/>
    <w:rsid w:val="003936AC"/>
    <w:rsid w:val="00395C2E"/>
    <w:rsid w:val="00396891"/>
    <w:rsid w:val="003B47CA"/>
    <w:rsid w:val="003C567B"/>
    <w:rsid w:val="003E0A1B"/>
    <w:rsid w:val="003F474C"/>
    <w:rsid w:val="00442DDE"/>
    <w:rsid w:val="00452580"/>
    <w:rsid w:val="004551E0"/>
    <w:rsid w:val="0048184E"/>
    <w:rsid w:val="004839D2"/>
    <w:rsid w:val="00486EF7"/>
    <w:rsid w:val="0049071C"/>
    <w:rsid w:val="00490B71"/>
    <w:rsid w:val="0049109E"/>
    <w:rsid w:val="00491D2B"/>
    <w:rsid w:val="004960DC"/>
    <w:rsid w:val="004C4098"/>
    <w:rsid w:val="004C6DFB"/>
    <w:rsid w:val="004C79EA"/>
    <w:rsid w:val="004D10CC"/>
    <w:rsid w:val="004F028A"/>
    <w:rsid w:val="005128A2"/>
    <w:rsid w:val="0051391B"/>
    <w:rsid w:val="00516728"/>
    <w:rsid w:val="00524255"/>
    <w:rsid w:val="00532E7B"/>
    <w:rsid w:val="00544E67"/>
    <w:rsid w:val="00545F23"/>
    <w:rsid w:val="00550406"/>
    <w:rsid w:val="00560174"/>
    <w:rsid w:val="00560951"/>
    <w:rsid w:val="00565C6C"/>
    <w:rsid w:val="00571AF5"/>
    <w:rsid w:val="005752D8"/>
    <w:rsid w:val="00576F2D"/>
    <w:rsid w:val="00597631"/>
    <w:rsid w:val="005A0395"/>
    <w:rsid w:val="005A5E3C"/>
    <w:rsid w:val="005A76E8"/>
    <w:rsid w:val="005B6A0C"/>
    <w:rsid w:val="005B6F7D"/>
    <w:rsid w:val="005C1293"/>
    <w:rsid w:val="005C70D4"/>
    <w:rsid w:val="005C7D9F"/>
    <w:rsid w:val="005D59B5"/>
    <w:rsid w:val="005F1370"/>
    <w:rsid w:val="00601080"/>
    <w:rsid w:val="006139EB"/>
    <w:rsid w:val="00620714"/>
    <w:rsid w:val="00621BA1"/>
    <w:rsid w:val="006271C4"/>
    <w:rsid w:val="006369D7"/>
    <w:rsid w:val="00636E21"/>
    <w:rsid w:val="00640788"/>
    <w:rsid w:val="00640B3F"/>
    <w:rsid w:val="006442F7"/>
    <w:rsid w:val="00651BC2"/>
    <w:rsid w:val="00657D53"/>
    <w:rsid w:val="00670069"/>
    <w:rsid w:val="006810DF"/>
    <w:rsid w:val="00681897"/>
    <w:rsid w:val="006A60D8"/>
    <w:rsid w:val="006A77E8"/>
    <w:rsid w:val="006B3668"/>
    <w:rsid w:val="006B7213"/>
    <w:rsid w:val="006D203B"/>
    <w:rsid w:val="006D3ED3"/>
    <w:rsid w:val="006D6434"/>
    <w:rsid w:val="006E1815"/>
    <w:rsid w:val="006F1B84"/>
    <w:rsid w:val="00724C12"/>
    <w:rsid w:val="00725725"/>
    <w:rsid w:val="00726A8E"/>
    <w:rsid w:val="00732951"/>
    <w:rsid w:val="00736344"/>
    <w:rsid w:val="007379FF"/>
    <w:rsid w:val="007427F5"/>
    <w:rsid w:val="00751D51"/>
    <w:rsid w:val="007556E4"/>
    <w:rsid w:val="00767F9D"/>
    <w:rsid w:val="00771D2B"/>
    <w:rsid w:val="00776007"/>
    <w:rsid w:val="00783462"/>
    <w:rsid w:val="007933C7"/>
    <w:rsid w:val="00793C99"/>
    <w:rsid w:val="007975AC"/>
    <w:rsid w:val="007A38FB"/>
    <w:rsid w:val="007A6309"/>
    <w:rsid w:val="007B2376"/>
    <w:rsid w:val="007B2D05"/>
    <w:rsid w:val="007B5496"/>
    <w:rsid w:val="007B5EB0"/>
    <w:rsid w:val="007C5746"/>
    <w:rsid w:val="007D2DC9"/>
    <w:rsid w:val="007E786E"/>
    <w:rsid w:val="00801190"/>
    <w:rsid w:val="008051CE"/>
    <w:rsid w:val="00812373"/>
    <w:rsid w:val="008143C2"/>
    <w:rsid w:val="00814DF3"/>
    <w:rsid w:val="0081583B"/>
    <w:rsid w:val="00820F1E"/>
    <w:rsid w:val="00824591"/>
    <w:rsid w:val="008342D3"/>
    <w:rsid w:val="0084062E"/>
    <w:rsid w:val="0084124E"/>
    <w:rsid w:val="008514DC"/>
    <w:rsid w:val="0085769B"/>
    <w:rsid w:val="008629E3"/>
    <w:rsid w:val="008679B3"/>
    <w:rsid w:val="0088763E"/>
    <w:rsid w:val="008A1201"/>
    <w:rsid w:val="008B676F"/>
    <w:rsid w:val="008D5387"/>
    <w:rsid w:val="008D53DA"/>
    <w:rsid w:val="008F7943"/>
    <w:rsid w:val="00902197"/>
    <w:rsid w:val="009071AB"/>
    <w:rsid w:val="0091069F"/>
    <w:rsid w:val="009233A1"/>
    <w:rsid w:val="00925CDC"/>
    <w:rsid w:val="00934168"/>
    <w:rsid w:val="00950102"/>
    <w:rsid w:val="00965351"/>
    <w:rsid w:val="00971D6F"/>
    <w:rsid w:val="00972DD4"/>
    <w:rsid w:val="009800A6"/>
    <w:rsid w:val="009825B7"/>
    <w:rsid w:val="00986FE5"/>
    <w:rsid w:val="0099245C"/>
    <w:rsid w:val="009945F6"/>
    <w:rsid w:val="009A488F"/>
    <w:rsid w:val="009C75B4"/>
    <w:rsid w:val="00A00B39"/>
    <w:rsid w:val="00A056E9"/>
    <w:rsid w:val="00A24149"/>
    <w:rsid w:val="00A41A6C"/>
    <w:rsid w:val="00A425A9"/>
    <w:rsid w:val="00A50A52"/>
    <w:rsid w:val="00A5252F"/>
    <w:rsid w:val="00A55A63"/>
    <w:rsid w:val="00A562FF"/>
    <w:rsid w:val="00A568E7"/>
    <w:rsid w:val="00A75401"/>
    <w:rsid w:val="00A8581E"/>
    <w:rsid w:val="00AA183C"/>
    <w:rsid w:val="00AB163C"/>
    <w:rsid w:val="00AC5708"/>
    <w:rsid w:val="00AD1BAB"/>
    <w:rsid w:val="00AE0923"/>
    <w:rsid w:val="00AE642D"/>
    <w:rsid w:val="00AF096F"/>
    <w:rsid w:val="00AF2D5E"/>
    <w:rsid w:val="00AF3A5F"/>
    <w:rsid w:val="00AF4C43"/>
    <w:rsid w:val="00AF4CCF"/>
    <w:rsid w:val="00AF7425"/>
    <w:rsid w:val="00B00FDA"/>
    <w:rsid w:val="00B04735"/>
    <w:rsid w:val="00B10B34"/>
    <w:rsid w:val="00B179AF"/>
    <w:rsid w:val="00B25E39"/>
    <w:rsid w:val="00B352D9"/>
    <w:rsid w:val="00B36DB9"/>
    <w:rsid w:val="00B376C2"/>
    <w:rsid w:val="00B46236"/>
    <w:rsid w:val="00B46836"/>
    <w:rsid w:val="00B468CB"/>
    <w:rsid w:val="00B74FB5"/>
    <w:rsid w:val="00B8143E"/>
    <w:rsid w:val="00B8784D"/>
    <w:rsid w:val="00B978D3"/>
    <w:rsid w:val="00BD185A"/>
    <w:rsid w:val="00BD29B5"/>
    <w:rsid w:val="00BD58EF"/>
    <w:rsid w:val="00BF7B25"/>
    <w:rsid w:val="00C1681D"/>
    <w:rsid w:val="00C17F4D"/>
    <w:rsid w:val="00C33618"/>
    <w:rsid w:val="00C43B3F"/>
    <w:rsid w:val="00C52061"/>
    <w:rsid w:val="00C56179"/>
    <w:rsid w:val="00C6435D"/>
    <w:rsid w:val="00C6658B"/>
    <w:rsid w:val="00C679B3"/>
    <w:rsid w:val="00C832C3"/>
    <w:rsid w:val="00C91F34"/>
    <w:rsid w:val="00C956A2"/>
    <w:rsid w:val="00CA052C"/>
    <w:rsid w:val="00CB4A31"/>
    <w:rsid w:val="00CC5808"/>
    <w:rsid w:val="00CC6009"/>
    <w:rsid w:val="00CD5267"/>
    <w:rsid w:val="00CE0D10"/>
    <w:rsid w:val="00CF3E6D"/>
    <w:rsid w:val="00D141CC"/>
    <w:rsid w:val="00D2138B"/>
    <w:rsid w:val="00D2798E"/>
    <w:rsid w:val="00D300D4"/>
    <w:rsid w:val="00D40222"/>
    <w:rsid w:val="00D42938"/>
    <w:rsid w:val="00D64C6C"/>
    <w:rsid w:val="00D672C9"/>
    <w:rsid w:val="00D67B78"/>
    <w:rsid w:val="00D7497D"/>
    <w:rsid w:val="00D76BFA"/>
    <w:rsid w:val="00D839C9"/>
    <w:rsid w:val="00D848C0"/>
    <w:rsid w:val="00D8534F"/>
    <w:rsid w:val="00D906B5"/>
    <w:rsid w:val="00DC75ED"/>
    <w:rsid w:val="00DD024D"/>
    <w:rsid w:val="00DD0436"/>
    <w:rsid w:val="00DD2772"/>
    <w:rsid w:val="00DD4349"/>
    <w:rsid w:val="00DE3F1A"/>
    <w:rsid w:val="00DF25D1"/>
    <w:rsid w:val="00E016A9"/>
    <w:rsid w:val="00E054C3"/>
    <w:rsid w:val="00E06897"/>
    <w:rsid w:val="00E13266"/>
    <w:rsid w:val="00E138B5"/>
    <w:rsid w:val="00E13F90"/>
    <w:rsid w:val="00E23E32"/>
    <w:rsid w:val="00E37EAD"/>
    <w:rsid w:val="00E4102A"/>
    <w:rsid w:val="00E4133C"/>
    <w:rsid w:val="00E51085"/>
    <w:rsid w:val="00E65201"/>
    <w:rsid w:val="00E74A76"/>
    <w:rsid w:val="00E759F9"/>
    <w:rsid w:val="00E8040B"/>
    <w:rsid w:val="00E80904"/>
    <w:rsid w:val="00EA0A99"/>
    <w:rsid w:val="00EA6A99"/>
    <w:rsid w:val="00EC5ECF"/>
    <w:rsid w:val="00EE695E"/>
    <w:rsid w:val="00EF776C"/>
    <w:rsid w:val="00F071B5"/>
    <w:rsid w:val="00F073CD"/>
    <w:rsid w:val="00F1380D"/>
    <w:rsid w:val="00F16901"/>
    <w:rsid w:val="00F17779"/>
    <w:rsid w:val="00F32A4C"/>
    <w:rsid w:val="00F35D26"/>
    <w:rsid w:val="00F5627F"/>
    <w:rsid w:val="00F65AF8"/>
    <w:rsid w:val="00F67D04"/>
    <w:rsid w:val="00F70F22"/>
    <w:rsid w:val="00F902A4"/>
    <w:rsid w:val="00F91D88"/>
    <w:rsid w:val="00F94E3A"/>
    <w:rsid w:val="00FA04E8"/>
    <w:rsid w:val="00FA133B"/>
    <w:rsid w:val="00FA52C1"/>
    <w:rsid w:val="00FB0DFD"/>
    <w:rsid w:val="00FB4364"/>
    <w:rsid w:val="00FB5F92"/>
    <w:rsid w:val="00FE1C5E"/>
    <w:rsid w:val="00FE6530"/>
    <w:rsid w:val="014F10A0"/>
    <w:rsid w:val="2ADF7AB3"/>
    <w:rsid w:val="5B02A8CB"/>
    <w:rsid w:val="7D063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5463"/>
  <w15:chartTrackingRefBased/>
  <w15:docId w15:val="{028AA4CC-BA04-AA4F-A442-ADE629A2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FB"/>
    <w:rPr>
      <w:rFonts w:ascii="Times New Roman" w:eastAsia="Times New Roman" w:hAnsi="Times New Roman" w:cs="Times New Roman"/>
      <w:lang w:eastAsia="en-GB"/>
    </w:rPr>
  </w:style>
  <w:style w:type="paragraph" w:styleId="Heading1">
    <w:name w:val="heading 1"/>
    <w:basedOn w:val="Normal"/>
    <w:next w:val="Paragraph"/>
    <w:link w:val="Heading1Char"/>
    <w:qFormat/>
    <w:rsid w:val="00FE1C5E"/>
    <w:pPr>
      <w:keepNext/>
      <w:spacing w:before="360" w:after="60" w:line="360" w:lineRule="auto"/>
      <w:ind w:right="567"/>
      <w:contextualSpacing/>
      <w:outlineLvl w:val="0"/>
    </w:pPr>
    <w:rPr>
      <w:rFonts w:cs="Arial"/>
      <w:b/>
      <w:bCs/>
      <w:kern w:val="32"/>
      <w:szCs w:val="32"/>
      <w:lang w:eastAsia="en-US"/>
    </w:rPr>
  </w:style>
  <w:style w:type="paragraph" w:styleId="Heading2">
    <w:name w:val="heading 2"/>
    <w:basedOn w:val="Normal"/>
    <w:next w:val="Paragraph"/>
    <w:link w:val="Heading2Char"/>
    <w:qFormat/>
    <w:rsid w:val="00FE1C5E"/>
    <w:pPr>
      <w:keepNext/>
      <w:spacing w:before="360" w:after="60" w:line="360" w:lineRule="auto"/>
      <w:ind w:right="567"/>
      <w:contextualSpacing/>
      <w:outlineLvl w:val="1"/>
    </w:pPr>
    <w:rPr>
      <w:rFonts w:cs="Arial"/>
      <w:b/>
      <w:bCs/>
      <w:i/>
      <w:iCs/>
      <w:szCs w:val="28"/>
      <w:lang w:eastAsia="en-US"/>
    </w:rPr>
  </w:style>
  <w:style w:type="paragraph" w:styleId="Heading3">
    <w:name w:val="heading 3"/>
    <w:basedOn w:val="Normal"/>
    <w:next w:val="Paragraph"/>
    <w:link w:val="Heading3Char"/>
    <w:qFormat/>
    <w:rsid w:val="00FE1C5E"/>
    <w:pPr>
      <w:keepNext/>
      <w:spacing w:before="360" w:after="60" w:line="360" w:lineRule="auto"/>
      <w:ind w:right="567"/>
      <w:contextualSpacing/>
      <w:outlineLvl w:val="2"/>
    </w:pPr>
    <w:rPr>
      <w:rFonts w:cs="Arial"/>
      <w:bCs/>
      <w:i/>
      <w:szCs w:val="26"/>
      <w:lang w:eastAsia="en-US"/>
    </w:rPr>
  </w:style>
  <w:style w:type="paragraph" w:styleId="Heading4">
    <w:name w:val="heading 4"/>
    <w:basedOn w:val="Paragraph"/>
    <w:next w:val="Newparagraph"/>
    <w:link w:val="Heading4Char"/>
    <w:qFormat/>
    <w:rsid w:val="00FE1C5E"/>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C5E"/>
    <w:rPr>
      <w:rFonts w:ascii="Times New Roman" w:eastAsia="Times New Roman" w:hAnsi="Times New Roman" w:cs="Arial"/>
      <w:b/>
      <w:bCs/>
      <w:kern w:val="32"/>
      <w:szCs w:val="32"/>
    </w:rPr>
  </w:style>
  <w:style w:type="character" w:customStyle="1" w:styleId="Heading2Char">
    <w:name w:val="Heading 2 Char"/>
    <w:basedOn w:val="DefaultParagraphFont"/>
    <w:link w:val="Heading2"/>
    <w:rsid w:val="00FE1C5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FE1C5E"/>
    <w:rPr>
      <w:rFonts w:ascii="Times New Roman" w:eastAsia="Times New Roman" w:hAnsi="Times New Roman" w:cs="Arial"/>
      <w:bCs/>
      <w:i/>
      <w:szCs w:val="26"/>
    </w:rPr>
  </w:style>
  <w:style w:type="character" w:customStyle="1" w:styleId="Heading4Char">
    <w:name w:val="Heading 4 Char"/>
    <w:basedOn w:val="DefaultParagraphFont"/>
    <w:link w:val="Heading4"/>
    <w:rsid w:val="00FE1C5E"/>
    <w:rPr>
      <w:rFonts w:ascii="Times New Roman" w:eastAsia="Times New Roman" w:hAnsi="Times New Roman" w:cs="Times New Roman"/>
      <w:bCs/>
      <w:szCs w:val="28"/>
    </w:rPr>
  </w:style>
  <w:style w:type="paragraph" w:customStyle="1" w:styleId="Articletitle">
    <w:name w:val="Article title"/>
    <w:basedOn w:val="Normal"/>
    <w:next w:val="Normal"/>
    <w:qFormat/>
    <w:rsid w:val="00FE1C5E"/>
    <w:pPr>
      <w:spacing w:after="120" w:line="360" w:lineRule="auto"/>
    </w:pPr>
    <w:rPr>
      <w:b/>
      <w:sz w:val="28"/>
      <w:lang w:eastAsia="en-US"/>
    </w:rPr>
  </w:style>
  <w:style w:type="paragraph" w:customStyle="1" w:styleId="Authornames">
    <w:name w:val="Author names"/>
    <w:basedOn w:val="Normal"/>
    <w:next w:val="Normal"/>
    <w:qFormat/>
    <w:rsid w:val="00FE1C5E"/>
    <w:pPr>
      <w:spacing w:before="240" w:line="360" w:lineRule="auto"/>
    </w:pPr>
    <w:rPr>
      <w:sz w:val="28"/>
      <w:lang w:eastAsia="en-US"/>
    </w:rPr>
  </w:style>
  <w:style w:type="paragraph" w:customStyle="1" w:styleId="Affiliation">
    <w:name w:val="Affiliation"/>
    <w:basedOn w:val="Normal"/>
    <w:qFormat/>
    <w:rsid w:val="00FE1C5E"/>
    <w:pPr>
      <w:spacing w:before="240" w:line="360" w:lineRule="auto"/>
    </w:pPr>
    <w:rPr>
      <w:i/>
      <w:lang w:eastAsia="en-US"/>
    </w:rPr>
  </w:style>
  <w:style w:type="paragraph" w:customStyle="1" w:styleId="Receiveddates">
    <w:name w:val="Received dates"/>
    <w:basedOn w:val="Affiliation"/>
    <w:next w:val="Abstract"/>
    <w:qFormat/>
    <w:rsid w:val="00FE1C5E"/>
  </w:style>
  <w:style w:type="paragraph" w:customStyle="1" w:styleId="Abstract">
    <w:name w:val="Abstract"/>
    <w:basedOn w:val="Normal"/>
    <w:next w:val="Keywords"/>
    <w:qFormat/>
    <w:rsid w:val="00FE1C5E"/>
    <w:pPr>
      <w:spacing w:before="360" w:after="300" w:line="360" w:lineRule="auto"/>
      <w:ind w:left="720" w:right="567"/>
      <w:contextualSpacing/>
    </w:pPr>
    <w:rPr>
      <w:sz w:val="22"/>
      <w:lang w:eastAsia="en-US"/>
    </w:rPr>
  </w:style>
  <w:style w:type="paragraph" w:customStyle="1" w:styleId="Keywords">
    <w:name w:val="Keywords"/>
    <w:basedOn w:val="Normal"/>
    <w:next w:val="Paragraph"/>
    <w:qFormat/>
    <w:rsid w:val="00FE1C5E"/>
    <w:pPr>
      <w:spacing w:before="240" w:after="240" w:line="360" w:lineRule="auto"/>
      <w:ind w:left="720" w:right="567"/>
    </w:pPr>
    <w:rPr>
      <w:sz w:val="22"/>
      <w:lang w:eastAsia="en-US"/>
    </w:rPr>
  </w:style>
  <w:style w:type="paragraph" w:customStyle="1" w:styleId="Correspondencedetails">
    <w:name w:val="Correspondence details"/>
    <w:basedOn w:val="Normal"/>
    <w:qFormat/>
    <w:rsid w:val="00FE1C5E"/>
    <w:pPr>
      <w:spacing w:before="240" w:line="360" w:lineRule="auto"/>
    </w:pPr>
    <w:rPr>
      <w:lang w:eastAsia="en-US"/>
    </w:rPr>
  </w:style>
  <w:style w:type="paragraph" w:customStyle="1" w:styleId="Displayedquotation">
    <w:name w:val="Displayed quotation"/>
    <w:basedOn w:val="Normal"/>
    <w:qFormat/>
    <w:rsid w:val="00FE1C5E"/>
    <w:pPr>
      <w:tabs>
        <w:tab w:val="left" w:pos="1077"/>
        <w:tab w:val="left" w:pos="1440"/>
        <w:tab w:val="left" w:pos="1797"/>
        <w:tab w:val="left" w:pos="2155"/>
        <w:tab w:val="left" w:pos="2512"/>
      </w:tabs>
      <w:spacing w:before="240" w:after="360" w:line="360" w:lineRule="auto"/>
      <w:ind w:left="709" w:right="425"/>
      <w:contextualSpacing/>
    </w:pPr>
    <w:rPr>
      <w:sz w:val="22"/>
      <w:lang w:eastAsia="en-US"/>
    </w:rPr>
  </w:style>
  <w:style w:type="paragraph" w:customStyle="1" w:styleId="Numberedlist">
    <w:name w:val="Numbered list"/>
    <w:basedOn w:val="Paragraph"/>
    <w:next w:val="Paragraph"/>
    <w:qFormat/>
    <w:rsid w:val="00FE1C5E"/>
    <w:pPr>
      <w:widowControl/>
      <w:numPr>
        <w:numId w:val="13"/>
      </w:numPr>
      <w:spacing w:after="240"/>
      <w:contextualSpacing/>
    </w:pPr>
  </w:style>
  <w:style w:type="paragraph" w:customStyle="1" w:styleId="Displayedequation">
    <w:name w:val="Displayed equation"/>
    <w:basedOn w:val="Normal"/>
    <w:next w:val="Paragraph"/>
    <w:qFormat/>
    <w:rsid w:val="00FE1C5E"/>
    <w:pPr>
      <w:tabs>
        <w:tab w:val="center" w:pos="4253"/>
        <w:tab w:val="right" w:pos="8222"/>
      </w:tabs>
      <w:spacing w:before="240" w:after="240"/>
      <w:jc w:val="center"/>
    </w:pPr>
    <w:rPr>
      <w:lang w:eastAsia="en-US"/>
    </w:rPr>
  </w:style>
  <w:style w:type="paragraph" w:customStyle="1" w:styleId="Acknowledgements">
    <w:name w:val="Acknowledgements"/>
    <w:basedOn w:val="Normal"/>
    <w:next w:val="Normal"/>
    <w:qFormat/>
    <w:rsid w:val="00FE1C5E"/>
    <w:pPr>
      <w:spacing w:before="120" w:line="360" w:lineRule="auto"/>
    </w:pPr>
    <w:rPr>
      <w:sz w:val="22"/>
      <w:lang w:eastAsia="en-US"/>
    </w:rPr>
  </w:style>
  <w:style w:type="paragraph" w:customStyle="1" w:styleId="Tabletitle">
    <w:name w:val="Table title"/>
    <w:basedOn w:val="Normal"/>
    <w:next w:val="Normal"/>
    <w:qFormat/>
    <w:rsid w:val="00FE1C5E"/>
    <w:pPr>
      <w:spacing w:before="240" w:line="360" w:lineRule="auto"/>
    </w:pPr>
    <w:rPr>
      <w:lang w:eastAsia="en-US"/>
    </w:rPr>
  </w:style>
  <w:style w:type="paragraph" w:customStyle="1" w:styleId="Figurecaption">
    <w:name w:val="Figure caption"/>
    <w:basedOn w:val="Normal"/>
    <w:next w:val="Normal"/>
    <w:qFormat/>
    <w:rsid w:val="00FE1C5E"/>
    <w:pPr>
      <w:spacing w:before="240" w:line="360" w:lineRule="auto"/>
    </w:pPr>
    <w:rPr>
      <w:lang w:eastAsia="en-US"/>
    </w:rPr>
  </w:style>
  <w:style w:type="paragraph" w:customStyle="1" w:styleId="Footnotes">
    <w:name w:val="Footnotes"/>
    <w:basedOn w:val="Normal"/>
    <w:qFormat/>
    <w:rsid w:val="00FE1C5E"/>
    <w:pPr>
      <w:spacing w:before="120" w:line="360" w:lineRule="auto"/>
      <w:ind w:left="482" w:hanging="482"/>
      <w:contextualSpacing/>
    </w:pPr>
    <w:rPr>
      <w:sz w:val="22"/>
      <w:lang w:eastAsia="en-US"/>
    </w:rPr>
  </w:style>
  <w:style w:type="paragraph" w:customStyle="1" w:styleId="Notesoncontributors">
    <w:name w:val="Notes on contributors"/>
    <w:basedOn w:val="Normal"/>
    <w:qFormat/>
    <w:rsid w:val="00FE1C5E"/>
    <w:pPr>
      <w:spacing w:before="240" w:line="360" w:lineRule="auto"/>
    </w:pPr>
    <w:rPr>
      <w:sz w:val="22"/>
      <w:lang w:eastAsia="en-US"/>
    </w:rPr>
  </w:style>
  <w:style w:type="paragraph" w:customStyle="1" w:styleId="Normalparagraphstyle">
    <w:name w:val="Normal paragraph style"/>
    <w:basedOn w:val="Normal"/>
    <w:next w:val="Normal"/>
    <w:rsid w:val="00FE1C5E"/>
    <w:rPr>
      <w:lang w:eastAsia="en-US"/>
    </w:rPr>
  </w:style>
  <w:style w:type="paragraph" w:customStyle="1" w:styleId="Paragraph">
    <w:name w:val="Paragraph"/>
    <w:basedOn w:val="Normal"/>
    <w:next w:val="Newparagraph"/>
    <w:link w:val="ParagraphChar"/>
    <w:qFormat/>
    <w:rsid w:val="00FE1C5E"/>
    <w:pPr>
      <w:widowControl w:val="0"/>
      <w:spacing w:before="240"/>
    </w:pPr>
    <w:rPr>
      <w:lang w:eastAsia="en-US"/>
    </w:rPr>
  </w:style>
  <w:style w:type="paragraph" w:customStyle="1" w:styleId="Newparagraph">
    <w:name w:val="New paragraph"/>
    <w:basedOn w:val="Normal"/>
    <w:qFormat/>
    <w:rsid w:val="00FE1C5E"/>
    <w:pPr>
      <w:ind w:firstLine="720"/>
    </w:pPr>
    <w:rPr>
      <w:lang w:eastAsia="en-US"/>
    </w:rPr>
  </w:style>
  <w:style w:type="paragraph" w:styleId="NormalIndent">
    <w:name w:val="Normal Indent"/>
    <w:basedOn w:val="Normal"/>
    <w:rsid w:val="00FE1C5E"/>
    <w:pPr>
      <w:ind w:left="720"/>
    </w:pPr>
    <w:rPr>
      <w:lang w:eastAsia="en-US"/>
    </w:rPr>
  </w:style>
  <w:style w:type="paragraph" w:customStyle="1" w:styleId="References">
    <w:name w:val="References"/>
    <w:basedOn w:val="Normal"/>
    <w:qFormat/>
    <w:rsid w:val="00FE1C5E"/>
    <w:pPr>
      <w:spacing w:before="120" w:line="360" w:lineRule="auto"/>
      <w:ind w:left="720" w:hanging="720"/>
      <w:contextualSpacing/>
    </w:pPr>
    <w:rPr>
      <w:lang w:eastAsia="en-US"/>
    </w:rPr>
  </w:style>
  <w:style w:type="paragraph" w:customStyle="1" w:styleId="Subjectcodes">
    <w:name w:val="Subject codes"/>
    <w:basedOn w:val="Keywords"/>
    <w:next w:val="Paragraph"/>
    <w:qFormat/>
    <w:rsid w:val="00FE1C5E"/>
  </w:style>
  <w:style w:type="paragraph" w:customStyle="1" w:styleId="Bulletedlist">
    <w:name w:val="Bulleted list"/>
    <w:basedOn w:val="Paragraph"/>
    <w:next w:val="Paragraph"/>
    <w:qFormat/>
    <w:rsid w:val="00FE1C5E"/>
    <w:pPr>
      <w:widowControl/>
      <w:numPr>
        <w:numId w:val="14"/>
      </w:numPr>
      <w:spacing w:after="240"/>
      <w:contextualSpacing/>
    </w:pPr>
  </w:style>
  <w:style w:type="paragraph" w:styleId="FootnoteText">
    <w:name w:val="footnote text"/>
    <w:basedOn w:val="Normal"/>
    <w:link w:val="FootnoteTextChar"/>
    <w:autoRedefine/>
    <w:rsid w:val="00FE1C5E"/>
    <w:pPr>
      <w:ind w:left="284" w:hanging="284"/>
    </w:pPr>
    <w:rPr>
      <w:sz w:val="22"/>
      <w:szCs w:val="20"/>
      <w:lang w:eastAsia="en-US"/>
    </w:rPr>
  </w:style>
  <w:style w:type="character" w:customStyle="1" w:styleId="FootnoteTextChar">
    <w:name w:val="Footnote Text Char"/>
    <w:basedOn w:val="DefaultParagraphFont"/>
    <w:link w:val="FootnoteText"/>
    <w:rsid w:val="00FE1C5E"/>
    <w:rPr>
      <w:rFonts w:ascii="Times New Roman" w:eastAsia="Times New Roman" w:hAnsi="Times New Roman" w:cs="Times New Roman"/>
      <w:sz w:val="22"/>
      <w:szCs w:val="20"/>
    </w:rPr>
  </w:style>
  <w:style w:type="character" w:styleId="FootnoteReference">
    <w:name w:val="footnote reference"/>
    <w:basedOn w:val="DefaultParagraphFont"/>
    <w:rsid w:val="00FE1C5E"/>
    <w:rPr>
      <w:vertAlign w:val="superscript"/>
    </w:rPr>
  </w:style>
  <w:style w:type="paragraph" w:styleId="EndnoteText">
    <w:name w:val="endnote text"/>
    <w:basedOn w:val="Normal"/>
    <w:link w:val="EndnoteTextChar"/>
    <w:autoRedefine/>
    <w:rsid w:val="00FE1C5E"/>
    <w:pPr>
      <w:ind w:left="284" w:hanging="284"/>
    </w:pPr>
    <w:rPr>
      <w:sz w:val="22"/>
      <w:szCs w:val="20"/>
      <w:lang w:eastAsia="en-US"/>
    </w:rPr>
  </w:style>
  <w:style w:type="character" w:customStyle="1" w:styleId="EndnoteTextChar">
    <w:name w:val="Endnote Text Char"/>
    <w:basedOn w:val="DefaultParagraphFont"/>
    <w:link w:val="EndnoteText"/>
    <w:rsid w:val="00FE1C5E"/>
    <w:rPr>
      <w:rFonts w:ascii="Times New Roman" w:eastAsia="Times New Roman" w:hAnsi="Times New Roman" w:cs="Times New Roman"/>
      <w:sz w:val="22"/>
      <w:szCs w:val="20"/>
    </w:rPr>
  </w:style>
  <w:style w:type="character" w:styleId="EndnoteReference">
    <w:name w:val="endnote reference"/>
    <w:basedOn w:val="DefaultParagraphFont"/>
    <w:rsid w:val="00FE1C5E"/>
    <w:rPr>
      <w:vertAlign w:val="superscript"/>
    </w:rPr>
  </w:style>
  <w:style w:type="paragraph" w:styleId="Header">
    <w:name w:val="header"/>
    <w:basedOn w:val="Normal"/>
    <w:link w:val="HeaderChar"/>
    <w:rsid w:val="00FE1C5E"/>
    <w:pPr>
      <w:tabs>
        <w:tab w:val="center" w:pos="4320"/>
        <w:tab w:val="right" w:pos="8640"/>
      </w:tabs>
    </w:pPr>
    <w:rPr>
      <w:lang w:eastAsia="en-US"/>
    </w:rPr>
  </w:style>
  <w:style w:type="character" w:customStyle="1" w:styleId="HeaderChar">
    <w:name w:val="Header Char"/>
    <w:basedOn w:val="DefaultParagraphFont"/>
    <w:link w:val="Header"/>
    <w:rsid w:val="00FE1C5E"/>
    <w:rPr>
      <w:rFonts w:ascii="Times New Roman" w:eastAsia="Times New Roman" w:hAnsi="Times New Roman" w:cs="Times New Roman"/>
    </w:rPr>
  </w:style>
  <w:style w:type="paragraph" w:styleId="Footer">
    <w:name w:val="footer"/>
    <w:basedOn w:val="Normal"/>
    <w:link w:val="FooterChar"/>
    <w:rsid w:val="00FE1C5E"/>
    <w:pPr>
      <w:tabs>
        <w:tab w:val="center" w:pos="4320"/>
        <w:tab w:val="right" w:pos="8640"/>
      </w:tabs>
    </w:pPr>
    <w:rPr>
      <w:lang w:eastAsia="en-US"/>
    </w:rPr>
  </w:style>
  <w:style w:type="character" w:customStyle="1" w:styleId="FooterChar">
    <w:name w:val="Footer Char"/>
    <w:basedOn w:val="DefaultParagraphFont"/>
    <w:link w:val="Footer"/>
    <w:rsid w:val="00FE1C5E"/>
    <w:rPr>
      <w:rFonts w:ascii="Times New Roman" w:eastAsia="Times New Roman" w:hAnsi="Times New Roman" w:cs="Times New Roman"/>
    </w:rPr>
  </w:style>
  <w:style w:type="paragraph" w:customStyle="1" w:styleId="Heading4Paragraph">
    <w:name w:val="Heading 4 + Paragraph"/>
    <w:basedOn w:val="Paragraph"/>
    <w:next w:val="Newparagraph"/>
    <w:qFormat/>
    <w:rsid w:val="00FE1C5E"/>
    <w:pPr>
      <w:widowControl/>
      <w:spacing w:before="360"/>
    </w:pPr>
  </w:style>
  <w:style w:type="paragraph" w:styleId="ListParagraph">
    <w:name w:val="List Paragraph"/>
    <w:basedOn w:val="Normal"/>
    <w:uiPriority w:val="34"/>
    <w:qFormat/>
    <w:rsid w:val="00FE1C5E"/>
    <w:pPr>
      <w:ind w:left="720"/>
      <w:contextualSpacing/>
    </w:pPr>
    <w:rPr>
      <w:rFonts w:asciiTheme="minorHAnsi" w:eastAsiaTheme="minorEastAsia" w:hAnsiTheme="minorHAnsi" w:cstheme="minorBidi"/>
      <w:lang w:eastAsia="en-US"/>
    </w:rPr>
  </w:style>
  <w:style w:type="paragraph" w:customStyle="1" w:styleId="EndNoteBibliographyTitle">
    <w:name w:val="EndNote Bibliography Title"/>
    <w:basedOn w:val="Normal"/>
    <w:link w:val="EndNoteBibliographyTitleChar"/>
    <w:rsid w:val="00FE1C5E"/>
    <w:pPr>
      <w:jc w:val="center"/>
    </w:pPr>
    <w:rPr>
      <w:lang w:eastAsia="en-US"/>
    </w:rPr>
  </w:style>
  <w:style w:type="character" w:customStyle="1" w:styleId="ParagraphChar">
    <w:name w:val="Paragraph Char"/>
    <w:basedOn w:val="DefaultParagraphFont"/>
    <w:link w:val="Paragraph"/>
    <w:rsid w:val="00FE1C5E"/>
    <w:rPr>
      <w:rFonts w:ascii="Times New Roman" w:eastAsia="Times New Roman" w:hAnsi="Times New Roman" w:cs="Times New Roman"/>
    </w:rPr>
  </w:style>
  <w:style w:type="character" w:customStyle="1" w:styleId="EndNoteBibliographyTitleChar">
    <w:name w:val="EndNote Bibliography Title Char"/>
    <w:basedOn w:val="ParagraphChar"/>
    <w:link w:val="EndNoteBibliographyTitle"/>
    <w:rsid w:val="00FE1C5E"/>
    <w:rPr>
      <w:rFonts w:ascii="Times New Roman" w:eastAsia="Times New Roman" w:hAnsi="Times New Roman" w:cs="Times New Roman"/>
    </w:rPr>
  </w:style>
  <w:style w:type="paragraph" w:customStyle="1" w:styleId="EndNoteBibliography">
    <w:name w:val="EndNote Bibliography"/>
    <w:basedOn w:val="Normal"/>
    <w:link w:val="EndNoteBibliographyChar"/>
    <w:rsid w:val="00FE1C5E"/>
    <w:rPr>
      <w:lang w:eastAsia="en-US"/>
    </w:rPr>
  </w:style>
  <w:style w:type="character" w:customStyle="1" w:styleId="EndNoteBibliographyChar">
    <w:name w:val="EndNote Bibliography Char"/>
    <w:basedOn w:val="ParagraphChar"/>
    <w:link w:val="EndNoteBibliography"/>
    <w:rsid w:val="00FE1C5E"/>
    <w:rPr>
      <w:rFonts w:ascii="Times New Roman" w:eastAsia="Times New Roman" w:hAnsi="Times New Roman" w:cs="Times New Roman"/>
    </w:rPr>
  </w:style>
  <w:style w:type="character" w:styleId="Hyperlink">
    <w:name w:val="Hyperlink"/>
    <w:basedOn w:val="DefaultParagraphFont"/>
    <w:uiPriority w:val="99"/>
    <w:unhideWhenUsed/>
    <w:rsid w:val="00FE1C5E"/>
    <w:rPr>
      <w:color w:val="0563C1" w:themeColor="hyperlink"/>
      <w:u w:val="single"/>
    </w:rPr>
  </w:style>
  <w:style w:type="character" w:styleId="UnresolvedMention">
    <w:name w:val="Unresolved Mention"/>
    <w:basedOn w:val="DefaultParagraphFont"/>
    <w:uiPriority w:val="99"/>
    <w:semiHidden/>
    <w:unhideWhenUsed/>
    <w:rsid w:val="00FE1C5E"/>
    <w:rPr>
      <w:color w:val="605E5C"/>
      <w:shd w:val="clear" w:color="auto" w:fill="E1DFDD"/>
    </w:rPr>
  </w:style>
  <w:style w:type="paragraph" w:styleId="PlainText">
    <w:name w:val="Plain Text"/>
    <w:basedOn w:val="Normal"/>
    <w:link w:val="PlainTextChar"/>
    <w:semiHidden/>
    <w:unhideWhenUsed/>
    <w:rsid w:val="00FE1C5E"/>
    <w:rPr>
      <w:rFonts w:ascii="Consolas" w:hAnsi="Consolas" w:cs="Consolas"/>
      <w:sz w:val="21"/>
      <w:szCs w:val="21"/>
    </w:rPr>
  </w:style>
  <w:style w:type="character" w:customStyle="1" w:styleId="PlainTextChar">
    <w:name w:val="Plain Text Char"/>
    <w:basedOn w:val="DefaultParagraphFont"/>
    <w:link w:val="PlainText"/>
    <w:semiHidden/>
    <w:rsid w:val="00FE1C5E"/>
    <w:rPr>
      <w:rFonts w:ascii="Consolas" w:eastAsia="Times New Roman" w:hAnsi="Consolas" w:cs="Consolas"/>
      <w:sz w:val="21"/>
      <w:szCs w:val="21"/>
    </w:rPr>
  </w:style>
  <w:style w:type="paragraph" w:styleId="NormalWeb">
    <w:name w:val="Normal (Web)"/>
    <w:basedOn w:val="Normal"/>
    <w:uiPriority w:val="99"/>
    <w:unhideWhenUsed/>
    <w:rsid w:val="00FE1C5E"/>
    <w:rPr>
      <w:rFonts w:eastAsiaTheme="minorHAnsi"/>
      <w:lang w:eastAsia="en-US"/>
    </w:rPr>
  </w:style>
  <w:style w:type="paragraph" w:customStyle="1" w:styleId="p1">
    <w:name w:val="p1"/>
    <w:basedOn w:val="Normal"/>
    <w:rsid w:val="00FE1C5E"/>
    <w:rPr>
      <w:rFonts w:ascii="Helvetica" w:eastAsiaTheme="minorHAnsi" w:hAnsi="Helvetica"/>
      <w:sz w:val="16"/>
      <w:szCs w:val="16"/>
      <w:lang w:eastAsia="en-US"/>
    </w:rPr>
  </w:style>
  <w:style w:type="table" w:styleId="TableGrid">
    <w:name w:val="Table Grid"/>
    <w:basedOn w:val="TableNormal"/>
    <w:uiPriority w:val="39"/>
    <w:rsid w:val="00FE1C5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C5E"/>
    <w:rPr>
      <w:sz w:val="16"/>
      <w:szCs w:val="16"/>
    </w:rPr>
  </w:style>
  <w:style w:type="paragraph" w:styleId="CommentText">
    <w:name w:val="annotation text"/>
    <w:basedOn w:val="Normal"/>
    <w:link w:val="CommentTextChar"/>
    <w:uiPriority w:val="99"/>
    <w:unhideWhenUsed/>
    <w:rsid w:val="00FE1C5E"/>
    <w:rPr>
      <w:sz w:val="20"/>
      <w:szCs w:val="20"/>
      <w:lang w:eastAsia="en-US"/>
    </w:rPr>
  </w:style>
  <w:style w:type="character" w:customStyle="1" w:styleId="CommentTextChar">
    <w:name w:val="Comment Text Char"/>
    <w:basedOn w:val="DefaultParagraphFont"/>
    <w:link w:val="CommentText"/>
    <w:uiPriority w:val="99"/>
    <w:rsid w:val="00FE1C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E1C5E"/>
    <w:rPr>
      <w:b/>
      <w:bCs/>
    </w:rPr>
  </w:style>
  <w:style w:type="character" w:customStyle="1" w:styleId="CommentSubjectChar">
    <w:name w:val="Comment Subject Char"/>
    <w:basedOn w:val="CommentTextChar"/>
    <w:link w:val="CommentSubject"/>
    <w:semiHidden/>
    <w:rsid w:val="00FE1C5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E1C5E"/>
    <w:rPr>
      <w:sz w:val="18"/>
      <w:szCs w:val="18"/>
      <w:lang w:eastAsia="en-US"/>
    </w:rPr>
  </w:style>
  <w:style w:type="character" w:customStyle="1" w:styleId="BalloonTextChar">
    <w:name w:val="Balloon Text Char"/>
    <w:basedOn w:val="DefaultParagraphFont"/>
    <w:link w:val="BalloonText"/>
    <w:semiHidden/>
    <w:rsid w:val="00FE1C5E"/>
    <w:rPr>
      <w:rFonts w:ascii="Times New Roman" w:eastAsia="Times New Roman" w:hAnsi="Times New Roman" w:cs="Times New Roman"/>
      <w:sz w:val="18"/>
      <w:szCs w:val="18"/>
    </w:rPr>
  </w:style>
  <w:style w:type="paragraph" w:styleId="Revision">
    <w:name w:val="Revision"/>
    <w:hidden/>
    <w:semiHidden/>
    <w:rsid w:val="00FE1C5E"/>
    <w:rPr>
      <w:rFonts w:ascii="Times New Roman" w:eastAsia="Times New Roman" w:hAnsi="Times New Roman" w:cs="Times New Roman"/>
      <w:lang w:val="en-GB" w:eastAsia="en-GB"/>
    </w:rPr>
  </w:style>
  <w:style w:type="character" w:styleId="PageNumber">
    <w:name w:val="page number"/>
    <w:basedOn w:val="DefaultParagraphFont"/>
    <w:semiHidden/>
    <w:unhideWhenUsed/>
    <w:rsid w:val="00FE1C5E"/>
  </w:style>
  <w:style w:type="character" w:customStyle="1" w:styleId="apple-converted-space">
    <w:name w:val="apple-converted-space"/>
    <w:basedOn w:val="DefaultParagraphFont"/>
    <w:rsid w:val="00FE1C5E"/>
  </w:style>
  <w:style w:type="character" w:customStyle="1" w:styleId="authors">
    <w:name w:val="authors"/>
    <w:basedOn w:val="DefaultParagraphFont"/>
    <w:rsid w:val="000D32FB"/>
  </w:style>
  <w:style w:type="character" w:customStyle="1" w:styleId="Date1">
    <w:name w:val="Date1"/>
    <w:basedOn w:val="DefaultParagraphFont"/>
    <w:rsid w:val="000D32FB"/>
  </w:style>
  <w:style w:type="character" w:customStyle="1" w:styleId="arttitle">
    <w:name w:val="art_title"/>
    <w:basedOn w:val="DefaultParagraphFont"/>
    <w:rsid w:val="000D32FB"/>
  </w:style>
  <w:style w:type="character" w:customStyle="1" w:styleId="serialtitle">
    <w:name w:val="serial_title"/>
    <w:basedOn w:val="DefaultParagraphFont"/>
    <w:rsid w:val="000D32FB"/>
  </w:style>
  <w:style w:type="character" w:customStyle="1" w:styleId="doilink">
    <w:name w:val="doi_link"/>
    <w:basedOn w:val="DefaultParagraphFont"/>
    <w:rsid w:val="000D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7040">
      <w:bodyDiv w:val="1"/>
      <w:marLeft w:val="0"/>
      <w:marRight w:val="0"/>
      <w:marTop w:val="0"/>
      <w:marBottom w:val="0"/>
      <w:divBdr>
        <w:top w:val="none" w:sz="0" w:space="0" w:color="auto"/>
        <w:left w:val="none" w:sz="0" w:space="0" w:color="auto"/>
        <w:bottom w:val="none" w:sz="0" w:space="0" w:color="auto"/>
        <w:right w:val="none" w:sz="0" w:space="0" w:color="auto"/>
      </w:divBdr>
      <w:divsChild>
        <w:div w:id="420640698">
          <w:marLeft w:val="0"/>
          <w:marRight w:val="0"/>
          <w:marTop w:val="0"/>
          <w:marBottom w:val="0"/>
          <w:divBdr>
            <w:top w:val="none" w:sz="0" w:space="0" w:color="auto"/>
            <w:left w:val="none" w:sz="0" w:space="0" w:color="auto"/>
            <w:bottom w:val="none" w:sz="0" w:space="0" w:color="auto"/>
            <w:right w:val="none" w:sz="0" w:space="0" w:color="auto"/>
          </w:divBdr>
        </w:div>
        <w:div w:id="1033921840">
          <w:marLeft w:val="0"/>
          <w:marRight w:val="0"/>
          <w:marTop w:val="0"/>
          <w:marBottom w:val="0"/>
          <w:divBdr>
            <w:top w:val="none" w:sz="0" w:space="0" w:color="auto"/>
            <w:left w:val="none" w:sz="0" w:space="0" w:color="auto"/>
            <w:bottom w:val="none" w:sz="0" w:space="0" w:color="auto"/>
            <w:right w:val="none" w:sz="0" w:space="0" w:color="auto"/>
          </w:divBdr>
        </w:div>
      </w:divsChild>
    </w:div>
    <w:div w:id="1334644242">
      <w:bodyDiv w:val="1"/>
      <w:marLeft w:val="0"/>
      <w:marRight w:val="0"/>
      <w:marTop w:val="0"/>
      <w:marBottom w:val="0"/>
      <w:divBdr>
        <w:top w:val="none" w:sz="0" w:space="0" w:color="auto"/>
        <w:left w:val="none" w:sz="0" w:space="0" w:color="auto"/>
        <w:bottom w:val="none" w:sz="0" w:space="0" w:color="auto"/>
        <w:right w:val="none" w:sz="0" w:space="0" w:color="auto"/>
      </w:divBdr>
    </w:div>
    <w:div w:id="1560239380">
      <w:bodyDiv w:val="1"/>
      <w:marLeft w:val="0"/>
      <w:marRight w:val="0"/>
      <w:marTop w:val="0"/>
      <w:marBottom w:val="0"/>
      <w:divBdr>
        <w:top w:val="none" w:sz="0" w:space="0" w:color="auto"/>
        <w:left w:val="none" w:sz="0" w:space="0" w:color="auto"/>
        <w:bottom w:val="none" w:sz="0" w:space="0" w:color="auto"/>
        <w:right w:val="none" w:sz="0" w:space="0" w:color="auto"/>
      </w:divBdr>
    </w:div>
    <w:div w:id="1732847152">
      <w:bodyDiv w:val="1"/>
      <w:marLeft w:val="0"/>
      <w:marRight w:val="0"/>
      <w:marTop w:val="0"/>
      <w:marBottom w:val="0"/>
      <w:divBdr>
        <w:top w:val="none" w:sz="0" w:space="0" w:color="auto"/>
        <w:left w:val="none" w:sz="0" w:space="0" w:color="auto"/>
        <w:bottom w:val="none" w:sz="0" w:space="0" w:color="auto"/>
        <w:right w:val="none" w:sz="0" w:space="0" w:color="auto"/>
      </w:divBdr>
    </w:div>
    <w:div w:id="20637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003-1273"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by.cathcart@qut.edu.au" TargetMode="External"/><Relationship Id="rId12" Type="http://schemas.openxmlformats.org/officeDocument/2006/relationships/hyperlink" Target="https://www.enhancementthemes.ac.uk/evidence-for-enhancement/defining-and-capturing-evidence/the-intangibles-beyond-the-metr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ce-he.ac.uk/knowledge-hub/evidencing-teaching-excell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80/1360144X.2021.1878032" TargetMode="External"/><Relationship Id="rId4" Type="http://schemas.openxmlformats.org/officeDocument/2006/relationships/webSettings" Target="webSettings.xml"/><Relationship Id="rId9" Type="http://schemas.openxmlformats.org/officeDocument/2006/relationships/hyperlink" Target="https://doi.org/10.1177/0013164002197093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6507</Words>
  <Characters>37091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Cathcart</dc:creator>
  <cp:keywords/>
  <dc:description/>
  <cp:lastModifiedBy>Abby Cathcart</cp:lastModifiedBy>
  <cp:revision>4</cp:revision>
  <dcterms:created xsi:type="dcterms:W3CDTF">2021-02-14T23:54:00Z</dcterms:created>
  <dcterms:modified xsi:type="dcterms:W3CDTF">2021-02-14T23:57:00Z</dcterms:modified>
</cp:coreProperties>
</file>