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041B" w14:textId="1A4E238E" w:rsidR="004F393F" w:rsidRPr="00C27CEA" w:rsidRDefault="004F393F" w:rsidP="00C27CEA">
      <w:pPr>
        <w:pStyle w:val="Title"/>
        <w:rPr>
          <w:rFonts w:ascii="Gill Sans MT" w:hAnsi="Gill Sans MT"/>
          <w:sz w:val="36"/>
          <w:szCs w:val="36"/>
        </w:rPr>
      </w:pPr>
      <w:r w:rsidRPr="00C27CEA">
        <w:rPr>
          <w:rFonts w:ascii="Gill Sans MT" w:hAnsi="Gill Sans MT"/>
          <w:sz w:val="36"/>
          <w:szCs w:val="36"/>
        </w:rPr>
        <w:t xml:space="preserve">A stitch in time saves nine: the importance of biological maturation for </w:t>
      </w:r>
      <w:r w:rsidR="006D5D60" w:rsidRPr="00C27CEA">
        <w:rPr>
          <w:rFonts w:ascii="Gill Sans MT" w:hAnsi="Gill Sans MT"/>
          <w:sz w:val="36"/>
          <w:szCs w:val="36"/>
        </w:rPr>
        <w:t xml:space="preserve">talented </w:t>
      </w:r>
      <w:r w:rsidRPr="00C27CEA">
        <w:rPr>
          <w:rFonts w:ascii="Gill Sans MT" w:hAnsi="Gill Sans MT"/>
          <w:sz w:val="36"/>
          <w:szCs w:val="36"/>
        </w:rPr>
        <w:t>athlet</w:t>
      </w:r>
      <w:r w:rsidR="006D5D60" w:rsidRPr="00C27CEA">
        <w:rPr>
          <w:rFonts w:ascii="Gill Sans MT" w:hAnsi="Gill Sans MT"/>
          <w:sz w:val="36"/>
          <w:szCs w:val="36"/>
        </w:rPr>
        <w:t>e</w:t>
      </w:r>
      <w:r w:rsidRPr="00C27CEA">
        <w:rPr>
          <w:rFonts w:ascii="Gill Sans MT" w:hAnsi="Gill Sans MT"/>
          <w:sz w:val="36"/>
          <w:szCs w:val="36"/>
        </w:rPr>
        <w:t xml:space="preserve"> development</w:t>
      </w:r>
    </w:p>
    <w:p w14:paraId="5BAEC2DD" w14:textId="77777777" w:rsidR="003C176A" w:rsidRPr="003D7F9A" w:rsidRDefault="003C176A">
      <w:pPr>
        <w:rPr>
          <w:rFonts w:ascii="Gill Sans MT" w:hAnsi="Gill Sans MT" w:cs="Times New Roman"/>
          <w:sz w:val="20"/>
          <w:szCs w:val="20"/>
        </w:rPr>
      </w:pPr>
    </w:p>
    <w:p w14:paraId="611BCEE6" w14:textId="0CF9BEE5" w:rsidR="0031495B" w:rsidRPr="000E48FD" w:rsidRDefault="00B03A83">
      <w:pPr>
        <w:rPr>
          <w:rFonts w:ascii="Gill Sans MT" w:hAnsi="Gill Sans MT" w:cs="Times New Roman"/>
          <w:i/>
          <w:iCs/>
          <w:sz w:val="20"/>
          <w:szCs w:val="20"/>
        </w:rPr>
      </w:pPr>
      <w:r w:rsidRPr="000E48FD">
        <w:rPr>
          <w:rFonts w:ascii="Gill Sans MT" w:hAnsi="Gill Sans MT" w:cs="Times New Roman"/>
          <w:i/>
          <w:iCs/>
          <w:sz w:val="20"/>
          <w:szCs w:val="20"/>
        </w:rPr>
        <w:t xml:space="preserve">Jamie Salter, David Johnson and Dr Chris </w:t>
      </w:r>
      <w:proofErr w:type="spellStart"/>
      <w:r w:rsidRPr="000E48FD">
        <w:rPr>
          <w:rFonts w:ascii="Gill Sans MT" w:hAnsi="Gill Sans MT" w:cs="Times New Roman"/>
          <w:i/>
          <w:iCs/>
          <w:sz w:val="20"/>
          <w:szCs w:val="20"/>
        </w:rPr>
        <w:t>Towlson</w:t>
      </w:r>
      <w:proofErr w:type="spellEnd"/>
      <w:r w:rsidR="000E48FD" w:rsidRPr="000E48FD">
        <w:rPr>
          <w:rFonts w:ascii="Gill Sans MT" w:hAnsi="Gill Sans MT" w:cs="Times New Roman"/>
          <w:i/>
          <w:iCs/>
          <w:sz w:val="20"/>
          <w:szCs w:val="20"/>
        </w:rPr>
        <w:t xml:space="preserve"> outline the importance of individualising training prescription to minimise injury risk and optimise talent development in youth sport environments</w:t>
      </w:r>
    </w:p>
    <w:p w14:paraId="2C39BA7E" w14:textId="77777777" w:rsidR="00A336BE" w:rsidRDefault="00A336BE" w:rsidP="003D7F9A">
      <w:pPr>
        <w:jc w:val="both"/>
        <w:rPr>
          <w:rFonts w:ascii="Gill Sans MT" w:hAnsi="Gill Sans MT" w:cs="Times New Roman"/>
          <w:sz w:val="20"/>
          <w:szCs w:val="20"/>
        </w:rPr>
      </w:pPr>
    </w:p>
    <w:p w14:paraId="1DCD29CB" w14:textId="7D2A041A" w:rsidR="003D7F9A" w:rsidRPr="00C27CEA" w:rsidRDefault="77C93EC5" w:rsidP="00C27CEA">
      <w:pPr>
        <w:pStyle w:val="Heading1"/>
        <w:rPr>
          <w:rFonts w:ascii="Gill Sans MT" w:hAnsi="Gill Sans MT"/>
          <w:b/>
          <w:color w:val="000000" w:themeColor="text1"/>
          <w:sz w:val="24"/>
          <w:szCs w:val="24"/>
        </w:rPr>
      </w:pPr>
      <w:r w:rsidRPr="00C27CEA">
        <w:rPr>
          <w:rFonts w:ascii="Gill Sans MT" w:hAnsi="Gill Sans MT"/>
          <w:b/>
          <w:color w:val="000000" w:themeColor="text1"/>
          <w:sz w:val="24"/>
          <w:szCs w:val="24"/>
        </w:rPr>
        <w:t>Introduction</w:t>
      </w:r>
    </w:p>
    <w:p w14:paraId="21211809" w14:textId="52708B57" w:rsidR="000F694A" w:rsidRPr="00B03A83" w:rsidRDefault="77C93EC5"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The individualisation of training is universally accepted to optimise performance</w:t>
      </w:r>
      <w:r w:rsidR="003B4D07" w:rsidRPr="00B03A83">
        <w:rPr>
          <w:rFonts w:ascii="Gill Sans MT" w:hAnsi="Gill Sans MT" w:cs="Times New Roman"/>
          <w:sz w:val="22"/>
          <w:szCs w:val="22"/>
        </w:rPr>
        <w:t>,</w:t>
      </w:r>
      <w:r w:rsidRPr="00B03A83">
        <w:rPr>
          <w:rFonts w:ascii="Gill Sans MT" w:hAnsi="Gill Sans MT" w:cs="Times New Roman"/>
          <w:sz w:val="22"/>
          <w:szCs w:val="22"/>
        </w:rPr>
        <w:t xml:space="preserve"> reduce injury risk</w:t>
      </w:r>
      <w:r w:rsidR="006506F2" w:rsidRPr="00B03A83">
        <w:rPr>
          <w:rFonts w:ascii="Gill Sans MT" w:hAnsi="Gill Sans MT" w:cs="Times New Roman"/>
          <w:sz w:val="22"/>
          <w:szCs w:val="22"/>
        </w:rPr>
        <w:t xml:space="preserve"> and promote talent development</w:t>
      </w:r>
      <w:r w:rsidRPr="00B03A83">
        <w:rPr>
          <w:rFonts w:ascii="Gill Sans MT" w:hAnsi="Gill Sans MT" w:cs="Times New Roman"/>
          <w:sz w:val="22"/>
          <w:szCs w:val="22"/>
        </w:rPr>
        <w:t xml:space="preserve">. </w:t>
      </w:r>
      <w:r w:rsidR="00127D6D" w:rsidRPr="00B03A83">
        <w:rPr>
          <w:rFonts w:ascii="Gill Sans MT" w:hAnsi="Gill Sans MT" w:cs="Times New Roman"/>
          <w:sz w:val="22"/>
          <w:szCs w:val="22"/>
        </w:rPr>
        <w:t>Tailor</w:t>
      </w:r>
      <w:bookmarkStart w:id="0" w:name="_GoBack"/>
      <w:bookmarkEnd w:id="0"/>
      <w:r w:rsidR="00127D6D" w:rsidRPr="00B03A83">
        <w:rPr>
          <w:rFonts w:ascii="Gill Sans MT" w:hAnsi="Gill Sans MT" w:cs="Times New Roman"/>
          <w:sz w:val="22"/>
          <w:szCs w:val="22"/>
        </w:rPr>
        <w:t>ing</w:t>
      </w:r>
      <w:r w:rsidRPr="00B03A83">
        <w:rPr>
          <w:rFonts w:ascii="Gill Sans MT" w:hAnsi="Gill Sans MT" w:cs="Times New Roman"/>
          <w:sz w:val="22"/>
          <w:szCs w:val="22"/>
        </w:rPr>
        <w:t xml:space="preserve"> </w:t>
      </w:r>
      <w:r w:rsidR="00127D6D" w:rsidRPr="00B03A83">
        <w:rPr>
          <w:rFonts w:ascii="Gill Sans MT" w:hAnsi="Gill Sans MT" w:cs="Times New Roman"/>
          <w:sz w:val="22"/>
          <w:szCs w:val="22"/>
        </w:rPr>
        <w:t>the prescription of training</w:t>
      </w:r>
      <w:r w:rsidRPr="00B03A83">
        <w:rPr>
          <w:rFonts w:ascii="Gill Sans MT" w:hAnsi="Gill Sans MT" w:cs="Times New Roman"/>
          <w:sz w:val="22"/>
          <w:szCs w:val="22"/>
        </w:rPr>
        <w:t xml:space="preserve"> stimulates desired physical and physiological adaptations, accelerates recovery and helps to maintain psychologically healthy athletes. By manipulating scientific principles, practitioners can </w:t>
      </w:r>
      <w:r w:rsidR="001D610B" w:rsidRPr="00B03A83">
        <w:rPr>
          <w:rFonts w:ascii="Gill Sans MT" w:hAnsi="Gill Sans MT" w:cs="Times New Roman"/>
          <w:sz w:val="22"/>
          <w:szCs w:val="22"/>
        </w:rPr>
        <w:t>periodise</w:t>
      </w:r>
      <w:r w:rsidRPr="00B03A83">
        <w:rPr>
          <w:rFonts w:ascii="Gill Sans MT" w:hAnsi="Gill Sans MT" w:cs="Times New Roman"/>
          <w:sz w:val="22"/>
          <w:szCs w:val="22"/>
        </w:rPr>
        <w:t xml:space="preserve"> training </w:t>
      </w:r>
      <w:r w:rsidR="00BE7A41" w:rsidRPr="00B03A83">
        <w:rPr>
          <w:rFonts w:ascii="Gill Sans MT" w:hAnsi="Gill Sans MT" w:cs="Times New Roman"/>
          <w:sz w:val="22"/>
          <w:szCs w:val="22"/>
        </w:rPr>
        <w:t xml:space="preserve">prescription </w:t>
      </w:r>
      <w:r w:rsidRPr="00B03A83">
        <w:rPr>
          <w:rFonts w:ascii="Gill Sans MT" w:hAnsi="Gill Sans MT" w:cs="Times New Roman"/>
          <w:sz w:val="22"/>
          <w:szCs w:val="22"/>
        </w:rPr>
        <w:t xml:space="preserve">based on sporting demands, seasonal-cycle, athlete characteristics and coach leadership styles. </w:t>
      </w:r>
      <w:r w:rsidR="0074010A" w:rsidRPr="00B03A83">
        <w:rPr>
          <w:rFonts w:ascii="Gill Sans MT" w:hAnsi="Gill Sans MT" w:cs="Times New Roman"/>
          <w:sz w:val="22"/>
          <w:szCs w:val="22"/>
        </w:rPr>
        <w:t>At elite levels, a</w:t>
      </w:r>
      <w:r w:rsidRPr="00B03A83">
        <w:rPr>
          <w:rFonts w:ascii="Gill Sans MT" w:hAnsi="Gill Sans MT" w:cs="Times New Roman"/>
          <w:sz w:val="22"/>
          <w:szCs w:val="22"/>
        </w:rPr>
        <w:t>dvances in technology and data processing have enabled quick and sophisticated monitoring of both internal (</w:t>
      </w:r>
      <w:r w:rsidR="008B4683" w:rsidRPr="00B03A83">
        <w:rPr>
          <w:rFonts w:ascii="Gill Sans MT" w:hAnsi="Gill Sans MT" w:cs="Times New Roman"/>
          <w:sz w:val="22"/>
          <w:szCs w:val="22"/>
        </w:rPr>
        <w:t>e.g.,</w:t>
      </w:r>
      <w:r w:rsidRPr="00B03A83">
        <w:rPr>
          <w:rFonts w:ascii="Gill Sans MT" w:hAnsi="Gill Sans MT" w:cs="Times New Roman"/>
          <w:sz w:val="22"/>
          <w:szCs w:val="22"/>
        </w:rPr>
        <w:t xml:space="preserve"> heart rate and perc</w:t>
      </w:r>
      <w:r w:rsidR="008B4683" w:rsidRPr="00B03A83">
        <w:rPr>
          <w:rFonts w:ascii="Gill Sans MT" w:hAnsi="Gill Sans MT" w:cs="Times New Roman"/>
          <w:sz w:val="22"/>
          <w:szCs w:val="22"/>
        </w:rPr>
        <w:t>eived</w:t>
      </w:r>
      <w:r w:rsidRPr="00B03A83">
        <w:rPr>
          <w:rFonts w:ascii="Gill Sans MT" w:hAnsi="Gill Sans MT" w:cs="Times New Roman"/>
          <w:sz w:val="22"/>
          <w:szCs w:val="22"/>
        </w:rPr>
        <w:t xml:space="preserve"> exertion) and external metrics (</w:t>
      </w:r>
      <w:r w:rsidR="00625883" w:rsidRPr="00B03A83">
        <w:rPr>
          <w:rFonts w:ascii="Gill Sans MT" w:hAnsi="Gill Sans MT" w:cs="Times New Roman"/>
          <w:sz w:val="22"/>
          <w:szCs w:val="22"/>
        </w:rPr>
        <w:t>e.g.,</w:t>
      </w:r>
      <w:r w:rsidRPr="00B03A83">
        <w:rPr>
          <w:rFonts w:ascii="Gill Sans MT" w:hAnsi="Gill Sans MT" w:cs="Times New Roman"/>
          <w:sz w:val="22"/>
          <w:szCs w:val="22"/>
        </w:rPr>
        <w:t xml:space="preserve"> training volume, GPS metrics) to inform decision-</w:t>
      </w:r>
      <w:r w:rsidR="00B426A9" w:rsidRPr="00B03A83">
        <w:rPr>
          <w:rFonts w:ascii="Gill Sans MT" w:hAnsi="Gill Sans MT" w:cs="Times New Roman"/>
          <w:sz w:val="22"/>
          <w:szCs w:val="22"/>
        </w:rPr>
        <w:t>making.</w:t>
      </w:r>
      <w:r w:rsidRPr="00B03A83">
        <w:rPr>
          <w:rFonts w:ascii="Gill Sans MT" w:hAnsi="Gill Sans MT" w:cs="Times New Roman"/>
          <w:sz w:val="22"/>
          <w:szCs w:val="22"/>
        </w:rPr>
        <w:t xml:space="preserve"> The recent proliferation of research exploring associations between training load, injury and performance would suggest this is now ‘standard practice’, rather than ‘best practice’ and that interpreting and applying data </w:t>
      </w:r>
      <w:r w:rsidR="00F05086" w:rsidRPr="00B03A83">
        <w:rPr>
          <w:rFonts w:ascii="Gill Sans MT" w:hAnsi="Gill Sans MT" w:cs="Times New Roman"/>
          <w:sz w:val="22"/>
          <w:szCs w:val="22"/>
        </w:rPr>
        <w:t xml:space="preserve">to inform </w:t>
      </w:r>
      <w:r w:rsidR="00D8059D" w:rsidRPr="00B03A83">
        <w:rPr>
          <w:rFonts w:ascii="Gill Sans MT" w:hAnsi="Gill Sans MT" w:cs="Times New Roman"/>
          <w:sz w:val="22"/>
          <w:szCs w:val="22"/>
        </w:rPr>
        <w:t xml:space="preserve">training </w:t>
      </w:r>
      <w:r w:rsidRPr="00B03A83">
        <w:rPr>
          <w:rFonts w:ascii="Gill Sans MT" w:hAnsi="Gill Sans MT" w:cs="Times New Roman"/>
          <w:sz w:val="22"/>
          <w:szCs w:val="22"/>
        </w:rPr>
        <w:t>is a preconceived notion</w:t>
      </w:r>
      <w:r w:rsidR="00E85D49" w:rsidRPr="00B03A83">
        <w:rPr>
          <w:rFonts w:ascii="Gill Sans MT" w:hAnsi="Gill Sans MT" w:cs="Times New Roman"/>
          <w:sz w:val="22"/>
          <w:szCs w:val="22"/>
        </w:rPr>
        <w:t>;</w:t>
      </w:r>
      <w:r w:rsidRPr="00B03A83">
        <w:rPr>
          <w:rFonts w:ascii="Gill Sans MT" w:hAnsi="Gill Sans MT" w:cs="Times New Roman"/>
          <w:sz w:val="22"/>
          <w:szCs w:val="22"/>
        </w:rPr>
        <w:t xml:space="preserve"> unless you work with adolescent </w:t>
      </w:r>
      <w:r w:rsidR="00CD6C70" w:rsidRPr="00B03A83">
        <w:rPr>
          <w:rFonts w:ascii="Gill Sans MT" w:hAnsi="Gill Sans MT" w:cs="Times New Roman"/>
          <w:sz w:val="22"/>
          <w:szCs w:val="22"/>
        </w:rPr>
        <w:t>athlete</w:t>
      </w:r>
      <w:r w:rsidR="00D8059D" w:rsidRPr="00B03A83">
        <w:rPr>
          <w:rFonts w:ascii="Gill Sans MT" w:hAnsi="Gill Sans MT" w:cs="Times New Roman"/>
          <w:sz w:val="22"/>
          <w:szCs w:val="22"/>
        </w:rPr>
        <w:t>s</w:t>
      </w:r>
      <w:r w:rsidR="00CD6C70" w:rsidRPr="00B03A83">
        <w:rPr>
          <w:rFonts w:ascii="Gill Sans MT" w:hAnsi="Gill Sans MT" w:cs="Times New Roman"/>
          <w:sz w:val="22"/>
          <w:szCs w:val="22"/>
        </w:rPr>
        <w:t xml:space="preserve"> (12-16 years)</w:t>
      </w:r>
      <w:r w:rsidRPr="00B03A83">
        <w:rPr>
          <w:rFonts w:ascii="Gill Sans MT" w:hAnsi="Gill Sans MT" w:cs="Times New Roman"/>
          <w:sz w:val="22"/>
          <w:szCs w:val="22"/>
        </w:rPr>
        <w:t xml:space="preserve">. </w:t>
      </w:r>
    </w:p>
    <w:p w14:paraId="635A3008" w14:textId="77777777" w:rsidR="000F694A" w:rsidRPr="00B03A83" w:rsidRDefault="000F694A" w:rsidP="00B03A83">
      <w:pPr>
        <w:spacing w:line="276" w:lineRule="auto"/>
        <w:jc w:val="both"/>
        <w:rPr>
          <w:rFonts w:ascii="Gill Sans MT" w:hAnsi="Gill Sans MT" w:cs="Times New Roman"/>
          <w:sz w:val="22"/>
          <w:szCs w:val="22"/>
        </w:rPr>
      </w:pPr>
    </w:p>
    <w:p w14:paraId="7A33AA97" w14:textId="0FBA56B7" w:rsidR="00305F87" w:rsidRPr="00B03A83" w:rsidRDefault="77C93EC5"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 xml:space="preserve">Despite the large volume of </w:t>
      </w:r>
      <w:r w:rsidR="00ED4081" w:rsidRPr="00B03A83">
        <w:rPr>
          <w:rFonts w:ascii="Gill Sans MT" w:hAnsi="Gill Sans MT" w:cs="Times New Roman"/>
          <w:sz w:val="22"/>
          <w:szCs w:val="22"/>
        </w:rPr>
        <w:t xml:space="preserve">contemporary </w:t>
      </w:r>
      <w:r w:rsidRPr="00B03A83">
        <w:rPr>
          <w:rFonts w:ascii="Gill Sans MT" w:hAnsi="Gill Sans MT" w:cs="Times New Roman"/>
          <w:sz w:val="22"/>
          <w:szCs w:val="22"/>
        </w:rPr>
        <w:t xml:space="preserve">training prescription research, a small proportion of this has been conducted in adolescent athletes </w:t>
      </w:r>
      <w:r w:rsidR="00FB1E40" w:rsidRPr="00B03A83">
        <w:rPr>
          <w:rFonts w:ascii="Gill Sans MT" w:hAnsi="Gill Sans MT" w:cs="Times New Roman"/>
          <w:sz w:val="22"/>
          <w:szCs w:val="22"/>
        </w:rPr>
        <w:t xml:space="preserve">with </w:t>
      </w:r>
      <w:r w:rsidR="00F4498C" w:rsidRPr="00B03A83">
        <w:rPr>
          <w:rFonts w:ascii="Gill Sans MT" w:hAnsi="Gill Sans MT" w:cs="Times New Roman"/>
          <w:sz w:val="22"/>
          <w:szCs w:val="22"/>
        </w:rPr>
        <w:t>respect to</w:t>
      </w:r>
      <w:r w:rsidRPr="00B03A83">
        <w:rPr>
          <w:rFonts w:ascii="Gill Sans MT" w:hAnsi="Gill Sans MT" w:cs="Times New Roman"/>
          <w:sz w:val="22"/>
          <w:szCs w:val="22"/>
        </w:rPr>
        <w:t xml:space="preserve"> the non-linear variations in biological maturation</w:t>
      </w:r>
      <w:r w:rsidR="00FB1E40" w:rsidRPr="00B03A83">
        <w:rPr>
          <w:rFonts w:ascii="Gill Sans MT" w:hAnsi="Gill Sans MT" w:cs="Times New Roman"/>
          <w:sz w:val="22"/>
          <w:szCs w:val="22"/>
        </w:rPr>
        <w:t>. These biological changes occur</w:t>
      </w:r>
      <w:r w:rsidRPr="00B03A83">
        <w:rPr>
          <w:rFonts w:ascii="Gill Sans MT" w:hAnsi="Gill Sans MT" w:cs="Times New Roman"/>
          <w:sz w:val="22"/>
          <w:szCs w:val="22"/>
        </w:rPr>
        <w:t xml:space="preserve"> </w:t>
      </w:r>
      <w:r w:rsidR="00C966D5" w:rsidRPr="00B03A83">
        <w:rPr>
          <w:rFonts w:ascii="Gill Sans MT" w:hAnsi="Gill Sans MT" w:cs="Times New Roman"/>
          <w:sz w:val="22"/>
          <w:szCs w:val="22"/>
        </w:rPr>
        <w:t>asynchronously to</w:t>
      </w:r>
      <w:r w:rsidRPr="00B03A83">
        <w:rPr>
          <w:rFonts w:ascii="Gill Sans MT" w:hAnsi="Gill Sans MT" w:cs="Times New Roman"/>
          <w:sz w:val="22"/>
          <w:szCs w:val="22"/>
        </w:rPr>
        <w:t xml:space="preserve"> chronological age</w:t>
      </w:r>
      <w:r w:rsidR="00311D5D" w:rsidRPr="00B03A83">
        <w:rPr>
          <w:rFonts w:ascii="Gill Sans MT" w:hAnsi="Gill Sans MT" w:cs="Times New Roman"/>
          <w:sz w:val="22"/>
          <w:szCs w:val="22"/>
        </w:rPr>
        <w:t>,</w:t>
      </w:r>
      <w:r w:rsidRPr="00B03A83">
        <w:rPr>
          <w:rFonts w:ascii="Gill Sans MT" w:hAnsi="Gill Sans MT" w:cs="Times New Roman"/>
          <w:sz w:val="22"/>
          <w:szCs w:val="22"/>
        </w:rPr>
        <w:t xml:space="preserve"> which </w:t>
      </w:r>
      <w:r w:rsidR="00B244C1" w:rsidRPr="00B03A83">
        <w:rPr>
          <w:rFonts w:ascii="Gill Sans MT" w:hAnsi="Gill Sans MT" w:cs="Times New Roman"/>
          <w:sz w:val="22"/>
          <w:szCs w:val="22"/>
        </w:rPr>
        <w:t xml:space="preserve">may </w:t>
      </w:r>
      <w:r w:rsidRPr="00B03A83">
        <w:rPr>
          <w:rFonts w:ascii="Gill Sans MT" w:hAnsi="Gill Sans MT" w:cs="Times New Roman"/>
          <w:sz w:val="22"/>
          <w:szCs w:val="22"/>
        </w:rPr>
        <w:t xml:space="preserve">confound </w:t>
      </w:r>
      <w:r w:rsidR="00B244C1" w:rsidRPr="00B03A83">
        <w:rPr>
          <w:rFonts w:ascii="Gill Sans MT" w:hAnsi="Gill Sans MT" w:cs="Times New Roman"/>
          <w:sz w:val="22"/>
          <w:szCs w:val="22"/>
        </w:rPr>
        <w:t xml:space="preserve">traditional </w:t>
      </w:r>
      <w:r w:rsidR="00351438" w:rsidRPr="00B03A83">
        <w:rPr>
          <w:rFonts w:ascii="Gill Sans MT" w:hAnsi="Gill Sans MT" w:cs="Times New Roman"/>
          <w:sz w:val="22"/>
          <w:szCs w:val="22"/>
        </w:rPr>
        <w:t>age-specif</w:t>
      </w:r>
      <w:r w:rsidR="00C44A8F" w:rsidRPr="00B03A83">
        <w:rPr>
          <w:rFonts w:ascii="Gill Sans MT" w:hAnsi="Gill Sans MT" w:cs="Times New Roman"/>
          <w:sz w:val="22"/>
          <w:szCs w:val="22"/>
        </w:rPr>
        <w:t xml:space="preserve">ied </w:t>
      </w:r>
      <w:r w:rsidR="00B244C1" w:rsidRPr="00B03A83">
        <w:rPr>
          <w:rFonts w:ascii="Gill Sans MT" w:hAnsi="Gill Sans MT" w:cs="Times New Roman"/>
          <w:sz w:val="22"/>
          <w:szCs w:val="22"/>
        </w:rPr>
        <w:t xml:space="preserve">approaches to </w:t>
      </w:r>
      <w:r w:rsidR="008B3C0C" w:rsidRPr="00B03A83">
        <w:rPr>
          <w:rFonts w:ascii="Gill Sans MT" w:hAnsi="Gill Sans MT" w:cs="Times New Roman"/>
          <w:sz w:val="22"/>
          <w:szCs w:val="22"/>
        </w:rPr>
        <w:t>talent development</w:t>
      </w:r>
      <w:r w:rsidRPr="00B03A83">
        <w:rPr>
          <w:rFonts w:ascii="Gill Sans MT" w:hAnsi="Gill Sans MT" w:cs="Times New Roman"/>
          <w:sz w:val="22"/>
          <w:szCs w:val="22"/>
        </w:rPr>
        <w:t>. Logistical</w:t>
      </w:r>
      <w:r w:rsidR="007B4E36" w:rsidRPr="00B03A83">
        <w:rPr>
          <w:rFonts w:ascii="Gill Sans MT" w:hAnsi="Gill Sans MT" w:cs="Times New Roman"/>
          <w:sz w:val="22"/>
          <w:szCs w:val="22"/>
        </w:rPr>
        <w:t>,</w:t>
      </w:r>
      <w:r w:rsidRPr="00B03A83">
        <w:rPr>
          <w:rFonts w:ascii="Gill Sans MT" w:hAnsi="Gill Sans MT" w:cs="Times New Roman"/>
          <w:sz w:val="22"/>
          <w:szCs w:val="22"/>
        </w:rPr>
        <w:t xml:space="preserve"> resource </w:t>
      </w:r>
      <w:r w:rsidR="007B4E36" w:rsidRPr="00B03A83">
        <w:rPr>
          <w:rFonts w:ascii="Gill Sans MT" w:hAnsi="Gill Sans MT" w:cs="Times New Roman"/>
          <w:sz w:val="22"/>
          <w:szCs w:val="22"/>
        </w:rPr>
        <w:t xml:space="preserve">and environmental (i.e., school) </w:t>
      </w:r>
      <w:r w:rsidRPr="00B03A83">
        <w:rPr>
          <w:rFonts w:ascii="Gill Sans MT" w:hAnsi="Gill Sans MT" w:cs="Times New Roman"/>
          <w:sz w:val="22"/>
          <w:szCs w:val="22"/>
        </w:rPr>
        <w:t>constraints associated with working within adolescent environments may in part explain th</w:t>
      </w:r>
      <w:r w:rsidR="00A57D5A" w:rsidRPr="00B03A83">
        <w:rPr>
          <w:rFonts w:ascii="Gill Sans MT" w:hAnsi="Gill Sans MT" w:cs="Times New Roman"/>
          <w:sz w:val="22"/>
          <w:szCs w:val="22"/>
        </w:rPr>
        <w:t xml:space="preserve">e </w:t>
      </w:r>
      <w:r w:rsidR="00EF2407" w:rsidRPr="00B03A83">
        <w:rPr>
          <w:rFonts w:ascii="Gill Sans MT" w:hAnsi="Gill Sans MT" w:cs="Times New Roman"/>
          <w:sz w:val="22"/>
          <w:szCs w:val="22"/>
        </w:rPr>
        <w:t xml:space="preserve">relative </w:t>
      </w:r>
      <w:r w:rsidR="00A57D5A" w:rsidRPr="00B03A83">
        <w:rPr>
          <w:rFonts w:ascii="Gill Sans MT" w:hAnsi="Gill Sans MT" w:cs="Times New Roman"/>
          <w:sz w:val="22"/>
          <w:szCs w:val="22"/>
        </w:rPr>
        <w:t xml:space="preserve">lack of </w:t>
      </w:r>
      <w:r w:rsidR="00EF2407" w:rsidRPr="00B03A83">
        <w:rPr>
          <w:rFonts w:ascii="Gill Sans MT" w:hAnsi="Gill Sans MT" w:cs="Times New Roman"/>
          <w:sz w:val="22"/>
          <w:szCs w:val="22"/>
        </w:rPr>
        <w:t>empirical research in this area</w:t>
      </w:r>
      <w:r w:rsidRPr="00B03A83">
        <w:rPr>
          <w:rFonts w:ascii="Gill Sans MT" w:hAnsi="Gill Sans MT" w:cs="Times New Roman"/>
          <w:sz w:val="22"/>
          <w:szCs w:val="22"/>
        </w:rPr>
        <w:t xml:space="preserve">. That said, evidence would suggest there is a </w:t>
      </w:r>
      <w:r w:rsidR="00545A88" w:rsidRPr="00B03A83">
        <w:rPr>
          <w:rFonts w:ascii="Gill Sans MT" w:hAnsi="Gill Sans MT" w:cs="Times New Roman"/>
          <w:sz w:val="22"/>
          <w:szCs w:val="22"/>
        </w:rPr>
        <w:t>sincere</w:t>
      </w:r>
      <w:r w:rsidRPr="00B03A83">
        <w:rPr>
          <w:rFonts w:ascii="Gill Sans MT" w:hAnsi="Gill Sans MT" w:cs="Times New Roman"/>
          <w:sz w:val="22"/>
          <w:szCs w:val="22"/>
        </w:rPr>
        <w:t xml:space="preserve"> need for </w:t>
      </w:r>
      <w:r w:rsidR="00B4390E" w:rsidRPr="00B03A83">
        <w:rPr>
          <w:rFonts w:ascii="Gill Sans MT" w:hAnsi="Gill Sans MT" w:cs="Times New Roman"/>
          <w:sz w:val="22"/>
          <w:szCs w:val="22"/>
        </w:rPr>
        <w:t xml:space="preserve">considered </w:t>
      </w:r>
      <w:r w:rsidRPr="00B03A83">
        <w:rPr>
          <w:rFonts w:ascii="Gill Sans MT" w:hAnsi="Gill Sans MT" w:cs="Times New Roman"/>
          <w:sz w:val="22"/>
          <w:szCs w:val="22"/>
        </w:rPr>
        <w:t xml:space="preserve">individualisation </w:t>
      </w:r>
      <w:r w:rsidR="0052350A" w:rsidRPr="00B03A83">
        <w:rPr>
          <w:rFonts w:ascii="Gill Sans MT" w:hAnsi="Gill Sans MT" w:cs="Times New Roman"/>
          <w:sz w:val="22"/>
          <w:szCs w:val="22"/>
        </w:rPr>
        <w:t xml:space="preserve">of </w:t>
      </w:r>
      <w:r w:rsidR="00B4390E" w:rsidRPr="00B03A83">
        <w:rPr>
          <w:rFonts w:ascii="Gill Sans MT" w:hAnsi="Gill Sans MT" w:cs="Times New Roman"/>
          <w:sz w:val="22"/>
          <w:szCs w:val="22"/>
        </w:rPr>
        <w:t>training prescription</w:t>
      </w:r>
      <w:r w:rsidR="007B4E36" w:rsidRPr="00B03A83">
        <w:rPr>
          <w:rFonts w:ascii="Gill Sans MT" w:hAnsi="Gill Sans MT" w:cs="Times New Roman"/>
          <w:sz w:val="22"/>
          <w:szCs w:val="22"/>
        </w:rPr>
        <w:t xml:space="preserve"> and </w:t>
      </w:r>
      <w:r w:rsidRPr="00B03A83">
        <w:rPr>
          <w:rFonts w:ascii="Gill Sans MT" w:hAnsi="Gill Sans MT" w:cs="Times New Roman"/>
          <w:sz w:val="22"/>
          <w:szCs w:val="22"/>
        </w:rPr>
        <w:t>dose-response</w:t>
      </w:r>
      <w:r w:rsidR="00305F87" w:rsidRPr="00B03A83">
        <w:rPr>
          <w:rFonts w:ascii="Gill Sans MT" w:hAnsi="Gill Sans MT" w:cs="Times New Roman"/>
          <w:sz w:val="22"/>
          <w:szCs w:val="22"/>
        </w:rPr>
        <w:t xml:space="preserve"> management</w:t>
      </w:r>
      <w:r w:rsidRPr="00B03A83">
        <w:rPr>
          <w:rFonts w:ascii="Gill Sans MT" w:hAnsi="Gill Sans MT" w:cs="Times New Roman"/>
          <w:sz w:val="22"/>
          <w:szCs w:val="22"/>
        </w:rPr>
        <w:t xml:space="preserve"> in adolescent athletes</w:t>
      </w:r>
      <w:r w:rsidR="00B4390E" w:rsidRPr="00B03A83">
        <w:rPr>
          <w:rFonts w:ascii="Gill Sans MT" w:hAnsi="Gill Sans MT" w:cs="Times New Roman"/>
          <w:sz w:val="22"/>
          <w:szCs w:val="22"/>
        </w:rPr>
        <w:t xml:space="preserve"> to adequately develop talent</w:t>
      </w:r>
      <w:r w:rsidR="008F440B">
        <w:rPr>
          <w:rFonts w:ascii="Gill Sans MT" w:hAnsi="Gill Sans MT" w:cs="Times New Roman"/>
          <w:sz w:val="22"/>
          <w:szCs w:val="22"/>
        </w:rPr>
        <w:t xml:space="preserve"> </w:t>
      </w:r>
      <w:r w:rsidR="008F440B">
        <w:rPr>
          <w:rFonts w:ascii="Gill Sans MT" w:hAnsi="Gill Sans MT" w:cs="Times New Roman"/>
          <w:sz w:val="22"/>
          <w:szCs w:val="22"/>
        </w:rPr>
        <w:fldChar w:fldCharType="begin"/>
      </w:r>
      <w:r w:rsidR="008F440B">
        <w:rPr>
          <w:rFonts w:ascii="Gill Sans MT" w:hAnsi="Gill Sans MT" w:cs="Times New Roman"/>
          <w:sz w:val="22"/>
          <w:szCs w:val="22"/>
        </w:rPr>
        <w:instrText xml:space="preserve"> ADDIN ZOTERO_ITEM CSL_CITATION {"citationID":"DCBm3J2I","properties":{"formattedCitation":"(Bergeron et al., 2015)","plainCitation":"(Bergeron et al., 2015)","noteIndex":0},"citationItems":[{"id":950,"uris":["http://zotero.org/users/6352108/items/SK9AVL9T"],"uri":["http://zotero.org/users/6352108/items/SK9AVL9T"],"itemData":{"id":950,"type":"article-journal","abstract":"The health, ﬁtness and other advantages of youth sports participation are well recognised. However, there are considerable challenges for all stakeholders involved—especially youth athletes—in trying to maintain inclusive, sustainable and enjoyable participation and success for all levels of individual athletic achievement. In an effort to advance a more uniﬁed,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principles.","container-title":"British Journal of Sports Medicine","DOI":"10.1136/bjsports-2015-094962","ISSN":"0306-3674, 1473-0480","issue":"13","journalAbbreviation":"Br J Sports Med","language":"en","page":"843-851","source":"DOI.org (Crossref)","title":"International Olympic Committee consensus statement on youth athletic development","volume":"49","author":[{"family":"Bergeron","given":"Michael F"},{"family":"Mountjoy","given":"Margo"},{"family":"Armstrong","given":"Neil"},{"family":"Chia","given":"Michael"},{"family":"Côté","given":"Jean"},{"family":"Emery","given":"Carolyn A"},{"family":"Faigenbaum","given":"Avery"},{"family":"Hall","given":"Gary"},{"family":"Kriemler","given":"Susi"},{"family":"Léglise","given":"Michel"},{"family":"Malina","given":"Robert M"},{"family":"Pensgaard","given":"Anne Marte"},{"family":"Sanchez","given":"Alex"},{"family":"Soligard","given":"Torbjørn"},{"family":"Sundgot-Borgen","given":"Jorunn"},{"family":"Mechelen","given":"Willem","non-dropping-particle":"van"},{"family":"Weissensteiner","given":"Juanita R"},{"family":"Engebretsen","given":"Lars"}],"issued":{"date-parts":[["2015",7]]}}}],"schema":"https://github.com/citation-style-language/schema/raw/master/csl-citation.json"} </w:instrText>
      </w:r>
      <w:r w:rsidR="008F440B">
        <w:rPr>
          <w:rFonts w:ascii="Gill Sans MT" w:hAnsi="Gill Sans MT" w:cs="Times New Roman"/>
          <w:sz w:val="22"/>
          <w:szCs w:val="22"/>
        </w:rPr>
        <w:fldChar w:fldCharType="separate"/>
      </w:r>
      <w:r w:rsidR="008F440B">
        <w:rPr>
          <w:rFonts w:ascii="Gill Sans MT" w:hAnsi="Gill Sans MT" w:cs="Times New Roman"/>
          <w:noProof/>
          <w:sz w:val="22"/>
          <w:szCs w:val="22"/>
        </w:rPr>
        <w:t>(Bergeron et al., 2015)</w:t>
      </w:r>
      <w:r w:rsidR="008F440B">
        <w:rPr>
          <w:rFonts w:ascii="Gill Sans MT" w:hAnsi="Gill Sans MT" w:cs="Times New Roman"/>
          <w:sz w:val="22"/>
          <w:szCs w:val="22"/>
        </w:rPr>
        <w:fldChar w:fldCharType="end"/>
      </w:r>
      <w:r w:rsidR="008F440B">
        <w:rPr>
          <w:rFonts w:ascii="Gill Sans MT" w:hAnsi="Gill Sans MT" w:cs="Times New Roman"/>
          <w:sz w:val="22"/>
          <w:szCs w:val="22"/>
        </w:rPr>
        <w:t xml:space="preserve">. </w:t>
      </w:r>
      <w:r w:rsidR="00A76DEE" w:rsidRPr="00B03A83">
        <w:rPr>
          <w:rFonts w:ascii="Gill Sans MT" w:hAnsi="Gill Sans MT" w:cs="Times New Roman"/>
          <w:sz w:val="22"/>
          <w:szCs w:val="22"/>
        </w:rPr>
        <w:t>This article aims to explore the importance of biological maturation in youth sport and give guidance on how the information can inform a</w:t>
      </w:r>
      <w:r w:rsidR="004F3E92" w:rsidRPr="00B03A83">
        <w:rPr>
          <w:rFonts w:ascii="Gill Sans MT" w:hAnsi="Gill Sans MT" w:cs="Times New Roman"/>
          <w:sz w:val="22"/>
          <w:szCs w:val="22"/>
        </w:rPr>
        <w:t>n</w:t>
      </w:r>
      <w:r w:rsidR="00A76DEE" w:rsidRPr="00B03A83">
        <w:rPr>
          <w:rFonts w:ascii="Gill Sans MT" w:hAnsi="Gill Sans MT" w:cs="Times New Roman"/>
          <w:sz w:val="22"/>
          <w:szCs w:val="22"/>
        </w:rPr>
        <w:t xml:space="preserve"> individualised approach to </w:t>
      </w:r>
      <w:r w:rsidR="003B0364" w:rsidRPr="00B03A83">
        <w:rPr>
          <w:rFonts w:ascii="Gill Sans MT" w:hAnsi="Gill Sans MT" w:cs="Times New Roman"/>
          <w:sz w:val="22"/>
          <w:szCs w:val="22"/>
        </w:rPr>
        <w:t>talent identification, development</w:t>
      </w:r>
      <w:r w:rsidR="00A76DEE" w:rsidRPr="00B03A83">
        <w:rPr>
          <w:rFonts w:ascii="Gill Sans MT" w:hAnsi="Gill Sans MT" w:cs="Times New Roman"/>
          <w:sz w:val="22"/>
          <w:szCs w:val="22"/>
        </w:rPr>
        <w:t xml:space="preserve"> </w:t>
      </w:r>
      <w:r w:rsidR="003B0364" w:rsidRPr="00B03A83">
        <w:rPr>
          <w:rFonts w:ascii="Gill Sans MT" w:hAnsi="Gill Sans MT" w:cs="Times New Roman"/>
          <w:sz w:val="22"/>
          <w:szCs w:val="22"/>
        </w:rPr>
        <w:t xml:space="preserve">and injury risk reduction </w:t>
      </w:r>
      <w:r w:rsidR="00A76DEE" w:rsidRPr="00B03A83">
        <w:rPr>
          <w:rFonts w:ascii="Gill Sans MT" w:hAnsi="Gill Sans MT" w:cs="Times New Roman"/>
          <w:sz w:val="22"/>
          <w:szCs w:val="22"/>
        </w:rPr>
        <w:t xml:space="preserve">for more positive long-term outcomes. </w:t>
      </w:r>
    </w:p>
    <w:p w14:paraId="59BF887F" w14:textId="77777777" w:rsidR="0031495B" w:rsidRPr="00B03A83" w:rsidRDefault="0031495B" w:rsidP="00B03A83">
      <w:pPr>
        <w:pStyle w:val="ListParagraph"/>
        <w:spacing w:line="276" w:lineRule="auto"/>
        <w:jc w:val="both"/>
        <w:rPr>
          <w:rFonts w:ascii="Gill Sans MT" w:hAnsi="Gill Sans MT" w:cs="Times New Roman"/>
          <w:sz w:val="22"/>
          <w:szCs w:val="22"/>
        </w:rPr>
      </w:pPr>
    </w:p>
    <w:p w14:paraId="49317447" w14:textId="4720ADCD" w:rsidR="00C00DFE" w:rsidRPr="00B03A83" w:rsidRDefault="0031495B" w:rsidP="00B03A83">
      <w:pPr>
        <w:pStyle w:val="ListParagraph"/>
        <w:spacing w:line="276" w:lineRule="auto"/>
        <w:ind w:left="0"/>
        <w:jc w:val="both"/>
        <w:rPr>
          <w:rFonts w:ascii="Gill Sans MT" w:hAnsi="Gill Sans MT" w:cs="Times New Roman"/>
          <w:b/>
          <w:bCs/>
          <w:sz w:val="22"/>
          <w:szCs w:val="22"/>
        </w:rPr>
      </w:pPr>
      <w:r w:rsidRPr="00B03A83">
        <w:rPr>
          <w:rFonts w:ascii="Gill Sans MT" w:hAnsi="Gill Sans MT" w:cs="Times New Roman"/>
          <w:b/>
          <w:bCs/>
          <w:sz w:val="22"/>
          <w:szCs w:val="22"/>
        </w:rPr>
        <w:t>Biological maturation</w:t>
      </w:r>
    </w:p>
    <w:p w14:paraId="468E9E35" w14:textId="0753BEC3" w:rsidR="00C00DFE" w:rsidRPr="00B03A83" w:rsidRDefault="77C93EC5" w:rsidP="00B03A83">
      <w:pPr>
        <w:pStyle w:val="ListParagraph"/>
        <w:spacing w:line="276" w:lineRule="auto"/>
        <w:ind w:left="0"/>
        <w:jc w:val="both"/>
        <w:rPr>
          <w:rFonts w:ascii="Gill Sans MT" w:hAnsi="Gill Sans MT" w:cs="Times New Roman"/>
          <w:sz w:val="22"/>
          <w:szCs w:val="22"/>
        </w:rPr>
      </w:pPr>
      <w:r w:rsidRPr="00B03A83">
        <w:rPr>
          <w:rFonts w:ascii="Gill Sans MT" w:hAnsi="Gill Sans MT" w:cs="Times New Roman"/>
          <w:sz w:val="22"/>
          <w:szCs w:val="22"/>
        </w:rPr>
        <w:t xml:space="preserve">Biological maturation is the ongoing progression towards adulthood that involves significant developmental processes that change </w:t>
      </w:r>
      <w:r w:rsidR="00346D97" w:rsidRPr="00B03A83">
        <w:rPr>
          <w:rFonts w:ascii="Gill Sans MT" w:hAnsi="Gill Sans MT" w:cs="Times New Roman"/>
          <w:sz w:val="22"/>
          <w:szCs w:val="22"/>
        </w:rPr>
        <w:t xml:space="preserve">anthropometric, </w:t>
      </w:r>
      <w:r w:rsidRPr="00B03A83">
        <w:rPr>
          <w:rFonts w:ascii="Gill Sans MT" w:hAnsi="Gill Sans MT" w:cs="Times New Roman"/>
          <w:sz w:val="22"/>
          <w:szCs w:val="22"/>
        </w:rPr>
        <w:t>physi</w:t>
      </w:r>
      <w:r w:rsidR="00346D97" w:rsidRPr="00B03A83">
        <w:rPr>
          <w:rFonts w:ascii="Gill Sans MT" w:hAnsi="Gill Sans MT" w:cs="Times New Roman"/>
          <w:sz w:val="22"/>
          <w:szCs w:val="22"/>
        </w:rPr>
        <w:t>ologi</w:t>
      </w:r>
      <w:r w:rsidRPr="00B03A83">
        <w:rPr>
          <w:rFonts w:ascii="Gill Sans MT" w:hAnsi="Gill Sans MT" w:cs="Times New Roman"/>
          <w:sz w:val="22"/>
          <w:szCs w:val="22"/>
        </w:rPr>
        <w:t>cal</w:t>
      </w:r>
      <w:r w:rsidR="00394444" w:rsidRPr="00B03A83">
        <w:rPr>
          <w:rFonts w:ascii="Gill Sans MT" w:hAnsi="Gill Sans MT" w:cs="Times New Roman"/>
          <w:sz w:val="22"/>
          <w:szCs w:val="22"/>
        </w:rPr>
        <w:t xml:space="preserve"> </w:t>
      </w:r>
      <w:r w:rsidRPr="00B03A83">
        <w:rPr>
          <w:rFonts w:ascii="Gill Sans MT" w:hAnsi="Gill Sans MT" w:cs="Times New Roman"/>
          <w:sz w:val="22"/>
          <w:szCs w:val="22"/>
        </w:rPr>
        <w:t xml:space="preserve">and psychological </w:t>
      </w:r>
      <w:r w:rsidR="0085448A" w:rsidRPr="00B03A83">
        <w:rPr>
          <w:rFonts w:ascii="Gill Sans MT" w:hAnsi="Gill Sans MT" w:cs="Times New Roman"/>
          <w:sz w:val="22"/>
          <w:szCs w:val="22"/>
        </w:rPr>
        <w:t>standing</w:t>
      </w:r>
      <w:r w:rsidRPr="00B03A83">
        <w:rPr>
          <w:rFonts w:ascii="Gill Sans MT" w:hAnsi="Gill Sans MT" w:cs="Times New Roman"/>
          <w:sz w:val="22"/>
          <w:szCs w:val="22"/>
        </w:rPr>
        <w:t xml:space="preserve">. Although the type and sequential order of biological development is well understood, the timing and tempo of these changes </w:t>
      </w:r>
      <w:r w:rsidR="00BA1D98" w:rsidRPr="00B03A83">
        <w:rPr>
          <w:rFonts w:ascii="Gill Sans MT" w:hAnsi="Gill Sans MT" w:cs="Times New Roman"/>
          <w:sz w:val="22"/>
          <w:szCs w:val="22"/>
        </w:rPr>
        <w:t>vary</w:t>
      </w:r>
      <w:r w:rsidRPr="00B03A83">
        <w:rPr>
          <w:rFonts w:ascii="Gill Sans MT" w:hAnsi="Gill Sans MT" w:cs="Times New Roman"/>
          <w:sz w:val="22"/>
          <w:szCs w:val="22"/>
        </w:rPr>
        <w:t xml:space="preserve"> significantly </w:t>
      </w:r>
      <w:r w:rsidR="00BA1D98" w:rsidRPr="00B03A83">
        <w:rPr>
          <w:rFonts w:ascii="Gill Sans MT" w:hAnsi="Gill Sans MT" w:cs="Times New Roman"/>
          <w:sz w:val="22"/>
          <w:szCs w:val="22"/>
        </w:rPr>
        <w:t>between</w:t>
      </w:r>
      <w:r w:rsidRPr="00B03A83">
        <w:rPr>
          <w:rFonts w:ascii="Gill Sans MT" w:hAnsi="Gill Sans MT" w:cs="Times New Roman"/>
          <w:sz w:val="22"/>
          <w:szCs w:val="22"/>
        </w:rPr>
        <w:t xml:space="preserve"> individual</w:t>
      </w:r>
      <w:r w:rsidR="00224EF7" w:rsidRPr="00B03A83">
        <w:rPr>
          <w:rFonts w:ascii="Gill Sans MT" w:hAnsi="Gill Sans MT" w:cs="Times New Roman"/>
          <w:sz w:val="22"/>
          <w:szCs w:val="22"/>
        </w:rPr>
        <w:t>s</w:t>
      </w:r>
      <w:r w:rsidRPr="00B03A83">
        <w:rPr>
          <w:rFonts w:ascii="Gill Sans MT" w:hAnsi="Gill Sans MT" w:cs="Times New Roman"/>
          <w:sz w:val="22"/>
          <w:szCs w:val="22"/>
        </w:rPr>
        <w:t xml:space="preserve"> </w:t>
      </w:r>
      <w:r w:rsidR="00224EF7" w:rsidRPr="00B03A83">
        <w:rPr>
          <w:rFonts w:ascii="Gill Sans MT" w:hAnsi="Gill Sans MT" w:cs="Times New Roman"/>
          <w:sz w:val="22"/>
          <w:szCs w:val="22"/>
        </w:rPr>
        <w:t>making understanding and management of this period complex</w:t>
      </w:r>
      <w:r w:rsidRPr="00B03A83">
        <w:rPr>
          <w:rFonts w:ascii="Gill Sans MT" w:hAnsi="Gill Sans MT" w:cs="Times New Roman"/>
          <w:sz w:val="22"/>
          <w:szCs w:val="22"/>
        </w:rPr>
        <w:t xml:space="preserve">. Maturation varies substantially within chronological age-groups, with variations in </w:t>
      </w:r>
      <w:r w:rsidR="00BA715D" w:rsidRPr="00B03A83">
        <w:rPr>
          <w:rFonts w:ascii="Gill Sans MT" w:hAnsi="Gill Sans MT" w:cs="Times New Roman"/>
          <w:sz w:val="22"/>
          <w:szCs w:val="22"/>
        </w:rPr>
        <w:t>male</w:t>
      </w:r>
      <w:r w:rsidRPr="00B03A83">
        <w:rPr>
          <w:rFonts w:ascii="Gill Sans MT" w:hAnsi="Gill Sans MT" w:cs="Times New Roman"/>
          <w:sz w:val="22"/>
          <w:szCs w:val="22"/>
        </w:rPr>
        <w:t xml:space="preserve"> body mass (~50%), stature (~</w:t>
      </w:r>
      <w:r w:rsidR="000E48FD">
        <w:rPr>
          <w:rFonts w:ascii="Gill Sans MT" w:hAnsi="Gill Sans MT" w:cs="Times New Roman"/>
          <w:sz w:val="22"/>
          <w:szCs w:val="22"/>
        </w:rPr>
        <w:t>17%</w:t>
      </w:r>
      <w:r w:rsidRPr="00B03A83">
        <w:rPr>
          <w:rFonts w:ascii="Gill Sans MT" w:hAnsi="Gill Sans MT" w:cs="Times New Roman"/>
          <w:sz w:val="22"/>
          <w:szCs w:val="22"/>
        </w:rPr>
        <w:t>), fat free mass (</w:t>
      </w:r>
      <w:r w:rsidR="000E48FD">
        <w:rPr>
          <w:rFonts w:ascii="Gill Sans MT" w:hAnsi="Gill Sans MT" w:cs="Times New Roman"/>
          <w:sz w:val="22"/>
          <w:szCs w:val="22"/>
        </w:rPr>
        <w:t>~21%</w:t>
      </w:r>
      <w:r w:rsidRPr="00B03A83">
        <w:rPr>
          <w:rFonts w:ascii="Gill Sans MT" w:hAnsi="Gill Sans MT" w:cs="Times New Roman"/>
          <w:sz w:val="22"/>
          <w:szCs w:val="22"/>
        </w:rPr>
        <w:t xml:space="preserve">) and predicted adult height (10-15%) not uncommon </w:t>
      </w:r>
      <w:r w:rsidR="00C00DFE" w:rsidRPr="00B03A83">
        <w:rPr>
          <w:rFonts w:ascii="Gill Sans MT" w:hAnsi="Gill Sans MT" w:cs="Times New Roman"/>
          <w:sz w:val="22"/>
          <w:szCs w:val="22"/>
        </w:rPr>
        <w:fldChar w:fldCharType="begin"/>
      </w:r>
      <w:r w:rsidR="00C00DFE" w:rsidRPr="00B03A83">
        <w:rPr>
          <w:rFonts w:ascii="Gill Sans MT" w:hAnsi="Gill Sans MT" w:cs="Times New Roman"/>
          <w:sz w:val="22"/>
          <w:szCs w:val="22"/>
        </w:rPr>
        <w:instrText xml:space="preserve"> ADDIN ZOTERO_ITEM CSL_CITATION {"citationID":"1fGjtIhm","properties":{"formattedCitation":"(Hannon et al., 2020)","plainCitation":"(Hannon et al., 2020)","noteIndex":0},"citationItems":[{"id":1398,"uris":["http://zotero.org/users/6352108/items/2SBYFA5L"],"uri":["http://zotero.org/users/6352108/items/2SBYFA5L"],"itemData":{"id":1398,"type":"article-journal","abstract":"Young athletes undergo many anatomical and physiological changes during the first 2 decades of life as a result of growth and maturation. Such changes influence a young athlete's nutritional requirements and it is therefore inappropriate to apply nutritional guidelines for adult athletes to this population. Nutritional recommendations for young athletes should not only focus on sporting performance but should also meet the requirements to ensure optimal growth, maturation, and physical development. This review article provides an overview of the nutritional recommendations for young athletes based on the best available literature from a range of sports.","container-title":"Strength &amp; Conditioning Journal","DOI":"10.1519/SSC.0000000000000570","ISSN":"1524-1602","issue":"6","language":"en-US","page":"109–119","source":"journals.lww.com","title":"Energy and Macronutrient Considerations for Young Athletes","volume":"42","author":[{"family":"Hannon","given":"Marcus P."},{"family":"Close","given":"Graeme L."},{"family":"Morton","given":"James P."}],"issued":{"date-parts":[["2020",12]]}}}],"schema":"https://github.com/citation-style-language/schema/raw/master/csl-citation.json"} </w:instrText>
      </w:r>
      <w:r w:rsidR="00C00DFE" w:rsidRPr="00B03A83">
        <w:rPr>
          <w:rFonts w:ascii="Gill Sans MT" w:hAnsi="Gill Sans MT" w:cs="Times New Roman"/>
          <w:sz w:val="22"/>
          <w:szCs w:val="22"/>
        </w:rPr>
        <w:fldChar w:fldCharType="separate"/>
      </w:r>
      <w:r w:rsidRPr="00B03A83">
        <w:rPr>
          <w:rFonts w:ascii="Gill Sans MT" w:hAnsi="Gill Sans MT" w:cs="Times New Roman"/>
          <w:noProof/>
          <w:sz w:val="22"/>
          <w:szCs w:val="22"/>
        </w:rPr>
        <w:t>(Hannon et al., 2020)</w:t>
      </w:r>
      <w:r w:rsidR="00C00DFE" w:rsidRPr="00B03A83">
        <w:rPr>
          <w:rFonts w:ascii="Gill Sans MT" w:hAnsi="Gill Sans MT" w:cs="Times New Roman"/>
          <w:sz w:val="22"/>
          <w:szCs w:val="22"/>
        </w:rPr>
        <w:fldChar w:fldCharType="end"/>
      </w:r>
      <w:r w:rsidRPr="00B03A83">
        <w:rPr>
          <w:rFonts w:ascii="Gill Sans MT" w:hAnsi="Gill Sans MT" w:cs="Times New Roman"/>
          <w:sz w:val="22"/>
          <w:szCs w:val="22"/>
        </w:rPr>
        <w:t xml:space="preserve">. This is primarily influenced by variations in maturity timing, meaning that the onset of key maturational processes (i.e., peak height velocity; PHV) can differ by 3-4 years between individuals of the same age. </w:t>
      </w:r>
      <w:r w:rsidR="008D57A1" w:rsidRPr="00B03A83">
        <w:rPr>
          <w:rFonts w:ascii="Gill Sans MT" w:hAnsi="Gill Sans MT" w:cs="Times New Roman"/>
          <w:sz w:val="22"/>
          <w:szCs w:val="22"/>
        </w:rPr>
        <w:t xml:space="preserve">Typically, PHV occurs </w:t>
      </w:r>
      <w:r w:rsidR="003B5A01" w:rsidRPr="00B03A83">
        <w:rPr>
          <w:rFonts w:ascii="Gill Sans MT" w:hAnsi="Gill Sans MT" w:cs="Times New Roman"/>
          <w:sz w:val="22"/>
          <w:szCs w:val="22"/>
        </w:rPr>
        <w:t>earlier in females (~11.9 years)</w:t>
      </w:r>
      <w:r w:rsidR="006E04FF" w:rsidRPr="00B03A83">
        <w:rPr>
          <w:rFonts w:ascii="Gill Sans MT" w:hAnsi="Gill Sans MT" w:cs="Times New Roman"/>
          <w:sz w:val="22"/>
          <w:szCs w:val="22"/>
        </w:rPr>
        <w:t xml:space="preserve"> </w:t>
      </w:r>
      <w:r w:rsidR="003B5A01" w:rsidRPr="00B03A83">
        <w:rPr>
          <w:rFonts w:ascii="Gill Sans MT" w:hAnsi="Gill Sans MT" w:cs="Times New Roman"/>
          <w:sz w:val="22"/>
          <w:szCs w:val="22"/>
        </w:rPr>
        <w:t>than males (~</w:t>
      </w:r>
      <w:r w:rsidR="006E04FF" w:rsidRPr="00B03A83">
        <w:rPr>
          <w:rFonts w:ascii="Gill Sans MT" w:hAnsi="Gill Sans MT" w:cs="Times New Roman"/>
          <w:sz w:val="22"/>
          <w:szCs w:val="22"/>
        </w:rPr>
        <w:t>13.8 years</w:t>
      </w:r>
      <w:r w:rsidR="003B5A01" w:rsidRPr="00B03A83">
        <w:rPr>
          <w:rFonts w:ascii="Gill Sans MT" w:hAnsi="Gill Sans MT" w:cs="Times New Roman"/>
          <w:sz w:val="22"/>
          <w:szCs w:val="22"/>
        </w:rPr>
        <w:t>)</w:t>
      </w:r>
      <w:r w:rsidR="006E04FF" w:rsidRPr="00B03A83">
        <w:rPr>
          <w:rFonts w:ascii="Gill Sans MT" w:hAnsi="Gill Sans MT" w:cs="Times New Roman"/>
          <w:sz w:val="22"/>
          <w:szCs w:val="22"/>
        </w:rPr>
        <w:t xml:space="preserve"> </w:t>
      </w:r>
      <w:r w:rsidR="003B5A01" w:rsidRPr="00B03A83">
        <w:rPr>
          <w:rFonts w:ascii="Gill Sans MT" w:hAnsi="Gill Sans MT" w:cs="Times New Roman"/>
          <w:sz w:val="22"/>
          <w:szCs w:val="22"/>
        </w:rPr>
        <w:t xml:space="preserve">with </w:t>
      </w:r>
      <w:r w:rsidR="00C70EE4" w:rsidRPr="00B03A83">
        <w:rPr>
          <w:rFonts w:ascii="Gill Sans MT" w:hAnsi="Gill Sans MT" w:cs="Times New Roman"/>
          <w:sz w:val="22"/>
          <w:szCs w:val="22"/>
        </w:rPr>
        <w:t>rates in growth typically a</w:t>
      </w:r>
      <w:r w:rsidR="0087348B" w:rsidRPr="00B03A83">
        <w:rPr>
          <w:rFonts w:ascii="Gill Sans MT" w:hAnsi="Gill Sans MT" w:cs="Times New Roman"/>
          <w:sz w:val="22"/>
          <w:szCs w:val="22"/>
        </w:rPr>
        <w:t>pproximating</w:t>
      </w:r>
      <w:r w:rsidR="00C70EE4" w:rsidRPr="00B03A83">
        <w:rPr>
          <w:rFonts w:ascii="Gill Sans MT" w:hAnsi="Gill Sans MT" w:cs="Times New Roman"/>
          <w:sz w:val="22"/>
          <w:szCs w:val="22"/>
        </w:rPr>
        <w:t xml:space="preserve"> </w:t>
      </w:r>
      <w:r w:rsidR="00222BB6" w:rsidRPr="00B03A83">
        <w:rPr>
          <w:rFonts w:ascii="Gill Sans MT" w:hAnsi="Gill Sans MT" w:cs="Times New Roman"/>
          <w:sz w:val="22"/>
          <w:szCs w:val="22"/>
        </w:rPr>
        <w:t>~</w:t>
      </w:r>
      <w:r w:rsidR="00C70EE4" w:rsidRPr="00B03A83">
        <w:rPr>
          <w:rFonts w:ascii="Gill Sans MT" w:hAnsi="Gill Sans MT" w:cs="Times New Roman"/>
          <w:sz w:val="22"/>
          <w:szCs w:val="22"/>
        </w:rPr>
        <w:t>8</w:t>
      </w:r>
      <w:r w:rsidR="00B03A83">
        <w:rPr>
          <w:rFonts w:ascii="Gill Sans MT" w:hAnsi="Gill Sans MT" w:cs="Times New Roman"/>
          <w:sz w:val="22"/>
          <w:szCs w:val="22"/>
        </w:rPr>
        <w:t xml:space="preserve"> </w:t>
      </w:r>
      <w:r w:rsidR="00C70EE4" w:rsidRPr="00B03A83">
        <w:rPr>
          <w:rFonts w:ascii="Gill Sans MT" w:hAnsi="Gill Sans MT" w:cs="Times New Roman"/>
          <w:sz w:val="22"/>
          <w:szCs w:val="22"/>
        </w:rPr>
        <w:t xml:space="preserve">cm and </w:t>
      </w:r>
      <w:r w:rsidR="00222BB6" w:rsidRPr="00B03A83">
        <w:rPr>
          <w:rFonts w:ascii="Gill Sans MT" w:hAnsi="Gill Sans MT" w:cs="Times New Roman"/>
          <w:sz w:val="22"/>
          <w:szCs w:val="22"/>
        </w:rPr>
        <w:t>~</w:t>
      </w:r>
      <w:r w:rsidR="00C70EE4" w:rsidRPr="00B03A83">
        <w:rPr>
          <w:rFonts w:ascii="Gill Sans MT" w:hAnsi="Gill Sans MT" w:cs="Times New Roman"/>
          <w:sz w:val="22"/>
          <w:szCs w:val="22"/>
        </w:rPr>
        <w:t>10</w:t>
      </w:r>
      <w:r w:rsidR="00B03A83">
        <w:rPr>
          <w:rFonts w:ascii="Gill Sans MT" w:hAnsi="Gill Sans MT" w:cs="Times New Roman"/>
          <w:sz w:val="22"/>
          <w:szCs w:val="22"/>
        </w:rPr>
        <w:t xml:space="preserve"> </w:t>
      </w:r>
      <w:r w:rsidR="00C70EE4" w:rsidRPr="00B03A83">
        <w:rPr>
          <w:rFonts w:ascii="Gill Sans MT" w:hAnsi="Gill Sans MT" w:cs="Times New Roman"/>
          <w:sz w:val="22"/>
          <w:szCs w:val="22"/>
        </w:rPr>
        <w:t>cm per year, respectively.</w:t>
      </w:r>
      <w:r w:rsidR="00F65166" w:rsidRPr="00B03A83">
        <w:rPr>
          <w:rFonts w:ascii="Gill Sans MT" w:hAnsi="Gill Sans MT" w:cs="Times New Roman"/>
          <w:sz w:val="22"/>
          <w:szCs w:val="22"/>
        </w:rPr>
        <w:t xml:space="preserve"> </w:t>
      </w:r>
      <w:r w:rsidR="007C56E6" w:rsidRPr="00B03A83">
        <w:rPr>
          <w:rFonts w:ascii="Gill Sans MT" w:hAnsi="Gill Sans MT" w:cs="Times New Roman"/>
          <w:sz w:val="22"/>
          <w:szCs w:val="22"/>
        </w:rPr>
        <w:t xml:space="preserve">The magnitude of change in such a short period can </w:t>
      </w:r>
      <w:r w:rsidR="003235D9" w:rsidRPr="00B03A83">
        <w:rPr>
          <w:rFonts w:ascii="Gill Sans MT" w:hAnsi="Gill Sans MT" w:cs="Times New Roman"/>
          <w:sz w:val="22"/>
          <w:szCs w:val="22"/>
        </w:rPr>
        <w:t>significantly</w:t>
      </w:r>
      <w:r w:rsidR="007C56E6" w:rsidRPr="00B03A83">
        <w:rPr>
          <w:rFonts w:ascii="Gill Sans MT" w:hAnsi="Gill Sans MT" w:cs="Times New Roman"/>
          <w:sz w:val="22"/>
          <w:szCs w:val="22"/>
        </w:rPr>
        <w:t xml:space="preserve"> impact the coordination, </w:t>
      </w:r>
      <w:r w:rsidR="003235D9" w:rsidRPr="00B03A83">
        <w:rPr>
          <w:rFonts w:ascii="Gill Sans MT" w:hAnsi="Gill Sans MT" w:cs="Times New Roman"/>
          <w:sz w:val="22"/>
          <w:szCs w:val="22"/>
        </w:rPr>
        <w:t xml:space="preserve">stability and general movement competency of </w:t>
      </w:r>
      <w:r w:rsidR="0066301A" w:rsidRPr="00B03A83">
        <w:rPr>
          <w:rFonts w:ascii="Gill Sans MT" w:hAnsi="Gill Sans MT" w:cs="Times New Roman"/>
          <w:sz w:val="22"/>
          <w:szCs w:val="22"/>
        </w:rPr>
        <w:t xml:space="preserve">athletes, thus making identification and development of talent difficult. </w:t>
      </w:r>
    </w:p>
    <w:p w14:paraId="26CDB1E2" w14:textId="3C2DDFB4" w:rsidR="00C00DFE" w:rsidRPr="00B03A83" w:rsidRDefault="00C00DFE" w:rsidP="00B03A83">
      <w:pPr>
        <w:pStyle w:val="ListParagraph"/>
        <w:spacing w:line="276" w:lineRule="auto"/>
        <w:ind w:left="0"/>
        <w:jc w:val="both"/>
        <w:rPr>
          <w:rFonts w:ascii="Gill Sans MT" w:hAnsi="Gill Sans MT" w:cs="Times New Roman"/>
          <w:sz w:val="22"/>
          <w:szCs w:val="22"/>
        </w:rPr>
      </w:pPr>
    </w:p>
    <w:p w14:paraId="46EBC37F" w14:textId="0790088B" w:rsidR="00C00DFE" w:rsidRPr="00B03A83" w:rsidRDefault="77C93EC5" w:rsidP="00B03A83">
      <w:pPr>
        <w:pStyle w:val="ListParagraph"/>
        <w:spacing w:line="276" w:lineRule="auto"/>
        <w:ind w:left="0"/>
        <w:jc w:val="both"/>
        <w:rPr>
          <w:rFonts w:ascii="Gill Sans MT" w:hAnsi="Gill Sans MT" w:cs="Times New Roman"/>
          <w:sz w:val="22"/>
          <w:szCs w:val="22"/>
        </w:rPr>
      </w:pPr>
      <w:r w:rsidRPr="00B03A83">
        <w:rPr>
          <w:rFonts w:ascii="Gill Sans MT" w:hAnsi="Gill Sans MT" w:cs="Times New Roman"/>
          <w:sz w:val="22"/>
          <w:szCs w:val="22"/>
        </w:rPr>
        <w:t xml:space="preserve">Several methods to monitor growth and maturation exist, each with important practical considerations. Invasive methods such as skeletal age (e.g., hand-wrist x-ray) </w:t>
      </w:r>
      <w:r w:rsidR="002E5191" w:rsidRPr="00B03A83">
        <w:rPr>
          <w:rFonts w:ascii="Gill Sans MT" w:hAnsi="Gill Sans MT" w:cs="Times New Roman"/>
          <w:sz w:val="22"/>
          <w:szCs w:val="22"/>
        </w:rPr>
        <w:t xml:space="preserve">requires both time and </w:t>
      </w:r>
      <w:r w:rsidR="00CF6EF1" w:rsidRPr="00B03A83">
        <w:rPr>
          <w:rFonts w:ascii="Gill Sans MT" w:hAnsi="Gill Sans MT" w:cs="Times New Roman"/>
          <w:sz w:val="22"/>
          <w:szCs w:val="22"/>
        </w:rPr>
        <w:t xml:space="preserve">resources </w:t>
      </w:r>
      <w:r w:rsidR="001942B6" w:rsidRPr="00B03A83">
        <w:rPr>
          <w:rFonts w:ascii="Gill Sans MT" w:hAnsi="Gill Sans MT" w:cs="Times New Roman"/>
          <w:sz w:val="22"/>
          <w:szCs w:val="22"/>
        </w:rPr>
        <w:t>to conduct, whilst</w:t>
      </w:r>
      <w:r w:rsidRPr="00B03A83">
        <w:rPr>
          <w:rFonts w:ascii="Gill Sans MT" w:hAnsi="Gill Sans MT" w:cs="Times New Roman"/>
          <w:sz w:val="22"/>
          <w:szCs w:val="22"/>
        </w:rPr>
        <w:t xml:space="preserve"> secondary sex characteristics (e.g., breast and pubic hair development) </w:t>
      </w:r>
      <w:r w:rsidR="00EE7B86" w:rsidRPr="00B03A83">
        <w:rPr>
          <w:rFonts w:ascii="Gill Sans MT" w:hAnsi="Gill Sans MT" w:cs="Times New Roman"/>
          <w:sz w:val="22"/>
          <w:szCs w:val="22"/>
        </w:rPr>
        <w:t xml:space="preserve">may be psychologically invasive </w:t>
      </w:r>
      <w:r w:rsidR="00EE7B86" w:rsidRPr="00B03A83">
        <w:rPr>
          <w:rFonts w:ascii="Gill Sans MT" w:hAnsi="Gill Sans MT" w:cs="Times New Roman"/>
          <w:sz w:val="22"/>
          <w:szCs w:val="22"/>
        </w:rPr>
        <w:lastRenderedPageBreak/>
        <w:t xml:space="preserve">and </w:t>
      </w:r>
      <w:r w:rsidR="001942B6" w:rsidRPr="00B03A83">
        <w:rPr>
          <w:rFonts w:ascii="Gill Sans MT" w:hAnsi="Gill Sans MT" w:cs="Times New Roman"/>
          <w:sz w:val="22"/>
          <w:szCs w:val="22"/>
        </w:rPr>
        <w:t>potentially</w:t>
      </w:r>
      <w:r w:rsidR="00EE7B86" w:rsidRPr="00B03A83">
        <w:rPr>
          <w:rFonts w:ascii="Gill Sans MT" w:hAnsi="Gill Sans MT" w:cs="Times New Roman"/>
          <w:sz w:val="22"/>
          <w:szCs w:val="22"/>
        </w:rPr>
        <w:t xml:space="preserve"> considered</w:t>
      </w:r>
      <w:r w:rsidRPr="00B03A83">
        <w:rPr>
          <w:rFonts w:ascii="Gill Sans MT" w:hAnsi="Gill Sans MT" w:cs="Times New Roman"/>
          <w:sz w:val="22"/>
          <w:szCs w:val="22"/>
        </w:rPr>
        <w:t xml:space="preserve"> </w:t>
      </w:r>
      <w:r w:rsidR="00EE7B86" w:rsidRPr="00B03A83">
        <w:rPr>
          <w:rFonts w:ascii="Gill Sans MT" w:hAnsi="Gill Sans MT" w:cs="Times New Roman"/>
          <w:sz w:val="22"/>
          <w:szCs w:val="22"/>
        </w:rPr>
        <w:t>un</w:t>
      </w:r>
      <w:r w:rsidRPr="00B03A83">
        <w:rPr>
          <w:rFonts w:ascii="Gill Sans MT" w:hAnsi="Gill Sans MT" w:cs="Times New Roman"/>
          <w:sz w:val="22"/>
          <w:szCs w:val="22"/>
        </w:rPr>
        <w:t xml:space="preserve">ethical. Somatic estimates of maturation are simple and accessible at all levels of sport and usually require accurate readings of basic anthropometric measures (i.e., stature, body-mass, sitting stature) accompanied with both birth parent </w:t>
      </w:r>
      <w:r w:rsidR="000B3206" w:rsidRPr="00B03A83">
        <w:rPr>
          <w:rFonts w:ascii="Gill Sans MT" w:hAnsi="Gill Sans MT" w:cs="Times New Roman"/>
          <w:sz w:val="22"/>
          <w:szCs w:val="22"/>
        </w:rPr>
        <w:t>stature</w:t>
      </w:r>
      <w:r w:rsidRPr="00B03A83">
        <w:rPr>
          <w:rFonts w:ascii="Gill Sans MT" w:hAnsi="Gill Sans MT" w:cs="Times New Roman"/>
          <w:sz w:val="22"/>
          <w:szCs w:val="22"/>
        </w:rPr>
        <w:t xml:space="preserve"> (if available). Maturity-offset is one somatic method that predicts the individuals time (in years) from the onset of PHV offering an estimation of maturity timing, which can then be used to classify individuals into status groups (i.e., pre-, mid- and post-PHV). Alternatively, measures of estimated adult stature (EAS), and the progress towards this (EAS%) can be used to infer maturity timing (and status) based on PHV occurring between 88-93% EAS </w:t>
      </w:r>
      <w:r w:rsidR="00C00DFE" w:rsidRPr="00B03A83">
        <w:rPr>
          <w:rFonts w:ascii="Gill Sans MT" w:hAnsi="Gill Sans MT" w:cs="Times New Roman"/>
          <w:sz w:val="22"/>
          <w:szCs w:val="22"/>
        </w:rPr>
        <w:fldChar w:fldCharType="begin"/>
      </w:r>
      <w:r w:rsidR="00C00DFE" w:rsidRPr="00B03A83">
        <w:rPr>
          <w:rFonts w:ascii="Gill Sans MT" w:hAnsi="Gill Sans MT" w:cs="Times New Roman"/>
          <w:sz w:val="22"/>
          <w:szCs w:val="22"/>
        </w:rPr>
        <w:instrText xml:space="preserve"> ADDIN ZOTERO_ITEM CSL_CITATION {"citationID":"HhWdiXoN","properties":{"formattedCitation":"(Bergeron et al., 2015)","plainCitation":"(Bergeron et al., 2015)","noteIndex":0},"citationItems":[{"id":950,"uris":["http://zotero.org/users/6352108/items/SK9AVL9T"],"uri":["http://zotero.org/users/6352108/items/SK9AVL9T"],"itemData":{"id":950,"type":"article-journal","abstract":"The health, ﬁtness and other advantages of youth sports participation are well recognised. However, there are considerable challenges for all stakeholders involved—especially youth athletes—in trying to maintain inclusive, sustainable and enjoyable participation and success for all levels of individual athletic achievement. In an effort to advance a more uniﬁed,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principles.","container-title":"British Journal of Sports Medicine","DOI":"10.1136/bjsports-2015-094962","ISSN":"0306-3674, 1473-0480","issue":"13","journalAbbreviation":"Br J Sports Med","language":"en","page":"843-851","source":"DOI.org (Crossref)","title":"International Olympic Committee consensus statement on youth athletic development","volume":"49","author":[{"family":"Bergeron","given":"Michael F"},{"family":"Mountjoy","given":"Margo"},{"family":"Armstrong","given":"Neil"},{"family":"Chia","given":"Michael"},{"family":"Côté","given":"Jean"},{"family":"Emery","given":"Carolyn A"},{"family":"Faigenbaum","given":"Avery"},{"family":"Hall","given":"Gary"},{"family":"Kriemler","given":"Susi"},{"family":"Léglise","given":"Michel"},{"family":"Malina","given":"Robert M"},{"family":"Pensgaard","given":"Anne Marte"},{"family":"Sanchez","given":"Alex"},{"family":"Soligard","given":"Torbjørn"},{"family":"Sundgot-Borgen","given":"Jorunn"},{"family":"Mechelen","given":"Willem","non-dropping-particle":"van"},{"family":"Weissensteiner","given":"Juanita R"},{"family":"Engebretsen","given":"Lars"}],"issued":{"date-parts":[["2015",7]]}}}],"schema":"https://github.com/citation-style-language/schema/raw/master/csl-citation.json"} </w:instrText>
      </w:r>
      <w:r w:rsidR="00C00DFE" w:rsidRPr="00B03A83">
        <w:rPr>
          <w:rFonts w:ascii="Gill Sans MT" w:hAnsi="Gill Sans MT" w:cs="Times New Roman"/>
          <w:sz w:val="22"/>
          <w:szCs w:val="22"/>
        </w:rPr>
        <w:fldChar w:fldCharType="separate"/>
      </w:r>
      <w:r w:rsidRPr="00B03A83">
        <w:rPr>
          <w:rFonts w:ascii="Gill Sans MT" w:hAnsi="Gill Sans MT" w:cs="Times New Roman"/>
          <w:noProof/>
          <w:sz w:val="22"/>
          <w:szCs w:val="22"/>
        </w:rPr>
        <w:t>(Bergeron et al., 2015)</w:t>
      </w:r>
      <w:r w:rsidR="00C00DFE" w:rsidRPr="00B03A83">
        <w:rPr>
          <w:rFonts w:ascii="Gill Sans MT" w:hAnsi="Gill Sans MT" w:cs="Times New Roman"/>
          <w:sz w:val="22"/>
          <w:szCs w:val="22"/>
        </w:rPr>
        <w:fldChar w:fldCharType="end"/>
      </w:r>
      <w:r w:rsidRPr="00B03A83">
        <w:rPr>
          <w:rFonts w:ascii="Gill Sans MT" w:hAnsi="Gill Sans MT" w:cs="Times New Roman"/>
          <w:sz w:val="22"/>
          <w:szCs w:val="22"/>
        </w:rPr>
        <w:t xml:space="preserve">. Both somatic methods are widely utilised in both research and practice, with recent studies indicating greater accuracy when adopting EAS% versus maturity offset methods. </w:t>
      </w:r>
    </w:p>
    <w:p w14:paraId="342F0A3C" w14:textId="0BA8809C" w:rsidR="003C176A" w:rsidRPr="00B03A83" w:rsidRDefault="003C176A" w:rsidP="00B03A83">
      <w:pPr>
        <w:spacing w:line="276" w:lineRule="auto"/>
        <w:jc w:val="both"/>
        <w:rPr>
          <w:rFonts w:ascii="Gill Sans MT" w:hAnsi="Gill Sans MT" w:cs="Times New Roman"/>
          <w:sz w:val="22"/>
          <w:szCs w:val="22"/>
        </w:rPr>
      </w:pPr>
    </w:p>
    <w:p w14:paraId="5A5A87DC" w14:textId="108D4DCB" w:rsidR="003C176A" w:rsidRPr="00B03A83" w:rsidRDefault="003C176A" w:rsidP="00B03A83">
      <w:pPr>
        <w:spacing w:line="276" w:lineRule="auto"/>
        <w:jc w:val="both"/>
        <w:rPr>
          <w:rFonts w:ascii="Gill Sans MT" w:hAnsi="Gill Sans MT" w:cs="Times New Roman"/>
          <w:b/>
          <w:bCs/>
          <w:sz w:val="22"/>
          <w:szCs w:val="22"/>
        </w:rPr>
      </w:pPr>
      <w:r w:rsidRPr="00B03A83">
        <w:rPr>
          <w:rFonts w:ascii="Gill Sans MT" w:hAnsi="Gill Sans MT" w:cs="Times New Roman"/>
          <w:b/>
          <w:bCs/>
          <w:sz w:val="22"/>
          <w:szCs w:val="22"/>
        </w:rPr>
        <w:t>Reducing</w:t>
      </w:r>
      <w:r w:rsidR="000F694A" w:rsidRPr="00B03A83">
        <w:rPr>
          <w:rFonts w:ascii="Gill Sans MT" w:hAnsi="Gill Sans MT" w:cs="Times New Roman"/>
          <w:b/>
          <w:bCs/>
          <w:sz w:val="22"/>
          <w:szCs w:val="22"/>
        </w:rPr>
        <w:t xml:space="preserve"> i</w:t>
      </w:r>
      <w:r w:rsidRPr="00B03A83">
        <w:rPr>
          <w:rFonts w:ascii="Gill Sans MT" w:hAnsi="Gill Sans MT" w:cs="Times New Roman"/>
          <w:b/>
          <w:bCs/>
          <w:sz w:val="22"/>
          <w:szCs w:val="22"/>
        </w:rPr>
        <w:t>njury</w:t>
      </w:r>
    </w:p>
    <w:p w14:paraId="52539F32" w14:textId="2D6E6062" w:rsidR="001A4B16" w:rsidRPr="00B03A83" w:rsidRDefault="007E5E09"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A</w:t>
      </w:r>
      <w:r w:rsidR="003B512E" w:rsidRPr="00B03A83">
        <w:rPr>
          <w:rFonts w:ascii="Gill Sans MT" w:hAnsi="Gill Sans MT" w:cs="Times New Roman"/>
          <w:sz w:val="22"/>
          <w:szCs w:val="22"/>
        </w:rPr>
        <w:t xml:space="preserve">s a profession ‘we’ scrutinise the daily activities of adult athletes to optimise loads, yet we are happy to group age determined cohorts together expecting </w:t>
      </w:r>
      <w:r w:rsidR="00AC7914" w:rsidRPr="00B03A83">
        <w:rPr>
          <w:rFonts w:ascii="Gill Sans MT" w:hAnsi="Gill Sans MT" w:cs="Times New Roman"/>
          <w:sz w:val="22"/>
          <w:szCs w:val="22"/>
        </w:rPr>
        <w:t xml:space="preserve">biologically diverse </w:t>
      </w:r>
      <w:r w:rsidR="003B512E" w:rsidRPr="00B03A83">
        <w:rPr>
          <w:rFonts w:ascii="Gill Sans MT" w:hAnsi="Gill Sans MT" w:cs="Times New Roman"/>
          <w:sz w:val="22"/>
          <w:szCs w:val="22"/>
        </w:rPr>
        <w:t xml:space="preserve">individuals to </w:t>
      </w:r>
      <w:r w:rsidR="00D40E20" w:rsidRPr="00B03A83">
        <w:rPr>
          <w:rFonts w:ascii="Gill Sans MT" w:hAnsi="Gill Sans MT" w:cs="Times New Roman"/>
          <w:sz w:val="22"/>
          <w:szCs w:val="22"/>
        </w:rPr>
        <w:t xml:space="preserve">all </w:t>
      </w:r>
      <w:r w:rsidR="003B512E" w:rsidRPr="00B03A83">
        <w:rPr>
          <w:rFonts w:ascii="Gill Sans MT" w:hAnsi="Gill Sans MT" w:cs="Times New Roman"/>
          <w:sz w:val="22"/>
          <w:szCs w:val="22"/>
        </w:rPr>
        <w:t xml:space="preserve">‘cope’ with the </w:t>
      </w:r>
      <w:r w:rsidR="00967E65" w:rsidRPr="00B03A83">
        <w:rPr>
          <w:rFonts w:ascii="Gill Sans MT" w:hAnsi="Gill Sans MT" w:cs="Times New Roman"/>
          <w:sz w:val="22"/>
          <w:szCs w:val="22"/>
        </w:rPr>
        <w:t>planned</w:t>
      </w:r>
      <w:r w:rsidR="003B512E" w:rsidRPr="00B03A83">
        <w:rPr>
          <w:rFonts w:ascii="Gill Sans MT" w:hAnsi="Gill Sans MT" w:cs="Times New Roman"/>
          <w:sz w:val="22"/>
          <w:szCs w:val="22"/>
        </w:rPr>
        <w:t xml:space="preserve"> session </w:t>
      </w:r>
      <w:r w:rsidR="00D40E20" w:rsidRPr="00B03A83">
        <w:rPr>
          <w:rFonts w:ascii="Gill Sans MT" w:hAnsi="Gill Sans MT" w:cs="Times New Roman"/>
          <w:sz w:val="22"/>
          <w:szCs w:val="22"/>
        </w:rPr>
        <w:t>equally</w:t>
      </w:r>
      <w:r w:rsidR="00B03A83">
        <w:rPr>
          <w:rFonts w:ascii="Gill Sans MT" w:hAnsi="Gill Sans MT" w:cs="Times New Roman"/>
          <w:sz w:val="22"/>
          <w:szCs w:val="22"/>
        </w:rPr>
        <w:t>—</w:t>
      </w:r>
      <w:r w:rsidR="003B512E" w:rsidRPr="00B03A83">
        <w:rPr>
          <w:rFonts w:ascii="Gill Sans MT" w:hAnsi="Gill Sans MT" w:cs="Times New Roman"/>
          <w:sz w:val="22"/>
          <w:szCs w:val="22"/>
        </w:rPr>
        <w:t xml:space="preserve">yet injury evidence suggests this is just not the case. </w:t>
      </w:r>
      <w:r w:rsidR="29EACF55" w:rsidRPr="00B03A83">
        <w:rPr>
          <w:rFonts w:ascii="Gill Sans MT" w:hAnsi="Gill Sans MT" w:cs="Times New Roman"/>
          <w:sz w:val="22"/>
          <w:szCs w:val="22"/>
        </w:rPr>
        <w:t xml:space="preserve">Injury rates are elevated in adolescent athletes in comparison to their pre-pubescent and adult peers, with a high proportion of injuries (46-72%) being non-contact in nature and 17% insidious onset </w:t>
      </w:r>
      <w:r w:rsidR="001A4B16" w:rsidRPr="00B03A83">
        <w:rPr>
          <w:rFonts w:ascii="Gill Sans MT" w:hAnsi="Gill Sans MT" w:cs="Times New Roman"/>
          <w:sz w:val="22"/>
          <w:szCs w:val="22"/>
        </w:rPr>
        <w:fldChar w:fldCharType="begin"/>
      </w:r>
      <w:r w:rsidR="001A4B16" w:rsidRPr="00B03A83">
        <w:rPr>
          <w:rFonts w:ascii="Gill Sans MT" w:hAnsi="Gill Sans MT" w:cs="Times New Roman"/>
          <w:sz w:val="22"/>
          <w:szCs w:val="22"/>
        </w:rPr>
        <w:instrText xml:space="preserve"> ADDIN ZOTERO_ITEM CSL_CITATION {"citationID":"02n9T4CB","properties":{"formattedCitation":"(Towlson et al., 2020)","plainCitation":"(Towlson et al., 2020)","noteIndex":0},"citationItems":[{"id":1423,"uris":["http://zotero.org/users/6352108/items/F49IHKPZ"],"uri":["http://zotero.org/users/6352108/items/F49IHKPZ"],"itemData":{"id":1423,"type":"article-journal","abstract":"Biological maturation can be defined as the timing and tempo of progress to achieve a mature state. The estimation of age of peak height velocity (PHV) or percentage of final estimated adult stature attainment (%EASA) is typically used to inform the training process in young athletes. In youth soccer, maturity-related changes in anthropometric and physical fitness characteristics are diverse among individuals, particularly around PHV. During this time, players are also at an increased risk of sustaining an overuse or growth-related injury. As a result, the implementation of training interventions can be challenging. The purpose of this review is to (1) highlight and discuss many of the methods that can be used to estimate maturation in the applied setting and (2) discuss the implications of manipulating training load around PHV on physical development and injury risk. We also have provided key stakeholders with a practical online tool for estimating player maturation status (see online supplementary maturity estimation tool(s)). Whilst estimating maturity using predictive equations is useful in guiding the training process, practitioners should be aware of its limitations. To increase the accuracy and usefulness of data, it is also vital that sports scientists implement reliable testing protocols at predetermined time-points.","container-title":"Journal of Sport and Health Science","DOI":"https://doi.org/10.1016/j.jshs.2020.09.003","ISSN":"2095-2546","title":"Maturity-associated considerations for training load, injury risk, and physical performance within youth soccer: One size does not fit all","URL":"http://www.sciencedirect.com/science/article/pii/S2095254620301198","author":[{"family":"Towlson","given":"Chris"},{"family":"Salter","given":"Jamie"},{"family":"Ade","given":"Jack"},{"family":"Enright","given":"Kevin"},{"family":"Harper","given":"Liam"},{"family":"Page","given":"Richard"},{"family":"Malone","given":"James"}],"issued":{"date-parts":[["2020"]]}}}],"schema":"https://github.com/citation-style-language/schema/raw/master/csl-citation.json"} </w:instrText>
      </w:r>
      <w:r w:rsidR="001A4B16" w:rsidRPr="00B03A83">
        <w:rPr>
          <w:rFonts w:ascii="Gill Sans MT" w:hAnsi="Gill Sans MT" w:cs="Times New Roman"/>
          <w:sz w:val="22"/>
          <w:szCs w:val="22"/>
        </w:rPr>
        <w:fldChar w:fldCharType="separate"/>
      </w:r>
      <w:r w:rsidR="29EACF55" w:rsidRPr="00B03A83">
        <w:rPr>
          <w:rFonts w:ascii="Gill Sans MT" w:hAnsi="Gill Sans MT" w:cs="Times New Roman"/>
          <w:noProof/>
          <w:sz w:val="22"/>
          <w:szCs w:val="22"/>
        </w:rPr>
        <w:t>(Towlson et al., 2020)</w:t>
      </w:r>
      <w:r w:rsidR="001A4B16" w:rsidRPr="00B03A83">
        <w:rPr>
          <w:rFonts w:ascii="Gill Sans MT" w:hAnsi="Gill Sans MT" w:cs="Times New Roman"/>
          <w:sz w:val="22"/>
          <w:szCs w:val="22"/>
        </w:rPr>
        <w:fldChar w:fldCharType="end"/>
      </w:r>
      <w:r w:rsidR="29EACF55" w:rsidRPr="00B03A83">
        <w:rPr>
          <w:rFonts w:ascii="Gill Sans MT" w:hAnsi="Gill Sans MT" w:cs="Times New Roman"/>
          <w:sz w:val="22"/>
          <w:szCs w:val="22"/>
        </w:rPr>
        <w:t>. It is common for athletes to experience ‘growth-related’ inflammatory-based conditions during this period, such as Severs or Osgood Schlatter disease. It is proposed that this heightened incidence and inflammatory symptoms are largely caused by frequent, high-intensity activities imposed on ‘skeletally fragile’ and rapidly developing individuals with palpable imbalances between soft and hard tissue development. For example, adolescent stature increase</w:t>
      </w:r>
      <w:r w:rsidR="0087348B" w:rsidRPr="00B03A83">
        <w:rPr>
          <w:rFonts w:ascii="Gill Sans MT" w:hAnsi="Gill Sans MT" w:cs="Times New Roman"/>
          <w:sz w:val="22"/>
          <w:szCs w:val="22"/>
        </w:rPr>
        <w:t>s</w:t>
      </w:r>
      <w:r w:rsidR="29EACF55" w:rsidRPr="00B03A83">
        <w:rPr>
          <w:rFonts w:ascii="Gill Sans MT" w:hAnsi="Gill Sans MT" w:cs="Times New Roman"/>
          <w:sz w:val="22"/>
          <w:szCs w:val="22"/>
        </w:rPr>
        <w:t xml:space="preserve"> </w:t>
      </w:r>
      <w:r w:rsidR="009F14A2" w:rsidRPr="00B03A83">
        <w:rPr>
          <w:rFonts w:ascii="Gill Sans MT" w:hAnsi="Gill Sans MT" w:cs="Times New Roman"/>
          <w:sz w:val="22"/>
          <w:szCs w:val="22"/>
        </w:rPr>
        <w:t>are initiated</w:t>
      </w:r>
      <w:r w:rsidR="29EACF55" w:rsidRPr="00B03A83">
        <w:rPr>
          <w:rFonts w:ascii="Gill Sans MT" w:hAnsi="Gill Sans MT" w:cs="Times New Roman"/>
          <w:sz w:val="22"/>
          <w:szCs w:val="22"/>
        </w:rPr>
        <w:t xml:space="preserve"> by long bone growth, </w:t>
      </w:r>
      <w:r w:rsidR="00342FB5" w:rsidRPr="00B03A83">
        <w:rPr>
          <w:rFonts w:ascii="Gill Sans MT" w:hAnsi="Gill Sans MT" w:cs="Times New Roman"/>
          <w:sz w:val="22"/>
          <w:szCs w:val="22"/>
        </w:rPr>
        <w:t>with soft</w:t>
      </w:r>
      <w:r w:rsidR="29EACF55" w:rsidRPr="00B03A83">
        <w:rPr>
          <w:rFonts w:ascii="Gill Sans MT" w:hAnsi="Gill Sans MT" w:cs="Times New Roman"/>
          <w:sz w:val="22"/>
          <w:szCs w:val="22"/>
        </w:rPr>
        <w:t xml:space="preserve"> tissue (i.e., tendon and muscle mass) developing </w:t>
      </w:r>
      <w:r w:rsidR="009F14A2" w:rsidRPr="00B03A83">
        <w:rPr>
          <w:rFonts w:ascii="Gill Sans MT" w:hAnsi="Gill Sans MT" w:cs="Times New Roman"/>
          <w:sz w:val="22"/>
          <w:szCs w:val="22"/>
        </w:rPr>
        <w:t>after</w:t>
      </w:r>
      <w:r w:rsidR="29EACF55" w:rsidRPr="00B03A83">
        <w:rPr>
          <w:rFonts w:ascii="Gill Sans MT" w:hAnsi="Gill Sans MT" w:cs="Times New Roman"/>
          <w:sz w:val="22"/>
          <w:szCs w:val="22"/>
        </w:rPr>
        <w:t xml:space="preserve"> adapting to</w:t>
      </w:r>
      <w:r w:rsidR="00E85D49" w:rsidRPr="00B03A83">
        <w:rPr>
          <w:rFonts w:ascii="Gill Sans MT" w:hAnsi="Gill Sans MT" w:cs="Times New Roman"/>
          <w:sz w:val="22"/>
          <w:szCs w:val="22"/>
        </w:rPr>
        <w:t xml:space="preserve"> the altered</w:t>
      </w:r>
      <w:r w:rsidR="29EACF55" w:rsidRPr="00B03A83">
        <w:rPr>
          <w:rFonts w:ascii="Gill Sans MT" w:hAnsi="Gill Sans MT" w:cs="Times New Roman"/>
          <w:sz w:val="22"/>
          <w:szCs w:val="22"/>
        </w:rPr>
        <w:t xml:space="preserve"> levels of mechanical stress. During this </w:t>
      </w:r>
      <w:r w:rsidR="00E85D49" w:rsidRPr="00B03A83">
        <w:rPr>
          <w:rFonts w:ascii="Gill Sans MT" w:hAnsi="Gill Sans MT" w:cs="Times New Roman"/>
          <w:sz w:val="22"/>
          <w:szCs w:val="22"/>
        </w:rPr>
        <w:t xml:space="preserve">lag </w:t>
      </w:r>
      <w:r w:rsidR="29EACF55" w:rsidRPr="00B03A83">
        <w:rPr>
          <w:rFonts w:ascii="Gill Sans MT" w:hAnsi="Gill Sans MT" w:cs="Times New Roman"/>
          <w:sz w:val="22"/>
          <w:szCs w:val="22"/>
        </w:rPr>
        <w:t xml:space="preserve">period, it is common for individuals to adopt </w:t>
      </w:r>
      <w:r w:rsidR="00E85D49" w:rsidRPr="00B03A83">
        <w:rPr>
          <w:rFonts w:ascii="Gill Sans MT" w:hAnsi="Gill Sans MT" w:cs="Times New Roman"/>
          <w:sz w:val="22"/>
          <w:szCs w:val="22"/>
        </w:rPr>
        <w:t>modified</w:t>
      </w:r>
      <w:r w:rsidR="29EACF55" w:rsidRPr="00B03A83">
        <w:rPr>
          <w:rFonts w:ascii="Gill Sans MT" w:hAnsi="Gill Sans MT" w:cs="Times New Roman"/>
          <w:sz w:val="22"/>
          <w:szCs w:val="22"/>
        </w:rPr>
        <w:t xml:space="preserve"> movement kinematics (termed ‘adolescent awkwardness’) and mechanical load-response pathways, potentially reducing their resilience to injury. </w:t>
      </w:r>
    </w:p>
    <w:p w14:paraId="3C70438B" w14:textId="39DBEDE2" w:rsidR="004F393F" w:rsidRPr="00B03A83" w:rsidRDefault="004F393F" w:rsidP="00B03A83">
      <w:pPr>
        <w:spacing w:line="276" w:lineRule="auto"/>
        <w:jc w:val="both"/>
        <w:rPr>
          <w:rFonts w:ascii="Gill Sans MT" w:hAnsi="Gill Sans MT" w:cs="Times New Roman"/>
          <w:sz w:val="22"/>
          <w:szCs w:val="22"/>
        </w:rPr>
      </w:pPr>
    </w:p>
    <w:p w14:paraId="4541CE65" w14:textId="45C9753E" w:rsidR="004F393F" w:rsidRPr="00B03A83" w:rsidRDefault="29EACF55"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By utilising the accessible somatic maturation methods previously outlined, practitioners can adopt a proactive approach to reducing injury risk in adolescent populations. Monitoring maturation over time can allow practitioners to classify ‘at risk’ players and intervene early (through structured activity management) and reduce (not stop) exposures to mechanically demanding activities. By utilising regular maturity</w:t>
      </w:r>
      <w:r w:rsidR="009D72BE" w:rsidRPr="00B03A83">
        <w:rPr>
          <w:rFonts w:ascii="Gill Sans MT" w:hAnsi="Gill Sans MT" w:cs="Times New Roman"/>
          <w:sz w:val="22"/>
          <w:szCs w:val="22"/>
        </w:rPr>
        <w:t xml:space="preserve"> </w:t>
      </w:r>
      <w:r w:rsidRPr="00B03A83">
        <w:rPr>
          <w:rFonts w:ascii="Gill Sans MT" w:hAnsi="Gill Sans MT" w:cs="Times New Roman"/>
          <w:sz w:val="22"/>
          <w:szCs w:val="22"/>
        </w:rPr>
        <w:t xml:space="preserve">categorised (i.e., bio-banded) training sessions, practitioners can more adequately ‘manage’ the exposures of their athletes, by prescribing activities to facilitate development whilst preventing unwanted mechanical stress. For example, grouping ‘mid-PHV’ individuals together and focussing on technical proficiency of movement for one session each week </w:t>
      </w:r>
      <w:r w:rsidR="00D905BA" w:rsidRPr="00B03A83">
        <w:rPr>
          <w:rFonts w:ascii="Gill Sans MT" w:hAnsi="Gill Sans MT" w:cs="Times New Roman"/>
          <w:sz w:val="22"/>
          <w:szCs w:val="22"/>
        </w:rPr>
        <w:t>may</w:t>
      </w:r>
      <w:r w:rsidRPr="00B03A83">
        <w:rPr>
          <w:rFonts w:ascii="Gill Sans MT" w:hAnsi="Gill Sans MT" w:cs="Times New Roman"/>
          <w:sz w:val="22"/>
          <w:szCs w:val="22"/>
        </w:rPr>
        <w:t xml:space="preserve"> </w:t>
      </w:r>
      <w:r w:rsidR="00304B53" w:rsidRPr="00B03A83">
        <w:rPr>
          <w:rFonts w:ascii="Gill Sans MT" w:hAnsi="Gill Sans MT" w:cs="Times New Roman"/>
          <w:sz w:val="22"/>
          <w:szCs w:val="22"/>
        </w:rPr>
        <w:t>innately</w:t>
      </w:r>
      <w:r w:rsidRPr="00B03A83">
        <w:rPr>
          <w:rFonts w:ascii="Gill Sans MT" w:hAnsi="Gill Sans MT" w:cs="Times New Roman"/>
          <w:sz w:val="22"/>
          <w:szCs w:val="22"/>
        </w:rPr>
        <w:t xml:space="preserve"> reduce the repetitive, high-stress mechanical loads associated with rapid decelerations and changes of direction. These reductions in repetitive stress act as ‘a stitch in time’ to prevent negative long-term consequences of injury and potentially burnout and or drop-out. </w:t>
      </w:r>
      <w:r w:rsidR="00D905BA" w:rsidRPr="00B03A83">
        <w:rPr>
          <w:rFonts w:ascii="Gill Sans MT" w:hAnsi="Gill Sans MT" w:cs="Times New Roman"/>
          <w:sz w:val="22"/>
          <w:szCs w:val="22"/>
        </w:rPr>
        <w:t xml:space="preserve">Maintaining player availability is a key </w:t>
      </w:r>
      <w:r w:rsidR="005B3C37" w:rsidRPr="00B03A83">
        <w:rPr>
          <w:rFonts w:ascii="Gill Sans MT" w:hAnsi="Gill Sans MT" w:cs="Times New Roman"/>
          <w:sz w:val="22"/>
          <w:szCs w:val="22"/>
        </w:rPr>
        <w:t xml:space="preserve">performance outcome for </w:t>
      </w:r>
      <w:r w:rsidR="00FD212D" w:rsidRPr="00B03A83">
        <w:rPr>
          <w:rFonts w:ascii="Gill Sans MT" w:hAnsi="Gill Sans MT" w:cs="Times New Roman"/>
          <w:sz w:val="22"/>
          <w:szCs w:val="22"/>
        </w:rPr>
        <w:t>performance</w:t>
      </w:r>
      <w:r w:rsidR="005B3C37" w:rsidRPr="00B03A83">
        <w:rPr>
          <w:rFonts w:ascii="Gill Sans MT" w:hAnsi="Gill Sans MT" w:cs="Times New Roman"/>
          <w:sz w:val="22"/>
          <w:szCs w:val="22"/>
        </w:rPr>
        <w:t xml:space="preserve"> staff in </w:t>
      </w:r>
      <w:r w:rsidR="0098669A" w:rsidRPr="00B03A83">
        <w:rPr>
          <w:rFonts w:ascii="Gill Sans MT" w:hAnsi="Gill Sans MT" w:cs="Times New Roman"/>
          <w:sz w:val="22"/>
          <w:szCs w:val="22"/>
        </w:rPr>
        <w:t xml:space="preserve">adult </w:t>
      </w:r>
      <w:r w:rsidR="005B3C37" w:rsidRPr="00B03A83">
        <w:rPr>
          <w:rFonts w:ascii="Gill Sans MT" w:hAnsi="Gill Sans MT" w:cs="Times New Roman"/>
          <w:sz w:val="22"/>
          <w:szCs w:val="22"/>
        </w:rPr>
        <w:t xml:space="preserve">populations, </w:t>
      </w:r>
      <w:r w:rsidR="00117C57" w:rsidRPr="00B03A83">
        <w:rPr>
          <w:rFonts w:ascii="Gill Sans MT" w:hAnsi="Gill Sans MT" w:cs="Times New Roman"/>
          <w:sz w:val="22"/>
          <w:szCs w:val="22"/>
        </w:rPr>
        <w:t xml:space="preserve">but higher availability </w:t>
      </w:r>
      <w:r w:rsidR="0098669A" w:rsidRPr="00B03A83">
        <w:rPr>
          <w:rFonts w:ascii="Gill Sans MT" w:hAnsi="Gill Sans MT" w:cs="Times New Roman"/>
          <w:sz w:val="22"/>
          <w:szCs w:val="22"/>
        </w:rPr>
        <w:t xml:space="preserve">in adolescent cohorts </w:t>
      </w:r>
      <w:r w:rsidR="00117C57" w:rsidRPr="00B03A83">
        <w:rPr>
          <w:rFonts w:ascii="Gill Sans MT" w:hAnsi="Gill Sans MT" w:cs="Times New Roman"/>
          <w:sz w:val="22"/>
          <w:szCs w:val="22"/>
        </w:rPr>
        <w:t xml:space="preserve">will </w:t>
      </w:r>
      <w:r w:rsidR="00FD212D" w:rsidRPr="00B03A83">
        <w:rPr>
          <w:rFonts w:ascii="Gill Sans MT" w:hAnsi="Gill Sans MT" w:cs="Times New Roman"/>
          <w:sz w:val="22"/>
          <w:szCs w:val="22"/>
        </w:rPr>
        <w:t xml:space="preserve">ultimately </w:t>
      </w:r>
      <w:r w:rsidR="00E85D49" w:rsidRPr="00B03A83">
        <w:rPr>
          <w:rFonts w:ascii="Gill Sans MT" w:hAnsi="Gill Sans MT" w:cs="Times New Roman"/>
          <w:sz w:val="22"/>
          <w:szCs w:val="22"/>
        </w:rPr>
        <w:t>enhance</w:t>
      </w:r>
      <w:r w:rsidR="00FD212D" w:rsidRPr="00B03A83">
        <w:rPr>
          <w:rFonts w:ascii="Gill Sans MT" w:hAnsi="Gill Sans MT" w:cs="Times New Roman"/>
          <w:sz w:val="22"/>
          <w:szCs w:val="22"/>
        </w:rPr>
        <w:t xml:space="preserve"> time to identify and develop talent. </w:t>
      </w:r>
    </w:p>
    <w:p w14:paraId="1157C748" w14:textId="6F84BFDD" w:rsidR="003C176A" w:rsidRPr="00B03A83" w:rsidRDefault="003C176A" w:rsidP="00B03A83">
      <w:pPr>
        <w:spacing w:line="276" w:lineRule="auto"/>
        <w:jc w:val="both"/>
        <w:rPr>
          <w:rFonts w:ascii="Gill Sans MT" w:hAnsi="Gill Sans MT" w:cs="Times New Roman"/>
          <w:sz w:val="22"/>
          <w:szCs w:val="22"/>
        </w:rPr>
      </w:pPr>
    </w:p>
    <w:p w14:paraId="52C16FA7" w14:textId="61C4A430" w:rsidR="003C176A" w:rsidRPr="00B03A83" w:rsidRDefault="003C176A" w:rsidP="00B03A83">
      <w:pPr>
        <w:spacing w:line="276" w:lineRule="auto"/>
        <w:jc w:val="both"/>
        <w:rPr>
          <w:rFonts w:ascii="Gill Sans MT" w:hAnsi="Gill Sans MT" w:cs="Times New Roman"/>
          <w:b/>
          <w:bCs/>
          <w:sz w:val="22"/>
          <w:szCs w:val="22"/>
        </w:rPr>
      </w:pPr>
      <w:r w:rsidRPr="00B03A83">
        <w:rPr>
          <w:rFonts w:ascii="Gill Sans MT" w:hAnsi="Gill Sans MT" w:cs="Times New Roman"/>
          <w:b/>
          <w:bCs/>
          <w:sz w:val="22"/>
          <w:szCs w:val="22"/>
        </w:rPr>
        <w:t xml:space="preserve">Talent </w:t>
      </w:r>
      <w:r w:rsidR="00C00DFE" w:rsidRPr="00B03A83">
        <w:rPr>
          <w:rFonts w:ascii="Gill Sans MT" w:hAnsi="Gill Sans MT" w:cs="Times New Roman"/>
          <w:b/>
          <w:bCs/>
          <w:sz w:val="22"/>
          <w:szCs w:val="22"/>
        </w:rPr>
        <w:t xml:space="preserve">identification &amp; </w:t>
      </w:r>
      <w:r w:rsidR="000F694A" w:rsidRPr="00B03A83">
        <w:rPr>
          <w:rFonts w:ascii="Gill Sans MT" w:hAnsi="Gill Sans MT" w:cs="Times New Roman"/>
          <w:b/>
          <w:bCs/>
          <w:sz w:val="22"/>
          <w:szCs w:val="22"/>
        </w:rPr>
        <w:t>d</w:t>
      </w:r>
      <w:r w:rsidRPr="00B03A83">
        <w:rPr>
          <w:rFonts w:ascii="Gill Sans MT" w:hAnsi="Gill Sans MT" w:cs="Times New Roman"/>
          <w:b/>
          <w:bCs/>
          <w:sz w:val="22"/>
          <w:szCs w:val="22"/>
        </w:rPr>
        <w:t>evelopment</w:t>
      </w:r>
    </w:p>
    <w:p w14:paraId="073A5206" w14:textId="3646CC1F" w:rsidR="00BA5B1F" w:rsidRPr="00B03A83" w:rsidRDefault="77C93EC5"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 xml:space="preserve">Actively considering maturation within talent identification and development processes is </w:t>
      </w:r>
      <w:r w:rsidR="003D01AD" w:rsidRPr="00B03A83">
        <w:rPr>
          <w:rFonts w:ascii="Gill Sans MT" w:hAnsi="Gill Sans MT" w:cs="Times New Roman"/>
          <w:sz w:val="22"/>
          <w:szCs w:val="22"/>
        </w:rPr>
        <w:t>crucial</w:t>
      </w:r>
      <w:r w:rsidRPr="00B03A83">
        <w:rPr>
          <w:rFonts w:ascii="Gill Sans MT" w:hAnsi="Gill Sans MT" w:cs="Times New Roman"/>
          <w:sz w:val="22"/>
          <w:szCs w:val="22"/>
        </w:rPr>
        <w:t xml:space="preserve"> to inform decision making. The maturity-selection bias proposes that individuals of advanced biological maturity are physically advantaged over less mature peers, resulting in positive appraisal from coaches/scouts and </w:t>
      </w:r>
      <w:r w:rsidR="00970905" w:rsidRPr="00B03A83">
        <w:rPr>
          <w:rFonts w:ascii="Gill Sans MT" w:hAnsi="Gill Sans MT" w:cs="Times New Roman"/>
          <w:sz w:val="22"/>
          <w:szCs w:val="22"/>
        </w:rPr>
        <w:t>subsequently</w:t>
      </w:r>
      <w:r w:rsidRPr="00B03A83">
        <w:rPr>
          <w:rFonts w:ascii="Gill Sans MT" w:hAnsi="Gill Sans MT" w:cs="Times New Roman"/>
          <w:sz w:val="22"/>
          <w:szCs w:val="22"/>
        </w:rPr>
        <w:t xml:space="preserve"> expos</w:t>
      </w:r>
      <w:r w:rsidR="00970905" w:rsidRPr="00B03A83">
        <w:rPr>
          <w:rFonts w:ascii="Gill Sans MT" w:hAnsi="Gill Sans MT" w:cs="Times New Roman"/>
          <w:sz w:val="22"/>
          <w:szCs w:val="22"/>
        </w:rPr>
        <w:t>ed</w:t>
      </w:r>
      <w:r w:rsidRPr="00B03A83">
        <w:rPr>
          <w:rFonts w:ascii="Gill Sans MT" w:hAnsi="Gill Sans MT" w:cs="Times New Roman"/>
          <w:sz w:val="22"/>
          <w:szCs w:val="22"/>
        </w:rPr>
        <w:t xml:space="preserve"> to higher quality training environments. </w:t>
      </w:r>
      <w:r w:rsidR="001507F7" w:rsidRPr="00B03A83">
        <w:rPr>
          <w:rFonts w:ascii="Gill Sans MT" w:hAnsi="Gill Sans MT" w:cs="Times New Roman"/>
          <w:sz w:val="22"/>
          <w:szCs w:val="22"/>
        </w:rPr>
        <w:t>Physical advantage</w:t>
      </w:r>
      <w:r w:rsidR="004632DF" w:rsidRPr="00B03A83">
        <w:rPr>
          <w:rFonts w:ascii="Gill Sans MT" w:hAnsi="Gill Sans MT" w:cs="Times New Roman"/>
          <w:sz w:val="22"/>
          <w:szCs w:val="22"/>
        </w:rPr>
        <w:t>s</w:t>
      </w:r>
      <w:r w:rsidR="001507F7" w:rsidRPr="00B03A83">
        <w:rPr>
          <w:rFonts w:ascii="Gill Sans MT" w:hAnsi="Gill Sans MT" w:cs="Times New Roman"/>
          <w:sz w:val="22"/>
          <w:szCs w:val="22"/>
        </w:rPr>
        <w:t xml:space="preserve"> manifest themselves </w:t>
      </w:r>
      <w:r w:rsidR="00C33A7F" w:rsidRPr="00B03A83">
        <w:rPr>
          <w:rFonts w:ascii="Gill Sans MT" w:hAnsi="Gill Sans MT" w:cs="Times New Roman"/>
          <w:sz w:val="22"/>
          <w:szCs w:val="22"/>
        </w:rPr>
        <w:t>in</w:t>
      </w:r>
      <w:r w:rsidR="001507F7" w:rsidRPr="00B03A83">
        <w:rPr>
          <w:rFonts w:ascii="Gill Sans MT" w:hAnsi="Gill Sans MT" w:cs="Times New Roman"/>
          <w:sz w:val="22"/>
          <w:szCs w:val="22"/>
        </w:rPr>
        <w:t xml:space="preserve"> the </w:t>
      </w:r>
      <w:r w:rsidR="00C33A7F" w:rsidRPr="00B03A83">
        <w:rPr>
          <w:rFonts w:ascii="Gill Sans MT" w:hAnsi="Gill Sans MT" w:cs="Times New Roman"/>
          <w:sz w:val="22"/>
          <w:szCs w:val="22"/>
        </w:rPr>
        <w:t>form</w:t>
      </w:r>
      <w:r w:rsidR="001507F7" w:rsidRPr="00B03A83">
        <w:rPr>
          <w:rFonts w:ascii="Gill Sans MT" w:hAnsi="Gill Sans MT" w:cs="Times New Roman"/>
          <w:sz w:val="22"/>
          <w:szCs w:val="22"/>
        </w:rPr>
        <w:t xml:space="preserve"> of enhanced speed, strength, power and </w:t>
      </w:r>
      <w:r w:rsidR="00C33A7F" w:rsidRPr="00B03A83">
        <w:rPr>
          <w:rFonts w:ascii="Gill Sans MT" w:hAnsi="Gill Sans MT" w:cs="Times New Roman"/>
          <w:sz w:val="22"/>
          <w:szCs w:val="22"/>
        </w:rPr>
        <w:t xml:space="preserve">overall size which </w:t>
      </w:r>
      <w:r w:rsidR="00825707" w:rsidRPr="00B03A83">
        <w:rPr>
          <w:rFonts w:ascii="Gill Sans MT" w:hAnsi="Gill Sans MT" w:cs="Times New Roman"/>
          <w:sz w:val="22"/>
          <w:szCs w:val="22"/>
        </w:rPr>
        <w:t xml:space="preserve">reduces the relative intensity and demand of match-play </w:t>
      </w:r>
      <w:r w:rsidR="00533608" w:rsidRPr="00B03A83">
        <w:rPr>
          <w:rFonts w:ascii="Gill Sans MT" w:hAnsi="Gill Sans MT" w:cs="Times New Roman"/>
          <w:sz w:val="22"/>
          <w:szCs w:val="22"/>
        </w:rPr>
        <w:t xml:space="preserve">and </w:t>
      </w:r>
      <w:r w:rsidR="00324F03" w:rsidRPr="00B03A83">
        <w:rPr>
          <w:rFonts w:ascii="Gill Sans MT" w:hAnsi="Gill Sans MT" w:cs="Times New Roman"/>
          <w:sz w:val="22"/>
          <w:szCs w:val="22"/>
        </w:rPr>
        <w:t>augments</w:t>
      </w:r>
      <w:r w:rsidR="00533608" w:rsidRPr="00B03A83">
        <w:rPr>
          <w:rFonts w:ascii="Gill Sans MT" w:hAnsi="Gill Sans MT" w:cs="Times New Roman"/>
          <w:sz w:val="22"/>
          <w:szCs w:val="22"/>
        </w:rPr>
        <w:t xml:space="preserve"> performance</w:t>
      </w:r>
      <w:r w:rsidR="00825707" w:rsidRPr="00B03A83">
        <w:rPr>
          <w:rFonts w:ascii="Gill Sans MT" w:hAnsi="Gill Sans MT" w:cs="Times New Roman"/>
          <w:sz w:val="22"/>
          <w:szCs w:val="22"/>
        </w:rPr>
        <w:t>.</w:t>
      </w:r>
      <w:r w:rsidR="00930D01" w:rsidRPr="00B03A83">
        <w:rPr>
          <w:rFonts w:ascii="Gill Sans MT" w:hAnsi="Gill Sans MT" w:cs="Times New Roman"/>
          <w:sz w:val="22"/>
          <w:szCs w:val="22"/>
        </w:rPr>
        <w:t xml:space="preserve"> </w:t>
      </w:r>
      <w:r w:rsidRPr="00B03A83">
        <w:rPr>
          <w:rFonts w:ascii="Gill Sans MT" w:hAnsi="Gill Sans MT" w:cs="Times New Roman"/>
          <w:sz w:val="22"/>
          <w:szCs w:val="22"/>
        </w:rPr>
        <w:t xml:space="preserve">However, the bias suggests that less mature individuals that can ‘cope’ with the academy system, often </w:t>
      </w:r>
      <w:r w:rsidR="00832B7F" w:rsidRPr="00B03A83">
        <w:rPr>
          <w:rFonts w:ascii="Gill Sans MT" w:hAnsi="Gill Sans MT" w:cs="Times New Roman"/>
          <w:sz w:val="22"/>
          <w:szCs w:val="22"/>
        </w:rPr>
        <w:t>possess</w:t>
      </w:r>
      <w:r w:rsidRPr="00B03A83">
        <w:rPr>
          <w:rFonts w:ascii="Gill Sans MT" w:hAnsi="Gill Sans MT" w:cs="Times New Roman"/>
          <w:sz w:val="22"/>
          <w:szCs w:val="22"/>
        </w:rPr>
        <w:t xml:space="preserve"> </w:t>
      </w:r>
      <w:r w:rsidR="00832B7F" w:rsidRPr="00B03A83">
        <w:rPr>
          <w:rFonts w:ascii="Gill Sans MT" w:hAnsi="Gill Sans MT" w:cs="Times New Roman"/>
          <w:sz w:val="22"/>
          <w:szCs w:val="22"/>
        </w:rPr>
        <w:t>superior technical</w:t>
      </w:r>
      <w:r w:rsidR="004C5619" w:rsidRPr="00B03A83">
        <w:rPr>
          <w:rFonts w:ascii="Gill Sans MT" w:hAnsi="Gill Sans MT" w:cs="Times New Roman"/>
          <w:sz w:val="22"/>
          <w:szCs w:val="22"/>
        </w:rPr>
        <w:t>, tactical</w:t>
      </w:r>
      <w:r w:rsidR="00832B7F" w:rsidRPr="00B03A83">
        <w:rPr>
          <w:rFonts w:ascii="Gill Sans MT" w:hAnsi="Gill Sans MT" w:cs="Times New Roman"/>
          <w:sz w:val="22"/>
          <w:szCs w:val="22"/>
        </w:rPr>
        <w:t xml:space="preserve"> and psychological </w:t>
      </w:r>
      <w:r w:rsidR="004C5619" w:rsidRPr="00B03A83">
        <w:rPr>
          <w:rFonts w:ascii="Gill Sans MT" w:hAnsi="Gill Sans MT" w:cs="Times New Roman"/>
          <w:sz w:val="22"/>
          <w:szCs w:val="22"/>
        </w:rPr>
        <w:t>ability</w:t>
      </w:r>
      <w:r w:rsidRPr="00B03A83">
        <w:rPr>
          <w:rFonts w:ascii="Gill Sans MT" w:hAnsi="Gill Sans MT" w:cs="Times New Roman"/>
          <w:sz w:val="22"/>
          <w:szCs w:val="22"/>
        </w:rPr>
        <w:t xml:space="preserve"> when they catch up physically</w:t>
      </w:r>
      <w:r w:rsidR="00267167" w:rsidRPr="00B03A83">
        <w:rPr>
          <w:rFonts w:ascii="Gill Sans MT" w:hAnsi="Gill Sans MT" w:cs="Times New Roman"/>
          <w:sz w:val="22"/>
          <w:szCs w:val="22"/>
        </w:rPr>
        <w:t xml:space="preserve"> (~16 years)</w:t>
      </w:r>
      <w:r w:rsidR="008A57B9" w:rsidRPr="00B03A83">
        <w:rPr>
          <w:rFonts w:ascii="Gill Sans MT" w:hAnsi="Gill Sans MT" w:cs="Times New Roman"/>
          <w:sz w:val="22"/>
          <w:szCs w:val="22"/>
        </w:rPr>
        <w:t>, termed the ‘underdog hypothesis’</w:t>
      </w:r>
      <w:r w:rsidRPr="00B03A83">
        <w:rPr>
          <w:rFonts w:ascii="Gill Sans MT" w:hAnsi="Gill Sans MT" w:cs="Times New Roman"/>
          <w:sz w:val="22"/>
          <w:szCs w:val="22"/>
        </w:rPr>
        <w:t xml:space="preserve">. </w:t>
      </w:r>
      <w:r w:rsidR="00074033" w:rsidRPr="00B03A83">
        <w:rPr>
          <w:rFonts w:ascii="Gill Sans MT" w:hAnsi="Gill Sans MT" w:cs="Times New Roman"/>
          <w:sz w:val="22"/>
          <w:szCs w:val="22"/>
        </w:rPr>
        <w:t xml:space="preserve">Without considering biological maturation into selection discussions, </w:t>
      </w:r>
      <w:r w:rsidR="00B829D8" w:rsidRPr="00B03A83">
        <w:rPr>
          <w:rFonts w:ascii="Gill Sans MT" w:hAnsi="Gill Sans MT" w:cs="Times New Roman"/>
          <w:sz w:val="22"/>
          <w:szCs w:val="22"/>
        </w:rPr>
        <w:t xml:space="preserve">practitioners may misjudge ‘talent’ for physical advantage. </w:t>
      </w:r>
      <w:r w:rsidRPr="00B03A83">
        <w:rPr>
          <w:rFonts w:ascii="Gill Sans MT" w:hAnsi="Gill Sans MT" w:cs="Times New Roman"/>
          <w:sz w:val="22"/>
          <w:szCs w:val="22"/>
        </w:rPr>
        <w:t>Various strategies such as bio-banding</w:t>
      </w:r>
      <w:r w:rsidR="00267167" w:rsidRPr="00B03A83">
        <w:rPr>
          <w:rFonts w:ascii="Gill Sans MT" w:hAnsi="Gill Sans MT" w:cs="Times New Roman"/>
          <w:sz w:val="22"/>
          <w:szCs w:val="22"/>
        </w:rPr>
        <w:t xml:space="preserve"> and</w:t>
      </w:r>
      <w:r w:rsidRPr="00B03A83">
        <w:rPr>
          <w:rFonts w:ascii="Gill Sans MT" w:hAnsi="Gill Sans MT" w:cs="Times New Roman"/>
          <w:sz w:val="22"/>
          <w:szCs w:val="22"/>
        </w:rPr>
        <w:t xml:space="preserve"> age-ordered shirt numbering have been used to reduce this bias, with </w:t>
      </w:r>
      <w:r w:rsidR="00DE73FE" w:rsidRPr="00B03A83">
        <w:rPr>
          <w:rFonts w:ascii="Gill Sans MT" w:hAnsi="Gill Sans MT" w:cs="Times New Roman"/>
          <w:sz w:val="22"/>
          <w:szCs w:val="22"/>
        </w:rPr>
        <w:t>growing frequency and</w:t>
      </w:r>
      <w:r w:rsidRPr="00B03A83">
        <w:rPr>
          <w:rFonts w:ascii="Gill Sans MT" w:hAnsi="Gill Sans MT" w:cs="Times New Roman"/>
          <w:sz w:val="22"/>
          <w:szCs w:val="22"/>
        </w:rPr>
        <w:t xml:space="preserve"> success. Exposing players to biologically categorised training and competition environments has been  well-received by players and coaches with clear positive impact on the psychological and sociological development of participants </w:t>
      </w:r>
      <w:r w:rsidR="00BA5B1F" w:rsidRPr="00B03A83">
        <w:rPr>
          <w:rFonts w:ascii="Gill Sans MT" w:hAnsi="Gill Sans MT" w:cs="Times New Roman"/>
          <w:sz w:val="22"/>
          <w:szCs w:val="22"/>
        </w:rPr>
        <w:fldChar w:fldCharType="begin"/>
      </w:r>
      <w:r w:rsidR="00BA5B1F" w:rsidRPr="00B03A83">
        <w:rPr>
          <w:rFonts w:ascii="Gill Sans MT" w:hAnsi="Gill Sans MT" w:cs="Times New Roman"/>
          <w:sz w:val="22"/>
          <w:szCs w:val="22"/>
        </w:rPr>
        <w:instrText xml:space="preserve"> ADDIN ZOTERO_ITEM CSL_CITATION {"citationID":"Qb1PJLhl","properties":{"formattedCitation":"(Cumming et al., 2018)","plainCitation":"(Cumming et al., 2018)","noteIndex":0},"citationItems":[{"id":1032,"uris":["http://zotero.org/users/6352108/items/E3UM7YUB"],"uri":["http://zotero.org/users/6352108/items/E3UM7YUB"],"itemData":{"id":1032,"type":"article-journal","abstract":"Individual differences in the growth and maturation have been shown to impact player performance and development in youth soccer. This study investigated Premier League academy players’ experiences of participating in a tournament bio-banded for biological maturation. Players (N = 66) from four professional soccer clubs aged 11 and 14 years and between 85–90% of adult stature participated in a tournament. Players competed in three 11 vs 11 games on a full size pitch with 25-min halves. Sixteen players participated in four 15-min focus groups and were asked to describe their experiences of participating in the bio-banded tournament in comparison to age group competition. All players described their experience as positive and recommended the Premier League integrate bio-banding into the existing games programme. In comparison to age-group competitions, early maturing players described the bio-banded games more physically challenging, and found that they had to adapt their style of play placing a greater emphasis on technique and tactics. Late maturing players considered the games to be less physically challenging, yet appreciated the having more opportunity to use, develop and demonstrate their technical, physical, and psychological competencies. Bio-banding strategies appear to contribute positively towards the holistic development of young soccer players.","container-title":"Journal of Sports Sciences","DOI":"10.1080/02640414.2017.1340656","ISSN":"0264-0414, 1466-447X","issue":"7","journalAbbreviation":"Journal of Sports Sciences","language":"en","page":"757-765","source":"DOI.org (Crossref)","title":"Premier League academy soccer players’ experiences of competing in a tournament bio-banded for biological maturation","volume":"36","author":[{"family":"Cumming","given":"Sean P."},{"family":"Brown","given":"Daniel J."},{"family":"Mitchell","given":"Siobhan"},{"family":"Bunce","given":"James"},{"family":"Hunt","given":"Dan"},{"family":"Hedges","given":"Chris"},{"family":"Crane","given":"Gregory"},{"family":"Gross","given":"Aleks"},{"family":"Scott","given":"Sam"},{"family":"Franklin","given":"Ed"},{"family":"Breakspear","given":"Dave"},{"family":"Dennison","given":"Luke"},{"family":"White","given":"Paul"},{"family":"Cain","given":"Andrew"},{"family":"Eisenmann","given":"Joey C."},{"family":"Malina","given":"Robert M."}],"issued":{"date-parts":[["2018",4,3]]}}}],"schema":"https://github.com/citation-style-language/schema/raw/master/csl-citation.json"} </w:instrText>
      </w:r>
      <w:r w:rsidR="00BA5B1F" w:rsidRPr="00B03A83">
        <w:rPr>
          <w:rFonts w:ascii="Gill Sans MT" w:hAnsi="Gill Sans MT" w:cs="Times New Roman"/>
          <w:sz w:val="22"/>
          <w:szCs w:val="22"/>
        </w:rPr>
        <w:fldChar w:fldCharType="separate"/>
      </w:r>
      <w:r w:rsidRPr="00B03A83">
        <w:rPr>
          <w:rFonts w:ascii="Gill Sans MT" w:hAnsi="Gill Sans MT" w:cs="Times New Roman"/>
          <w:noProof/>
          <w:sz w:val="22"/>
          <w:szCs w:val="22"/>
        </w:rPr>
        <w:t>(Cumming et al., 2018)</w:t>
      </w:r>
      <w:r w:rsidR="00BA5B1F" w:rsidRPr="00B03A83">
        <w:rPr>
          <w:rFonts w:ascii="Gill Sans MT" w:hAnsi="Gill Sans MT" w:cs="Times New Roman"/>
          <w:sz w:val="22"/>
          <w:szCs w:val="22"/>
        </w:rPr>
        <w:fldChar w:fldCharType="end"/>
      </w:r>
      <w:r w:rsidRPr="00B03A83">
        <w:rPr>
          <w:rFonts w:ascii="Gill Sans MT" w:hAnsi="Gill Sans MT" w:cs="Times New Roman"/>
          <w:sz w:val="22"/>
          <w:szCs w:val="22"/>
        </w:rPr>
        <w:t>.</w:t>
      </w:r>
      <w:r w:rsidR="00AD040E" w:rsidRPr="00B03A83">
        <w:rPr>
          <w:rFonts w:ascii="Gill Sans MT" w:hAnsi="Gill Sans MT" w:cs="Times New Roman"/>
          <w:sz w:val="22"/>
          <w:szCs w:val="22"/>
        </w:rPr>
        <w:t xml:space="preserve"> These events aim to reduce the physical disparity between players of varied biological maturity and offer a</w:t>
      </w:r>
      <w:r w:rsidR="00AB501F" w:rsidRPr="00B03A83">
        <w:rPr>
          <w:rFonts w:ascii="Gill Sans MT" w:hAnsi="Gill Sans MT" w:cs="Times New Roman"/>
          <w:sz w:val="22"/>
          <w:szCs w:val="22"/>
        </w:rPr>
        <w:t xml:space="preserve"> more technical/tactical </w:t>
      </w:r>
      <w:r w:rsidR="0059321C" w:rsidRPr="00B03A83">
        <w:rPr>
          <w:rFonts w:ascii="Gill Sans MT" w:hAnsi="Gill Sans MT" w:cs="Times New Roman"/>
          <w:sz w:val="22"/>
          <w:szCs w:val="22"/>
        </w:rPr>
        <w:t xml:space="preserve">emphasis to allow players to showcase </w:t>
      </w:r>
      <w:r w:rsidR="000638E2" w:rsidRPr="00B03A83">
        <w:rPr>
          <w:rFonts w:ascii="Gill Sans MT" w:hAnsi="Gill Sans MT" w:cs="Times New Roman"/>
          <w:sz w:val="22"/>
          <w:szCs w:val="22"/>
        </w:rPr>
        <w:t>their ability more holistically.</w:t>
      </w:r>
      <w:r w:rsidR="00C27CEA" w:rsidRPr="00B03A83">
        <w:rPr>
          <w:rFonts w:ascii="Gill Sans MT" w:hAnsi="Gill Sans MT" w:cs="Times New Roman"/>
          <w:sz w:val="22"/>
          <w:szCs w:val="22"/>
        </w:rPr>
        <w:t xml:space="preserve"> </w:t>
      </w:r>
    </w:p>
    <w:p w14:paraId="6003B477" w14:textId="24A42584" w:rsidR="00BA5B1F" w:rsidRPr="00B03A83" w:rsidRDefault="77C93EC5"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The collection, presentation and communication of data and information</w:t>
      </w:r>
      <w:r w:rsidR="00A1432C" w:rsidRPr="00B03A83">
        <w:rPr>
          <w:rFonts w:ascii="Gill Sans MT" w:hAnsi="Gill Sans MT" w:cs="Times New Roman"/>
          <w:sz w:val="22"/>
          <w:szCs w:val="22"/>
        </w:rPr>
        <w:t xml:space="preserve"> involving</w:t>
      </w:r>
      <w:r w:rsidRPr="00B03A83">
        <w:rPr>
          <w:rFonts w:ascii="Gill Sans MT" w:hAnsi="Gill Sans MT" w:cs="Times New Roman"/>
          <w:sz w:val="22"/>
          <w:szCs w:val="22"/>
        </w:rPr>
        <w:t xml:space="preserve"> adolescent players needs to be considered carefully. For example, speed, power and aerobic endurance data is commonly assessed and ranked within </w:t>
      </w:r>
      <w:r w:rsidR="00A1432C" w:rsidRPr="00B03A83">
        <w:rPr>
          <w:rFonts w:ascii="Gill Sans MT" w:hAnsi="Gill Sans MT" w:cs="Times New Roman"/>
          <w:sz w:val="22"/>
          <w:szCs w:val="22"/>
        </w:rPr>
        <w:t xml:space="preserve">chronological </w:t>
      </w:r>
      <w:r w:rsidRPr="00B03A83">
        <w:rPr>
          <w:rFonts w:ascii="Gill Sans MT" w:hAnsi="Gill Sans MT" w:cs="Times New Roman"/>
          <w:sz w:val="22"/>
          <w:szCs w:val="22"/>
        </w:rPr>
        <w:t>age-groups. This may place biologically diverse athletes</w:t>
      </w:r>
      <w:r w:rsidR="00A1432C" w:rsidRPr="00B03A83">
        <w:rPr>
          <w:rFonts w:ascii="Gill Sans MT" w:hAnsi="Gill Sans MT" w:cs="Times New Roman"/>
          <w:sz w:val="22"/>
          <w:szCs w:val="22"/>
        </w:rPr>
        <w:t xml:space="preserve"> </w:t>
      </w:r>
      <w:r w:rsidRPr="00B03A83">
        <w:rPr>
          <w:rFonts w:ascii="Gill Sans MT" w:hAnsi="Gill Sans MT" w:cs="Times New Roman"/>
          <w:sz w:val="22"/>
          <w:szCs w:val="22"/>
        </w:rPr>
        <w:t xml:space="preserve">‘competing’ against each other on tests one is more </w:t>
      </w:r>
      <w:r w:rsidR="00C46D35" w:rsidRPr="00B03A83">
        <w:rPr>
          <w:rFonts w:ascii="Gill Sans MT" w:hAnsi="Gill Sans MT" w:cs="Times New Roman"/>
          <w:sz w:val="22"/>
          <w:szCs w:val="22"/>
        </w:rPr>
        <w:t>predisposed</w:t>
      </w:r>
      <w:r w:rsidRPr="00B03A83">
        <w:rPr>
          <w:rFonts w:ascii="Gill Sans MT" w:hAnsi="Gill Sans MT" w:cs="Times New Roman"/>
          <w:sz w:val="22"/>
          <w:szCs w:val="22"/>
        </w:rPr>
        <w:t xml:space="preserve"> to succeed in</w:t>
      </w:r>
      <w:r w:rsidR="0049236E" w:rsidRPr="00B03A83">
        <w:rPr>
          <w:rFonts w:ascii="Gill Sans MT" w:hAnsi="Gill Sans MT" w:cs="Times New Roman"/>
          <w:sz w:val="22"/>
          <w:szCs w:val="22"/>
        </w:rPr>
        <w:t xml:space="preserve">, </w:t>
      </w:r>
      <w:r w:rsidR="00FA0352" w:rsidRPr="00B03A83">
        <w:rPr>
          <w:rFonts w:ascii="Gill Sans MT" w:hAnsi="Gill Sans MT" w:cs="Times New Roman"/>
          <w:sz w:val="22"/>
          <w:szCs w:val="22"/>
        </w:rPr>
        <w:t>drawing similarities</w:t>
      </w:r>
      <w:r w:rsidR="0049236E" w:rsidRPr="00B03A83">
        <w:rPr>
          <w:rFonts w:ascii="Gill Sans MT" w:hAnsi="Gill Sans MT" w:cs="Times New Roman"/>
          <w:sz w:val="22"/>
          <w:szCs w:val="22"/>
        </w:rPr>
        <w:t xml:space="preserve"> to Einstein’s </w:t>
      </w:r>
      <w:r w:rsidR="00B44576" w:rsidRPr="00B03A83">
        <w:rPr>
          <w:rFonts w:ascii="Gill Sans MT" w:hAnsi="Gill Sans MT" w:cs="Times New Roman"/>
          <w:sz w:val="22"/>
          <w:szCs w:val="22"/>
        </w:rPr>
        <w:t>analogy</w:t>
      </w:r>
      <w:r w:rsidR="0049236E" w:rsidRPr="00B03A83">
        <w:rPr>
          <w:rFonts w:ascii="Gill Sans MT" w:hAnsi="Gill Sans MT" w:cs="Times New Roman"/>
          <w:sz w:val="22"/>
          <w:szCs w:val="22"/>
        </w:rPr>
        <w:t xml:space="preserve"> </w:t>
      </w:r>
      <w:r w:rsidR="00FA0352" w:rsidRPr="00B03A83">
        <w:rPr>
          <w:rFonts w:ascii="Gill Sans MT" w:hAnsi="Gill Sans MT" w:cs="Times New Roman"/>
          <w:sz w:val="22"/>
          <w:szCs w:val="22"/>
        </w:rPr>
        <w:t>that if you judge a fish on its ability to climb a tree, it will always consider itself as stupid.</w:t>
      </w:r>
      <w:r w:rsidRPr="00B03A83">
        <w:rPr>
          <w:rFonts w:ascii="Gill Sans MT" w:hAnsi="Gill Sans MT" w:cs="Times New Roman"/>
          <w:sz w:val="22"/>
          <w:szCs w:val="22"/>
        </w:rPr>
        <w:t xml:space="preserve"> Therefore, these data should be </w:t>
      </w:r>
      <w:r w:rsidR="00AA553E" w:rsidRPr="00B03A83">
        <w:rPr>
          <w:rFonts w:ascii="Gill Sans MT" w:hAnsi="Gill Sans MT" w:cs="Times New Roman"/>
          <w:sz w:val="22"/>
          <w:szCs w:val="22"/>
        </w:rPr>
        <w:t xml:space="preserve">analysed and </w:t>
      </w:r>
      <w:r w:rsidRPr="00B03A83">
        <w:rPr>
          <w:rFonts w:ascii="Gill Sans MT" w:hAnsi="Gill Sans MT" w:cs="Times New Roman"/>
          <w:sz w:val="22"/>
          <w:szCs w:val="22"/>
        </w:rPr>
        <w:t xml:space="preserve">presented with maturation and/or biological age clearly </w:t>
      </w:r>
      <w:r w:rsidR="000723A7" w:rsidRPr="00B03A83">
        <w:rPr>
          <w:rFonts w:ascii="Gill Sans MT" w:hAnsi="Gill Sans MT" w:cs="Times New Roman"/>
          <w:sz w:val="22"/>
          <w:szCs w:val="22"/>
        </w:rPr>
        <w:t>signified</w:t>
      </w:r>
      <w:r w:rsidRPr="00B03A83">
        <w:rPr>
          <w:rFonts w:ascii="Gill Sans MT" w:hAnsi="Gill Sans MT" w:cs="Times New Roman"/>
          <w:sz w:val="22"/>
          <w:szCs w:val="22"/>
        </w:rPr>
        <w:t xml:space="preserve"> to allow stakeholders to appropriately appraise the data within the context </w:t>
      </w:r>
      <w:r w:rsidR="00381C8D" w:rsidRPr="00B03A83">
        <w:rPr>
          <w:rFonts w:ascii="Gill Sans MT" w:hAnsi="Gill Sans MT" w:cs="Times New Roman"/>
          <w:sz w:val="22"/>
          <w:szCs w:val="22"/>
        </w:rPr>
        <w:t>they exist</w:t>
      </w:r>
      <w:r w:rsidRPr="00B03A83">
        <w:rPr>
          <w:rFonts w:ascii="Gill Sans MT" w:hAnsi="Gill Sans MT" w:cs="Times New Roman"/>
          <w:sz w:val="22"/>
          <w:szCs w:val="22"/>
        </w:rPr>
        <w:t xml:space="preserve">. </w:t>
      </w:r>
      <w:r w:rsidR="000723A7" w:rsidRPr="00B03A83">
        <w:rPr>
          <w:rFonts w:ascii="Gill Sans MT" w:hAnsi="Gill Sans MT" w:cs="Times New Roman"/>
          <w:sz w:val="22"/>
          <w:szCs w:val="22"/>
        </w:rPr>
        <w:t>Additionally, matur</w:t>
      </w:r>
      <w:r w:rsidR="00862BC5" w:rsidRPr="00B03A83">
        <w:rPr>
          <w:rFonts w:ascii="Gill Sans MT" w:hAnsi="Gill Sans MT" w:cs="Times New Roman"/>
          <w:sz w:val="22"/>
          <w:szCs w:val="22"/>
        </w:rPr>
        <w:t>ation data</w:t>
      </w:r>
      <w:r w:rsidRPr="00B03A83">
        <w:rPr>
          <w:rFonts w:ascii="Gill Sans MT" w:hAnsi="Gill Sans MT" w:cs="Times New Roman"/>
          <w:sz w:val="22"/>
          <w:szCs w:val="22"/>
        </w:rPr>
        <w:t xml:space="preserve"> should then be communicated to parents, specialist support staff and coaches to ensure that the developmental environment specially focuses on the needs of the individual, </w:t>
      </w:r>
      <w:r w:rsidR="00BB3228" w:rsidRPr="00B03A83">
        <w:rPr>
          <w:rFonts w:ascii="Gill Sans MT" w:hAnsi="Gill Sans MT" w:cs="Times New Roman"/>
          <w:sz w:val="22"/>
          <w:szCs w:val="22"/>
        </w:rPr>
        <w:t>which</w:t>
      </w:r>
      <w:r w:rsidR="00862BC5" w:rsidRPr="00B03A83">
        <w:rPr>
          <w:rFonts w:ascii="Gill Sans MT" w:hAnsi="Gill Sans MT" w:cs="Times New Roman"/>
          <w:sz w:val="22"/>
          <w:szCs w:val="22"/>
        </w:rPr>
        <w:t xml:space="preserve"> </w:t>
      </w:r>
      <w:r w:rsidR="00BB3228" w:rsidRPr="00B03A83">
        <w:rPr>
          <w:rFonts w:ascii="Gill Sans MT" w:hAnsi="Gill Sans MT" w:cs="Times New Roman"/>
          <w:sz w:val="22"/>
          <w:szCs w:val="22"/>
        </w:rPr>
        <w:t xml:space="preserve">may also </w:t>
      </w:r>
      <w:r w:rsidR="009E12DD" w:rsidRPr="00B03A83">
        <w:rPr>
          <w:rFonts w:ascii="Gill Sans MT" w:hAnsi="Gill Sans MT" w:cs="Times New Roman"/>
          <w:sz w:val="22"/>
          <w:szCs w:val="22"/>
        </w:rPr>
        <w:t>reduce</w:t>
      </w:r>
      <w:r w:rsidR="00BB3228" w:rsidRPr="00B03A83">
        <w:rPr>
          <w:rFonts w:ascii="Gill Sans MT" w:hAnsi="Gill Sans MT" w:cs="Times New Roman"/>
          <w:sz w:val="22"/>
          <w:szCs w:val="22"/>
        </w:rPr>
        <w:t xml:space="preserve"> anxiety, stress and expectations of the support network</w:t>
      </w:r>
      <w:r w:rsidR="009E12DD" w:rsidRPr="00B03A83">
        <w:rPr>
          <w:rFonts w:ascii="Gill Sans MT" w:hAnsi="Gill Sans MT" w:cs="Times New Roman"/>
          <w:sz w:val="22"/>
          <w:szCs w:val="22"/>
        </w:rPr>
        <w:t xml:space="preserve"> as they will understand the differentiated practices well.</w:t>
      </w:r>
    </w:p>
    <w:p w14:paraId="1C6BDB9E" w14:textId="77777777" w:rsidR="004E599F" w:rsidRPr="00B03A83" w:rsidRDefault="004E599F" w:rsidP="00B03A83">
      <w:pPr>
        <w:spacing w:line="276" w:lineRule="auto"/>
        <w:jc w:val="both"/>
        <w:rPr>
          <w:rFonts w:ascii="Gill Sans MT" w:hAnsi="Gill Sans MT" w:cs="Times New Roman"/>
          <w:b/>
          <w:bCs/>
          <w:sz w:val="22"/>
          <w:szCs w:val="22"/>
        </w:rPr>
      </w:pPr>
    </w:p>
    <w:p w14:paraId="36958F6F" w14:textId="638244D7" w:rsidR="004E599F" w:rsidRPr="00B03A83" w:rsidRDefault="004E599F" w:rsidP="00B03A83">
      <w:pPr>
        <w:spacing w:line="276" w:lineRule="auto"/>
        <w:jc w:val="both"/>
        <w:rPr>
          <w:rFonts w:ascii="Gill Sans MT" w:hAnsi="Gill Sans MT" w:cs="Times New Roman"/>
          <w:b/>
          <w:bCs/>
          <w:sz w:val="22"/>
          <w:szCs w:val="22"/>
        </w:rPr>
      </w:pPr>
      <w:r w:rsidRPr="00B03A83">
        <w:rPr>
          <w:rFonts w:ascii="Gill Sans MT" w:hAnsi="Gill Sans MT" w:cs="Times New Roman"/>
          <w:b/>
          <w:bCs/>
          <w:sz w:val="22"/>
          <w:szCs w:val="22"/>
        </w:rPr>
        <w:t xml:space="preserve">The </w:t>
      </w:r>
      <w:r w:rsidR="000F694A" w:rsidRPr="00B03A83">
        <w:rPr>
          <w:rFonts w:ascii="Gill Sans MT" w:hAnsi="Gill Sans MT" w:cs="Times New Roman"/>
          <w:b/>
          <w:bCs/>
          <w:sz w:val="22"/>
          <w:szCs w:val="22"/>
        </w:rPr>
        <w:t>f</w:t>
      </w:r>
      <w:r w:rsidRPr="00B03A83">
        <w:rPr>
          <w:rFonts w:ascii="Gill Sans MT" w:hAnsi="Gill Sans MT" w:cs="Times New Roman"/>
          <w:b/>
          <w:bCs/>
          <w:sz w:val="22"/>
          <w:szCs w:val="22"/>
        </w:rPr>
        <w:t>uture</w:t>
      </w:r>
    </w:p>
    <w:p w14:paraId="121841D2" w14:textId="6FD040D9" w:rsidR="00CC3ADE" w:rsidRPr="00B03A83" w:rsidRDefault="77C93EC5" w:rsidP="00B03A83">
      <w:pPr>
        <w:spacing w:line="276" w:lineRule="auto"/>
        <w:jc w:val="both"/>
        <w:rPr>
          <w:rFonts w:ascii="Gill Sans MT" w:hAnsi="Gill Sans MT" w:cs="Times New Roman"/>
          <w:sz w:val="22"/>
          <w:szCs w:val="22"/>
        </w:rPr>
      </w:pPr>
      <w:r w:rsidRPr="00B03A83">
        <w:rPr>
          <w:rFonts w:ascii="Gill Sans MT" w:hAnsi="Gill Sans MT" w:cs="Times New Roman"/>
          <w:sz w:val="22"/>
          <w:szCs w:val="22"/>
        </w:rPr>
        <w:t xml:space="preserve">Evidence to support and guide practitioners with catering for individuals during maturation is developing. However, there is an urgent need for large scale, multi-centre studies to: a) identify the most accurate somatic maturation method, to facilitate comparisons across research and practice; and subsequently b) generate robust guidelines for practitioners responsible for developing adolescent athletes. Although frameworks exist around the focus of athletic development activities, these are limited when offering guidelines on the maturity-specific dose-responses which are crucial to the individualisation of </w:t>
      </w:r>
      <w:r w:rsidR="008F50D8" w:rsidRPr="00B03A83">
        <w:rPr>
          <w:rFonts w:ascii="Gill Sans MT" w:hAnsi="Gill Sans MT" w:cs="Times New Roman"/>
          <w:sz w:val="22"/>
          <w:szCs w:val="22"/>
        </w:rPr>
        <w:t>development pathways</w:t>
      </w:r>
      <w:r w:rsidRPr="00B03A83">
        <w:rPr>
          <w:rFonts w:ascii="Gill Sans MT" w:hAnsi="Gill Sans MT" w:cs="Times New Roman"/>
          <w:sz w:val="22"/>
          <w:szCs w:val="22"/>
        </w:rPr>
        <w:t>. Therefore, to generate better long-term outcomes for young athletes, we must prioritise establishing a uniformed set of best practice, maturity-specific guidelines for talent and athletic development</w:t>
      </w:r>
      <w:r w:rsidR="00C6629E" w:rsidRPr="00B03A83">
        <w:rPr>
          <w:rFonts w:ascii="Gill Sans MT" w:hAnsi="Gill Sans MT" w:cs="Times New Roman"/>
          <w:sz w:val="22"/>
          <w:szCs w:val="22"/>
        </w:rPr>
        <w:t>.</w:t>
      </w:r>
      <w:r w:rsidRPr="00B03A83">
        <w:rPr>
          <w:rFonts w:ascii="Gill Sans MT" w:hAnsi="Gill Sans MT" w:cs="Times New Roman"/>
          <w:sz w:val="22"/>
          <w:szCs w:val="22"/>
        </w:rPr>
        <w:t xml:space="preserve"> </w:t>
      </w:r>
    </w:p>
    <w:p w14:paraId="4D176595" w14:textId="77777777" w:rsidR="004E599F" w:rsidRPr="00B03A83" w:rsidRDefault="004E599F" w:rsidP="00B03A83">
      <w:pPr>
        <w:spacing w:line="276" w:lineRule="auto"/>
        <w:jc w:val="both"/>
        <w:rPr>
          <w:rFonts w:ascii="Gill Sans MT" w:hAnsi="Gill Sans MT" w:cs="Times New Roman"/>
          <w:b/>
          <w:bCs/>
          <w:sz w:val="22"/>
          <w:szCs w:val="22"/>
        </w:rPr>
      </w:pPr>
    </w:p>
    <w:p w14:paraId="478B506D" w14:textId="0C7E6687" w:rsidR="003C176A" w:rsidRPr="00B03A83" w:rsidRDefault="000D3229" w:rsidP="00B03A83">
      <w:pPr>
        <w:spacing w:line="276" w:lineRule="auto"/>
        <w:jc w:val="both"/>
        <w:rPr>
          <w:rFonts w:ascii="Gill Sans MT" w:hAnsi="Gill Sans MT" w:cs="Times New Roman"/>
          <w:b/>
          <w:bCs/>
          <w:sz w:val="22"/>
          <w:szCs w:val="22"/>
        </w:rPr>
      </w:pPr>
      <w:r>
        <w:rPr>
          <w:rFonts w:ascii="Gill Sans MT" w:hAnsi="Gill Sans MT" w:cs="Times New Roman"/>
          <w:b/>
          <w:bCs/>
          <w:sz w:val="22"/>
          <w:szCs w:val="22"/>
        </w:rPr>
        <w:br w:type="column"/>
      </w:r>
      <w:r w:rsidR="003C176A" w:rsidRPr="00B03A83">
        <w:rPr>
          <w:rFonts w:ascii="Gill Sans MT" w:hAnsi="Gill Sans MT" w:cs="Times New Roman"/>
          <w:b/>
          <w:bCs/>
          <w:sz w:val="22"/>
          <w:szCs w:val="22"/>
        </w:rPr>
        <w:t>References</w:t>
      </w:r>
    </w:p>
    <w:p w14:paraId="6CA55118" w14:textId="77777777" w:rsidR="008F440B" w:rsidRPr="008F440B" w:rsidRDefault="000F694A" w:rsidP="008F440B">
      <w:pPr>
        <w:pStyle w:val="Bibliography"/>
        <w:rPr>
          <w:rFonts w:ascii="Gill Sans MT" w:hAnsi="Gill Sans MT"/>
          <w:sz w:val="22"/>
        </w:rPr>
      </w:pPr>
      <w:r w:rsidRPr="00B03A83">
        <w:rPr>
          <w:rFonts w:ascii="Gill Sans MT" w:hAnsi="Gill Sans MT"/>
          <w:b/>
          <w:bCs/>
          <w:sz w:val="22"/>
          <w:szCs w:val="22"/>
        </w:rPr>
        <w:fldChar w:fldCharType="begin"/>
      </w:r>
      <w:r w:rsidR="008F440B">
        <w:rPr>
          <w:rFonts w:ascii="Gill Sans MT" w:hAnsi="Gill Sans MT"/>
          <w:b/>
          <w:bCs/>
          <w:sz w:val="22"/>
          <w:szCs w:val="22"/>
        </w:rPr>
        <w:instrText xml:space="preserve"> ADDIN ZOTERO_BIBL {"uncited":[],"omitted":[],"custom":[]} CSL_BIBLIOGRAPHY </w:instrText>
      </w:r>
      <w:r w:rsidRPr="00B03A83">
        <w:rPr>
          <w:rFonts w:ascii="Gill Sans MT" w:hAnsi="Gill Sans MT"/>
          <w:b/>
          <w:bCs/>
          <w:sz w:val="22"/>
          <w:szCs w:val="22"/>
        </w:rPr>
        <w:fldChar w:fldCharType="separate"/>
      </w:r>
      <w:r w:rsidR="008F440B" w:rsidRPr="008F440B">
        <w:rPr>
          <w:rFonts w:ascii="Gill Sans MT" w:hAnsi="Gill Sans MT"/>
          <w:sz w:val="22"/>
        </w:rPr>
        <w:t xml:space="preserve">Bergeron, M. F., Mountjoy, M., Armstrong, N., Chia, M., Côté, J., Emery, C. A., Faigenbaum, A., Hall, G., Kriemler, S., Léglise, M., Malina, R. M., Pensgaard, A. M., Sanchez, A., Soligard, T., Sundgot-Borgen, J., van Mechelen, W., Weissensteiner, J. R., &amp; Engebretsen, L. (2015). International Olympic Committee consensus statement on youth athletic development. </w:t>
      </w:r>
      <w:r w:rsidR="008F440B" w:rsidRPr="008F440B">
        <w:rPr>
          <w:rFonts w:ascii="Gill Sans MT" w:hAnsi="Gill Sans MT"/>
          <w:i/>
          <w:iCs/>
          <w:sz w:val="22"/>
        </w:rPr>
        <w:t>British Journal of Sports Medicine</w:t>
      </w:r>
      <w:r w:rsidR="008F440B" w:rsidRPr="008F440B">
        <w:rPr>
          <w:rFonts w:ascii="Gill Sans MT" w:hAnsi="Gill Sans MT"/>
          <w:sz w:val="22"/>
        </w:rPr>
        <w:t xml:space="preserve">, </w:t>
      </w:r>
      <w:r w:rsidR="008F440B" w:rsidRPr="008F440B">
        <w:rPr>
          <w:rFonts w:ascii="Gill Sans MT" w:hAnsi="Gill Sans MT"/>
          <w:i/>
          <w:iCs/>
          <w:sz w:val="22"/>
        </w:rPr>
        <w:t>49</w:t>
      </w:r>
      <w:r w:rsidR="008F440B" w:rsidRPr="008F440B">
        <w:rPr>
          <w:rFonts w:ascii="Gill Sans MT" w:hAnsi="Gill Sans MT"/>
          <w:sz w:val="22"/>
        </w:rPr>
        <w:t>(13), 843–851. https://doi.org/10.1136/bjsports-2015-094962</w:t>
      </w:r>
    </w:p>
    <w:p w14:paraId="1D24F344" w14:textId="77777777" w:rsidR="008F440B" w:rsidRPr="008F440B" w:rsidRDefault="008F440B" w:rsidP="008F440B">
      <w:pPr>
        <w:pStyle w:val="Bibliography"/>
        <w:rPr>
          <w:rFonts w:ascii="Gill Sans MT" w:hAnsi="Gill Sans MT"/>
          <w:sz w:val="22"/>
        </w:rPr>
      </w:pPr>
      <w:r w:rsidRPr="008F440B">
        <w:rPr>
          <w:rFonts w:ascii="Gill Sans MT" w:hAnsi="Gill Sans MT"/>
          <w:sz w:val="22"/>
        </w:rPr>
        <w:t xml:space="preserve">Cumming, S. P., Brown, D. J., Mitchell, S., Bunce, J., Hunt, D., Hedges, C., Crane, G., Gross, A., Scott, S., Franklin, E., Breakspear, D., Dennison, L., White, P., Cain, A., Eisenmann, J. C., &amp; Malina, R. M. (2018). Premier League academy soccer players’ experiences of competing in a tournament bio-banded for biological maturation. </w:t>
      </w:r>
      <w:r w:rsidRPr="008F440B">
        <w:rPr>
          <w:rFonts w:ascii="Gill Sans MT" w:hAnsi="Gill Sans MT"/>
          <w:i/>
          <w:iCs/>
          <w:sz w:val="22"/>
        </w:rPr>
        <w:t>Journal of Sports Sciences</w:t>
      </w:r>
      <w:r w:rsidRPr="008F440B">
        <w:rPr>
          <w:rFonts w:ascii="Gill Sans MT" w:hAnsi="Gill Sans MT"/>
          <w:sz w:val="22"/>
        </w:rPr>
        <w:t xml:space="preserve">, </w:t>
      </w:r>
      <w:r w:rsidRPr="008F440B">
        <w:rPr>
          <w:rFonts w:ascii="Gill Sans MT" w:hAnsi="Gill Sans MT"/>
          <w:i/>
          <w:iCs/>
          <w:sz w:val="22"/>
        </w:rPr>
        <w:t>36</w:t>
      </w:r>
      <w:r w:rsidRPr="008F440B">
        <w:rPr>
          <w:rFonts w:ascii="Gill Sans MT" w:hAnsi="Gill Sans MT"/>
          <w:sz w:val="22"/>
        </w:rPr>
        <w:t>(7), 757–765. https://doi.org/10.1080/02640414.2017.1340656</w:t>
      </w:r>
    </w:p>
    <w:p w14:paraId="2D9540C2" w14:textId="77777777" w:rsidR="008F440B" w:rsidRPr="008F440B" w:rsidRDefault="008F440B" w:rsidP="008F440B">
      <w:pPr>
        <w:pStyle w:val="Bibliography"/>
        <w:rPr>
          <w:rFonts w:ascii="Gill Sans MT" w:hAnsi="Gill Sans MT"/>
          <w:sz w:val="22"/>
        </w:rPr>
      </w:pPr>
      <w:r w:rsidRPr="008F440B">
        <w:rPr>
          <w:rFonts w:ascii="Gill Sans MT" w:hAnsi="Gill Sans MT"/>
          <w:sz w:val="22"/>
        </w:rPr>
        <w:t xml:space="preserve">Hannon, M. P., Close, G. L., &amp; Morton, J. P. (2020). Energy and Macronutrient Considerations for Young Athletes. </w:t>
      </w:r>
      <w:r w:rsidRPr="008F440B">
        <w:rPr>
          <w:rFonts w:ascii="Gill Sans MT" w:hAnsi="Gill Sans MT"/>
          <w:i/>
          <w:iCs/>
          <w:sz w:val="22"/>
        </w:rPr>
        <w:t>Strength &amp; Conditioning Journal</w:t>
      </w:r>
      <w:r w:rsidRPr="008F440B">
        <w:rPr>
          <w:rFonts w:ascii="Gill Sans MT" w:hAnsi="Gill Sans MT"/>
          <w:sz w:val="22"/>
        </w:rPr>
        <w:t xml:space="preserve">, </w:t>
      </w:r>
      <w:r w:rsidRPr="008F440B">
        <w:rPr>
          <w:rFonts w:ascii="Gill Sans MT" w:hAnsi="Gill Sans MT"/>
          <w:i/>
          <w:iCs/>
          <w:sz w:val="22"/>
        </w:rPr>
        <w:t>42</w:t>
      </w:r>
      <w:r w:rsidRPr="008F440B">
        <w:rPr>
          <w:rFonts w:ascii="Gill Sans MT" w:hAnsi="Gill Sans MT"/>
          <w:sz w:val="22"/>
        </w:rPr>
        <w:t>(6), 109–119. https://doi.org/10.1519/SSC.0000000000000570</w:t>
      </w:r>
    </w:p>
    <w:p w14:paraId="51E23023" w14:textId="77777777" w:rsidR="008F440B" w:rsidRPr="008F440B" w:rsidRDefault="008F440B" w:rsidP="008F440B">
      <w:pPr>
        <w:pStyle w:val="Bibliography"/>
        <w:rPr>
          <w:rFonts w:ascii="Gill Sans MT" w:hAnsi="Gill Sans MT"/>
          <w:sz w:val="22"/>
        </w:rPr>
      </w:pPr>
      <w:r w:rsidRPr="008F440B">
        <w:rPr>
          <w:rFonts w:ascii="Gill Sans MT" w:hAnsi="Gill Sans MT"/>
          <w:sz w:val="22"/>
        </w:rPr>
        <w:t xml:space="preserve">Towlson, C., Salter, J., Ade, J., Enright, K., Harper, L., Page, R., &amp; Malone, J. (2020). Maturity-associated considerations for training load, injury risk, and physical performance within youth soccer: One size does not fit all. </w:t>
      </w:r>
      <w:r w:rsidRPr="008F440B">
        <w:rPr>
          <w:rFonts w:ascii="Gill Sans MT" w:hAnsi="Gill Sans MT"/>
          <w:i/>
          <w:iCs/>
          <w:sz w:val="22"/>
        </w:rPr>
        <w:t>Journal of Sport and Health Science</w:t>
      </w:r>
      <w:r w:rsidRPr="008F440B">
        <w:rPr>
          <w:rFonts w:ascii="Gill Sans MT" w:hAnsi="Gill Sans MT"/>
          <w:sz w:val="22"/>
        </w:rPr>
        <w:t>. https://doi.org/10.1016/j.jshs.2020.09.003</w:t>
      </w:r>
    </w:p>
    <w:p w14:paraId="3DC8A55B" w14:textId="06227409" w:rsidR="0085107D" w:rsidRPr="003D7F9A" w:rsidRDefault="000F694A" w:rsidP="00B03A83">
      <w:pPr>
        <w:spacing w:line="276" w:lineRule="auto"/>
        <w:jc w:val="both"/>
        <w:rPr>
          <w:rFonts w:ascii="Gill Sans MT" w:hAnsi="Gill Sans MT" w:cs="Times New Roman"/>
          <w:b/>
          <w:bCs/>
          <w:sz w:val="20"/>
          <w:szCs w:val="20"/>
        </w:rPr>
      </w:pPr>
      <w:r w:rsidRPr="00B03A83">
        <w:rPr>
          <w:rFonts w:ascii="Gill Sans MT" w:hAnsi="Gill Sans MT" w:cs="Times New Roman"/>
          <w:b/>
          <w:bCs/>
          <w:sz w:val="22"/>
          <w:szCs w:val="22"/>
        </w:rPr>
        <w:fldChar w:fldCharType="end"/>
      </w:r>
    </w:p>
    <w:sectPr w:rsidR="0085107D" w:rsidRPr="003D7F9A" w:rsidSect="003C176A">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354A4"/>
    <w:multiLevelType w:val="hybridMultilevel"/>
    <w:tmpl w:val="53463A0A"/>
    <w:lvl w:ilvl="0" w:tplc="84E24396">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Mze2NDMyMbUwsbRU0lEKTi0uzszPAykwrAUAJHhNMywAAAA="/>
  </w:docVars>
  <w:rsids>
    <w:rsidRoot w:val="003C176A"/>
    <w:rsid w:val="00016A72"/>
    <w:rsid w:val="00017D98"/>
    <w:rsid w:val="000262F8"/>
    <w:rsid w:val="00034306"/>
    <w:rsid w:val="000638E2"/>
    <w:rsid w:val="000723A7"/>
    <w:rsid w:val="00074033"/>
    <w:rsid w:val="000B3206"/>
    <w:rsid w:val="000D3229"/>
    <w:rsid w:val="000E48FD"/>
    <w:rsid w:val="000F694A"/>
    <w:rsid w:val="00117C57"/>
    <w:rsid w:val="00127D6D"/>
    <w:rsid w:val="00135B08"/>
    <w:rsid w:val="001507F7"/>
    <w:rsid w:val="001525FA"/>
    <w:rsid w:val="00164CFE"/>
    <w:rsid w:val="001942B6"/>
    <w:rsid w:val="001968B7"/>
    <w:rsid w:val="001A4B16"/>
    <w:rsid w:val="001C36B4"/>
    <w:rsid w:val="001D1FAC"/>
    <w:rsid w:val="001D610B"/>
    <w:rsid w:val="001D7E1B"/>
    <w:rsid w:val="001E2A1D"/>
    <w:rsid w:val="001E3557"/>
    <w:rsid w:val="00202DC6"/>
    <w:rsid w:val="00222BB6"/>
    <w:rsid w:val="00224EF7"/>
    <w:rsid w:val="0023390C"/>
    <w:rsid w:val="00267167"/>
    <w:rsid w:val="0027537E"/>
    <w:rsid w:val="002A6B2F"/>
    <w:rsid w:val="002B040D"/>
    <w:rsid w:val="002E5191"/>
    <w:rsid w:val="00304B53"/>
    <w:rsid w:val="00305F87"/>
    <w:rsid w:val="00311D5D"/>
    <w:rsid w:val="0031495B"/>
    <w:rsid w:val="003235D9"/>
    <w:rsid w:val="00324F03"/>
    <w:rsid w:val="00342FB5"/>
    <w:rsid w:val="00345378"/>
    <w:rsid w:val="00346D97"/>
    <w:rsid w:val="00351438"/>
    <w:rsid w:val="00365DCE"/>
    <w:rsid w:val="00381C8D"/>
    <w:rsid w:val="00387FC6"/>
    <w:rsid w:val="00394444"/>
    <w:rsid w:val="003A506C"/>
    <w:rsid w:val="003B0364"/>
    <w:rsid w:val="003B4D07"/>
    <w:rsid w:val="003B512E"/>
    <w:rsid w:val="003B5A01"/>
    <w:rsid w:val="003C176A"/>
    <w:rsid w:val="003D01AD"/>
    <w:rsid w:val="003D7F9A"/>
    <w:rsid w:val="003F6861"/>
    <w:rsid w:val="00450F6A"/>
    <w:rsid w:val="004632DF"/>
    <w:rsid w:val="00474593"/>
    <w:rsid w:val="0049236E"/>
    <w:rsid w:val="004A31C1"/>
    <w:rsid w:val="004C5619"/>
    <w:rsid w:val="004E599F"/>
    <w:rsid w:val="004F393F"/>
    <w:rsid w:val="004F3E92"/>
    <w:rsid w:val="004F4722"/>
    <w:rsid w:val="004F6D04"/>
    <w:rsid w:val="005047E8"/>
    <w:rsid w:val="0052350A"/>
    <w:rsid w:val="00533608"/>
    <w:rsid w:val="00543D38"/>
    <w:rsid w:val="00545A88"/>
    <w:rsid w:val="00550451"/>
    <w:rsid w:val="005561AC"/>
    <w:rsid w:val="00556C1B"/>
    <w:rsid w:val="0059321C"/>
    <w:rsid w:val="00595C96"/>
    <w:rsid w:val="005B3C37"/>
    <w:rsid w:val="006206C6"/>
    <w:rsid w:val="00625883"/>
    <w:rsid w:val="00643A58"/>
    <w:rsid w:val="006506F2"/>
    <w:rsid w:val="0066301A"/>
    <w:rsid w:val="006C4B37"/>
    <w:rsid w:val="006D5D60"/>
    <w:rsid w:val="006E04FF"/>
    <w:rsid w:val="00730B35"/>
    <w:rsid w:val="0074010A"/>
    <w:rsid w:val="007B4E36"/>
    <w:rsid w:val="007C107A"/>
    <w:rsid w:val="007C2B47"/>
    <w:rsid w:val="007C56E6"/>
    <w:rsid w:val="007D559F"/>
    <w:rsid w:val="007E3BFC"/>
    <w:rsid w:val="007E5E09"/>
    <w:rsid w:val="00800091"/>
    <w:rsid w:val="00805907"/>
    <w:rsid w:val="00825707"/>
    <w:rsid w:val="00832B7F"/>
    <w:rsid w:val="0085107D"/>
    <w:rsid w:val="0085448A"/>
    <w:rsid w:val="00862BC5"/>
    <w:rsid w:val="0087348B"/>
    <w:rsid w:val="008A57B9"/>
    <w:rsid w:val="008B3C0C"/>
    <w:rsid w:val="008B4683"/>
    <w:rsid w:val="008D57A1"/>
    <w:rsid w:val="008E06A3"/>
    <w:rsid w:val="008F440B"/>
    <w:rsid w:val="008F50D8"/>
    <w:rsid w:val="009109DD"/>
    <w:rsid w:val="00930D01"/>
    <w:rsid w:val="0094542F"/>
    <w:rsid w:val="00964DD9"/>
    <w:rsid w:val="00967E65"/>
    <w:rsid w:val="00970905"/>
    <w:rsid w:val="00984D9C"/>
    <w:rsid w:val="00984DAF"/>
    <w:rsid w:val="0098669A"/>
    <w:rsid w:val="009A74CE"/>
    <w:rsid w:val="009B3C7D"/>
    <w:rsid w:val="009B7727"/>
    <w:rsid w:val="009D72BE"/>
    <w:rsid w:val="009E12DD"/>
    <w:rsid w:val="009F14A2"/>
    <w:rsid w:val="00A02C4F"/>
    <w:rsid w:val="00A050F0"/>
    <w:rsid w:val="00A1432C"/>
    <w:rsid w:val="00A20B25"/>
    <w:rsid w:val="00A336BE"/>
    <w:rsid w:val="00A57D5A"/>
    <w:rsid w:val="00A64377"/>
    <w:rsid w:val="00A75926"/>
    <w:rsid w:val="00A76DEE"/>
    <w:rsid w:val="00A94740"/>
    <w:rsid w:val="00AA553E"/>
    <w:rsid w:val="00AB501F"/>
    <w:rsid w:val="00AC3CCA"/>
    <w:rsid w:val="00AC57E5"/>
    <w:rsid w:val="00AC7914"/>
    <w:rsid w:val="00AD040E"/>
    <w:rsid w:val="00B03A83"/>
    <w:rsid w:val="00B244C1"/>
    <w:rsid w:val="00B426A9"/>
    <w:rsid w:val="00B4390E"/>
    <w:rsid w:val="00B44576"/>
    <w:rsid w:val="00B47EE9"/>
    <w:rsid w:val="00B8033A"/>
    <w:rsid w:val="00B829D8"/>
    <w:rsid w:val="00BA1D98"/>
    <w:rsid w:val="00BA5B1F"/>
    <w:rsid w:val="00BA715D"/>
    <w:rsid w:val="00BB3228"/>
    <w:rsid w:val="00BD1AB2"/>
    <w:rsid w:val="00BD72ED"/>
    <w:rsid w:val="00BE7A41"/>
    <w:rsid w:val="00C00DFE"/>
    <w:rsid w:val="00C27CEA"/>
    <w:rsid w:val="00C3211C"/>
    <w:rsid w:val="00C33A7F"/>
    <w:rsid w:val="00C44A8F"/>
    <w:rsid w:val="00C46D35"/>
    <w:rsid w:val="00C5666B"/>
    <w:rsid w:val="00C6629E"/>
    <w:rsid w:val="00C70EE4"/>
    <w:rsid w:val="00C8544D"/>
    <w:rsid w:val="00C966D5"/>
    <w:rsid w:val="00CC0D68"/>
    <w:rsid w:val="00CC3ADE"/>
    <w:rsid w:val="00CD6C70"/>
    <w:rsid w:val="00CE0F35"/>
    <w:rsid w:val="00CF6EF1"/>
    <w:rsid w:val="00D40E20"/>
    <w:rsid w:val="00D7270B"/>
    <w:rsid w:val="00D8059D"/>
    <w:rsid w:val="00D905BA"/>
    <w:rsid w:val="00DA62FF"/>
    <w:rsid w:val="00DC2E61"/>
    <w:rsid w:val="00DE045C"/>
    <w:rsid w:val="00DE73FE"/>
    <w:rsid w:val="00E855F1"/>
    <w:rsid w:val="00E85D49"/>
    <w:rsid w:val="00E9613C"/>
    <w:rsid w:val="00ED3FEB"/>
    <w:rsid w:val="00ED4081"/>
    <w:rsid w:val="00EE7B86"/>
    <w:rsid w:val="00EF2407"/>
    <w:rsid w:val="00F05086"/>
    <w:rsid w:val="00F366B1"/>
    <w:rsid w:val="00F4498C"/>
    <w:rsid w:val="00F65166"/>
    <w:rsid w:val="00F97FE1"/>
    <w:rsid w:val="00FA0352"/>
    <w:rsid w:val="00FB1E40"/>
    <w:rsid w:val="00FD212D"/>
    <w:rsid w:val="29EACF55"/>
    <w:rsid w:val="77C9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2D08"/>
  <w15:chartTrackingRefBased/>
  <w15:docId w15:val="{240C81B2-B6F9-144C-9259-4E3A96F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C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6A"/>
    <w:pPr>
      <w:ind w:left="720"/>
      <w:contextualSpacing/>
    </w:pPr>
  </w:style>
  <w:style w:type="character" w:styleId="CommentReference">
    <w:name w:val="annotation reference"/>
    <w:basedOn w:val="DefaultParagraphFont"/>
    <w:uiPriority w:val="99"/>
    <w:semiHidden/>
    <w:unhideWhenUsed/>
    <w:rsid w:val="0031495B"/>
    <w:rPr>
      <w:sz w:val="16"/>
      <w:szCs w:val="16"/>
    </w:rPr>
  </w:style>
  <w:style w:type="paragraph" w:styleId="CommentText">
    <w:name w:val="annotation text"/>
    <w:basedOn w:val="Normal"/>
    <w:link w:val="CommentTextChar"/>
    <w:uiPriority w:val="99"/>
    <w:unhideWhenUsed/>
    <w:rsid w:val="0031495B"/>
    <w:rPr>
      <w:sz w:val="20"/>
      <w:szCs w:val="20"/>
    </w:rPr>
  </w:style>
  <w:style w:type="character" w:customStyle="1" w:styleId="CommentTextChar">
    <w:name w:val="Comment Text Char"/>
    <w:basedOn w:val="DefaultParagraphFont"/>
    <w:link w:val="CommentText"/>
    <w:uiPriority w:val="99"/>
    <w:rsid w:val="0031495B"/>
    <w:rPr>
      <w:sz w:val="20"/>
      <w:szCs w:val="20"/>
    </w:rPr>
  </w:style>
  <w:style w:type="paragraph" w:styleId="CommentSubject">
    <w:name w:val="annotation subject"/>
    <w:basedOn w:val="CommentText"/>
    <w:next w:val="CommentText"/>
    <w:link w:val="CommentSubjectChar"/>
    <w:uiPriority w:val="99"/>
    <w:semiHidden/>
    <w:unhideWhenUsed/>
    <w:rsid w:val="0031495B"/>
    <w:rPr>
      <w:b/>
      <w:bCs/>
    </w:rPr>
  </w:style>
  <w:style w:type="character" w:customStyle="1" w:styleId="CommentSubjectChar">
    <w:name w:val="Comment Subject Char"/>
    <w:basedOn w:val="CommentTextChar"/>
    <w:link w:val="CommentSubject"/>
    <w:uiPriority w:val="99"/>
    <w:semiHidden/>
    <w:rsid w:val="0031495B"/>
    <w:rPr>
      <w:b/>
      <w:bCs/>
      <w:sz w:val="20"/>
      <w:szCs w:val="20"/>
    </w:rPr>
  </w:style>
  <w:style w:type="paragraph" w:styleId="Revision">
    <w:name w:val="Revision"/>
    <w:hidden/>
    <w:uiPriority w:val="99"/>
    <w:semiHidden/>
    <w:rsid w:val="0031495B"/>
  </w:style>
  <w:style w:type="paragraph" w:styleId="Bibliography">
    <w:name w:val="Bibliography"/>
    <w:basedOn w:val="Normal"/>
    <w:next w:val="Normal"/>
    <w:uiPriority w:val="37"/>
    <w:unhideWhenUsed/>
    <w:rsid w:val="000F694A"/>
    <w:pPr>
      <w:spacing w:line="480" w:lineRule="auto"/>
      <w:ind w:left="720" w:hanging="720"/>
    </w:pPr>
  </w:style>
  <w:style w:type="paragraph" w:styleId="Title">
    <w:name w:val="Title"/>
    <w:basedOn w:val="Normal"/>
    <w:next w:val="Normal"/>
    <w:link w:val="TitleChar"/>
    <w:uiPriority w:val="10"/>
    <w:qFormat/>
    <w:rsid w:val="00C27C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C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7C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55226">
      <w:bodyDiv w:val="1"/>
      <w:marLeft w:val="0"/>
      <w:marRight w:val="0"/>
      <w:marTop w:val="0"/>
      <w:marBottom w:val="0"/>
      <w:divBdr>
        <w:top w:val="none" w:sz="0" w:space="0" w:color="auto"/>
        <w:left w:val="none" w:sz="0" w:space="0" w:color="auto"/>
        <w:bottom w:val="none" w:sz="0" w:space="0" w:color="auto"/>
        <w:right w:val="none" w:sz="0" w:space="0" w:color="auto"/>
      </w:divBdr>
    </w:div>
    <w:div w:id="13655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9230-C5BE-43A5-A374-14B12C14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Salter</dc:creator>
  <cp:keywords/>
  <dc:description/>
  <cp:lastModifiedBy>Ruth Mardall (R.Mardall)</cp:lastModifiedBy>
  <cp:revision>2</cp:revision>
  <dcterms:created xsi:type="dcterms:W3CDTF">2021-09-01T13:19:00Z</dcterms:created>
  <dcterms:modified xsi:type="dcterms:W3CDTF">2021-09-01T13:19:00Z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id="9ytQB81D"/&gt;&lt;style id="http://www.zotero.org/styles/journal-of-sports-sciences" hasBibliography="1" bibliographyStyleHasBeenSet="1"/&gt;&lt;prefs&gt;&lt;pref name="fieldType" value="Field"/&gt;&lt;/prefs&gt;&lt;/data&gt;</vt:lpwstr>
  </property>
</Properties>
</file>