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0AB34" w14:textId="65E633C7" w:rsidR="004E034E" w:rsidRPr="00F73ED3" w:rsidRDefault="00F73ED3" w:rsidP="00F73ED3">
      <w:pPr>
        <w:jc w:val="center"/>
        <w:rPr>
          <w:b/>
          <w:bCs/>
          <w:u w:val="single"/>
        </w:rPr>
      </w:pPr>
      <w:r w:rsidRPr="00F73ED3">
        <w:rPr>
          <w:b/>
          <w:bCs/>
          <w:u w:val="single"/>
        </w:rPr>
        <w:t>Editorial: Being Disagreeable</w:t>
      </w:r>
    </w:p>
    <w:p w14:paraId="4F710F55" w14:textId="77DD7427" w:rsidR="005B1B01" w:rsidRDefault="005B1B01" w:rsidP="005B1B01"/>
    <w:p w14:paraId="5ED7F920" w14:textId="7B037726" w:rsidR="0089510A" w:rsidRDefault="0089510A" w:rsidP="0089510A">
      <w:pPr>
        <w:jc w:val="center"/>
      </w:pPr>
      <w:r w:rsidRPr="00383AAD">
        <w:rPr>
          <w:b/>
        </w:rPr>
        <w:t>BJRE Volume 4</w:t>
      </w:r>
      <w:r>
        <w:rPr>
          <w:b/>
        </w:rPr>
        <w:t>2</w:t>
      </w:r>
      <w:r w:rsidRPr="00383AAD">
        <w:rPr>
          <w:b/>
        </w:rPr>
        <w:t>:</w:t>
      </w:r>
      <w:r>
        <w:rPr>
          <w:b/>
        </w:rPr>
        <w:t>1</w:t>
      </w:r>
    </w:p>
    <w:p w14:paraId="23224B22" w14:textId="77777777" w:rsidR="0089510A" w:rsidRDefault="0089510A" w:rsidP="00C47449">
      <w:pPr>
        <w:ind w:left="14"/>
      </w:pPr>
    </w:p>
    <w:p w14:paraId="5288CF2A" w14:textId="0D93A24A" w:rsidR="00C47449" w:rsidRDefault="009670D6" w:rsidP="00984247">
      <w:pPr>
        <w:ind w:left="14"/>
        <w:rPr>
          <w:rFonts w:eastAsia="Times New Roman" w:cs="Arial"/>
          <w:szCs w:val="24"/>
          <w:lang w:eastAsia="en-GB"/>
        </w:rPr>
      </w:pPr>
      <w:r>
        <w:t>In years gone by, whenever I mentioned that I was involved in religious education, m</w:t>
      </w:r>
      <w:r w:rsidR="006F0FAD">
        <w:t xml:space="preserve">y father-in-law </w:t>
      </w:r>
      <w:r>
        <w:t xml:space="preserve">would say ‘religions are the cause of more </w:t>
      </w:r>
      <w:r w:rsidR="00A01299">
        <w:t xml:space="preserve">disagreements and more </w:t>
      </w:r>
      <w:r>
        <w:t>wars than anything else’</w:t>
      </w:r>
      <w:r w:rsidR="00AD3302">
        <w:t xml:space="preserve">.  </w:t>
      </w:r>
      <w:r>
        <w:t xml:space="preserve">I would reply ‘yes, perhaps they are, and that’s a really good reason to study them’.  I don’t suppose I ever quite convinced him, but I still think that </w:t>
      </w:r>
      <w:r w:rsidR="00AD3302">
        <w:t xml:space="preserve">education – especially religious education – should value </w:t>
      </w:r>
      <w:r>
        <w:t>disagreement</w:t>
      </w:r>
      <w:r w:rsidR="00AD3302">
        <w:t xml:space="preserve"> as well as agreement</w:t>
      </w:r>
      <w:r>
        <w:t>.  Being ‘disagreeable’ can sometimes mean saying something that is important</w:t>
      </w:r>
      <w:r w:rsidR="00AD3302">
        <w:t xml:space="preserve">, even if </w:t>
      </w:r>
      <w:r w:rsidR="003B7A21">
        <w:t xml:space="preserve">it can </w:t>
      </w:r>
      <w:r w:rsidR="00AD3302">
        <w:t xml:space="preserve">at other times </w:t>
      </w:r>
      <w:r w:rsidR="003B7A21">
        <w:t xml:space="preserve">simply </w:t>
      </w:r>
      <w:r w:rsidR="00AD3302">
        <w:t xml:space="preserve">mean </w:t>
      </w:r>
      <w:r w:rsidR="003B7A21">
        <w:t>be</w:t>
      </w:r>
      <w:r w:rsidR="00AD3302">
        <w:t>ing</w:t>
      </w:r>
      <w:r w:rsidR="003B7A21">
        <w:t xml:space="preserve"> unpleasant</w:t>
      </w:r>
      <w:r w:rsidR="00AD3302">
        <w:t>;</w:t>
      </w:r>
      <w:r>
        <w:t xml:space="preserve"> avoiding disagreement </w:t>
      </w:r>
      <w:r w:rsidR="003B7A21">
        <w:t>can sometimes</w:t>
      </w:r>
      <w:r w:rsidR="00DB58B2">
        <w:t xml:space="preserve"> </w:t>
      </w:r>
      <w:r>
        <w:t>mean saying things that are bland and unimportant</w:t>
      </w:r>
      <w:r w:rsidR="00AD3302">
        <w:t xml:space="preserve">, even if at other times </w:t>
      </w:r>
      <w:r w:rsidR="003B7A21">
        <w:t>it can be wonderfully creative</w:t>
      </w:r>
      <w:r>
        <w:t xml:space="preserve">.  This issue of the BJRE represents many of the most interesting forms of disagreement and agreement in today’s world, starting with an account by </w:t>
      </w:r>
      <w:r w:rsidRPr="006E2E7C">
        <w:t xml:space="preserve">Eline </w:t>
      </w:r>
      <w:proofErr w:type="spellStart"/>
      <w:r w:rsidRPr="006E2E7C">
        <w:t>Minnaar</w:t>
      </w:r>
      <w:proofErr w:type="spellEnd"/>
      <w:r w:rsidRPr="006E2E7C">
        <w:t xml:space="preserve">-Kuiper </w:t>
      </w:r>
      <w:r>
        <w:t>and</w:t>
      </w:r>
      <w:r w:rsidRPr="006E2E7C">
        <w:t xml:space="preserve"> </w:t>
      </w:r>
      <w:proofErr w:type="spellStart"/>
      <w:r w:rsidRPr="006E2E7C">
        <w:t>Gerdien</w:t>
      </w:r>
      <w:proofErr w:type="spellEnd"/>
      <w:r w:rsidRPr="006E2E7C">
        <w:t xml:space="preserve"> Bertram-Troost</w:t>
      </w:r>
      <w:r>
        <w:t xml:space="preserve"> of the large group of people who do not wish to associate with any specific religious community.  What is the right religious education for ‘non-affiliated’ young people?  Being non-affiliated is not the same as being confused (and being affiliated is not the same as being certain), and it</w:t>
      </w:r>
      <w:r w:rsidR="00BF0549">
        <w:t xml:space="preserve"> will</w:t>
      </w:r>
      <w:r>
        <w:t xml:space="preserve"> </w:t>
      </w:r>
      <w:r w:rsidR="00BF0549">
        <w:t>surprise</w:t>
      </w:r>
      <w:r>
        <w:t xml:space="preserve"> </w:t>
      </w:r>
      <w:r w:rsidR="00BF0549">
        <w:t xml:space="preserve">some readers to find evidence here of the </w:t>
      </w:r>
      <w:r>
        <w:t>continuing significant influence on 14-16-year-olds from the parents and homes, along with other non-school influences.  At that age, there is a stress on separation from one’s parents</w:t>
      </w:r>
      <w:r w:rsidR="00C47449">
        <w:t xml:space="preserve">, but it is clearly not as radical a break as adolescents and their parents often fear.  </w:t>
      </w:r>
      <w:r w:rsidR="00C47449">
        <w:rPr>
          <w:rFonts w:eastAsia="Times New Roman" w:cs="Arial"/>
          <w:szCs w:val="24"/>
          <w:lang w:eastAsia="en-GB"/>
        </w:rPr>
        <w:t>The influence from beyond the school is also taken up in Edward Wright’s article on media literacy as a way in to confessional Catholic RE in Malta.  Catholic educational traditions are well established as involving home and church, as well as school, and insight</w:t>
      </w:r>
      <w:r w:rsidR="0080102B">
        <w:rPr>
          <w:rFonts w:eastAsia="Times New Roman" w:cs="Arial"/>
          <w:szCs w:val="24"/>
          <w:lang w:eastAsia="en-GB"/>
        </w:rPr>
        <w:t>s</w:t>
      </w:r>
      <w:r w:rsidR="00C47449">
        <w:rPr>
          <w:rFonts w:eastAsia="Times New Roman" w:cs="Arial"/>
          <w:szCs w:val="24"/>
          <w:lang w:eastAsia="en-GB"/>
        </w:rPr>
        <w:t xml:space="preserve"> into how this might work is always welcome.</w:t>
      </w:r>
    </w:p>
    <w:p w14:paraId="73C59C43" w14:textId="77777777" w:rsidR="00984247" w:rsidRDefault="00984247" w:rsidP="00984247">
      <w:pPr>
        <w:ind w:left="14"/>
        <w:rPr>
          <w:rFonts w:eastAsia="Times New Roman" w:cs="Arial"/>
          <w:szCs w:val="24"/>
          <w:lang w:eastAsia="en-GB"/>
        </w:rPr>
      </w:pPr>
    </w:p>
    <w:p w14:paraId="639AA135" w14:textId="1405599C" w:rsidR="00C47449" w:rsidRPr="001779ED" w:rsidRDefault="00C47449" w:rsidP="00C47449">
      <w:pPr>
        <w:ind w:left="14"/>
        <w:rPr>
          <w:rFonts w:eastAsia="Times New Roman" w:cs="Arial"/>
          <w:szCs w:val="24"/>
          <w:lang w:eastAsia="en-GB"/>
        </w:rPr>
      </w:pPr>
      <w:r>
        <w:rPr>
          <w:lang w:eastAsia="en-GB"/>
        </w:rPr>
        <w:t xml:space="preserve">It is not just in schools and family homes that people are ‘becoming’, of course.  This continues into the period described as ‘emerging adulthood’ (Arnett 2004), and, from personal experience, it continues throughout life – if we are lucky.  Caroline </w:t>
      </w:r>
      <w:proofErr w:type="spellStart"/>
      <w:r>
        <w:rPr>
          <w:lang w:eastAsia="en-GB"/>
        </w:rPr>
        <w:t>Gustavsson</w:t>
      </w:r>
      <w:proofErr w:type="spellEnd"/>
      <w:r>
        <w:rPr>
          <w:lang w:eastAsia="en-GB"/>
        </w:rPr>
        <w:t xml:space="preserve"> describes how young adults (aged 19-29) in Sweden pursue their meaning-making.  </w:t>
      </w:r>
      <w:r>
        <w:t>‘</w:t>
      </w:r>
      <w:r w:rsidRPr="002600B5">
        <w:t>I cannot say that I belong to a religion or something</w:t>
      </w:r>
      <w:r>
        <w:t>’, one respondent says, ‘b</w:t>
      </w:r>
      <w:r w:rsidRPr="002600B5">
        <w:t>ut I am a Christian, but I am not a believer</w:t>
      </w:r>
      <w:r>
        <w:t xml:space="preserve">’.  We are as capable of disagreeing with ourselves, it seems, as much as with other people.  And there is more openness than is sometimes expected within and beyond religious traditions, an openness described here in terms of ‘existential configurations’ and also described elsewhere (in previous editions of the BJRE) as ‘worldviews’.  </w:t>
      </w:r>
      <w:r>
        <w:rPr>
          <w:rFonts w:eastAsia="Times New Roman" w:cs="Arial"/>
          <w:szCs w:val="24"/>
          <w:lang w:eastAsia="en-GB"/>
        </w:rPr>
        <w:t xml:space="preserve">David Carlsson’s account of Swedish RE teacher education and Maximilian </w:t>
      </w:r>
      <w:proofErr w:type="spellStart"/>
      <w:r>
        <w:rPr>
          <w:rFonts w:eastAsia="Times New Roman" w:cs="Arial"/>
          <w:szCs w:val="24"/>
          <w:lang w:eastAsia="en-GB"/>
        </w:rPr>
        <w:t>Broberg’s</w:t>
      </w:r>
      <w:proofErr w:type="spellEnd"/>
      <w:r>
        <w:rPr>
          <w:rFonts w:eastAsia="Times New Roman" w:cs="Arial"/>
          <w:szCs w:val="24"/>
          <w:lang w:eastAsia="en-GB"/>
        </w:rPr>
        <w:t xml:space="preserve"> account of Swedish RE teaching materials complement </w:t>
      </w:r>
      <w:r w:rsidR="00810F0D">
        <w:rPr>
          <w:rFonts w:eastAsia="Times New Roman" w:cs="Arial"/>
          <w:szCs w:val="24"/>
          <w:lang w:eastAsia="en-GB"/>
        </w:rPr>
        <w:t>a</w:t>
      </w:r>
      <w:r>
        <w:rPr>
          <w:rFonts w:eastAsia="Times New Roman" w:cs="Arial"/>
          <w:szCs w:val="24"/>
          <w:lang w:eastAsia="en-GB"/>
        </w:rPr>
        <w:t xml:space="preserve"> Swedish sub-theme in this issue of BJRE.  Carlsson talks of teachers hoping for RE as ‘safe </w:t>
      </w:r>
      <w:proofErr w:type="gramStart"/>
      <w:r>
        <w:rPr>
          <w:rFonts w:eastAsia="Times New Roman" w:cs="Arial"/>
          <w:szCs w:val="24"/>
          <w:lang w:eastAsia="en-GB"/>
        </w:rPr>
        <w:t>spaces’</w:t>
      </w:r>
      <w:proofErr w:type="gramEnd"/>
      <w:r>
        <w:rPr>
          <w:rFonts w:eastAsia="Times New Roman" w:cs="Arial"/>
          <w:szCs w:val="24"/>
          <w:lang w:eastAsia="en-GB"/>
        </w:rPr>
        <w:t xml:space="preserve">.  That such safe spaces are needed in a society thought of – elsewhere in the world – as an already ‘safe’ country, highlights the personal, existential, challenges that young people experience even in the most supportive environments.  And </w:t>
      </w:r>
      <w:proofErr w:type="spellStart"/>
      <w:r>
        <w:rPr>
          <w:rFonts w:eastAsia="Times New Roman" w:cs="Arial"/>
          <w:szCs w:val="24"/>
          <w:lang w:eastAsia="en-GB"/>
        </w:rPr>
        <w:t>Broberg</w:t>
      </w:r>
      <w:proofErr w:type="spellEnd"/>
      <w:r>
        <w:rPr>
          <w:rFonts w:eastAsia="Times New Roman" w:cs="Arial"/>
          <w:szCs w:val="24"/>
          <w:lang w:eastAsia="en-GB"/>
        </w:rPr>
        <w:t xml:space="preserve"> provides an account of teaching materials used in RE, and how these are intentionally used to expand the classroom experience beyond traditional ‘school-like’ resources, in order to tap into the lives of students outside school</w:t>
      </w:r>
      <w:r w:rsidR="00984247">
        <w:rPr>
          <w:rFonts w:eastAsia="Times New Roman" w:cs="Arial"/>
          <w:szCs w:val="24"/>
          <w:lang w:eastAsia="en-GB"/>
        </w:rPr>
        <w:t>.</w:t>
      </w:r>
    </w:p>
    <w:p w14:paraId="17052DF8" w14:textId="44FE78F4" w:rsidR="00C47449" w:rsidRPr="001779ED" w:rsidRDefault="00C47449" w:rsidP="00C47449">
      <w:pPr>
        <w:ind w:left="14"/>
        <w:rPr>
          <w:rFonts w:eastAsia="Times New Roman" w:cs="Arial"/>
          <w:szCs w:val="24"/>
          <w:lang w:eastAsia="en-GB"/>
        </w:rPr>
      </w:pPr>
    </w:p>
    <w:p w14:paraId="49344B2F" w14:textId="4076F46D" w:rsidR="0076625F" w:rsidRDefault="00C47449" w:rsidP="00FC1041">
      <w:r>
        <w:t xml:space="preserve">The interaction between religion, policy and schooling is explored by </w:t>
      </w:r>
      <w:r w:rsidRPr="006E2E7C">
        <w:t xml:space="preserve">Leslie Francis, David </w:t>
      </w:r>
      <w:proofErr w:type="spellStart"/>
      <w:r w:rsidRPr="006E2E7C">
        <w:t>Lankshear</w:t>
      </w:r>
      <w:proofErr w:type="spellEnd"/>
      <w:r w:rsidRPr="006E2E7C">
        <w:t xml:space="preserve"> </w:t>
      </w:r>
      <w:r>
        <w:t>and</w:t>
      </w:r>
      <w:r w:rsidRPr="006E2E7C">
        <w:t xml:space="preserve"> Emma Eccles</w:t>
      </w:r>
      <w:r>
        <w:t xml:space="preserve">.  UK policy on schools of a religious character </w:t>
      </w:r>
      <w:r w:rsidR="003611FC">
        <w:t>(</w:t>
      </w:r>
      <w:r>
        <w:t>with some having more, some less, control by the church</w:t>
      </w:r>
      <w:r w:rsidR="003611FC">
        <w:t>)</w:t>
      </w:r>
      <w:r>
        <w:t xml:space="preserve"> provides a kind of ‘field experiment’</w:t>
      </w:r>
      <w:r w:rsidR="00C80B6D">
        <w:t>.  T</w:t>
      </w:r>
      <w:r>
        <w:t xml:space="preserve">he peculiarities of the UK law mean that schools – which draw on local communities and so are </w:t>
      </w:r>
      <w:r w:rsidR="004A2F37">
        <w:t xml:space="preserve">not necessarily </w:t>
      </w:r>
      <w:r>
        <w:t xml:space="preserve">‘chosen’ by families – give a picture of how policy differences may influence schools.  In </w:t>
      </w:r>
      <w:r w:rsidR="00E73EE5">
        <w:t xml:space="preserve">a </w:t>
      </w:r>
      <w:r>
        <w:t xml:space="preserve">global context where there is such a variety of practice in how much influence or control religious communities have over schooling, this study provides a helpful guide.  </w:t>
      </w:r>
      <w:r w:rsidR="00C80B6D">
        <w:t>It concludes that o</w:t>
      </w:r>
      <w:r w:rsidR="00FC1041">
        <w:t xml:space="preserve">ne way or another, </w:t>
      </w:r>
      <w:r w:rsidR="00FC1041">
        <w:lastRenderedPageBreak/>
        <w:t xml:space="preserve">church influence seems to </w:t>
      </w:r>
      <w:r w:rsidR="00C80B6D">
        <w:t xml:space="preserve">affect </w:t>
      </w:r>
      <w:r w:rsidR="00FC1041">
        <w:t>the attitudes of school children.  And t</w:t>
      </w:r>
      <w:r>
        <w:t xml:space="preserve">he importance should be emphasised of the Francis Scale, </w:t>
      </w:r>
      <w:r w:rsidR="00FC1041">
        <w:t xml:space="preserve">used in this article and </w:t>
      </w:r>
      <w:r>
        <w:t xml:space="preserve">developed by one of </w:t>
      </w:r>
      <w:r w:rsidR="00440609">
        <w:t>its</w:t>
      </w:r>
      <w:r>
        <w:t xml:space="preserve"> authors</w:t>
      </w:r>
      <w:r w:rsidR="00FC1041">
        <w:t xml:space="preserve">.  The scale is used in </w:t>
      </w:r>
      <w:r>
        <w:t>quantitative empirical research across the world</w:t>
      </w:r>
      <w:r w:rsidR="00FC1041">
        <w:t>, examining the</w:t>
      </w:r>
      <w:r>
        <w:t xml:space="preserve"> religious attitudes of children and young people</w:t>
      </w:r>
      <w:r w:rsidR="00984247">
        <w:t>.</w:t>
      </w:r>
    </w:p>
    <w:p w14:paraId="2E8BD922" w14:textId="77777777" w:rsidR="00984247" w:rsidRDefault="00984247" w:rsidP="00FC1041"/>
    <w:p w14:paraId="1976B695" w14:textId="5EC1BB1E" w:rsidR="00FC1041" w:rsidRDefault="00FC1041" w:rsidP="00FC1041">
      <w:pPr>
        <w:rPr>
          <w:rFonts w:eastAsia="Times New Roman" w:cs="Arial"/>
          <w:szCs w:val="24"/>
          <w:lang w:eastAsia="en-GB"/>
        </w:rPr>
      </w:pPr>
      <w:proofErr w:type="spellStart"/>
      <w:r w:rsidRPr="006E2E7C">
        <w:t>Zrinka</w:t>
      </w:r>
      <w:proofErr w:type="spellEnd"/>
      <w:r w:rsidRPr="006E2E7C">
        <w:t xml:space="preserve"> </w:t>
      </w:r>
      <w:proofErr w:type="spellStart"/>
      <w:r w:rsidRPr="006E2E7C">
        <w:t>Štimac</w:t>
      </w:r>
      <w:r>
        <w:t>’s</w:t>
      </w:r>
      <w:proofErr w:type="spellEnd"/>
      <w:r>
        <w:t xml:space="preserve"> research, based</w:t>
      </w:r>
      <w:r>
        <w:rPr>
          <w:rFonts w:eastAsia="Times New Roman" w:cs="Arial"/>
          <w:szCs w:val="24"/>
          <w:lang w:eastAsia="en-GB"/>
        </w:rPr>
        <w:t xml:space="preserve"> in Bosnia and Herzegovina – like Pauline Kollontai’s work on religion and peace in the same country (Kollontai, chapter five in Buchanan 2013) – provides another good example of a balance between the influence of religious and ‘secular’ groups on schools.  In a region where many – not unreasonably – blame religions for recent conflicts (as my father-in-law did), here we have religious groups involved in making peace.  Such examples should be treasured by all those who recognise the (dangerous) importance of religion in so many lives.  The author’s wish for ‘integrative education’ is heartfelt.</w:t>
      </w:r>
    </w:p>
    <w:p w14:paraId="7A4729F2" w14:textId="2512DB29" w:rsidR="00FC1041" w:rsidRDefault="00FC1041" w:rsidP="00FC1041">
      <w:pPr>
        <w:ind w:left="14"/>
        <w:rPr>
          <w:rFonts w:eastAsia="Times New Roman" w:cs="Arial"/>
          <w:szCs w:val="24"/>
          <w:lang w:eastAsia="en-GB"/>
        </w:rPr>
      </w:pPr>
    </w:p>
    <w:p w14:paraId="2DF2C5F9" w14:textId="4A2EAF80" w:rsidR="00FC1041" w:rsidRDefault="00FC1041" w:rsidP="00FC1041">
      <w:r>
        <w:t xml:space="preserve">A larger-scale ‘field experiment’ in the relationship between RE and policy is provided by </w:t>
      </w:r>
      <w:r w:rsidRPr="00CA01CE">
        <w:t xml:space="preserve">Peng </w:t>
      </w:r>
      <w:proofErr w:type="spellStart"/>
      <w:r w:rsidRPr="00CA01CE">
        <w:t>Nai</w:t>
      </w:r>
      <w:proofErr w:type="spellEnd"/>
      <w:r w:rsidRPr="00CA01CE">
        <w:t xml:space="preserve">, </w:t>
      </w:r>
      <w:proofErr w:type="spellStart"/>
      <w:r w:rsidRPr="00CA01CE">
        <w:t>Jianfei</w:t>
      </w:r>
      <w:proofErr w:type="spellEnd"/>
      <w:r w:rsidRPr="00CA01CE">
        <w:t xml:space="preserve"> Sun, </w:t>
      </w:r>
      <w:proofErr w:type="spellStart"/>
      <w:r w:rsidRPr="00CA01CE">
        <w:t>Yinzhu</w:t>
      </w:r>
      <w:proofErr w:type="spellEnd"/>
      <w:r w:rsidRPr="00CA01CE">
        <w:t xml:space="preserve"> Zhang </w:t>
      </w:r>
      <w:r>
        <w:t>and</w:t>
      </w:r>
      <w:r w:rsidRPr="00CA01CE">
        <w:t xml:space="preserve"> </w:t>
      </w:r>
      <w:proofErr w:type="spellStart"/>
      <w:r w:rsidRPr="00CA01CE">
        <w:t>Guang</w:t>
      </w:r>
      <w:proofErr w:type="spellEnd"/>
      <w:r w:rsidRPr="00CA01CE">
        <w:t xml:space="preserve"> Yang</w:t>
      </w:r>
      <w:r>
        <w:t xml:space="preserve"> in their article on RE in an ‘atheist’ state.  China is also a context in which religion is alternately seen as both a problem and a solution.  </w:t>
      </w:r>
      <w:r w:rsidR="00C80B6D">
        <w:t>I live</w:t>
      </w:r>
      <w:r>
        <w:t xml:space="preserve"> in the UK, a state whose history is as much a history of conflict over religion as anything else, </w:t>
      </w:r>
      <w:r w:rsidR="00C80B6D">
        <w:t xml:space="preserve">and so </w:t>
      </w:r>
      <w:r>
        <w:t xml:space="preserve">the sensitive research on RE in China provides a fascinating comparison – the similarities and the differences are both revealing.  The relatively small but growing research literature on Chinese religious education is an important development in the field.  The increasing recognition of pluralism – some seeing this positively, some not – is well worth further research and understanding.  It is good, too, to welcome the article by </w:t>
      </w:r>
      <w:r w:rsidRPr="0063578F">
        <w:t xml:space="preserve">Jessica Navarrete, </w:t>
      </w:r>
      <w:proofErr w:type="spellStart"/>
      <w:r w:rsidRPr="0063578F">
        <w:t>Angélica</w:t>
      </w:r>
      <w:proofErr w:type="spellEnd"/>
      <w:r w:rsidRPr="0063578F">
        <w:t xml:space="preserve"> Vásquez, </w:t>
      </w:r>
      <w:proofErr w:type="spellStart"/>
      <w:r w:rsidRPr="0063578F">
        <w:t>Efraín</w:t>
      </w:r>
      <w:proofErr w:type="spellEnd"/>
      <w:r w:rsidRPr="0063578F">
        <w:t xml:space="preserve"> Montero </w:t>
      </w:r>
      <w:r>
        <w:t>and</w:t>
      </w:r>
      <w:r w:rsidRPr="0063578F">
        <w:t xml:space="preserve"> Daniel </w:t>
      </w:r>
      <w:proofErr w:type="spellStart"/>
      <w:r w:rsidRPr="0063578F">
        <w:t>Cantero</w:t>
      </w:r>
      <w:proofErr w:type="spellEnd"/>
      <w:r>
        <w:t>, who examine RE in Chile.  Research on RE in Latin America is – like that on China – a growing field, and one that is well represented in this in-depth study of Catholic RE in a single region.</w:t>
      </w:r>
    </w:p>
    <w:p w14:paraId="7C0FAC32" w14:textId="77777777" w:rsidR="00984247" w:rsidRDefault="00984247" w:rsidP="00FC1041"/>
    <w:p w14:paraId="7904E5A0" w14:textId="0FE83B5F" w:rsidR="00C837AE" w:rsidRDefault="00C837AE" w:rsidP="00FC1041">
      <w:pPr>
        <w:rPr>
          <w:rFonts w:eastAsia="Times New Roman" w:cs="Arial"/>
          <w:szCs w:val="24"/>
          <w:lang w:eastAsia="en-GB"/>
        </w:rPr>
      </w:pPr>
      <w:r>
        <w:rPr>
          <w:rFonts w:eastAsia="Times New Roman" w:cs="Arial"/>
          <w:szCs w:val="24"/>
          <w:lang w:eastAsia="en-GB"/>
        </w:rPr>
        <w:t>Some see a concern for knowledge in RE as contrasted with the personal and dialogic approaches to RE; some see academic research in RE as contrasted with professional practi</w:t>
      </w:r>
      <w:r w:rsidR="00B44649">
        <w:rPr>
          <w:rFonts w:eastAsia="Times New Roman" w:cs="Arial"/>
          <w:szCs w:val="24"/>
          <w:lang w:eastAsia="en-GB"/>
        </w:rPr>
        <w:t>c</w:t>
      </w:r>
      <w:r>
        <w:rPr>
          <w:rFonts w:eastAsia="Times New Roman" w:cs="Arial"/>
          <w:szCs w:val="24"/>
          <w:lang w:eastAsia="en-GB"/>
        </w:rPr>
        <w:t xml:space="preserve">e in classrooms.  </w:t>
      </w:r>
      <w:r w:rsidR="00BB2BE9">
        <w:rPr>
          <w:rFonts w:eastAsia="Times New Roman" w:cs="Arial"/>
          <w:szCs w:val="24"/>
          <w:lang w:eastAsia="en-GB"/>
        </w:rPr>
        <w:t xml:space="preserve">Not so </w:t>
      </w:r>
      <w:r>
        <w:rPr>
          <w:rFonts w:eastAsia="Times New Roman" w:cs="Arial"/>
          <w:szCs w:val="24"/>
          <w:lang w:eastAsia="en-GB"/>
        </w:rPr>
        <w:t>Peter Woodward</w:t>
      </w:r>
      <w:r w:rsidR="00BB2BE9">
        <w:rPr>
          <w:rFonts w:eastAsia="Times New Roman" w:cs="Arial"/>
          <w:szCs w:val="24"/>
          <w:lang w:eastAsia="en-GB"/>
        </w:rPr>
        <w:t>, who</w:t>
      </w:r>
      <w:r>
        <w:rPr>
          <w:rFonts w:eastAsia="Times New Roman" w:cs="Arial"/>
          <w:szCs w:val="24"/>
          <w:lang w:eastAsia="en-GB"/>
        </w:rPr>
        <w:t xml:space="preserve"> spent a lifetime contributing to personal, dialogic, developments of religious </w:t>
      </w:r>
      <w:r w:rsidR="00BB2BE9">
        <w:rPr>
          <w:rFonts w:eastAsia="Times New Roman" w:cs="Arial"/>
          <w:szCs w:val="24"/>
          <w:lang w:eastAsia="en-GB"/>
        </w:rPr>
        <w:t xml:space="preserve">knowledge and </w:t>
      </w:r>
      <w:r>
        <w:rPr>
          <w:rFonts w:eastAsia="Times New Roman" w:cs="Arial"/>
          <w:szCs w:val="24"/>
          <w:lang w:eastAsia="en-GB"/>
        </w:rPr>
        <w:t xml:space="preserve">understanding in the Shap Working Party and all the </w:t>
      </w:r>
      <w:r w:rsidR="00BB2BE9">
        <w:rPr>
          <w:rFonts w:eastAsia="Times New Roman" w:cs="Arial"/>
          <w:szCs w:val="24"/>
          <w:lang w:eastAsia="en-GB"/>
        </w:rPr>
        <w:t xml:space="preserve">academic and </w:t>
      </w:r>
      <w:r>
        <w:rPr>
          <w:rFonts w:eastAsia="Times New Roman" w:cs="Arial"/>
          <w:szCs w:val="24"/>
          <w:lang w:eastAsia="en-GB"/>
        </w:rPr>
        <w:t>professional support linked to that work.  His most agreeable life is celebrated in Brian Gates’ obituary.</w:t>
      </w:r>
    </w:p>
    <w:p w14:paraId="35326EC8" w14:textId="77777777" w:rsidR="00C837AE" w:rsidRDefault="00C837AE" w:rsidP="00FC1041"/>
    <w:p w14:paraId="6D974E82" w14:textId="3095E407" w:rsidR="00FF75B8" w:rsidRDefault="00FC1041" w:rsidP="00984247">
      <w:pPr>
        <w:ind w:left="14"/>
        <w:rPr>
          <w:rFonts w:eastAsia="Times New Roman" w:cs="Arial"/>
          <w:szCs w:val="24"/>
          <w:lang w:eastAsia="en-GB"/>
        </w:rPr>
      </w:pPr>
      <w:r>
        <w:rPr>
          <w:rFonts w:eastAsia="Times New Roman" w:cs="Arial"/>
          <w:szCs w:val="24"/>
          <w:lang w:eastAsia="en-GB"/>
        </w:rPr>
        <w:t>I hope you find much to agree with and perhaps disagree with in this issue of the BJRE.  It is in dialogue – real dialogue, and not an attempt to resolve all differences – that RE lives and breathes.</w:t>
      </w:r>
    </w:p>
    <w:p w14:paraId="0159ADF3" w14:textId="77777777" w:rsidR="00984247" w:rsidRPr="00984247" w:rsidRDefault="00984247" w:rsidP="00984247">
      <w:pPr>
        <w:ind w:left="14"/>
        <w:rPr>
          <w:rFonts w:eastAsia="Times New Roman" w:cs="Arial"/>
          <w:szCs w:val="24"/>
          <w:lang w:eastAsia="en-GB"/>
        </w:rPr>
      </w:pPr>
    </w:p>
    <w:p w14:paraId="00BCA638" w14:textId="1B5793F9" w:rsidR="00C47449" w:rsidRDefault="00C47449" w:rsidP="00C47449">
      <w:pPr>
        <w:rPr>
          <w:rFonts w:cs="Arial"/>
        </w:rPr>
      </w:pPr>
      <w:r w:rsidRPr="0099723C">
        <w:t xml:space="preserve">Arnett, J </w:t>
      </w:r>
      <w:proofErr w:type="spellStart"/>
      <w:r w:rsidRPr="0099723C">
        <w:t>J</w:t>
      </w:r>
      <w:proofErr w:type="spellEnd"/>
      <w:r w:rsidRPr="0099723C">
        <w:t xml:space="preserve"> (2004) </w:t>
      </w:r>
      <w:r w:rsidRPr="0099723C">
        <w:rPr>
          <w:i/>
        </w:rPr>
        <w:t xml:space="preserve">Emerging Adulthood: The Winding Road </w:t>
      </w:r>
      <w:proofErr w:type="gramStart"/>
      <w:r w:rsidRPr="0099723C">
        <w:rPr>
          <w:i/>
        </w:rPr>
        <w:t>From</w:t>
      </w:r>
      <w:proofErr w:type="gramEnd"/>
      <w:r w:rsidRPr="0099723C">
        <w:rPr>
          <w:i/>
        </w:rPr>
        <w:t xml:space="preserve"> the Late Teens Through the Twenties</w:t>
      </w:r>
      <w:r w:rsidRPr="0099723C">
        <w:rPr>
          <w:rFonts w:cs="Arial"/>
        </w:rPr>
        <w:t>; Oxford: OUP.</w:t>
      </w:r>
    </w:p>
    <w:p w14:paraId="09D47953" w14:textId="77777777" w:rsidR="00984247" w:rsidRPr="0099723C" w:rsidRDefault="00984247" w:rsidP="00C47449">
      <w:pPr>
        <w:rPr>
          <w:rFonts w:cs="Arial"/>
        </w:rPr>
      </w:pPr>
    </w:p>
    <w:p w14:paraId="38F4951A" w14:textId="373F0BAB" w:rsidR="00F9732E" w:rsidRDefault="00C47449" w:rsidP="00984247">
      <w:pPr>
        <w:ind w:left="14"/>
        <w:rPr>
          <w:rStyle w:val="Subtitle1"/>
        </w:rPr>
      </w:pPr>
      <w:r w:rsidRPr="0099723C">
        <w:rPr>
          <w:rFonts w:cs="Arial"/>
        </w:rPr>
        <w:t xml:space="preserve">Buchanan, M T (ed) (2013) </w:t>
      </w:r>
      <w:r w:rsidRPr="0099723C">
        <w:rPr>
          <w:i/>
        </w:rPr>
        <w:t xml:space="preserve">Leadership and Religious Schools: </w:t>
      </w:r>
      <w:r w:rsidRPr="0099723C">
        <w:rPr>
          <w:rStyle w:val="Subtitle1"/>
          <w:i/>
        </w:rPr>
        <w:t>International Perspectives and Challenges</w:t>
      </w:r>
      <w:r w:rsidRPr="0099723C">
        <w:rPr>
          <w:rStyle w:val="Subtitle1"/>
        </w:rPr>
        <w:t>; New York: Continuum.</w:t>
      </w:r>
    </w:p>
    <w:p w14:paraId="5FED7512" w14:textId="1E5BA27C" w:rsidR="00F9732E" w:rsidRDefault="00F9732E" w:rsidP="00F9732E">
      <w:pPr>
        <w:ind w:left="14"/>
        <w:jc w:val="right"/>
        <w:rPr>
          <w:rStyle w:val="Subtitle1"/>
          <w:i/>
          <w:iCs/>
        </w:rPr>
      </w:pPr>
      <w:r w:rsidRPr="00F9732E">
        <w:rPr>
          <w:rStyle w:val="Subtitle1"/>
          <w:i/>
          <w:iCs/>
        </w:rPr>
        <w:t>Julian Stern</w:t>
      </w:r>
    </w:p>
    <w:p w14:paraId="3C7526F2" w14:textId="6F2D684B" w:rsidR="00F9732E" w:rsidRPr="00F9732E" w:rsidRDefault="00F9732E" w:rsidP="00F9732E">
      <w:pPr>
        <w:ind w:left="14"/>
        <w:jc w:val="right"/>
        <w:rPr>
          <w:rStyle w:val="Subtitle1"/>
          <w:i/>
          <w:iCs/>
        </w:rPr>
      </w:pPr>
      <w:r>
        <w:rPr>
          <w:rStyle w:val="Subtitle1"/>
          <w:i/>
          <w:iCs/>
        </w:rPr>
        <w:t>York St John University</w:t>
      </w:r>
    </w:p>
    <w:p w14:paraId="6C007E05" w14:textId="08AF608A" w:rsidR="0052797B" w:rsidRPr="00984247" w:rsidRDefault="00F9732E" w:rsidP="00984247">
      <w:pPr>
        <w:ind w:left="14"/>
        <w:jc w:val="right"/>
        <w:rPr>
          <w:i/>
          <w:iCs/>
        </w:rPr>
      </w:pPr>
      <w:r>
        <w:rPr>
          <w:rStyle w:val="Subtitle1"/>
          <w:i/>
          <w:iCs/>
        </w:rPr>
        <w:t xml:space="preserve">BJRE </w:t>
      </w:r>
      <w:r w:rsidRPr="00F9732E">
        <w:rPr>
          <w:rStyle w:val="Subtitle1"/>
          <w:i/>
          <w:iCs/>
        </w:rPr>
        <w:t>Editor</w:t>
      </w:r>
      <w:bookmarkStart w:id="0" w:name="_GoBack"/>
      <w:bookmarkEnd w:id="0"/>
    </w:p>
    <w:sectPr w:rsidR="0052797B" w:rsidRPr="00984247" w:rsidSect="00F05EC1">
      <w:pgSz w:w="11900" w:h="16840"/>
      <w:pgMar w:top="720" w:right="1296" w:bottom="720"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D3"/>
    <w:rsid w:val="00027A62"/>
    <w:rsid w:val="00097CF3"/>
    <w:rsid w:val="000B3704"/>
    <w:rsid w:val="00102717"/>
    <w:rsid w:val="0013465A"/>
    <w:rsid w:val="00196DBB"/>
    <w:rsid w:val="00210F55"/>
    <w:rsid w:val="00247615"/>
    <w:rsid w:val="002600B5"/>
    <w:rsid w:val="003215A2"/>
    <w:rsid w:val="003605CB"/>
    <w:rsid w:val="003611FC"/>
    <w:rsid w:val="00396223"/>
    <w:rsid w:val="003B7A21"/>
    <w:rsid w:val="004248C2"/>
    <w:rsid w:val="00430D47"/>
    <w:rsid w:val="00440609"/>
    <w:rsid w:val="00447AE6"/>
    <w:rsid w:val="004A2F37"/>
    <w:rsid w:val="004C32ED"/>
    <w:rsid w:val="004D0B37"/>
    <w:rsid w:val="004E034E"/>
    <w:rsid w:val="0051006E"/>
    <w:rsid w:val="0052797B"/>
    <w:rsid w:val="005848D1"/>
    <w:rsid w:val="005B1B01"/>
    <w:rsid w:val="005E129D"/>
    <w:rsid w:val="0063578F"/>
    <w:rsid w:val="00645122"/>
    <w:rsid w:val="00681185"/>
    <w:rsid w:val="00691F0C"/>
    <w:rsid w:val="006A6FCF"/>
    <w:rsid w:val="006E2E7C"/>
    <w:rsid w:val="006F0FAD"/>
    <w:rsid w:val="0076625F"/>
    <w:rsid w:val="00780F6C"/>
    <w:rsid w:val="007D54AD"/>
    <w:rsid w:val="0080102B"/>
    <w:rsid w:val="00810F0D"/>
    <w:rsid w:val="00815D47"/>
    <w:rsid w:val="00854230"/>
    <w:rsid w:val="0089510A"/>
    <w:rsid w:val="008A07EE"/>
    <w:rsid w:val="008D5A24"/>
    <w:rsid w:val="009670D6"/>
    <w:rsid w:val="00984247"/>
    <w:rsid w:val="00A01299"/>
    <w:rsid w:val="00AA435C"/>
    <w:rsid w:val="00AD3302"/>
    <w:rsid w:val="00AE1566"/>
    <w:rsid w:val="00AE5231"/>
    <w:rsid w:val="00B44649"/>
    <w:rsid w:val="00B47485"/>
    <w:rsid w:val="00B534C0"/>
    <w:rsid w:val="00BB2BE9"/>
    <w:rsid w:val="00BB4DFE"/>
    <w:rsid w:val="00BF0549"/>
    <w:rsid w:val="00C47449"/>
    <w:rsid w:val="00C80B6D"/>
    <w:rsid w:val="00C837AE"/>
    <w:rsid w:val="00CA01CE"/>
    <w:rsid w:val="00CB3F56"/>
    <w:rsid w:val="00CC4547"/>
    <w:rsid w:val="00CC5E6B"/>
    <w:rsid w:val="00CD535E"/>
    <w:rsid w:val="00CD666C"/>
    <w:rsid w:val="00D1187F"/>
    <w:rsid w:val="00DB58B2"/>
    <w:rsid w:val="00E00EF4"/>
    <w:rsid w:val="00E41CD3"/>
    <w:rsid w:val="00E478CA"/>
    <w:rsid w:val="00E73EE5"/>
    <w:rsid w:val="00EA74D5"/>
    <w:rsid w:val="00EB5D30"/>
    <w:rsid w:val="00EF72DF"/>
    <w:rsid w:val="00F05EC1"/>
    <w:rsid w:val="00F73ED3"/>
    <w:rsid w:val="00F75650"/>
    <w:rsid w:val="00F96BDB"/>
    <w:rsid w:val="00F9732E"/>
    <w:rsid w:val="00FC1041"/>
    <w:rsid w:val="00FF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6363"/>
  <w15:chartTrackingRefBased/>
  <w15:docId w15:val="{FF58671F-5E16-4B86-9501-16008908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A24"/>
    <w:pPr>
      <w:spacing w:after="0" w:line="240" w:lineRule="auto"/>
    </w:pPr>
    <w:rPr>
      <w:rFonts w:ascii="Arial" w:eastAsia="Calibri" w:hAnsi="Arial"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1">
    <w:name w:val="Subtitle1"/>
    <w:basedOn w:val="DefaultParagraphFont"/>
    <w:rsid w:val="00321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F0CB6-1505-435D-85F5-DBD35F4AE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448FA-F5D2-4F51-9A85-1DAACFB1050C}">
  <ds:schemaRefs>
    <ds:schemaRef ds:uri="http://schemas.microsoft.com/sharepoint/v3/contenttype/forms"/>
  </ds:schemaRefs>
</ds:datastoreItem>
</file>

<file path=customXml/itemProps3.xml><?xml version="1.0" encoding="utf-8"?>
<ds:datastoreItem xmlns:ds="http://schemas.openxmlformats.org/officeDocument/2006/customXml" ds:itemID="{FDBBB53F-7E31-4F78-B0D3-D75FC55A32D8}">
  <ds:schemaRefs>
    <ds:schemaRef ds:uri="http://purl.org/dc/dcmitype/"/>
    <ds:schemaRef ds:uri="http://schemas.microsoft.com/office/infopath/2007/PartnerControls"/>
    <ds:schemaRef ds:uri="7657b7af-29bc-44ca-92cf-865e5fb068b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Stern</dc:creator>
  <cp:keywords/>
  <dc:description/>
  <cp:lastModifiedBy>Ruth Mardall (R.Mardall)</cp:lastModifiedBy>
  <cp:revision>2</cp:revision>
  <dcterms:created xsi:type="dcterms:W3CDTF">2020-01-07T14:23:00Z</dcterms:created>
  <dcterms:modified xsi:type="dcterms:W3CDTF">2020-01-07T14:23:00Z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