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BCE3" w14:textId="77777777" w:rsidR="003F2D18" w:rsidRDefault="003F2D18" w:rsidP="003F2D18">
      <w:pPr>
        <w:pStyle w:val="Articletitle"/>
      </w:pPr>
      <w:r>
        <w:t>Teacher educators’ perspectives on preparing student teachers to work with pupils who speak languages beyond English</w:t>
      </w:r>
    </w:p>
    <w:p w14:paraId="6EE70FDA" w14:textId="77777777" w:rsidR="003F2D18" w:rsidRDefault="003F2D18" w:rsidP="003F2D18">
      <w:pPr>
        <w:pStyle w:val="Authornames"/>
      </w:pPr>
      <w:r>
        <w:t xml:space="preserve">Gabrielle </w:t>
      </w:r>
      <w:proofErr w:type="spellStart"/>
      <w:r>
        <w:t>Flockton</w:t>
      </w:r>
      <w:r w:rsidRPr="00394920">
        <w:rPr>
          <w:vertAlign w:val="superscript"/>
        </w:rPr>
        <w:t>a</w:t>
      </w:r>
      <w:proofErr w:type="spellEnd"/>
      <w:r>
        <w:t xml:space="preserve"> and Clare </w:t>
      </w:r>
      <w:proofErr w:type="spellStart"/>
      <w:r>
        <w:t>Cunningham</w:t>
      </w:r>
      <w:r w:rsidRPr="00394920">
        <w:rPr>
          <w:vertAlign w:val="superscript"/>
        </w:rPr>
        <w:t>b</w:t>
      </w:r>
      <w:proofErr w:type="spellEnd"/>
      <w:r>
        <w:t>*</w:t>
      </w:r>
    </w:p>
    <w:p w14:paraId="315811A9" w14:textId="77777777" w:rsidR="003F2D18" w:rsidRDefault="003F2D18" w:rsidP="003F2D18">
      <w:pPr>
        <w:pStyle w:val="Affiliation"/>
      </w:pPr>
      <w:r>
        <w:t xml:space="preserve"> </w:t>
      </w:r>
      <w:proofErr w:type="spellStart"/>
      <w:r>
        <w:rPr>
          <w:vertAlign w:val="superscript"/>
        </w:rPr>
        <w:t>a</w:t>
      </w:r>
      <w:r>
        <w:t>School</w:t>
      </w:r>
      <w:proofErr w:type="spellEnd"/>
      <w:r>
        <w:t xml:space="preserve"> of Languages and Linguistics, York St John University, York, UK;</w:t>
      </w:r>
      <w:r w:rsidRPr="003152C8">
        <w:t xml:space="preserve"> </w:t>
      </w:r>
      <w:proofErr w:type="spellStart"/>
      <w:r w:rsidRPr="00394920">
        <w:rPr>
          <w:vertAlign w:val="superscript"/>
        </w:rPr>
        <w:t>b</w:t>
      </w:r>
      <w:r>
        <w:t>School</w:t>
      </w:r>
      <w:proofErr w:type="spellEnd"/>
      <w:r>
        <w:t xml:space="preserve"> of Languages and Linguistics, York St John University, York, UK</w:t>
      </w:r>
    </w:p>
    <w:p w14:paraId="1AAA56CA" w14:textId="77777777" w:rsidR="003F2D18" w:rsidRDefault="003F2D18" w:rsidP="003F2D18">
      <w:pPr>
        <w:rPr>
          <w:color w:val="000000" w:themeColor="text1"/>
          <w:sz w:val="22"/>
          <w:szCs w:val="22"/>
        </w:rPr>
      </w:pPr>
    </w:p>
    <w:p w14:paraId="13D0476C" w14:textId="77777777" w:rsidR="003F2D18" w:rsidRPr="00AC1113" w:rsidRDefault="003F2D18" w:rsidP="003F2D18">
      <w:pPr>
        <w:rPr>
          <w:b/>
          <w:color w:val="000000" w:themeColor="text1"/>
          <w:sz w:val="22"/>
          <w:szCs w:val="22"/>
        </w:rPr>
      </w:pPr>
      <w:r>
        <w:rPr>
          <w:b/>
          <w:color w:val="000000" w:themeColor="text1"/>
          <w:sz w:val="22"/>
          <w:szCs w:val="22"/>
        </w:rPr>
        <w:t>*</w:t>
      </w:r>
      <w:r w:rsidRPr="00AC1113">
        <w:rPr>
          <w:b/>
          <w:color w:val="000000" w:themeColor="text1"/>
          <w:sz w:val="22"/>
          <w:szCs w:val="22"/>
        </w:rPr>
        <w:t xml:space="preserve">Corresponding author: </w:t>
      </w:r>
    </w:p>
    <w:p w14:paraId="3850AB03" w14:textId="77777777" w:rsidR="003F2D18" w:rsidRPr="009C3818" w:rsidRDefault="003F2D18" w:rsidP="003F2D18">
      <w:pPr>
        <w:spacing w:line="240" w:lineRule="auto"/>
        <w:rPr>
          <w:color w:val="000000" w:themeColor="text1"/>
          <w:sz w:val="22"/>
          <w:szCs w:val="22"/>
        </w:rPr>
      </w:pPr>
      <w:r w:rsidRPr="009C3818">
        <w:rPr>
          <w:color w:val="000000" w:themeColor="text1"/>
          <w:sz w:val="22"/>
          <w:szCs w:val="22"/>
        </w:rPr>
        <w:t>Clare Cunningham, School of Languages and Linguistics, York St John University, Lord Mayor’s Walk, York, YO31 7EX</w:t>
      </w:r>
    </w:p>
    <w:p w14:paraId="09BD7573" w14:textId="77777777" w:rsidR="003F2D18" w:rsidRPr="009C3818" w:rsidRDefault="003F2D18" w:rsidP="003F2D18">
      <w:pPr>
        <w:spacing w:line="240" w:lineRule="auto"/>
        <w:rPr>
          <w:color w:val="000000" w:themeColor="text1"/>
          <w:sz w:val="22"/>
          <w:szCs w:val="22"/>
        </w:rPr>
      </w:pPr>
      <w:r w:rsidRPr="009C3818">
        <w:rPr>
          <w:color w:val="000000" w:themeColor="text1"/>
          <w:sz w:val="22"/>
          <w:szCs w:val="22"/>
        </w:rPr>
        <w:t xml:space="preserve">01904 876753, </w:t>
      </w:r>
      <w:hyperlink r:id="rId8" w:history="1">
        <w:r w:rsidRPr="009C3818">
          <w:rPr>
            <w:rStyle w:val="Hyperlink"/>
            <w:color w:val="000000" w:themeColor="text1"/>
            <w:sz w:val="22"/>
            <w:szCs w:val="22"/>
          </w:rPr>
          <w:t>c.cunningham@yorksj.ac.uk</w:t>
        </w:r>
      </w:hyperlink>
    </w:p>
    <w:p w14:paraId="444F6AB5" w14:textId="77777777" w:rsidR="003F2D18" w:rsidRPr="009C3818" w:rsidRDefault="003F2D18" w:rsidP="003F2D18">
      <w:pPr>
        <w:spacing w:line="240" w:lineRule="auto"/>
        <w:rPr>
          <w:color w:val="000000" w:themeColor="text1"/>
          <w:sz w:val="22"/>
          <w:szCs w:val="22"/>
        </w:rPr>
      </w:pPr>
      <w:proofErr w:type="spellStart"/>
      <w:r w:rsidRPr="009C3818">
        <w:rPr>
          <w:color w:val="000000" w:themeColor="text1"/>
          <w:sz w:val="22"/>
          <w:szCs w:val="22"/>
        </w:rPr>
        <w:t>ORCiD</w:t>
      </w:r>
      <w:proofErr w:type="spellEnd"/>
      <w:r w:rsidRPr="009C3818">
        <w:rPr>
          <w:color w:val="000000" w:themeColor="text1"/>
          <w:sz w:val="22"/>
          <w:szCs w:val="22"/>
        </w:rPr>
        <w:t xml:space="preserve"> </w:t>
      </w:r>
      <w:proofErr w:type="spellStart"/>
      <w:r w:rsidRPr="009C3818">
        <w:rPr>
          <w:color w:val="000000" w:themeColor="text1"/>
          <w:sz w:val="22"/>
          <w:szCs w:val="22"/>
        </w:rPr>
        <w:t>iD</w:t>
      </w:r>
      <w:proofErr w:type="spellEnd"/>
      <w:r w:rsidRPr="009C3818">
        <w:rPr>
          <w:color w:val="000000" w:themeColor="text1"/>
          <w:sz w:val="22"/>
          <w:szCs w:val="22"/>
        </w:rPr>
        <w:t xml:space="preserve">: </w:t>
      </w:r>
      <w:hyperlink r:id="rId9" w:tgtFrame="orcid.blank" w:history="1">
        <w:r w:rsidRPr="009C3818">
          <w:rPr>
            <w:color w:val="000000" w:themeColor="text1"/>
            <w:sz w:val="22"/>
            <w:szCs w:val="22"/>
            <w:u w:val="single"/>
          </w:rPr>
          <w:t>0000-0003-3767-7624</w:t>
        </w:r>
      </w:hyperlink>
    </w:p>
    <w:p w14:paraId="35BD88DB" w14:textId="77777777" w:rsidR="003F2D18" w:rsidRDefault="003F2D18" w:rsidP="003F2D18">
      <w:pPr>
        <w:spacing w:line="240" w:lineRule="auto"/>
        <w:rPr>
          <w:color w:val="000000" w:themeColor="text1"/>
          <w:sz w:val="22"/>
          <w:szCs w:val="22"/>
        </w:rPr>
      </w:pPr>
      <w:r w:rsidRPr="009C3818">
        <w:rPr>
          <w:color w:val="000000" w:themeColor="text1"/>
          <w:sz w:val="22"/>
          <w:szCs w:val="22"/>
        </w:rPr>
        <w:t>Twitter: @CCunninghamyork</w:t>
      </w:r>
    </w:p>
    <w:p w14:paraId="43381100" w14:textId="77777777" w:rsidR="003F2D18" w:rsidRDefault="003F2D18" w:rsidP="003F2D18">
      <w:pPr>
        <w:pStyle w:val="Notesoncontributors"/>
      </w:pPr>
    </w:p>
    <w:p w14:paraId="58F105DD" w14:textId="77777777" w:rsidR="003F2D18" w:rsidRPr="00C948FF" w:rsidRDefault="003F2D18" w:rsidP="003F2D18">
      <w:pPr>
        <w:pStyle w:val="Notesoncontributors"/>
        <w:rPr>
          <w:b/>
        </w:rPr>
      </w:pPr>
      <w:r w:rsidRPr="00C948FF">
        <w:rPr>
          <w:b/>
        </w:rPr>
        <w:t>Biographies:</w:t>
      </w:r>
    </w:p>
    <w:p w14:paraId="6C8F4329" w14:textId="697B0AEB" w:rsidR="003F2D18" w:rsidRDefault="003F2D18" w:rsidP="003F2D18">
      <w:pPr>
        <w:spacing w:line="240" w:lineRule="auto"/>
      </w:pPr>
      <w:r>
        <w:t xml:space="preserve">Gabrielle </w:t>
      </w:r>
      <w:proofErr w:type="spellStart"/>
      <w:r>
        <w:t>Flockton</w:t>
      </w:r>
      <w:proofErr w:type="spellEnd"/>
      <w:r>
        <w:t xml:space="preserve"> is an English teacher at Morgan School in </w:t>
      </w:r>
      <w:proofErr w:type="spellStart"/>
      <w:r>
        <w:t>Terlizzi</w:t>
      </w:r>
      <w:proofErr w:type="spellEnd"/>
      <w:r>
        <w:t>, where she teaches students English as a foreign language. Her research interests currently involve exploring and understanding the Teacher’s and Teacher Educator’s perspectives of teaching English to pupils for whom English is an additional language.</w:t>
      </w:r>
      <w:r w:rsidR="00DC631F">
        <w:t xml:space="preserve"> </w:t>
      </w:r>
    </w:p>
    <w:p w14:paraId="6E1321D2" w14:textId="40DC38F0" w:rsidR="003F2D18" w:rsidRDefault="003F2D18" w:rsidP="003F2D18">
      <w:pPr>
        <w:spacing w:line="240" w:lineRule="auto"/>
      </w:pPr>
      <w:r>
        <w:t xml:space="preserve">Clare Cunningham is a Senior Lecturer in English Language and Linguistics at York St John University, where she teaches on modules related to language diversity, multilingualism and language attitudes. Her research interests are principally related to exploring and understanding teachers’ attitudes, beliefs and knowledge about multilingualism, including working on an international collaborative project with the AILA Research Network </w:t>
      </w:r>
      <w:r w:rsidRPr="00F21B54">
        <w:rPr>
          <w:i/>
        </w:rPr>
        <w:t>Social and Affective Factors in Home Language Maintenance</w:t>
      </w:r>
      <w:r>
        <w:t>.</w:t>
      </w:r>
      <w:r w:rsidR="00DC631F">
        <w:t xml:space="preserve"> </w:t>
      </w:r>
    </w:p>
    <w:p w14:paraId="57CF547B" w14:textId="77777777" w:rsidR="003F2D18" w:rsidRDefault="003F2D18">
      <w:pPr>
        <w:spacing w:line="240" w:lineRule="auto"/>
        <w:rPr>
          <w:b/>
          <w:sz w:val="28"/>
        </w:rPr>
      </w:pPr>
      <w:r>
        <w:br w:type="page"/>
      </w:r>
    </w:p>
    <w:p w14:paraId="56624B7D" w14:textId="74D62ED3" w:rsidR="00C246C5" w:rsidRDefault="00E40EAB" w:rsidP="009B24B5">
      <w:pPr>
        <w:pStyle w:val="Articletitle"/>
      </w:pPr>
      <w:r>
        <w:lastRenderedPageBreak/>
        <w:t xml:space="preserve">Teacher educators’ perspectives on preparing student teachers to </w:t>
      </w:r>
      <w:r w:rsidR="008D06B4">
        <w:t>work with</w:t>
      </w:r>
      <w:r>
        <w:t xml:space="preserve"> pupils </w:t>
      </w:r>
      <w:r w:rsidR="008D06B4">
        <w:t xml:space="preserve">who speak </w:t>
      </w:r>
      <w:r>
        <w:t>languages beyond English</w:t>
      </w:r>
    </w:p>
    <w:p w14:paraId="467B9B51" w14:textId="5CFD6066" w:rsidR="00C459D9" w:rsidRDefault="00E40EAB" w:rsidP="00E01BAA">
      <w:pPr>
        <w:pStyle w:val="Abstract"/>
      </w:pPr>
      <w:r>
        <w:t xml:space="preserve">Despite a well-documented and significant increase in the population of children in UK schools who speak language(s) beyond English at home, the national Newly Qualified Teacher survey regularly reports that new teachers do not feel confident or </w:t>
      </w:r>
      <w:r w:rsidR="00D30C79">
        <w:t>prepared</w:t>
      </w:r>
      <w:r>
        <w:t xml:space="preserve"> to work effectively with ‘EAL children’. Whilst </w:t>
      </w:r>
      <w:r w:rsidR="00D30C79">
        <w:t xml:space="preserve">understanding </w:t>
      </w:r>
      <w:r>
        <w:t xml:space="preserve">the experiences and </w:t>
      </w:r>
      <w:r w:rsidR="00D30C79">
        <w:t xml:space="preserve">exploring the </w:t>
      </w:r>
      <w:r>
        <w:t>at</w:t>
      </w:r>
      <w:r w:rsidR="00D30C79">
        <w:t>titudes of newly-</w:t>
      </w:r>
      <w:r>
        <w:t>qualified, in-service and experience</w:t>
      </w:r>
      <w:r w:rsidR="00F9634D">
        <w:t>d</w:t>
      </w:r>
      <w:r>
        <w:t xml:space="preserve"> teachers have been </w:t>
      </w:r>
      <w:r w:rsidR="00D30C79">
        <w:t>the subject of research around the world</w:t>
      </w:r>
      <w:r>
        <w:t xml:space="preserve">, the perspectives of teacher educators have not been adequately researched. </w:t>
      </w:r>
    </w:p>
    <w:p w14:paraId="13F6D66D" w14:textId="42466D57" w:rsidR="00266354" w:rsidRDefault="00E40EAB" w:rsidP="00E01BAA">
      <w:pPr>
        <w:pStyle w:val="Abstract"/>
      </w:pPr>
      <w:r>
        <w:t xml:space="preserve">This article reports on a mixed-methods study investigating teacher educators’ views on their role in preparing </w:t>
      </w:r>
      <w:r w:rsidR="00C17768">
        <w:t>future teachers to work</w:t>
      </w:r>
      <w:r w:rsidR="00D30C79">
        <w:t xml:space="preserve"> effectively with multilingual children. A survey was conducted with </w:t>
      </w:r>
      <w:r w:rsidR="00CA1D80">
        <w:t>6</w:t>
      </w:r>
      <w:r w:rsidR="00D30C79">
        <w:t>2 teacher educators who have responsibility for inc</w:t>
      </w:r>
      <w:r w:rsidR="00C17768">
        <w:t xml:space="preserve">lusion or EAL teacher training, which </w:t>
      </w:r>
      <w:r w:rsidR="00D30C79">
        <w:t>was followed up with a seri</w:t>
      </w:r>
      <w:r w:rsidR="00C17768">
        <w:t>es of semi-structured interviews</w:t>
      </w:r>
      <w:r w:rsidR="00D30C79">
        <w:t xml:space="preserve">. Key findings suggest that there may be a mismatch between the perceptions of teacher educators and newly qualified teachers, as the </w:t>
      </w:r>
      <w:r w:rsidR="003D6E91">
        <w:t xml:space="preserve">vast </w:t>
      </w:r>
      <w:r w:rsidR="00D30C79">
        <w:t xml:space="preserve">majority of </w:t>
      </w:r>
      <w:r w:rsidR="00515300">
        <w:t xml:space="preserve">the participants reported that </w:t>
      </w:r>
      <w:r w:rsidR="003D6E91">
        <w:t xml:space="preserve">they were either confident or very confident about </w:t>
      </w:r>
      <w:r w:rsidR="00515300">
        <w:t xml:space="preserve">teaching student teachers </w:t>
      </w:r>
      <w:r w:rsidR="003D6E91">
        <w:t xml:space="preserve">how to teach EAL children. Additional themes </w:t>
      </w:r>
      <w:r w:rsidR="0078543B">
        <w:t xml:space="preserve">explored </w:t>
      </w:r>
      <w:r w:rsidR="003D6E91">
        <w:t xml:space="preserve">were related to concerns over a performativity culture in education, and to </w:t>
      </w:r>
      <w:r w:rsidR="00FC3A5D">
        <w:t xml:space="preserve">balancing linguistic diversity training alongside </w:t>
      </w:r>
      <w:r w:rsidR="003D6E91">
        <w:t>other pressing priorities</w:t>
      </w:r>
      <w:r w:rsidR="00225742">
        <w:t xml:space="preserve"> in initial teacher education</w:t>
      </w:r>
      <w:r w:rsidR="003D6E91">
        <w:t>.</w:t>
      </w:r>
    </w:p>
    <w:p w14:paraId="7F8CC92B" w14:textId="2D7A18ED" w:rsidR="0020415E" w:rsidRPr="0020415E" w:rsidRDefault="00997B0F" w:rsidP="00F30DFF">
      <w:pPr>
        <w:pStyle w:val="Keywords"/>
      </w:pPr>
      <w:r>
        <w:t xml:space="preserve">Keywords: </w:t>
      </w:r>
      <w:r w:rsidR="00E40EAB">
        <w:t>EAL; initial teacher education; preparedness to teach; attitudes; teacher training; England</w:t>
      </w:r>
      <w:r w:rsidR="00C948FF">
        <w:t>; teacher educators; teacher trainers; languages beyond English</w:t>
      </w:r>
    </w:p>
    <w:p w14:paraId="570E71F4" w14:textId="77777777" w:rsidR="00997B0F" w:rsidRDefault="00D30C79" w:rsidP="00106DAF">
      <w:pPr>
        <w:pStyle w:val="Heading1"/>
      </w:pPr>
      <w:r>
        <w:t>Introduction</w:t>
      </w:r>
    </w:p>
    <w:p w14:paraId="30A4997B" w14:textId="349B4370" w:rsidR="00E34BC0" w:rsidRDefault="0078543B" w:rsidP="008A7CC7">
      <w:pPr>
        <w:pStyle w:val="Paragraph"/>
        <w:rPr>
          <w:rFonts w:eastAsia="Calibri"/>
        </w:rPr>
      </w:pPr>
      <w:r>
        <w:rPr>
          <w:rFonts w:eastAsia="Calibri"/>
        </w:rPr>
        <w:t xml:space="preserve">Due to a </w:t>
      </w:r>
      <w:r w:rsidR="006C68ED">
        <w:rPr>
          <w:rFonts w:eastAsia="Calibri"/>
        </w:rPr>
        <w:t>significant</w:t>
      </w:r>
      <w:r>
        <w:rPr>
          <w:rFonts w:eastAsia="Calibri"/>
        </w:rPr>
        <w:t xml:space="preserve"> increase in global mobility, linguistic diversity in classrooms has been growing year on year</w:t>
      </w:r>
      <w:r w:rsidR="006C68ED">
        <w:rPr>
          <w:rFonts w:eastAsia="Calibri"/>
        </w:rPr>
        <w:t xml:space="preserve"> for a number of decades</w:t>
      </w:r>
      <w:r>
        <w:rPr>
          <w:rFonts w:eastAsia="Calibri"/>
        </w:rPr>
        <w:t xml:space="preserve"> </w:t>
      </w:r>
      <w:r>
        <w:rPr>
          <w:rFonts w:eastAsia="Calibri"/>
        </w:rPr>
        <w:fldChar w:fldCharType="begin" w:fldLock="1"/>
      </w:r>
      <w:r w:rsidR="00605776">
        <w:rPr>
          <w:rFonts w:eastAsia="Calibri"/>
        </w:rPr>
        <w:instrText>ADDIN CSL_CITATION {"citationItems":[{"id":"ITEM-1","itemData":{"DOI":"10.1207/s15430421tip4204_11","ISSN":"0040-5841","author":[{"dropping-particle":"","family":"Curran","given":"Mary Elizabeth","non-dropping-particle":"","parse-names":false,"suffix":""}],"container-title":"Theory Into Practice","id":"ITEM-1","issue":"4","issued":{"date-parts":[["2003","11","1"]]},"note":"doi: 10.1207/s15430421tip4204_11","page":"334-340","publisher":"Routledge","title":"Linguistic Diversity and Classroom Management","type":"article-journal","volume":"42"},"uris":["http://www.mendeley.com/documents/?uuid=6277dd4e-60a2-406f-b90f-698573ccb120"]},{"id":"ITEM-2","itemData":{"DOI":"10.1177/0022487108322110","ISSN":"0022-4871","abstract":"Students who speak languages other than English are a growing presence in U.S. schools. As a result, many mainstream classroom teachers are finding that they have English language learners in their classes. Unfortunately, most mainstream classroom teachers have had little or no preparation for providing the types of assistance that such learners need to successfully learn academic content and skills through English while developing proficiency in English. In this article, the authors identify a small set of principles that can serve as the linguistic foundation for the teaching of English language learners in mainstream classes. The authors then outline linguistically responsive pedagogical practices that flow directly from those principles. They conclude with concrete suggestions for how teacher education programs can incorporate the knowledge and skills that will prepare all preservice teachers to be linguistically responsive.","author":[{"dropping-particle":"","family":"Lucas","given":"Tamara","non-dropping-particle":"","parse-names":false,"suffix":""},{"dropping-particle":"","family":"Villegas","given":"Ana María","non-dropping-particle":"","parse-names":false,"suffix":""},{"dropping-particle":"","family":"Freedson-Gonzalez","given":"Margaret","non-dropping-particle":"","parse-names":false,"suffix":""}],"container-title":"Journal of Teacher Education","id":"ITEM-2","issue":"4","issued":{"date-parts":[["2008","7","7"]]},"note":"doi: 10.1177/0022487108322110","page":"361-373","publisher":"SAGE Publications Inc","title":"Linguistically Responsive Teacher Education: Preparing Classroom Teachers to Teach English Language Learners","type":"article-journal","volume":"59"},"uris":["http://www.mendeley.com/documents/?uuid=66987b09-6edc-41c2-a186-f1283134d32a"]},{"id":"ITEM-3","itemData":{"DOI":"https://www.gov.uk/government/statistics/schools-pupils-and-their-characteristics-january-2012","abstract":"This Statistical First Release (SFR) provides information about looked after children in England for the year ending 31 March 2009. The figures are based on data from the SSDA903 return collected from all local authorities. This release reports progress on seven National Indicators (NI), two of which also contribute to PSA 16 \"To increase the proportion of socially excluded adults in settled accommodation and employment, education or training\".","author":[{"dropping-particle":"","family":"Department of Education","given":"","non-dropping-particle":"","parse-names":false,"suffix":""}],"id":"ITEM-3","issued":{"date-parts":[["2017"]]},"number-of-pages":"1-14","publisher-place":"London","title":"Schools,Pupils,and Their Characteristics: January 2017","type":"report"},"uris":["http://www.mendeley.com/documents/?uuid=3bbbcece-a593-4f8f-a6c5-d5837575d08c"]}],"mendeley":{"formattedCitation":"(Curran 2003; Lucas et al. 2008; Department of Education 2017)","plainTextFormattedCitation":"(Curran 2003; Lucas et al. 2008; Department of Education 2017)","previouslyFormattedCitation":"(Curran 2003; Lucas et al. 2008; Department of Education 2017)"},"properties":{"noteIndex":0},"schema":"https://github.com/citation-style-language/schema/raw/master/csl-citation.json"}</w:instrText>
      </w:r>
      <w:r>
        <w:rPr>
          <w:rFonts w:eastAsia="Calibri"/>
        </w:rPr>
        <w:fldChar w:fldCharType="separate"/>
      </w:r>
      <w:r w:rsidR="00605776" w:rsidRPr="00605776">
        <w:rPr>
          <w:rFonts w:eastAsia="Calibri"/>
          <w:noProof/>
        </w:rPr>
        <w:t>(Curran 2003; Lucas</w:t>
      </w:r>
      <w:r w:rsidR="008B57A2">
        <w:rPr>
          <w:rFonts w:eastAsia="Calibri"/>
          <w:noProof/>
        </w:rPr>
        <w:t xml:space="preserve">, Villegas and </w:t>
      </w:r>
      <w:r w:rsidR="008B57A2">
        <w:t>Freedson-Gonzalez</w:t>
      </w:r>
      <w:r w:rsidR="00605776" w:rsidRPr="00605776">
        <w:rPr>
          <w:rFonts w:eastAsia="Calibri"/>
          <w:noProof/>
        </w:rPr>
        <w:t>. 2008)</w:t>
      </w:r>
      <w:r>
        <w:rPr>
          <w:rFonts w:eastAsia="Calibri"/>
        </w:rPr>
        <w:fldChar w:fldCharType="end"/>
      </w:r>
      <w:r w:rsidR="008A7CC7">
        <w:rPr>
          <w:rFonts w:eastAsia="Calibri"/>
        </w:rPr>
        <w:t xml:space="preserve">. </w:t>
      </w:r>
      <w:proofErr w:type="gramStart"/>
      <w:r w:rsidR="008A7CC7">
        <w:rPr>
          <w:rFonts w:eastAsia="Calibri"/>
        </w:rPr>
        <w:t>T</w:t>
      </w:r>
      <w:r w:rsidR="0090401C">
        <w:rPr>
          <w:rFonts w:eastAsia="Calibri"/>
        </w:rPr>
        <w:t>herefore</w:t>
      </w:r>
      <w:proofErr w:type="gramEnd"/>
      <w:r w:rsidR="0090401C">
        <w:rPr>
          <w:rFonts w:eastAsia="Calibri"/>
        </w:rPr>
        <w:t xml:space="preserve"> t</w:t>
      </w:r>
      <w:r w:rsidR="00605776">
        <w:rPr>
          <w:rFonts w:eastAsia="Calibri"/>
        </w:rPr>
        <w:t xml:space="preserve">eacher education that produces teachers that are responsive to this linguistic diversity is </w:t>
      </w:r>
      <w:r w:rsidR="008A7CC7">
        <w:rPr>
          <w:rFonts w:eastAsia="Calibri"/>
        </w:rPr>
        <w:t>increasingly</w:t>
      </w:r>
      <w:r w:rsidR="00605776">
        <w:rPr>
          <w:rFonts w:eastAsia="Calibri"/>
        </w:rPr>
        <w:t xml:space="preserve"> importan</w:t>
      </w:r>
      <w:r w:rsidR="008A7CC7">
        <w:rPr>
          <w:rFonts w:eastAsia="Calibri"/>
        </w:rPr>
        <w:t>t</w:t>
      </w:r>
      <w:r w:rsidR="00605776">
        <w:rPr>
          <w:rFonts w:eastAsia="Calibri"/>
        </w:rPr>
        <w:t xml:space="preserve"> given</w:t>
      </w:r>
      <w:r w:rsidR="00605776" w:rsidRPr="00D30C79">
        <w:rPr>
          <w:rFonts w:eastAsia="Calibri"/>
        </w:rPr>
        <w:t xml:space="preserve"> how influential I</w:t>
      </w:r>
      <w:r w:rsidR="00605776">
        <w:rPr>
          <w:rFonts w:eastAsia="Calibri"/>
        </w:rPr>
        <w:t xml:space="preserve">nitial </w:t>
      </w:r>
      <w:r w:rsidR="00605776" w:rsidRPr="00D30C79">
        <w:rPr>
          <w:rFonts w:eastAsia="Calibri"/>
        </w:rPr>
        <w:t>T</w:t>
      </w:r>
      <w:r w:rsidR="00605776">
        <w:rPr>
          <w:rFonts w:eastAsia="Calibri"/>
        </w:rPr>
        <w:t xml:space="preserve">eacher </w:t>
      </w:r>
      <w:r w:rsidR="00605776" w:rsidRPr="00D30C79">
        <w:rPr>
          <w:rFonts w:eastAsia="Calibri"/>
        </w:rPr>
        <w:t>T</w:t>
      </w:r>
      <w:r w:rsidR="00605776">
        <w:rPr>
          <w:rFonts w:eastAsia="Calibri"/>
        </w:rPr>
        <w:t>raining/ Education (ITT/ ITE)</w:t>
      </w:r>
      <w:r w:rsidR="00605776" w:rsidRPr="00D30C79">
        <w:rPr>
          <w:rFonts w:eastAsia="Calibri"/>
        </w:rPr>
        <w:t xml:space="preserve"> can be on teachers </w:t>
      </w:r>
      <w:r w:rsidR="00605776">
        <w:rPr>
          <w:rFonts w:eastAsia="Calibri"/>
        </w:rPr>
        <w:t>and their beliefs and classroom practices</w:t>
      </w:r>
      <w:r w:rsidR="00605776" w:rsidRPr="00D30C79">
        <w:rPr>
          <w:rFonts w:eastAsia="Calibri"/>
        </w:rPr>
        <w:t xml:space="preserve"> (Richards and Taylor 1998)</w:t>
      </w:r>
      <w:r w:rsidR="00605776">
        <w:rPr>
          <w:rFonts w:eastAsia="Calibri"/>
        </w:rPr>
        <w:t>. Research into teacher education for linguistically diverse regions has led to proposals for effective ways of working to increase new teachers’ capacity</w:t>
      </w:r>
      <w:r w:rsidR="008A7CC7">
        <w:rPr>
          <w:rFonts w:eastAsia="Calibri"/>
        </w:rPr>
        <w:t xml:space="preserve"> in some areas</w:t>
      </w:r>
      <w:r w:rsidR="00895E31">
        <w:rPr>
          <w:rFonts w:eastAsia="Calibri"/>
        </w:rPr>
        <w:t>, particularly in the USA</w:t>
      </w:r>
      <w:r w:rsidR="00605776">
        <w:rPr>
          <w:rFonts w:eastAsia="Calibri"/>
        </w:rPr>
        <w:t xml:space="preserve"> </w:t>
      </w:r>
      <w:r w:rsidR="00605776">
        <w:rPr>
          <w:rFonts w:eastAsia="Calibri"/>
        </w:rPr>
        <w:fldChar w:fldCharType="begin" w:fldLock="1"/>
      </w:r>
      <w:r w:rsidR="00252816">
        <w:rPr>
          <w:rFonts w:eastAsia="Calibri"/>
        </w:rPr>
        <w:instrText>ADDIN CSL_CITATION {"citationItems":[{"id":"ITEM-1","itemData":{"DOI":"10.1177/0022487108322110","ISSN":"0022-4871","abstract":"Students who speak languages other than English are a growing presence in U.S. schools. As a result, many mainstream classroom teachers are finding that they have English language learners in their classes. Unfortunately, most mainstream classroom teachers have had little or no preparation for providing the types of assistance that such learners need to successfully learn academic content and skills through English while developing proficiency in English. In this article, the authors identify a small set of principles that can serve as the linguistic foundation for the teaching of English language learners in mainstream classes. The authors then outline linguistically responsive pedagogical practices that flow directly from those principles. They conclude with concrete suggestions for how teacher education programs can incorporate the knowledge and skills that will prepare all preservice teachers to be linguistically responsive.","author":[{"dropping-particle":"","family":"Lucas","given":"Tamara","non-dropping-particle":"","parse-names":false,"suffix":""},{"dropping-particle":"","family":"Villegas","given":"Ana María","non-dropping-particle":"","parse-names":false,"suffix":""},{"dropping-particle":"","family":"Freedson-Gonzalez","given":"Margaret","non-dropping-particle":"","parse-names":false,"suffix":""}],"container-title":"Journal of Teacher Education","id":"ITEM-1","issue":"4","issued":{"date-parts":[["2008","7","7"]]},"note":"doi: 10.1177/0022487108322110","page":"361-373","publisher":"SAGE Publications Inc","title":"Linguistically Responsive Teacher Education: Preparing Classroom Teachers to Teach English Language Learners","type":"article-journal","volume":"59"},"uris":["http://www.mendeley.com/documents/?uuid=66987b09-6edc-41c2-a186-f1283134d32a"]},{"id":"ITEM-2","itemData":{"author":[{"dropping-particle":"","family":"Parla","given":"JoAnn","non-dropping-particle":"","parse-names":false,"suffix":""}],"container-title":"New York State Association for Bilingual Education Journal","id":"ITEM-2","issued":{"date-parts":[["1994"]]},"page":"1-6","title":"Educating teachers for cultural and linguistic diversity: a model for all teachers","type":"article-journal","volume":"9"},"uris":["http://www.mendeley.com/documents/?uuid=7b632f55-012f-4829-b13f-6fd87f1db4a5"]}],"mendeley":{"formattedCitation":"(Lucas et al. 2008; Parla 1994)","manualFormatting":"(Catalano and Hamann 2016; Lucas et al. 2008; Parla 1994)","plainTextFormattedCitation":"(Lucas et al. 2008; Parla 1994)","previouslyFormattedCitation":"(Lucas et al. 2008; Parla 1994)"},"properties":{"noteIndex":0},"schema":"https://github.com/citation-style-language/schema/raw/master/csl-citation.json"}</w:instrText>
      </w:r>
      <w:r w:rsidR="00605776">
        <w:rPr>
          <w:rFonts w:eastAsia="Calibri"/>
        </w:rPr>
        <w:fldChar w:fldCharType="separate"/>
      </w:r>
      <w:r w:rsidR="00605776" w:rsidRPr="00605776">
        <w:rPr>
          <w:rFonts w:eastAsia="Calibri"/>
          <w:noProof/>
        </w:rPr>
        <w:t>(</w:t>
      </w:r>
      <w:r w:rsidR="00252816">
        <w:rPr>
          <w:rFonts w:eastAsia="Calibri"/>
          <w:noProof/>
        </w:rPr>
        <w:t xml:space="preserve">Catalano and Hamann 2016; </w:t>
      </w:r>
      <w:r w:rsidR="008B57A2" w:rsidRPr="00605776">
        <w:rPr>
          <w:rFonts w:eastAsia="Calibri"/>
          <w:noProof/>
        </w:rPr>
        <w:t>Lucas</w:t>
      </w:r>
      <w:r w:rsidR="008B57A2">
        <w:rPr>
          <w:rFonts w:eastAsia="Calibri"/>
          <w:noProof/>
        </w:rPr>
        <w:t xml:space="preserve">, Villegas and </w:t>
      </w:r>
      <w:r w:rsidR="008B57A2">
        <w:t>Freedson-Gonzalez</w:t>
      </w:r>
      <w:r w:rsidR="008B57A2" w:rsidRPr="00605776">
        <w:rPr>
          <w:rFonts w:eastAsia="Calibri"/>
          <w:noProof/>
        </w:rPr>
        <w:t>. 2008</w:t>
      </w:r>
      <w:r w:rsidR="00605776" w:rsidRPr="00605776">
        <w:rPr>
          <w:rFonts w:eastAsia="Calibri"/>
          <w:noProof/>
        </w:rPr>
        <w:t>; Parla 1994)</w:t>
      </w:r>
      <w:r w:rsidR="00605776">
        <w:rPr>
          <w:rFonts w:eastAsia="Calibri"/>
        </w:rPr>
        <w:fldChar w:fldCharType="end"/>
      </w:r>
      <w:r w:rsidR="00605776">
        <w:rPr>
          <w:rFonts w:eastAsia="Calibri"/>
        </w:rPr>
        <w:t xml:space="preserve">. </w:t>
      </w:r>
    </w:p>
    <w:p w14:paraId="611365FF" w14:textId="1C523276" w:rsidR="003B1458" w:rsidRDefault="00605776" w:rsidP="00E34BC0">
      <w:pPr>
        <w:pStyle w:val="Paragraph"/>
        <w:ind w:firstLine="720"/>
        <w:rPr>
          <w:rFonts w:eastAsia="Calibri"/>
        </w:rPr>
      </w:pPr>
      <w:r>
        <w:rPr>
          <w:rFonts w:eastAsia="Calibri"/>
        </w:rPr>
        <w:t xml:space="preserve">However, </w:t>
      </w:r>
      <w:r w:rsidR="005A50E7">
        <w:rPr>
          <w:rFonts w:eastAsia="Calibri"/>
        </w:rPr>
        <w:t>this is not universally the case (</w:t>
      </w:r>
      <w:proofErr w:type="spellStart"/>
      <w:r w:rsidR="005A50E7">
        <w:rPr>
          <w:rFonts w:eastAsia="Calibri"/>
        </w:rPr>
        <w:t>Coady</w:t>
      </w:r>
      <w:proofErr w:type="spellEnd"/>
      <w:r w:rsidR="005A50E7">
        <w:rPr>
          <w:rFonts w:eastAsia="Calibri"/>
        </w:rPr>
        <w:t>, Harper and de Jong 2011)</w:t>
      </w:r>
      <w:r w:rsidR="00E04ACB">
        <w:rPr>
          <w:rFonts w:eastAsia="Calibri"/>
        </w:rPr>
        <w:t>,</w:t>
      </w:r>
      <w:r w:rsidR="005A50E7">
        <w:rPr>
          <w:rFonts w:eastAsia="Calibri"/>
        </w:rPr>
        <w:t xml:space="preserve"> </w:t>
      </w:r>
      <w:r w:rsidR="0090401C">
        <w:rPr>
          <w:rFonts w:eastAsia="Calibri"/>
        </w:rPr>
        <w:t xml:space="preserve">as research </w:t>
      </w:r>
      <w:r w:rsidR="00E34BC0">
        <w:rPr>
          <w:rFonts w:eastAsia="Calibri"/>
        </w:rPr>
        <w:t>elsewhere in the USA</w:t>
      </w:r>
      <w:r w:rsidR="0090401C">
        <w:rPr>
          <w:rFonts w:eastAsia="Calibri"/>
        </w:rPr>
        <w:t xml:space="preserve"> uncovered</w:t>
      </w:r>
      <w:r w:rsidR="008A7CC7">
        <w:rPr>
          <w:rFonts w:eastAsia="Calibri"/>
        </w:rPr>
        <w:t>, and teacher education for linguistic diversity in the UK has perhaps been particularly ill-supported, with that country’s newly qualified teacher (NQT) survey each year reporting on a new cohort of teachers who feel under-prepared for working with children designated as speaking English as an Additional Language or ‘EAL’ (</w:t>
      </w:r>
      <w:proofErr w:type="spellStart"/>
      <w:r w:rsidR="008A7CC7" w:rsidRPr="00CF01F5">
        <w:rPr>
          <w:rFonts w:eastAsia="Calibri"/>
        </w:rPr>
        <w:t>Cajkler</w:t>
      </w:r>
      <w:proofErr w:type="spellEnd"/>
      <w:r w:rsidR="008A7CC7" w:rsidRPr="00CF01F5">
        <w:rPr>
          <w:rFonts w:eastAsia="Calibri"/>
        </w:rPr>
        <w:t xml:space="preserve"> and Hall 2009</w:t>
      </w:r>
      <w:r w:rsidR="008A7CC7">
        <w:rPr>
          <w:rFonts w:eastAsia="Calibri"/>
        </w:rPr>
        <w:t xml:space="preserve">; </w:t>
      </w:r>
      <w:proofErr w:type="spellStart"/>
      <w:r w:rsidR="008A7CC7">
        <w:rPr>
          <w:rFonts w:eastAsia="Calibri"/>
        </w:rPr>
        <w:t>Franson</w:t>
      </w:r>
      <w:proofErr w:type="spellEnd"/>
      <w:r w:rsidR="008A7CC7">
        <w:rPr>
          <w:rFonts w:eastAsia="Calibri"/>
        </w:rPr>
        <w:t xml:space="preserve"> 1999). This is in </w:t>
      </w:r>
      <w:r w:rsidR="0090401C">
        <w:rPr>
          <w:rFonts w:eastAsia="Calibri"/>
        </w:rPr>
        <w:t xml:space="preserve">spite </w:t>
      </w:r>
      <w:r w:rsidR="008A7CC7">
        <w:rPr>
          <w:rFonts w:eastAsia="Calibri"/>
        </w:rPr>
        <w:t xml:space="preserve">of </w:t>
      </w:r>
      <w:r w:rsidR="0090401C">
        <w:rPr>
          <w:rFonts w:eastAsia="Calibri"/>
        </w:rPr>
        <w:t xml:space="preserve">the fact that it is now generally considered to be inevitable that a mainstream teacher in the UK, for example, </w:t>
      </w:r>
      <w:r w:rsidR="0090401C" w:rsidRPr="00D30C79">
        <w:rPr>
          <w:rFonts w:eastAsia="Calibri"/>
        </w:rPr>
        <w:t>will</w:t>
      </w:r>
      <w:r w:rsidR="0090401C">
        <w:rPr>
          <w:rFonts w:eastAsia="Calibri"/>
        </w:rPr>
        <w:t>,</w:t>
      </w:r>
      <w:r w:rsidR="0090401C" w:rsidRPr="00D30C79">
        <w:rPr>
          <w:rFonts w:eastAsia="Calibri"/>
        </w:rPr>
        <w:t xml:space="preserve"> </w:t>
      </w:r>
      <w:r w:rsidR="0090401C">
        <w:rPr>
          <w:rFonts w:eastAsia="Calibri"/>
        </w:rPr>
        <w:t xml:space="preserve">at least at some point in their career, teach </w:t>
      </w:r>
      <w:r w:rsidR="0090401C" w:rsidRPr="00D30C79">
        <w:rPr>
          <w:rFonts w:eastAsia="Calibri"/>
        </w:rPr>
        <w:t>pupil</w:t>
      </w:r>
      <w:r w:rsidR="0090401C">
        <w:rPr>
          <w:rFonts w:eastAsia="Calibri"/>
        </w:rPr>
        <w:t>s</w:t>
      </w:r>
      <w:r w:rsidR="0090401C" w:rsidRPr="00D30C79">
        <w:rPr>
          <w:rFonts w:eastAsia="Calibri"/>
        </w:rPr>
        <w:t xml:space="preserve"> </w:t>
      </w:r>
      <w:r w:rsidR="0090401C">
        <w:rPr>
          <w:rFonts w:eastAsia="Calibri"/>
        </w:rPr>
        <w:t>for whom English is not their first language (</w:t>
      </w:r>
      <w:proofErr w:type="spellStart"/>
      <w:r w:rsidR="0090401C">
        <w:rPr>
          <w:rFonts w:eastAsia="Calibri"/>
        </w:rPr>
        <w:t>Cajkler</w:t>
      </w:r>
      <w:proofErr w:type="spellEnd"/>
      <w:r w:rsidR="0090401C">
        <w:rPr>
          <w:rFonts w:eastAsia="Calibri"/>
        </w:rPr>
        <w:t xml:space="preserve"> and Hall 2009), </w:t>
      </w:r>
      <w:r w:rsidR="003B1458">
        <w:rPr>
          <w:rFonts w:eastAsia="Calibri"/>
        </w:rPr>
        <w:t xml:space="preserve">The NQT survey in 2017 reported that new teachers felt that EAL pupils were those that they felt the least prepared to work with </w:t>
      </w:r>
      <w:r w:rsidR="003B1458">
        <w:rPr>
          <w:rFonts w:eastAsia="Calibri"/>
        </w:rPr>
        <w:fldChar w:fldCharType="begin" w:fldLock="1"/>
      </w:r>
      <w:r w:rsidR="00DF66A9">
        <w:rPr>
          <w:rFonts w:eastAsia="Calibri"/>
        </w:rPr>
        <w:instrText>ADDIN CSL_CITATION {"citationItems":[{"id":"ITEM-1","itemData":{"author":[{"dropping-particle":"","family":"Department for Education","given":"","non-dropping-particle":"","parse-names":false,"suffix":""}],"id":"ITEM-1","issued":{"date-parts":[["2018"]]},"publisher-place":"London","title":"Newly qualified teachers: annual survey 2017","type":"report"},"uris":["http://www.mendeley.com/documents/?uuid=93812964-6e10-486f-992f-63251e71b013"]}],"mendeley":{"formattedCitation":"(Department for Education 2018)","plainTextFormattedCitation":"(Department for Education 2018)","previouslyFormattedCitation":"(Department for Education 2018)"},"properties":{"noteIndex":0},"schema":"https://github.com/citation-style-language/schema/raw/master/csl-citation.json"}</w:instrText>
      </w:r>
      <w:r w:rsidR="003B1458">
        <w:rPr>
          <w:rFonts w:eastAsia="Calibri"/>
        </w:rPr>
        <w:fldChar w:fldCharType="separate"/>
      </w:r>
      <w:r w:rsidR="003B1458" w:rsidRPr="003B1458">
        <w:rPr>
          <w:rFonts w:eastAsia="Calibri"/>
          <w:noProof/>
        </w:rPr>
        <w:t>(</w:t>
      </w:r>
      <w:r w:rsidR="008A1C45">
        <w:rPr>
          <w:rFonts w:eastAsia="Calibri"/>
          <w:noProof/>
        </w:rPr>
        <w:t>Ginnis, Pestell, Mason and Knibbs</w:t>
      </w:r>
      <w:r w:rsidR="003B1458" w:rsidRPr="003B1458">
        <w:rPr>
          <w:rFonts w:eastAsia="Calibri"/>
          <w:noProof/>
        </w:rPr>
        <w:t>2018)</w:t>
      </w:r>
      <w:r w:rsidR="003B1458">
        <w:rPr>
          <w:rFonts w:eastAsia="Calibri"/>
        </w:rPr>
        <w:fldChar w:fldCharType="end"/>
      </w:r>
      <w:r w:rsidR="003B1458">
        <w:rPr>
          <w:rFonts w:eastAsia="Calibri"/>
        </w:rPr>
        <w:t xml:space="preserve">. </w:t>
      </w:r>
      <w:r w:rsidR="00DF66A9">
        <w:rPr>
          <w:rFonts w:eastAsia="Calibri"/>
        </w:rPr>
        <w:t xml:space="preserve">However, whilst such surveys offer a very clear picture of the viewpoints of the newly qualified teacher, and other research has shown a similar picture of lack of confidence from experienced teachers </w:t>
      </w:r>
      <w:r w:rsidR="00DF66A9">
        <w:rPr>
          <w:rFonts w:eastAsia="Calibri"/>
        </w:rPr>
        <w:fldChar w:fldCharType="begin" w:fldLock="1"/>
      </w:r>
      <w:r w:rsidR="00450144">
        <w:rPr>
          <w:rFonts w:eastAsia="Calibri"/>
        </w:rPr>
        <w:instrText>ADDIN CSL_CITATION {"citationItems":[{"id":"ITEM-1","itemData":{"author":[{"dropping-particle":"","family":"Wardman","given":"Clare","non-dropping-particle":"","parse-names":false,"suffix":""}],"container-title":"British Council ELTRP Research Papers","id":"ITEM-1","issue":"04-12","issued":{"date-parts":[["2012"]]},"title":"Pulling the threads together: current theories and current practice affecting UK primary school children who have English as an Additional Language","type":"article-journal"},"uris":["http://www.mendeley.com/documents/?uuid=e26342c6-9310-492b-a2f7-f46634ea990d"]},{"id":"ITEM-2","itemData":{"DOI":"10.2167/le767.0","ISSN":"0950-0782","author":[{"dropping-particle":"","family":"Murakami","given":"Charlotte","non-dropping-particle":"","parse-names":false,"suffix":""}],"container-title":"Language and Education","id":"ITEM-2","issue":"4","issued":{"date-parts":[["2008","12"]]},"page":"265","title":"‘Everybody is Just Fumbling Along’: An Investigation of Views Regarding EAL Training and Support Provisions in a Rural Area","type":"article-journal","volume":"22"},"uris":["http://www.mendeley.com/documents/?uuid=c1a7ff51-8687-445c-b4b5-4d15d89650e6"]}],"mendeley":{"formattedCitation":"(Wardman 2012; Murakami 2008)","plainTextFormattedCitation":"(Wardman 2012; Murakami 2008)","previouslyFormattedCitation":"(Wardman 2012; Murakami 2008)"},"properties":{"noteIndex":0},"schema":"https://github.com/citation-style-language/schema/raw/master/csl-citation.json"}</w:instrText>
      </w:r>
      <w:r w:rsidR="00DF66A9">
        <w:rPr>
          <w:rFonts w:eastAsia="Calibri"/>
        </w:rPr>
        <w:fldChar w:fldCharType="separate"/>
      </w:r>
      <w:r w:rsidR="00DF66A9" w:rsidRPr="00DF66A9">
        <w:rPr>
          <w:rFonts w:eastAsia="Calibri"/>
          <w:noProof/>
        </w:rPr>
        <w:t>(</w:t>
      </w:r>
      <w:r w:rsidR="00653AB6">
        <w:rPr>
          <w:rFonts w:eastAsia="Calibri"/>
          <w:noProof/>
        </w:rPr>
        <w:t>Wardman</w:t>
      </w:r>
      <w:r w:rsidR="00DF66A9" w:rsidRPr="00DF66A9">
        <w:rPr>
          <w:rFonts w:eastAsia="Calibri"/>
          <w:noProof/>
        </w:rPr>
        <w:t xml:space="preserve"> 2012; Murakami 2008)</w:t>
      </w:r>
      <w:r w:rsidR="00DF66A9">
        <w:rPr>
          <w:rFonts w:eastAsia="Calibri"/>
        </w:rPr>
        <w:fldChar w:fldCharType="end"/>
      </w:r>
      <w:r w:rsidR="00DF66A9">
        <w:rPr>
          <w:rFonts w:eastAsia="Calibri"/>
        </w:rPr>
        <w:t>, the views of teacher educators responsible for the training of NQTs in the UK context have not been adequately considered to date. This paper contributes to addressing that gap</w:t>
      </w:r>
      <w:r w:rsidR="00331143">
        <w:rPr>
          <w:rFonts w:eastAsia="Calibri"/>
        </w:rPr>
        <w:t xml:space="preserve"> as </w:t>
      </w:r>
      <w:r w:rsidR="00F9634D">
        <w:rPr>
          <w:rFonts w:eastAsia="Calibri"/>
        </w:rPr>
        <w:t xml:space="preserve">it is important to </w:t>
      </w:r>
      <w:r w:rsidR="00331143">
        <w:rPr>
          <w:rFonts w:eastAsia="Calibri"/>
        </w:rPr>
        <w:t>seek the current perspectives of teacher educators before giving serious consideration to what changes could or should be made to the ITT/ ITE curriculum</w:t>
      </w:r>
      <w:r w:rsidR="00DF66A9">
        <w:rPr>
          <w:rFonts w:eastAsia="Calibri"/>
        </w:rPr>
        <w:t>.</w:t>
      </w:r>
    </w:p>
    <w:p w14:paraId="0E700CD4" w14:textId="1710FF99" w:rsidR="00450144" w:rsidRDefault="00450144" w:rsidP="00450144">
      <w:pPr>
        <w:pStyle w:val="Heading2"/>
        <w:rPr>
          <w:rFonts w:eastAsia="Calibri"/>
        </w:rPr>
      </w:pPr>
      <w:r>
        <w:rPr>
          <w:rFonts w:eastAsia="Calibri"/>
        </w:rPr>
        <w:t xml:space="preserve">Teacher </w:t>
      </w:r>
      <w:r w:rsidR="009C3DA6">
        <w:rPr>
          <w:rFonts w:eastAsia="Calibri"/>
        </w:rPr>
        <w:t>educators and their role</w:t>
      </w:r>
    </w:p>
    <w:p w14:paraId="1630C481" w14:textId="1DD290EA" w:rsidR="00450144" w:rsidRDefault="00450144" w:rsidP="00450144">
      <w:pPr>
        <w:pStyle w:val="Paragraph"/>
        <w:rPr>
          <w:rFonts w:eastAsia="Calibri"/>
        </w:rPr>
      </w:pPr>
      <w:r>
        <w:rPr>
          <w:rFonts w:eastAsia="Calibri"/>
        </w:rPr>
        <w:t xml:space="preserve">As </w:t>
      </w:r>
      <w:r>
        <w:rPr>
          <w:rFonts w:eastAsia="Calibri"/>
        </w:rPr>
        <w:fldChar w:fldCharType="begin" w:fldLock="1"/>
      </w:r>
      <w:r>
        <w:rPr>
          <w:rFonts w:eastAsia="Calibri"/>
        </w:rPr>
        <w:instrText>ADDIN CSL_CITATION {"citationItems":[{"id":"ITEM-1","itemData":{"DOI":"10.1177/0022487114535266","ISSN":"0022-4871","abstract":"Commonsense reasoning says that quality teacher education relies on quality teacher educators. Yet, there is minimal attention to what teacher educators should know and be able to do. Unquestionably, teacher educators cannot teach what they do not know; but what should they know, and should they be prepared? This study of 293 teacher educators investigated the following: What do current teacher educators consider to be the foundation elements of their practice? How do they evaluate their own preparation in these areas? How can their experiences inform the preparation of teacher educators? We use Cochran-Smith and Lytle?s theorizing about ?relationships of knowledge and practice? to understand knowledge essential to teacher educating (a term we use to differentiate teaching teachers from teaching students). Our findings reveal that practicing teacher educators often feel unprepared to assume their role but can offer helpful insight into how we should think deliberately about quality teacher educator preparation.","author":[{"dropping-particle":"","family":"Goodwin","given":"A Lin","non-dropping-particle":"","parse-names":false,"suffix":""},{"dropping-particle":"","family":"Smith","given":"Laura","non-dropping-particle":"","parse-names":false,"suffix":""},{"dropping-particle":"","family":"Souto-Manning","given":"Mariana","non-dropping-particle":"","parse-names":false,"suffix":""},{"dropping-particle":"","family":"Cheruvu","given":"Ranita","non-dropping-particle":"","parse-names":false,"suffix":""},{"dropping-particle":"","family":"Tan","given":"Mei Ying","non-dropping-particle":"","parse-names":false,"suffix":""},{"dropping-particle":"","family":"Reed","given":"Rebecca","non-dropping-particle":"","parse-names":false,"suffix":""},{"dropping-particle":"","family":"Taveras","given":"Lauren","non-dropping-particle":"","parse-names":false,"suffix":""}],"container-title":"Journal of Teacher Education","id":"ITEM-1","issue":"4","issued":{"date-parts":[["2014","5","21"]]},"note":"doi: 10.1177/0022487114535266","page":"284-302","publisher":"SAGE Publications Inc","title":"What Should Teacher Educators Know and Be Able to Do? Perspectives From Practicing Teacher Educators","type":"article-journal","volume":"65"},"uris":["http://www.mendeley.com/documents/?uuid=d1503029-88a9-46ff-9533-52e82bee6ae9"]}],"mendeley":{"formattedCitation":"(Goodwin et al. 2014)","manualFormatting":"Goodwin et al. (2014)","plainTextFormattedCitation":"(Goodwin et al. 2014)","previouslyFormattedCitation":"(Goodwin et al. 2014)"},"properties":{"noteIndex":0},"schema":"https://github.com/citation-style-language/schema/raw/master/csl-citation.json"}</w:instrText>
      </w:r>
      <w:r>
        <w:rPr>
          <w:rFonts w:eastAsia="Calibri"/>
        </w:rPr>
        <w:fldChar w:fldCharType="separate"/>
      </w:r>
      <w:r w:rsidRPr="00450144">
        <w:rPr>
          <w:rFonts w:eastAsia="Calibri"/>
          <w:noProof/>
        </w:rPr>
        <w:t xml:space="preserve">Goodwin et al. </w:t>
      </w:r>
      <w:r>
        <w:rPr>
          <w:rFonts w:eastAsia="Calibri"/>
          <w:noProof/>
        </w:rPr>
        <w:t>(</w:t>
      </w:r>
      <w:r w:rsidRPr="00450144">
        <w:rPr>
          <w:rFonts w:eastAsia="Calibri"/>
          <w:noProof/>
        </w:rPr>
        <w:t>2014)</w:t>
      </w:r>
      <w:r>
        <w:rPr>
          <w:rFonts w:eastAsia="Calibri"/>
        </w:rPr>
        <w:fldChar w:fldCharType="end"/>
      </w:r>
      <w:r>
        <w:rPr>
          <w:rFonts w:eastAsia="Calibri"/>
        </w:rPr>
        <w:t xml:space="preserve"> point out, quality teacher education relies on quality teacher educators and they observed that teacher educators reported that they often feel unprepared for their role. </w:t>
      </w:r>
      <w:r>
        <w:rPr>
          <w:rFonts w:eastAsia="Calibri"/>
        </w:rPr>
        <w:fldChar w:fldCharType="begin" w:fldLock="1"/>
      </w:r>
      <w:r w:rsidR="009E4F12">
        <w:rPr>
          <w:rFonts w:eastAsia="Calibri"/>
        </w:rPr>
        <w:instrText>ADDIN CSL_CITATION {"citationItems":[{"id":"ITEM-1","itemData":{"DOI":"10.1080/02607476.2017.1422590","ISSN":"13600540","abstract":"© 2017, © 201 8 Informa UK Limited, trading as Taylor  &amp;  Francis Group. Against a rapidly changing policy landscape for teacher education, exacerbated by ‘Brexit’ in the UK, findings are presented from an electronic survey of 272 higher-education based teacher educators in England, the Republic of Ireland and Scotland about their experiences of, and priorities for, professional learning. While the data generated were mainly quantitative data, qualitative features were embedded within the survey design. Both types of data have been used to draw out complexities that emerge when exploring a professional group of educators responsible for the preparation of a future generation of teachers. The findings are presented and discussed in relation to the professional demographics of the sample, research expectations placed on them and teacher educators’ priorities for professional learning. Given the unique occupational position of teacher educators, their importance in the quality of teacher education and the lack of formal focus on their professional development, our starting point for teacher educators’ professional development lies in their practice situated and positioned within global, regional, national and local policy contexts.","author":[{"dropping-particle":"","family":"Czerniawski","given":"Gerry","non-dropping-particle":"","parse-names":false,"suffix":""},{"dropping-particle":"","family":"Gray","given":"Donald","non-dropping-particle":"","parse-names":false,"suffix":""},{"dropping-particle":"","family":"MacPhail","given":"Ann","non-dropping-particle":"","parse-names":false,"suffix":""},{"dropping-particle":"","family":"Bain","given":"Yvonne","non-dropping-particle":"","parse-names":false,"suffix":""},{"dropping-particle":"","family":"Conway","given":"Paul","non-dropping-particle":"","parse-names":false,"suffix":""},{"dropping-particle":"","family":"Guberman","given":"Ainat","non-dropping-particle":"","parse-names":false,"suffix":""}],"container-title":"Journal of Education for Teaching","id":"ITEM-1","issue":"2","issued":{"date-parts":[["2018"]]},"page":"133-148","publisher":"Routledge","title":"The professional learning needs and priorities of higher-education-based teacher educators in England, Ireland and Scotland","type":"article-journal","volume":"44"},"uris":["http://www.mendeley.com/documents/?uuid=bf11793f-5d40-4630-be8a-e40c47c3d87b"]}],"mendeley":{"formattedCitation":"(Czerniawski et al. 2018)","manualFormatting":"Czerniawski et al. (2018)","plainTextFormattedCitation":"(Czerniawski et al. 2018)","previouslyFormattedCitation":"(Czerniawski et al. 2018)"},"properties":{"noteIndex":0},"schema":"https://github.com/citation-style-language/schema/raw/master/csl-citation.json"}</w:instrText>
      </w:r>
      <w:r>
        <w:rPr>
          <w:rFonts w:eastAsia="Calibri"/>
        </w:rPr>
        <w:fldChar w:fldCharType="separate"/>
      </w:r>
      <w:r w:rsidRPr="00450144">
        <w:rPr>
          <w:rFonts w:eastAsia="Calibri"/>
          <w:noProof/>
        </w:rPr>
        <w:t xml:space="preserve">Czerniawski et al. </w:t>
      </w:r>
      <w:r>
        <w:rPr>
          <w:rFonts w:eastAsia="Calibri"/>
          <w:noProof/>
        </w:rPr>
        <w:t>(</w:t>
      </w:r>
      <w:r w:rsidRPr="00450144">
        <w:rPr>
          <w:rFonts w:eastAsia="Calibri"/>
          <w:noProof/>
        </w:rPr>
        <w:t>2018)</w:t>
      </w:r>
      <w:r>
        <w:rPr>
          <w:rFonts w:eastAsia="Calibri"/>
        </w:rPr>
        <w:fldChar w:fldCharType="end"/>
      </w:r>
      <w:r>
        <w:rPr>
          <w:rFonts w:eastAsia="Calibri"/>
        </w:rPr>
        <w:t xml:space="preserve"> report on a study that considered the nature of the teacher educator role in the UK context and discovered a </w:t>
      </w:r>
      <w:r w:rsidR="009C3DA6">
        <w:rPr>
          <w:rFonts w:eastAsia="Calibri"/>
        </w:rPr>
        <w:t xml:space="preserve">complicated mixture of priorities and pressures at play in their work. </w:t>
      </w:r>
      <w:r w:rsidR="00B82E07">
        <w:rPr>
          <w:rFonts w:eastAsia="Calibri"/>
        </w:rPr>
        <w:t xml:space="preserve">They define a teacher educator </w:t>
      </w:r>
      <w:r w:rsidR="009E4F12">
        <w:rPr>
          <w:rFonts w:eastAsia="Calibri"/>
        </w:rPr>
        <w:t xml:space="preserve">as someone who is professionally engaged in the initial and ongoing education of teachers. In common with them, we are focused in this article on those teacher educators who are employed by a </w:t>
      </w:r>
      <w:r w:rsidR="00510502">
        <w:rPr>
          <w:rFonts w:eastAsia="Calibri"/>
        </w:rPr>
        <w:t>U</w:t>
      </w:r>
      <w:r w:rsidR="009E4F12">
        <w:rPr>
          <w:rFonts w:eastAsia="Calibri"/>
        </w:rPr>
        <w:t xml:space="preserve">niversity. </w:t>
      </w:r>
      <w:r w:rsidR="009E4F12">
        <w:rPr>
          <w:rFonts w:eastAsia="Calibri"/>
        </w:rPr>
        <w:fldChar w:fldCharType="begin" w:fldLock="1"/>
      </w:r>
      <w:r w:rsidR="009E4F12">
        <w:rPr>
          <w:rFonts w:eastAsia="Calibri"/>
        </w:rPr>
        <w:instrText>ADDIN CSL_CITATION {"citationItems":[{"id":"ITEM-1","itemData":{"DOI":"10.1080/02607476.2017.1422590","ISSN":"13600540","abstract":"© 2017, © 201 8 Informa UK Limited, trading as Taylor  &amp;  Francis Group. Against a rapidly changing policy landscape for teacher education, exacerbated by ‘Brexit’ in the UK, findings are presented from an electronic survey of 272 higher-education based teacher educators in England, the Republic of Ireland and Scotland about their experiences of, and priorities for, professional learning. While the data generated were mainly quantitative data, qualitative features were embedded within the survey design. Both types of data have been used to draw out complexities that emerge when exploring a professional group of educators responsible for the preparation of a future generation of teachers. The findings are presented and discussed in relation to the professional demographics of the sample, research expectations placed on them and teacher educators’ priorities for professional learning. Given the unique occupational position of teacher educators, their importance in the quality of teacher education and the lack of formal focus on their professional development, our starting point for teacher educators’ professional development lies in their practice situated and positioned within global, regional, national and local policy contexts.","author":[{"dropping-particle":"","family":"Czerniawski","given":"Gerry","non-dropping-particle":"","parse-names":false,"suffix":""},{"dropping-particle":"","family":"Gray","given":"Donald","non-dropping-particle":"","parse-names":false,"suffix":""},{"dropping-particle":"","family":"MacPhail","given":"Ann","non-dropping-particle":"","parse-names":false,"suffix":""},{"dropping-particle":"","family":"Bain","given":"Yvonne","non-dropping-particle":"","parse-names":false,"suffix":""},{"dropping-particle":"","family":"Conway","given":"Paul","non-dropping-particle":"","parse-names":false,"suffix":""},{"dropping-particle":"","family":"Guberman","given":"Ainat","non-dropping-particle":"","parse-names":false,"suffix":""}],"container-title":"Journal of Education for Teaching","id":"ITEM-1","issue":"2","issued":{"date-parts":[["2018"]]},"page":"133-148","publisher":"Routledge","title":"The professional learning needs and priorities of higher-education-based teacher educators in England, Ireland and Scotland","type":"article-journal","volume":"44"},"uris":["http://www.mendeley.com/documents/?uuid=bf11793f-5d40-4630-be8a-e40c47c3d87b"]}],"mendeley":{"formattedCitation":"(Czerniawski et al. 2018)","manualFormatting":"Czerniawski et al. (2018)","plainTextFormattedCitation":"(Czerniawski et al. 2018)","previouslyFormattedCitation":"(Czerniawski et al. 2018)"},"properties":{"noteIndex":0},"schema":"https://github.com/citation-style-language/schema/raw/master/csl-citation.json"}</w:instrText>
      </w:r>
      <w:r w:rsidR="009E4F12">
        <w:rPr>
          <w:rFonts w:eastAsia="Calibri"/>
        </w:rPr>
        <w:fldChar w:fldCharType="separate"/>
      </w:r>
      <w:r w:rsidR="009E4F12" w:rsidRPr="009E4F12">
        <w:rPr>
          <w:rFonts w:eastAsia="Calibri"/>
          <w:noProof/>
        </w:rPr>
        <w:t xml:space="preserve">Czerniawski et al. </w:t>
      </w:r>
      <w:r w:rsidR="009E4F12">
        <w:rPr>
          <w:rFonts w:eastAsia="Calibri"/>
          <w:noProof/>
        </w:rPr>
        <w:t>(</w:t>
      </w:r>
      <w:r w:rsidR="009E4F12" w:rsidRPr="009E4F12">
        <w:rPr>
          <w:rFonts w:eastAsia="Calibri"/>
          <w:noProof/>
        </w:rPr>
        <w:t>2018)</w:t>
      </w:r>
      <w:r w:rsidR="009E4F12">
        <w:rPr>
          <w:rFonts w:eastAsia="Calibri"/>
        </w:rPr>
        <w:fldChar w:fldCharType="end"/>
      </w:r>
      <w:r w:rsidR="009E4F12">
        <w:rPr>
          <w:rFonts w:eastAsia="Calibri"/>
        </w:rPr>
        <w:t xml:space="preserve"> discuss the significant changes happening within the teacher education context in the UK, and especially in England, including the changing demographic of new teachers, due to the instigation of teacher training options like Schools Direct. Again, for the purposes of this article, our focus is not on these types of teacher training, but rather the more traditional higher education teacher educators.</w:t>
      </w:r>
    </w:p>
    <w:p w14:paraId="612F2349" w14:textId="01463ECF" w:rsidR="009E4F12" w:rsidRPr="009E4F12" w:rsidRDefault="009E4F12" w:rsidP="009E4F12">
      <w:pPr>
        <w:pStyle w:val="Newparagraph"/>
        <w:rPr>
          <w:rFonts w:eastAsia="Calibri"/>
        </w:rPr>
      </w:pPr>
      <w:r>
        <w:rPr>
          <w:rFonts w:eastAsia="Calibri"/>
        </w:rPr>
        <w:fldChar w:fldCharType="begin" w:fldLock="1"/>
      </w:r>
      <w:r w:rsidR="00FA7087">
        <w:rPr>
          <w:rFonts w:eastAsia="Calibri"/>
        </w:rPr>
        <w:instrText>ADDIN CSL_CITATION {"citationItems":[{"id":"ITEM-1","itemData":{"DOI":"10.1177/0022487114535266","ISSN":"0022-4871","abstract":"Commonsense reasoning says that quality teacher education relies on quality teacher educators. Yet, there is minimal attention to what teacher educators should know and be able to do. Unquestionably, teacher educators cannot teach what they do not know; but what should they know, and should they be prepared? This study of 293 teacher educators investigated the following: What do current teacher educators consider to be the foundation elements of their practice? How do they evaluate their own preparation in these areas? How can their experiences inform the preparation of teacher educators? We use Cochran-Smith and Lytle?s theorizing about ?relationships of knowledge and practice? to understand knowledge essential to teacher educating (a term we use to differentiate teaching teachers from teaching students). Our findings reveal that practicing teacher educators often feel unprepared to assume their role but can offer helpful insight into how we should think deliberately about quality teacher educator preparation.","author":[{"dropping-particle":"","family":"Goodwin","given":"A Lin","non-dropping-particle":"","parse-names":false,"suffix":""},{"dropping-particle":"","family":"Smith","given":"Laura","non-dropping-particle":"","parse-names":false,"suffix":""},{"dropping-particle":"","family":"Souto-Manning","given":"Mariana","non-dropping-particle":"","parse-names":false,"suffix":""},{"dropping-particle":"","family":"Cheruvu","given":"Ranita","non-dropping-particle":"","parse-names":false,"suffix":""},{"dropping-particle":"","family":"Tan","given":"Mei Ying","non-dropping-particle":"","parse-names":false,"suffix":""},{"dropping-particle":"","family":"Reed","given":"Rebecca","non-dropping-particle":"","parse-names":false,"suffix":""},{"dropping-particle":"","family":"Taveras","given":"Lauren","non-dropping-particle":"","parse-names":false,"suffix":""}],"container-title":"Journal of Teacher Education","id":"ITEM-1","issue":"4","issued":{"date-parts":[["2014","5","21"]]},"note":"doi: 10.1177/0022487114535266","page":"284-302","publisher":"SAGE Publications Inc","title":"What Should Teacher Educators Know and Be Able to Do? Perspectives From Practicing Teacher Educators","type":"article-journal","volume":"65"},"uris":["http://www.mendeley.com/documents/?uuid=d1503029-88a9-46ff-9533-52e82bee6ae9"]}],"mendeley":{"formattedCitation":"(Goodwin et al. 2014)","manualFormatting":"Goodwin et al. (2014)","plainTextFormattedCitation":"(Goodwin et al. 2014)","previouslyFormattedCitation":"(Goodwin et al. 2014)"},"properties":{"noteIndex":0},"schema":"https://github.com/citation-style-language/schema/raw/master/csl-citation.json"}</w:instrText>
      </w:r>
      <w:r>
        <w:rPr>
          <w:rFonts w:eastAsia="Calibri"/>
        </w:rPr>
        <w:fldChar w:fldCharType="separate"/>
      </w:r>
      <w:r w:rsidRPr="009E4F12">
        <w:rPr>
          <w:rFonts w:eastAsia="Calibri"/>
          <w:noProof/>
        </w:rPr>
        <w:t xml:space="preserve">Goodwin et al. </w:t>
      </w:r>
      <w:r>
        <w:rPr>
          <w:rFonts w:eastAsia="Calibri"/>
          <w:noProof/>
        </w:rPr>
        <w:t>(</w:t>
      </w:r>
      <w:r w:rsidRPr="009E4F12">
        <w:rPr>
          <w:rFonts w:eastAsia="Calibri"/>
          <w:noProof/>
        </w:rPr>
        <w:t>2014)</w:t>
      </w:r>
      <w:r>
        <w:rPr>
          <w:rFonts w:eastAsia="Calibri"/>
        </w:rPr>
        <w:fldChar w:fldCharType="end"/>
      </w:r>
      <w:r>
        <w:rPr>
          <w:rFonts w:eastAsia="Calibri"/>
        </w:rPr>
        <w:t xml:space="preserve"> reflect on the very limited </w:t>
      </w:r>
      <w:r w:rsidR="006877E0">
        <w:rPr>
          <w:rFonts w:eastAsia="Calibri"/>
        </w:rPr>
        <w:t>research</w:t>
      </w:r>
      <w:r>
        <w:rPr>
          <w:rFonts w:eastAsia="Calibri"/>
        </w:rPr>
        <w:t xml:space="preserve"> </w:t>
      </w:r>
      <w:r w:rsidR="006877E0">
        <w:rPr>
          <w:rFonts w:eastAsia="Calibri"/>
        </w:rPr>
        <w:t xml:space="preserve">in existence </w:t>
      </w:r>
      <w:r>
        <w:rPr>
          <w:rFonts w:eastAsia="Calibri"/>
        </w:rPr>
        <w:t>on the r</w:t>
      </w:r>
      <w:r w:rsidR="00B0279A">
        <w:rPr>
          <w:rFonts w:eastAsia="Calibri"/>
        </w:rPr>
        <w:t>ole of the teacher educator and</w:t>
      </w:r>
      <w:r w:rsidR="006877E0">
        <w:rPr>
          <w:rFonts w:eastAsia="Calibri"/>
        </w:rPr>
        <w:t xml:space="preserve"> </w:t>
      </w:r>
      <w:r w:rsidR="006877E0">
        <w:rPr>
          <w:rFonts w:eastAsia="Calibri"/>
        </w:rPr>
        <w:fldChar w:fldCharType="begin" w:fldLock="1"/>
      </w:r>
      <w:r w:rsidR="006877E0">
        <w:rPr>
          <w:rFonts w:eastAsia="Calibri"/>
        </w:rPr>
        <w:instrText>ADDIN CSL_CITATION {"citationItems":[{"id":"ITEM-1","itemData":{"DOI":"10.1080/02607476.2017.1422590","ISSN":"13600540","abstract":"© 2017, © 201 8 Informa UK Limited, trading as Taylor  &amp;  Francis Group. Against a rapidly changing policy landscape for teacher education, exacerbated by ‘Brexit’ in the UK, findings are presented from an electronic survey of 272 higher-education based teacher educators in England, the Republic of Ireland and Scotland about their experiences of, and priorities for, professional learning. While the data generated were mainly quantitative data, qualitative features were embedded within the survey design. Both types of data have been used to draw out complexities that emerge when exploring a professional group of educators responsible for the preparation of a future generation of teachers. The findings are presented and discussed in relation to the professional demographics of the sample, research expectations placed on them and teacher educators’ priorities for professional learning. Given the unique occupational position of teacher educators, their importance in the quality of teacher education and the lack of formal focus on their professional development, our starting point for teacher educators’ professional development lies in their practice situated and positioned within global, regional, national and local policy contexts.","author":[{"dropping-particle":"","family":"Czerniawski","given":"Gerry","non-dropping-particle":"","parse-names":false,"suffix":""},{"dropping-particle":"","family":"Gray","given":"Donald","non-dropping-particle":"","parse-names":false,"suffix":""},{"dropping-particle":"","family":"MacPhail","given":"Ann","non-dropping-particle":"","parse-names":false,"suffix":""},{"dropping-particle":"","family":"Bain","given":"Yvonne","non-dropping-particle":"","parse-names":false,"suffix":""},{"dropping-particle":"","family":"Conway","given":"Paul","non-dropping-particle":"","parse-names":false,"suffix":""},{"dropping-particle":"","family":"Guberman","given":"Ainat","non-dropping-particle":"","parse-names":false,"suffix":""}],"container-title":"Journal of Education for Teaching","id":"ITEM-1","issue":"2","issued":{"date-parts":[["2018"]]},"page":"133-148","publisher":"Routledge","title":"The professional learning needs and priorities of higher-education-based teacher educators in England, Ireland and Scotland","type":"article-journal","volume":"44"},"uris":["http://www.mendeley.com/documents/?uuid=bf11793f-5d40-4630-be8a-e40c47c3d87b"]}],"mendeley":{"formattedCitation":"(Czerniawski et al. 2018)","manualFormatting":"Czerniawski et al. (2018)","plainTextFormattedCitation":"(Czerniawski et al. 2018)","previouslyFormattedCitation":"(Czerniawski et al. 2018)"},"properties":{"noteIndex":0},"schema":"https://github.com/citation-style-language/schema/raw/master/csl-citation.json"}</w:instrText>
      </w:r>
      <w:r w:rsidR="006877E0">
        <w:rPr>
          <w:rFonts w:eastAsia="Calibri"/>
        </w:rPr>
        <w:fldChar w:fldCharType="separate"/>
      </w:r>
      <w:r w:rsidR="006877E0" w:rsidRPr="009E4F12">
        <w:rPr>
          <w:rFonts w:eastAsia="Calibri"/>
          <w:noProof/>
        </w:rPr>
        <w:t xml:space="preserve">Czerniawski et al. </w:t>
      </w:r>
      <w:r w:rsidR="006877E0">
        <w:rPr>
          <w:rFonts w:eastAsia="Calibri"/>
          <w:noProof/>
        </w:rPr>
        <w:t>(</w:t>
      </w:r>
      <w:r w:rsidR="006877E0" w:rsidRPr="009E4F12">
        <w:rPr>
          <w:rFonts w:eastAsia="Calibri"/>
          <w:noProof/>
        </w:rPr>
        <w:t>2018)</w:t>
      </w:r>
      <w:r w:rsidR="006877E0">
        <w:rPr>
          <w:rFonts w:eastAsia="Calibri"/>
        </w:rPr>
        <w:fldChar w:fldCharType="end"/>
      </w:r>
      <w:r w:rsidR="006877E0">
        <w:rPr>
          <w:rFonts w:eastAsia="Calibri"/>
        </w:rPr>
        <w:t xml:space="preserve"> discuss the lack of explicit training for many as they transition into this role from mainstream classroom teaching in the UK, which means that there is a tendency to bring the training practices that they themselves </w:t>
      </w:r>
      <w:r w:rsidR="0003197B">
        <w:rPr>
          <w:rFonts w:eastAsia="Calibri"/>
        </w:rPr>
        <w:t>experienced</w:t>
      </w:r>
      <w:r w:rsidR="006877E0">
        <w:rPr>
          <w:rFonts w:eastAsia="Calibri"/>
        </w:rPr>
        <w:t xml:space="preserve"> with them into this role</w:t>
      </w:r>
      <w:r w:rsidR="00750361">
        <w:rPr>
          <w:rFonts w:eastAsia="Calibri"/>
        </w:rPr>
        <w:t xml:space="preserve"> (</w:t>
      </w:r>
      <w:proofErr w:type="spellStart"/>
      <w:r w:rsidR="00750361">
        <w:rPr>
          <w:rFonts w:eastAsia="Calibri"/>
        </w:rPr>
        <w:t>Lortie</w:t>
      </w:r>
      <w:proofErr w:type="spellEnd"/>
      <w:r w:rsidR="00750361">
        <w:rPr>
          <w:rFonts w:eastAsia="Calibri"/>
        </w:rPr>
        <w:t xml:space="preserve"> 1975)</w:t>
      </w:r>
      <w:r w:rsidR="006877E0">
        <w:rPr>
          <w:rFonts w:eastAsia="Calibri"/>
        </w:rPr>
        <w:t>. This</w:t>
      </w:r>
      <w:r w:rsidR="0003197B">
        <w:rPr>
          <w:rFonts w:eastAsia="Calibri"/>
        </w:rPr>
        <w:t xml:space="preserve"> is</w:t>
      </w:r>
      <w:r w:rsidR="006877E0">
        <w:rPr>
          <w:rFonts w:eastAsia="Calibri"/>
        </w:rPr>
        <w:t xml:space="preserve">, </w:t>
      </w:r>
      <w:r w:rsidR="0003197B">
        <w:rPr>
          <w:rFonts w:eastAsia="Calibri"/>
        </w:rPr>
        <w:t>in addition to</w:t>
      </w:r>
      <w:r w:rsidR="006877E0">
        <w:rPr>
          <w:rFonts w:eastAsia="Calibri"/>
        </w:rPr>
        <w:t xml:space="preserve"> the pressures of working in a higher education context with the requirements for undertaking doctoral work and producing research alongside focusing on educating the next generation of teachers, a</w:t>
      </w:r>
      <w:r w:rsidR="0003197B">
        <w:rPr>
          <w:rFonts w:eastAsia="Calibri"/>
        </w:rPr>
        <w:t>n</w:t>
      </w:r>
      <w:r w:rsidR="006877E0">
        <w:rPr>
          <w:rFonts w:eastAsia="Calibri"/>
        </w:rPr>
        <w:t xml:space="preserve"> important factor to consider in understanding teacher educators’ professional contexts.</w:t>
      </w:r>
      <w:r w:rsidR="00B23204">
        <w:rPr>
          <w:rFonts w:eastAsia="Calibri"/>
        </w:rPr>
        <w:t xml:space="preserve"> As such our research endeavours to add to the currently limited research on the role of the teacher educator in </w:t>
      </w:r>
      <w:r w:rsidR="00E04ACB">
        <w:rPr>
          <w:rFonts w:eastAsia="Calibri"/>
        </w:rPr>
        <w:t>i</w:t>
      </w:r>
      <w:r w:rsidR="00B23204">
        <w:rPr>
          <w:rFonts w:eastAsia="Calibri"/>
        </w:rPr>
        <w:t xml:space="preserve">nitial teacher training to </w:t>
      </w:r>
      <w:r w:rsidR="0003197B">
        <w:rPr>
          <w:rFonts w:eastAsia="Calibri"/>
        </w:rPr>
        <w:t>explore</w:t>
      </w:r>
      <w:r w:rsidR="00B23204">
        <w:rPr>
          <w:rFonts w:eastAsia="Calibri"/>
        </w:rPr>
        <w:t xml:space="preserve"> the links between the teacher educators’ perspectives and that of student teachers, and NQTs based on prior research (Murakami 2008</w:t>
      </w:r>
      <w:r w:rsidR="00AE1E1E">
        <w:rPr>
          <w:rFonts w:eastAsia="Calibri"/>
        </w:rPr>
        <w:t>; Starbuck 2018</w:t>
      </w:r>
      <w:r w:rsidR="00B23204">
        <w:rPr>
          <w:rFonts w:eastAsia="Calibri"/>
        </w:rPr>
        <w:t xml:space="preserve">). </w:t>
      </w:r>
    </w:p>
    <w:p w14:paraId="6C14847E" w14:textId="4F7B6F31" w:rsidR="000C5ED3" w:rsidRPr="000C5ED3" w:rsidRDefault="000C5ED3" w:rsidP="000C5ED3">
      <w:pPr>
        <w:pStyle w:val="Heading2"/>
        <w:rPr>
          <w:rFonts w:eastAsia="Calibri"/>
        </w:rPr>
      </w:pPr>
      <w:r>
        <w:rPr>
          <w:rFonts w:eastAsia="Calibri"/>
        </w:rPr>
        <w:t>Teacher Education</w:t>
      </w:r>
      <w:r w:rsidR="006877E0">
        <w:rPr>
          <w:rFonts w:eastAsia="Calibri"/>
        </w:rPr>
        <w:t xml:space="preserve"> and </w:t>
      </w:r>
      <w:r w:rsidR="00CB3412">
        <w:rPr>
          <w:rFonts w:eastAsia="Calibri"/>
        </w:rPr>
        <w:t>linguistic diversity</w:t>
      </w:r>
    </w:p>
    <w:p w14:paraId="0C94F773" w14:textId="57651F07" w:rsidR="00605776" w:rsidRPr="00605776" w:rsidRDefault="006877E0" w:rsidP="000C5ED3">
      <w:pPr>
        <w:pStyle w:val="Newparagraph"/>
        <w:ind w:firstLine="0"/>
        <w:rPr>
          <w:rFonts w:eastAsia="Calibri"/>
        </w:rPr>
      </w:pPr>
      <w:r>
        <w:rPr>
          <w:rFonts w:eastAsia="Calibri"/>
        </w:rPr>
        <w:t xml:space="preserve">There are </w:t>
      </w:r>
      <w:r w:rsidR="00FE6B32">
        <w:rPr>
          <w:rFonts w:eastAsia="Calibri"/>
        </w:rPr>
        <w:t>very few</w:t>
      </w:r>
      <w:r>
        <w:rPr>
          <w:rFonts w:eastAsia="Calibri"/>
        </w:rPr>
        <w:t xml:space="preserve"> studies of teacher education with regards to capacity building in dealing with linguistic diversity in the UK</w:t>
      </w:r>
      <w:r w:rsidR="00B82E07">
        <w:rPr>
          <w:rFonts w:eastAsia="Calibri"/>
        </w:rPr>
        <w:t xml:space="preserve"> (Foley, Sangster and</w:t>
      </w:r>
      <w:r w:rsidR="00C459D9">
        <w:rPr>
          <w:rFonts w:eastAsia="Calibri"/>
        </w:rPr>
        <w:t xml:space="preserve"> Anderson 2013). </w:t>
      </w:r>
      <w:r w:rsidR="00E36B62" w:rsidRPr="00CF01F5">
        <w:rPr>
          <w:rFonts w:eastAsia="Calibri"/>
        </w:rPr>
        <w:t xml:space="preserve">EAL students are officially defined as pupils who are known to or believed to </w:t>
      </w:r>
      <w:r w:rsidR="00FE6B32">
        <w:rPr>
          <w:rFonts w:eastAsia="Calibri"/>
        </w:rPr>
        <w:t xml:space="preserve">speak a language </w:t>
      </w:r>
      <w:r w:rsidR="00E36B62" w:rsidRPr="00CF01F5">
        <w:rPr>
          <w:rFonts w:eastAsia="Calibri"/>
        </w:rPr>
        <w:t xml:space="preserve">which is not English </w:t>
      </w:r>
      <w:r w:rsidR="00FE6B32">
        <w:rPr>
          <w:rFonts w:eastAsia="Calibri"/>
        </w:rPr>
        <w:t xml:space="preserve">in the home </w:t>
      </w:r>
      <w:r w:rsidR="00E36B62" w:rsidRPr="00CF01F5">
        <w:rPr>
          <w:rFonts w:eastAsia="Calibri"/>
        </w:rPr>
        <w:t>(Arnot et al. 2014)</w:t>
      </w:r>
      <w:r w:rsidR="006C68ED">
        <w:rPr>
          <w:rFonts w:eastAsia="Calibri"/>
        </w:rPr>
        <w:t>.</w:t>
      </w:r>
      <w:r w:rsidR="00E36B62" w:rsidRPr="00CF01F5">
        <w:rPr>
          <w:rFonts w:eastAsia="Calibri"/>
        </w:rPr>
        <w:t xml:space="preserve"> </w:t>
      </w:r>
      <w:r w:rsidR="006C68ED">
        <w:rPr>
          <w:rFonts w:eastAsia="Calibri"/>
        </w:rPr>
        <w:t>A</w:t>
      </w:r>
      <w:r w:rsidR="00E36B62">
        <w:rPr>
          <w:rFonts w:eastAsia="Calibri"/>
        </w:rPr>
        <w:t>longside a wider debate on the value of the labels used in the field of English language teaching (</w:t>
      </w:r>
      <w:r w:rsidR="00653AB6">
        <w:rPr>
          <w:rFonts w:eastAsia="Calibri"/>
        </w:rPr>
        <w:t>Cunningham</w:t>
      </w:r>
      <w:r w:rsidR="00E36B62">
        <w:rPr>
          <w:rFonts w:eastAsia="Calibri"/>
        </w:rPr>
        <w:t xml:space="preserve"> 2018), there is also discussion around the </w:t>
      </w:r>
      <w:r w:rsidR="00E36B62" w:rsidRPr="00CF01F5">
        <w:rPr>
          <w:rFonts w:eastAsia="Calibri"/>
        </w:rPr>
        <w:t xml:space="preserve">need to be critically aware of the term </w:t>
      </w:r>
      <w:r w:rsidR="00E36B62">
        <w:rPr>
          <w:rFonts w:eastAsia="Calibri"/>
        </w:rPr>
        <w:t>‘</w:t>
      </w:r>
      <w:r w:rsidR="00E36B62" w:rsidRPr="00CF01F5">
        <w:rPr>
          <w:rFonts w:eastAsia="Calibri"/>
        </w:rPr>
        <w:t>EAL</w:t>
      </w:r>
      <w:r w:rsidR="00E36B62">
        <w:rPr>
          <w:rFonts w:eastAsia="Calibri"/>
        </w:rPr>
        <w:t>’</w:t>
      </w:r>
      <w:r w:rsidR="00E36B62" w:rsidRPr="00CF01F5">
        <w:rPr>
          <w:rFonts w:eastAsia="Calibri"/>
        </w:rPr>
        <w:t xml:space="preserve"> because it encompasses a broad range of learners who come from various linguistic, ethnic and educational backgrounds, resulting in varied levels of English</w:t>
      </w:r>
      <w:r w:rsidR="00E36B62">
        <w:rPr>
          <w:rFonts w:eastAsia="Calibri"/>
        </w:rPr>
        <w:t xml:space="preserve"> (</w:t>
      </w:r>
      <w:proofErr w:type="spellStart"/>
      <w:r w:rsidR="00E36B62">
        <w:rPr>
          <w:rFonts w:eastAsia="Calibri"/>
        </w:rPr>
        <w:t>Demie</w:t>
      </w:r>
      <w:proofErr w:type="spellEnd"/>
      <w:r w:rsidR="00E36B62">
        <w:rPr>
          <w:rFonts w:eastAsia="Calibri"/>
        </w:rPr>
        <w:t xml:space="preserve"> 2018)</w:t>
      </w:r>
      <w:r w:rsidR="00E36B62" w:rsidRPr="00CF01F5">
        <w:rPr>
          <w:rFonts w:eastAsia="Calibri"/>
        </w:rPr>
        <w:t xml:space="preserve">. </w:t>
      </w:r>
      <w:r w:rsidR="006C68ED">
        <w:rPr>
          <w:rFonts w:eastAsia="Calibri"/>
        </w:rPr>
        <w:t xml:space="preserve">The complexities inherent in understanding how to best teach this </w:t>
      </w:r>
      <w:r w:rsidR="0003197B">
        <w:rPr>
          <w:rFonts w:eastAsia="Calibri"/>
        </w:rPr>
        <w:t xml:space="preserve">diverse </w:t>
      </w:r>
      <w:r w:rsidR="006C68ED">
        <w:rPr>
          <w:rFonts w:eastAsia="Calibri"/>
        </w:rPr>
        <w:t xml:space="preserve">group of children are exacerbated by the consequences of </w:t>
      </w:r>
      <w:r w:rsidR="00895E31">
        <w:rPr>
          <w:rFonts w:eastAsia="Calibri"/>
        </w:rPr>
        <w:t xml:space="preserve">the </w:t>
      </w:r>
      <w:r w:rsidR="006C68ED">
        <w:rPr>
          <w:rFonts w:eastAsia="Calibri"/>
        </w:rPr>
        <w:t xml:space="preserve">policy of </w:t>
      </w:r>
      <w:r w:rsidR="00B82E07">
        <w:rPr>
          <w:rFonts w:eastAsia="Calibri"/>
        </w:rPr>
        <w:t>mainstreaming</w:t>
      </w:r>
      <w:r w:rsidR="00895E31">
        <w:rPr>
          <w:rFonts w:eastAsia="Calibri"/>
        </w:rPr>
        <w:t xml:space="preserve"> of </w:t>
      </w:r>
      <w:r w:rsidR="00895E31" w:rsidRPr="00D30C79">
        <w:rPr>
          <w:rFonts w:eastAsia="Calibri"/>
        </w:rPr>
        <w:t xml:space="preserve">EAL </w:t>
      </w:r>
      <w:r w:rsidR="006C68ED">
        <w:rPr>
          <w:rFonts w:eastAsia="Calibri"/>
        </w:rPr>
        <w:t>from</w:t>
      </w:r>
      <w:r w:rsidR="00895E31">
        <w:rPr>
          <w:rFonts w:eastAsia="Calibri"/>
        </w:rPr>
        <w:t xml:space="preserve"> the 1980s</w:t>
      </w:r>
      <w:r w:rsidR="00895E31" w:rsidRPr="00D30C79">
        <w:rPr>
          <w:rFonts w:eastAsia="Calibri"/>
        </w:rPr>
        <w:t xml:space="preserve"> </w:t>
      </w:r>
      <w:r w:rsidR="00895E31">
        <w:rPr>
          <w:rFonts w:eastAsia="Calibri"/>
        </w:rPr>
        <w:t>in the UK (</w:t>
      </w:r>
      <w:proofErr w:type="spellStart"/>
      <w:r w:rsidR="00895E31">
        <w:rPr>
          <w:rFonts w:eastAsia="Calibri"/>
        </w:rPr>
        <w:t>Franson</w:t>
      </w:r>
      <w:proofErr w:type="spellEnd"/>
      <w:r w:rsidR="00895E31">
        <w:rPr>
          <w:rFonts w:eastAsia="Calibri"/>
        </w:rPr>
        <w:t xml:space="preserve"> 1999; Leung 2016), </w:t>
      </w:r>
      <w:r w:rsidR="00FE6B32">
        <w:rPr>
          <w:rFonts w:eastAsia="Calibri"/>
        </w:rPr>
        <w:t>from when</w:t>
      </w:r>
      <w:r w:rsidR="006C68ED">
        <w:rPr>
          <w:rFonts w:eastAsia="Calibri"/>
        </w:rPr>
        <w:t xml:space="preserve"> English as a Second/ Additional Language ceased to be</w:t>
      </w:r>
      <w:r w:rsidR="00895E31">
        <w:rPr>
          <w:rFonts w:eastAsia="Calibri"/>
        </w:rPr>
        <w:t xml:space="preserve"> seen as </w:t>
      </w:r>
      <w:r w:rsidR="00895E31" w:rsidRPr="00D30C79">
        <w:rPr>
          <w:rFonts w:eastAsia="Calibri"/>
        </w:rPr>
        <w:t xml:space="preserve">a separate subject </w:t>
      </w:r>
      <w:r w:rsidR="00F64413">
        <w:rPr>
          <w:rFonts w:eastAsia="Calibri"/>
        </w:rPr>
        <w:t xml:space="preserve">within the National Curriculum. </w:t>
      </w:r>
      <w:r w:rsidR="006C68ED">
        <w:rPr>
          <w:rFonts w:eastAsia="Calibri"/>
        </w:rPr>
        <w:t xml:space="preserve">This has </w:t>
      </w:r>
      <w:r w:rsidR="00FE6B32">
        <w:rPr>
          <w:rFonts w:eastAsia="Calibri"/>
        </w:rPr>
        <w:t xml:space="preserve">had </w:t>
      </w:r>
      <w:r w:rsidR="006C68ED">
        <w:rPr>
          <w:rFonts w:eastAsia="Calibri"/>
        </w:rPr>
        <w:t>implications for Teacher Education as the Teaching Standards associated with learning how to manage EAL are not as central as other aims</w:t>
      </w:r>
      <w:r w:rsidR="00F64413">
        <w:rPr>
          <w:rFonts w:eastAsia="Calibri"/>
        </w:rPr>
        <w:t xml:space="preserve"> (Butcher, </w:t>
      </w:r>
      <w:proofErr w:type="spellStart"/>
      <w:r w:rsidR="00F64413">
        <w:rPr>
          <w:rFonts w:eastAsia="Calibri"/>
        </w:rPr>
        <w:t>Sinka</w:t>
      </w:r>
      <w:proofErr w:type="spellEnd"/>
      <w:r w:rsidR="00F64413">
        <w:rPr>
          <w:rFonts w:eastAsia="Calibri"/>
        </w:rPr>
        <w:t xml:space="preserve"> and </w:t>
      </w:r>
      <w:proofErr w:type="spellStart"/>
      <w:r w:rsidR="00F64413">
        <w:rPr>
          <w:rFonts w:eastAsia="Calibri"/>
        </w:rPr>
        <w:t>Troman</w:t>
      </w:r>
      <w:proofErr w:type="spellEnd"/>
      <w:r w:rsidR="00C459D9">
        <w:rPr>
          <w:rFonts w:eastAsia="Calibri"/>
        </w:rPr>
        <w:t xml:space="preserve"> 2007).</w:t>
      </w:r>
    </w:p>
    <w:p w14:paraId="46BCA11F" w14:textId="77E7C3A0" w:rsidR="005D1CD2" w:rsidRPr="005D1CD2" w:rsidRDefault="005D1CD2" w:rsidP="000C5ED3">
      <w:pPr>
        <w:pStyle w:val="Newparagraph"/>
        <w:rPr>
          <w:rFonts w:eastAsia="Calibri"/>
        </w:rPr>
      </w:pPr>
      <w:r w:rsidRPr="00CF01F5">
        <w:rPr>
          <w:rFonts w:eastAsia="Calibri"/>
        </w:rPr>
        <w:t xml:space="preserve">There has been a continuous and distinct lack of external guidance and support for teachers teaching EAL learners (Mistry and </w:t>
      </w:r>
      <w:proofErr w:type="spellStart"/>
      <w:r w:rsidRPr="00CF01F5">
        <w:rPr>
          <w:rFonts w:eastAsia="Calibri"/>
        </w:rPr>
        <w:t>Sood</w:t>
      </w:r>
      <w:proofErr w:type="spellEnd"/>
      <w:r w:rsidRPr="00CF01F5">
        <w:rPr>
          <w:rFonts w:eastAsia="Calibri"/>
        </w:rPr>
        <w:t xml:space="preserve"> 2012)</w:t>
      </w:r>
      <w:r w:rsidR="006C68ED">
        <w:rPr>
          <w:rFonts w:eastAsia="Calibri"/>
        </w:rPr>
        <w:t xml:space="preserve">, which has become </w:t>
      </w:r>
      <w:r w:rsidR="00FE6B32">
        <w:rPr>
          <w:rFonts w:eastAsia="Calibri"/>
        </w:rPr>
        <w:t xml:space="preserve">even </w:t>
      </w:r>
      <w:r w:rsidR="006C68ED">
        <w:rPr>
          <w:rFonts w:eastAsia="Calibri"/>
        </w:rPr>
        <w:t>more pronounced since the last of the UK governmental publications on working with this population was produced in 2009</w:t>
      </w:r>
      <w:r w:rsidRPr="00CF01F5">
        <w:rPr>
          <w:rFonts w:eastAsia="Calibri"/>
        </w:rPr>
        <w:t xml:space="preserve">. </w:t>
      </w:r>
      <w:r w:rsidR="006C68ED">
        <w:rPr>
          <w:rFonts w:eastAsia="Calibri"/>
        </w:rPr>
        <w:t>EAL s</w:t>
      </w:r>
      <w:r w:rsidRPr="00CF01F5">
        <w:rPr>
          <w:rFonts w:eastAsia="Calibri"/>
        </w:rPr>
        <w:t>pecialists to support schools</w:t>
      </w:r>
      <w:r w:rsidR="006C68ED">
        <w:rPr>
          <w:rFonts w:eastAsia="Calibri"/>
        </w:rPr>
        <w:t xml:space="preserve"> are now in short supply, due to funding cuts</w:t>
      </w:r>
      <w:r w:rsidRPr="00CF01F5">
        <w:rPr>
          <w:rFonts w:eastAsia="Calibri"/>
        </w:rPr>
        <w:t xml:space="preserve">, and </w:t>
      </w:r>
      <w:bookmarkStart w:id="0" w:name="_Hlk507956919"/>
      <w:r w:rsidR="006C68ED">
        <w:rPr>
          <w:rFonts w:eastAsia="Calibri"/>
        </w:rPr>
        <w:t>still ‘</w:t>
      </w:r>
      <w:r w:rsidRPr="00CF01F5">
        <w:rPr>
          <w:rFonts w:eastAsia="Calibri"/>
        </w:rPr>
        <w:t>no real consensus has yet been achieved as to what constitutes an ap</w:t>
      </w:r>
      <w:r w:rsidR="006C68ED">
        <w:rPr>
          <w:rFonts w:eastAsia="Calibri"/>
        </w:rPr>
        <w:t>propriate pedagogical framework’</w:t>
      </w:r>
      <w:r w:rsidR="00B82E07">
        <w:rPr>
          <w:rFonts w:eastAsia="Calibri"/>
        </w:rPr>
        <w:t xml:space="preserve"> (Murakami 2008, </w:t>
      </w:r>
      <w:r w:rsidRPr="00CF01F5">
        <w:rPr>
          <w:rFonts w:eastAsia="Calibri"/>
        </w:rPr>
        <w:t>268)</w:t>
      </w:r>
      <w:r w:rsidR="006C68ED">
        <w:rPr>
          <w:rFonts w:eastAsia="Calibri"/>
        </w:rPr>
        <w:t xml:space="preserve"> for this group</w:t>
      </w:r>
      <w:r w:rsidRPr="00CF01F5">
        <w:rPr>
          <w:rFonts w:eastAsia="Calibri"/>
        </w:rPr>
        <w:t xml:space="preserve">. </w:t>
      </w:r>
      <w:r w:rsidR="006C68ED">
        <w:rPr>
          <w:rFonts w:eastAsia="Calibri"/>
        </w:rPr>
        <w:t>Although</w:t>
      </w:r>
      <w:r w:rsidRPr="00CF01F5">
        <w:rPr>
          <w:rFonts w:eastAsia="Calibri"/>
        </w:rPr>
        <w:t xml:space="preserve"> </w:t>
      </w:r>
      <w:r w:rsidR="006C68ED">
        <w:rPr>
          <w:rFonts w:eastAsia="Calibri"/>
        </w:rPr>
        <w:t xml:space="preserve">the </w:t>
      </w:r>
      <w:r w:rsidR="00DF66A9">
        <w:rPr>
          <w:rFonts w:eastAsia="Calibri"/>
        </w:rPr>
        <w:t xml:space="preserve">government inspectorate for UK </w:t>
      </w:r>
      <w:r w:rsidR="006C68ED">
        <w:rPr>
          <w:rFonts w:eastAsia="Calibri"/>
        </w:rPr>
        <w:t xml:space="preserve">schools </w:t>
      </w:r>
      <w:r w:rsidR="00DF66A9">
        <w:rPr>
          <w:rFonts w:eastAsia="Calibri"/>
        </w:rPr>
        <w:t>(</w:t>
      </w:r>
      <w:r w:rsidRPr="00CF01F5">
        <w:rPr>
          <w:rFonts w:eastAsia="Calibri"/>
        </w:rPr>
        <w:t>Ofsted</w:t>
      </w:r>
      <w:r w:rsidR="00DF66A9">
        <w:rPr>
          <w:rFonts w:eastAsia="Calibri"/>
        </w:rPr>
        <w:t>)</w:t>
      </w:r>
      <w:r w:rsidRPr="00CF01F5">
        <w:rPr>
          <w:rFonts w:eastAsia="Calibri"/>
        </w:rPr>
        <w:t xml:space="preserve"> </w:t>
      </w:r>
      <w:r w:rsidR="00FE6B32">
        <w:rPr>
          <w:rFonts w:eastAsia="Calibri"/>
        </w:rPr>
        <w:t xml:space="preserve">suggested that </w:t>
      </w:r>
      <w:r w:rsidRPr="00CF01F5">
        <w:rPr>
          <w:rFonts w:eastAsia="Calibri"/>
        </w:rPr>
        <w:t>a more tailored curriculum and staff professional development are required to improve t</w:t>
      </w:r>
      <w:r w:rsidR="00DF66A9">
        <w:rPr>
          <w:rFonts w:eastAsia="Calibri"/>
        </w:rPr>
        <w:t>he education of EAL pupils, a</w:t>
      </w:r>
      <w:r w:rsidRPr="00CF01F5">
        <w:rPr>
          <w:rFonts w:eastAsia="Calibri"/>
        </w:rPr>
        <w:t xml:space="preserve"> lack of funding and support </w:t>
      </w:r>
      <w:r w:rsidR="00DF66A9">
        <w:rPr>
          <w:rFonts w:eastAsia="Calibri"/>
        </w:rPr>
        <w:t xml:space="preserve">for this </w:t>
      </w:r>
      <w:r w:rsidRPr="00CF01F5">
        <w:rPr>
          <w:rFonts w:eastAsia="Calibri"/>
        </w:rPr>
        <w:t>remains</w:t>
      </w:r>
      <w:r w:rsidR="00FE6B32">
        <w:rPr>
          <w:rFonts w:eastAsia="Calibri"/>
        </w:rPr>
        <w:t xml:space="preserve"> (Mistry and </w:t>
      </w:r>
      <w:proofErr w:type="spellStart"/>
      <w:r w:rsidR="00FE6B32">
        <w:rPr>
          <w:rFonts w:eastAsia="Calibri"/>
        </w:rPr>
        <w:t>Sood</w:t>
      </w:r>
      <w:proofErr w:type="spellEnd"/>
      <w:r w:rsidR="00FE6B32">
        <w:rPr>
          <w:rFonts w:eastAsia="Calibri"/>
        </w:rPr>
        <w:t xml:space="preserve"> </w:t>
      </w:r>
      <w:r w:rsidR="00FE6B32" w:rsidRPr="00CF01F5">
        <w:rPr>
          <w:rFonts w:eastAsia="Calibri"/>
        </w:rPr>
        <w:t>2012)</w:t>
      </w:r>
      <w:bookmarkEnd w:id="0"/>
      <w:r w:rsidR="00610FF1">
        <w:rPr>
          <w:rFonts w:eastAsia="Calibri"/>
        </w:rPr>
        <w:t xml:space="preserve"> and specific reference to EAL was, in fact, removed from the national inspection framework documents in 2015.</w:t>
      </w:r>
    </w:p>
    <w:p w14:paraId="3D030A8E" w14:textId="7ABE9438" w:rsidR="005D1CD2" w:rsidRPr="00CF01F5" w:rsidRDefault="00515300" w:rsidP="009E4F12">
      <w:pPr>
        <w:pStyle w:val="Newparagraph"/>
        <w:rPr>
          <w:rFonts w:eastAsia="Calibri"/>
        </w:rPr>
      </w:pPr>
      <w:proofErr w:type="spellStart"/>
      <w:r w:rsidRPr="00CF01F5">
        <w:rPr>
          <w:rFonts w:eastAsia="Calibri"/>
        </w:rPr>
        <w:t>Franson</w:t>
      </w:r>
      <w:proofErr w:type="spellEnd"/>
      <w:r w:rsidRPr="00CF01F5">
        <w:rPr>
          <w:rFonts w:eastAsia="Calibri"/>
        </w:rPr>
        <w:t>, et al. (2002) argue that</w:t>
      </w:r>
      <w:r w:rsidRPr="00CF01F5">
        <w:rPr>
          <w:rFonts w:eastAsia="Calibri"/>
          <w:color w:val="984806" w:themeColor="accent6" w:themeShade="80"/>
        </w:rPr>
        <w:t xml:space="preserve"> </w:t>
      </w:r>
      <w:r w:rsidRPr="00CF01F5">
        <w:rPr>
          <w:rFonts w:eastAsia="Calibri"/>
        </w:rPr>
        <w:t xml:space="preserve">there is a distinct need to establish and identify what constitutes as good practice when teaching EAL pupils, to establish how pre-service </w:t>
      </w:r>
      <w:r w:rsidR="009C3DA6">
        <w:rPr>
          <w:rFonts w:eastAsia="Calibri"/>
        </w:rPr>
        <w:t>(</w:t>
      </w:r>
      <w:r w:rsidRPr="00CF01F5">
        <w:rPr>
          <w:rFonts w:eastAsia="Calibri"/>
        </w:rPr>
        <w:t>and in-service</w:t>
      </w:r>
      <w:r w:rsidR="009C3DA6">
        <w:rPr>
          <w:rFonts w:eastAsia="Calibri"/>
        </w:rPr>
        <w:t>)</w:t>
      </w:r>
      <w:r w:rsidRPr="00CF01F5">
        <w:rPr>
          <w:rFonts w:eastAsia="Calibri"/>
        </w:rPr>
        <w:t xml:space="preserve"> teacher-training can be developed and improved in relation to developing their teaching skills relating to teaching EAL pupils.  Mistry and </w:t>
      </w:r>
      <w:proofErr w:type="spellStart"/>
      <w:r w:rsidRPr="00CF01F5">
        <w:rPr>
          <w:rFonts w:eastAsia="Calibri"/>
        </w:rPr>
        <w:t>Sood</w:t>
      </w:r>
      <w:proofErr w:type="spellEnd"/>
      <w:r w:rsidRPr="00CF01F5">
        <w:rPr>
          <w:rFonts w:eastAsia="Calibri"/>
        </w:rPr>
        <w:t xml:space="preserve"> (2012) </w:t>
      </w:r>
      <w:r w:rsidR="00DF66A9">
        <w:rPr>
          <w:rFonts w:eastAsia="Calibri"/>
        </w:rPr>
        <w:t>noted</w:t>
      </w:r>
      <w:r w:rsidRPr="00CF01F5">
        <w:rPr>
          <w:rFonts w:eastAsia="Calibri"/>
        </w:rPr>
        <w:t xml:space="preserve"> that </w:t>
      </w:r>
      <w:r w:rsidR="00DF66A9">
        <w:rPr>
          <w:rFonts w:eastAsia="Calibri"/>
        </w:rPr>
        <w:t>the lack of a</w:t>
      </w:r>
      <w:r w:rsidRPr="00CF01F5">
        <w:rPr>
          <w:rFonts w:eastAsia="Calibri"/>
        </w:rPr>
        <w:t xml:space="preserve"> co</w:t>
      </w:r>
      <w:r w:rsidR="00DF66A9">
        <w:rPr>
          <w:rFonts w:eastAsia="Calibri"/>
        </w:rPr>
        <w:t xml:space="preserve">-ordinated government strategy </w:t>
      </w:r>
      <w:r w:rsidRPr="00CF01F5">
        <w:rPr>
          <w:rFonts w:eastAsia="Calibri"/>
        </w:rPr>
        <w:t xml:space="preserve">has resulted in teachers across the UK having insufficient training to access or follow the strategies and assessments certain schools have in place to support their learners. Skinner (2010) argues that it is naïve to assume that teachers will be able to ‘learn on the job’ how to successfully support EAL learners, because, although good EAL teaching practice has the potential to benefit all pupils, the same cannot be said the other way around. Starbuck’s (2018) research reinforces this as </w:t>
      </w:r>
      <w:r w:rsidR="007B648F" w:rsidRPr="00CF01F5">
        <w:rPr>
          <w:rFonts w:eastAsia="Calibri"/>
        </w:rPr>
        <w:t>most of</w:t>
      </w:r>
      <w:r w:rsidRPr="00CF01F5">
        <w:rPr>
          <w:rFonts w:eastAsia="Calibri"/>
        </w:rPr>
        <w:t xml:space="preserve"> her participants described receiving minimal to no training that w</w:t>
      </w:r>
      <w:r w:rsidR="00FE6B32">
        <w:rPr>
          <w:rFonts w:eastAsia="Calibri"/>
        </w:rPr>
        <w:t>ould help them teach EAL pupils, which leads to a lack of confidence in new teachers, alongside the additional pressure of needing to work out independently how to adequately support this diverse group of pupils.</w:t>
      </w:r>
      <w:r w:rsidR="00E04ACB">
        <w:rPr>
          <w:rFonts w:eastAsia="Calibri"/>
        </w:rPr>
        <w:t xml:space="preserve"> </w:t>
      </w:r>
      <w:r w:rsidR="00A2457C">
        <w:rPr>
          <w:rFonts w:eastAsia="Calibri"/>
        </w:rPr>
        <w:t>Noting that Ball and Muhammad</w:t>
      </w:r>
      <w:r w:rsidR="00550D14">
        <w:rPr>
          <w:rFonts w:eastAsia="Calibri"/>
        </w:rPr>
        <w:t>’s</w:t>
      </w:r>
      <w:r w:rsidR="00A2457C">
        <w:rPr>
          <w:rFonts w:eastAsia="Calibri"/>
        </w:rPr>
        <w:t xml:space="preserve"> (2003) internet survey of teacher education programs </w:t>
      </w:r>
      <w:r w:rsidR="00CB3412">
        <w:rPr>
          <w:rFonts w:eastAsia="Calibri"/>
        </w:rPr>
        <w:t xml:space="preserve">in the USA </w:t>
      </w:r>
      <w:r w:rsidR="00A2457C">
        <w:rPr>
          <w:rFonts w:eastAsia="Calibri"/>
        </w:rPr>
        <w:t>found that few dealt in any depth with the topic of linguistic diversity,</w:t>
      </w:r>
      <w:r w:rsidR="00E04ACB">
        <w:rPr>
          <w:rFonts w:eastAsia="Calibri"/>
        </w:rPr>
        <w:t xml:space="preserve"> we echo Catalano and Hamann’s </w:t>
      </w:r>
      <w:r w:rsidR="00A2457C">
        <w:rPr>
          <w:rFonts w:eastAsia="Calibri"/>
        </w:rPr>
        <w:t>(2016</w:t>
      </w:r>
      <w:r w:rsidR="008B57A2">
        <w:rPr>
          <w:rFonts w:eastAsia="Calibri"/>
        </w:rPr>
        <w:t>,</w:t>
      </w:r>
      <w:r w:rsidR="00A2457C">
        <w:rPr>
          <w:rFonts w:eastAsia="Calibri"/>
        </w:rPr>
        <w:t xml:space="preserve"> 275) </w:t>
      </w:r>
      <w:r w:rsidR="00E04ACB">
        <w:rPr>
          <w:rFonts w:eastAsia="Calibri"/>
        </w:rPr>
        <w:t>claim that the ‘research gaze needs to turn more squarely on teacher education programs’</w:t>
      </w:r>
      <w:r w:rsidR="00A2457C">
        <w:rPr>
          <w:rFonts w:eastAsia="Calibri"/>
        </w:rPr>
        <w:t xml:space="preserve"> in order to ensure that future ITT offers what pre-service teachers need to feel prepared in an age characterised by </w:t>
      </w:r>
      <w:r w:rsidR="00CB3412">
        <w:rPr>
          <w:rFonts w:eastAsia="Calibri"/>
        </w:rPr>
        <w:t>an increase in linguistic diversity in classrooms around the world (Lucas and Villegas 2010)</w:t>
      </w:r>
    </w:p>
    <w:p w14:paraId="02524FEF" w14:textId="77777777" w:rsidR="00906912" w:rsidRPr="00CF01F5" w:rsidRDefault="00906912" w:rsidP="00906912">
      <w:pPr>
        <w:pStyle w:val="Heading1"/>
        <w:rPr>
          <w:rFonts w:cs="Times New Roman"/>
        </w:rPr>
      </w:pPr>
      <w:r>
        <w:t>Research design</w:t>
      </w:r>
    </w:p>
    <w:p w14:paraId="3959FE98" w14:textId="2B247B49" w:rsidR="00906912" w:rsidRDefault="009E4F12" w:rsidP="00C948FF">
      <w:pPr>
        <w:pStyle w:val="Paragraph"/>
        <w:rPr>
          <w:rFonts w:eastAsia="Calibri"/>
        </w:rPr>
      </w:pPr>
      <w:r>
        <w:rPr>
          <w:rFonts w:eastAsia="Calibri"/>
        </w:rPr>
        <w:t xml:space="preserve">Against </w:t>
      </w:r>
      <w:r w:rsidR="00BD1EF0">
        <w:rPr>
          <w:rFonts w:eastAsia="Calibri"/>
        </w:rPr>
        <w:t>a</w:t>
      </w:r>
      <w:r>
        <w:rPr>
          <w:rFonts w:eastAsia="Calibri"/>
        </w:rPr>
        <w:t xml:space="preserve"> picture of limited resources and support for EAL in schools and consistent reports from NQTs about feeling ill-prepared,</w:t>
      </w:r>
      <w:r w:rsidR="00AE1E1E">
        <w:rPr>
          <w:rFonts w:eastAsia="Calibri"/>
        </w:rPr>
        <w:t xml:space="preserve"> and </w:t>
      </w:r>
      <w:proofErr w:type="spellStart"/>
      <w:r w:rsidR="00AE1E1E">
        <w:rPr>
          <w:rFonts w:eastAsia="Calibri"/>
        </w:rPr>
        <w:t>Franson</w:t>
      </w:r>
      <w:proofErr w:type="spellEnd"/>
      <w:r w:rsidR="00AE1E1E">
        <w:rPr>
          <w:rFonts w:eastAsia="Calibri"/>
        </w:rPr>
        <w:t xml:space="preserve"> et al.’s (2002) argument that there is a need to further understand how EAL training is provided on teacher training courses to best identify how it can be improved,</w:t>
      </w:r>
      <w:r>
        <w:rPr>
          <w:rFonts w:eastAsia="Calibri"/>
        </w:rPr>
        <w:t xml:space="preserve"> this study aims </w:t>
      </w:r>
      <w:r w:rsidR="00FE6B32">
        <w:rPr>
          <w:rFonts w:eastAsia="Calibri"/>
        </w:rPr>
        <w:t>to explore</w:t>
      </w:r>
      <w:r>
        <w:rPr>
          <w:rFonts w:eastAsia="Calibri"/>
        </w:rPr>
        <w:t xml:space="preserve"> the under-researched area of teacher educators’ views on training teachers to work in linguistically diverse classrooms</w:t>
      </w:r>
      <w:r w:rsidR="00FE6B32">
        <w:rPr>
          <w:rFonts w:eastAsia="Calibri"/>
        </w:rPr>
        <w:t xml:space="preserve"> by posing </w:t>
      </w:r>
      <w:r w:rsidR="00906912">
        <w:rPr>
          <w:rFonts w:eastAsia="Calibri"/>
        </w:rPr>
        <w:t xml:space="preserve">the following </w:t>
      </w:r>
      <w:r>
        <w:rPr>
          <w:rFonts w:eastAsia="Calibri"/>
        </w:rPr>
        <w:t xml:space="preserve">research </w:t>
      </w:r>
      <w:r w:rsidR="00906912">
        <w:rPr>
          <w:rFonts w:eastAsia="Calibri"/>
        </w:rPr>
        <w:t>question:</w:t>
      </w:r>
    </w:p>
    <w:p w14:paraId="38D3361E" w14:textId="338C8336" w:rsidR="00906912" w:rsidRPr="00DD07A0" w:rsidRDefault="00906912" w:rsidP="00DD07A0">
      <w:pPr>
        <w:pStyle w:val="Displayedquotation"/>
        <w:rPr>
          <w:rFonts w:eastAsia="Calibri"/>
          <w:i/>
          <w:szCs w:val="22"/>
        </w:rPr>
      </w:pPr>
      <w:r w:rsidRPr="00DD07A0">
        <w:rPr>
          <w:rFonts w:eastAsia="Calibri"/>
          <w:i/>
          <w:szCs w:val="22"/>
        </w:rPr>
        <w:t xml:space="preserve">How do teacher educators view </w:t>
      </w:r>
      <w:r w:rsidR="00DD07A0" w:rsidRPr="00DD07A0">
        <w:rPr>
          <w:rFonts w:eastAsia="Calibri"/>
          <w:i/>
          <w:szCs w:val="22"/>
        </w:rPr>
        <w:t xml:space="preserve">current provision in </w:t>
      </w:r>
      <w:r w:rsidRPr="00DD07A0">
        <w:rPr>
          <w:rFonts w:eastAsia="Calibri"/>
          <w:i/>
          <w:szCs w:val="22"/>
        </w:rPr>
        <w:t>Initial Teacher Training</w:t>
      </w:r>
      <w:r w:rsidR="00DD07A0" w:rsidRPr="00DD07A0">
        <w:rPr>
          <w:rFonts w:eastAsia="Calibri"/>
          <w:i/>
          <w:szCs w:val="22"/>
        </w:rPr>
        <w:t xml:space="preserve"> in the UK</w:t>
      </w:r>
      <w:r w:rsidRPr="00DD07A0">
        <w:rPr>
          <w:rFonts w:eastAsia="Calibri"/>
          <w:i/>
          <w:szCs w:val="22"/>
        </w:rPr>
        <w:t xml:space="preserve">, </w:t>
      </w:r>
      <w:r w:rsidR="00DD07A0" w:rsidRPr="00DD07A0">
        <w:rPr>
          <w:rFonts w:eastAsia="Calibri"/>
          <w:i/>
          <w:szCs w:val="22"/>
        </w:rPr>
        <w:t>with a specific focus on student teacher preparedness to teach children</w:t>
      </w:r>
      <w:r w:rsidRPr="00DD07A0">
        <w:rPr>
          <w:rFonts w:eastAsia="Calibri"/>
          <w:i/>
          <w:szCs w:val="22"/>
        </w:rPr>
        <w:t xml:space="preserve"> </w:t>
      </w:r>
      <w:r w:rsidR="00DD07A0" w:rsidRPr="00DD07A0">
        <w:rPr>
          <w:rFonts w:eastAsia="Calibri"/>
          <w:i/>
          <w:szCs w:val="22"/>
        </w:rPr>
        <w:t xml:space="preserve">classified as </w:t>
      </w:r>
      <w:r w:rsidRPr="00DD07A0">
        <w:rPr>
          <w:rFonts w:eastAsia="Calibri"/>
          <w:i/>
          <w:szCs w:val="22"/>
        </w:rPr>
        <w:t>EAL?</w:t>
      </w:r>
    </w:p>
    <w:p w14:paraId="0FBB6D96" w14:textId="4B97FB55" w:rsidR="009A1591" w:rsidRDefault="00C459D9" w:rsidP="00AC13CE">
      <w:pPr>
        <w:pStyle w:val="Paragraph"/>
        <w:rPr>
          <w:rFonts w:eastAsia="Calibri"/>
        </w:rPr>
      </w:pPr>
      <w:r>
        <w:rPr>
          <w:rFonts w:eastAsia="Calibri"/>
        </w:rPr>
        <w:t xml:space="preserve">A mixed-methods approach was taken with </w:t>
      </w:r>
      <w:r w:rsidR="00906912" w:rsidRPr="00CF01F5">
        <w:rPr>
          <w:rFonts w:eastAsia="Calibri"/>
        </w:rPr>
        <w:t xml:space="preserve">data gathered using </w:t>
      </w:r>
      <w:r w:rsidR="00906912" w:rsidRPr="00CF01F5">
        <w:rPr>
          <w:rFonts w:eastAsia="Calibri"/>
          <w:noProof/>
        </w:rPr>
        <w:t>an online</w:t>
      </w:r>
      <w:r w:rsidR="00906912" w:rsidRPr="00CF01F5">
        <w:rPr>
          <w:rFonts w:eastAsia="Calibri"/>
        </w:rPr>
        <w:t xml:space="preserve"> questionnaire</w:t>
      </w:r>
      <w:r w:rsidR="00531B0F">
        <w:rPr>
          <w:rFonts w:eastAsia="Calibri"/>
        </w:rPr>
        <w:t xml:space="preserve"> (see table 1 for questionnaire items and </w:t>
      </w:r>
      <w:r w:rsidR="002D46A8">
        <w:rPr>
          <w:rFonts w:eastAsia="Calibri"/>
        </w:rPr>
        <w:t>Supplemental Material</w:t>
      </w:r>
      <w:r w:rsidR="00BD1EF0">
        <w:rPr>
          <w:rFonts w:eastAsia="Calibri"/>
        </w:rPr>
        <w:t xml:space="preserve"> for a summary of all responses) </w:t>
      </w:r>
      <w:r w:rsidR="00906912" w:rsidRPr="00CF01F5">
        <w:rPr>
          <w:rFonts w:eastAsia="Calibri"/>
        </w:rPr>
        <w:t>and a series of follow-up</w:t>
      </w:r>
      <w:r w:rsidR="00FE6B32">
        <w:rPr>
          <w:rFonts w:eastAsia="Calibri"/>
        </w:rPr>
        <w:t xml:space="preserve"> </w:t>
      </w:r>
      <w:r>
        <w:rPr>
          <w:rFonts w:eastAsia="Calibri"/>
        </w:rPr>
        <w:t>interviews</w:t>
      </w:r>
      <w:r w:rsidR="00163B28">
        <w:rPr>
          <w:rFonts w:eastAsia="Calibri"/>
        </w:rPr>
        <w:t xml:space="preserve"> (</w:t>
      </w:r>
      <w:r w:rsidR="00C35BD5">
        <w:rPr>
          <w:rFonts w:eastAsia="Calibri"/>
        </w:rPr>
        <w:t>see table 2 for interview questions and</w:t>
      </w:r>
      <w:r w:rsidR="00163B28">
        <w:rPr>
          <w:rFonts w:eastAsia="Calibri"/>
        </w:rPr>
        <w:t xml:space="preserve"> </w:t>
      </w:r>
      <w:r w:rsidR="002D46A8">
        <w:rPr>
          <w:rFonts w:eastAsia="Calibri"/>
        </w:rPr>
        <w:t>Supplemental Material</w:t>
      </w:r>
      <w:r w:rsidR="00163B28">
        <w:rPr>
          <w:rFonts w:eastAsia="Calibri"/>
        </w:rPr>
        <w:t xml:space="preserve"> for a summary of responses)</w:t>
      </w:r>
      <w:r w:rsidR="00906912" w:rsidRPr="00CF01F5">
        <w:rPr>
          <w:rFonts w:eastAsia="Calibri"/>
        </w:rPr>
        <w:t xml:space="preserve">.  </w:t>
      </w:r>
      <w:r>
        <w:rPr>
          <w:rFonts w:eastAsia="Calibri"/>
        </w:rPr>
        <w:t>A</w:t>
      </w:r>
      <w:r w:rsidR="00AC13CE" w:rsidRPr="00AC13CE">
        <w:rPr>
          <w:rFonts w:eastAsia="Calibri"/>
        </w:rPr>
        <w:t xml:space="preserve"> consent form was designed in accordance with the British Educational Research Associat</w:t>
      </w:r>
      <w:r>
        <w:rPr>
          <w:rFonts w:eastAsia="Calibri"/>
        </w:rPr>
        <w:t>ion’s ethical guidelines (2011)</w:t>
      </w:r>
      <w:r w:rsidR="00AC13CE" w:rsidRPr="00AC13CE">
        <w:rPr>
          <w:rFonts w:eastAsia="Calibri"/>
        </w:rPr>
        <w:t xml:space="preserve"> </w:t>
      </w:r>
      <w:r>
        <w:rPr>
          <w:rFonts w:eastAsia="Calibri"/>
        </w:rPr>
        <w:t>and</w:t>
      </w:r>
      <w:r w:rsidR="00AC13CE" w:rsidRPr="00AC13CE">
        <w:rPr>
          <w:rFonts w:eastAsia="Calibri"/>
        </w:rPr>
        <w:t xml:space="preserve"> clearly inform</w:t>
      </w:r>
      <w:r>
        <w:rPr>
          <w:rFonts w:eastAsia="Calibri"/>
        </w:rPr>
        <w:t>ed</w:t>
      </w:r>
      <w:r w:rsidR="00AC13CE" w:rsidRPr="00AC13CE">
        <w:rPr>
          <w:rFonts w:eastAsia="Calibri"/>
        </w:rPr>
        <w:t xml:space="preserve"> participants that their responses would be anonymised and that they had a right to withdraw</w:t>
      </w:r>
      <w:r w:rsidR="00AC13CE">
        <w:rPr>
          <w:rFonts w:eastAsia="Calibri"/>
        </w:rPr>
        <w:t xml:space="preserve"> at any stage</w:t>
      </w:r>
      <w:r w:rsidR="00AC13CE" w:rsidRPr="00AC13CE">
        <w:rPr>
          <w:rFonts w:eastAsia="Calibri"/>
        </w:rPr>
        <w:t>.</w:t>
      </w:r>
      <w:r w:rsidR="00610FF1">
        <w:rPr>
          <w:rFonts w:eastAsia="Calibri"/>
        </w:rPr>
        <w:t xml:space="preserve"> </w:t>
      </w:r>
      <w:r w:rsidR="00EC7231">
        <w:t xml:space="preserve">The questionnaire data remained anonymous, whilst the interviewees were given pseudonyms which are used in the discussion shown below. </w:t>
      </w:r>
      <w:r w:rsidR="00610FF1">
        <w:rPr>
          <w:rFonts w:eastAsia="Calibri"/>
        </w:rPr>
        <w:t>University ethical approval was granted for the project.</w:t>
      </w:r>
    </w:p>
    <w:tbl>
      <w:tblPr>
        <w:tblStyle w:val="TableGrid"/>
        <w:tblW w:w="8500" w:type="dxa"/>
        <w:tblLook w:val="04A0" w:firstRow="1" w:lastRow="0" w:firstColumn="1" w:lastColumn="0" w:noHBand="0" w:noVBand="1"/>
      </w:tblPr>
      <w:tblGrid>
        <w:gridCol w:w="8500"/>
      </w:tblGrid>
      <w:tr w:rsidR="00D6096A" w:rsidRPr="00B86CD7" w14:paraId="6C48F7C0" w14:textId="77777777" w:rsidTr="009B5A46">
        <w:tc>
          <w:tcPr>
            <w:tcW w:w="8500" w:type="dxa"/>
          </w:tcPr>
          <w:p w14:paraId="463EA4E6" w14:textId="77777777" w:rsidR="00D6096A" w:rsidRPr="00B86CD7" w:rsidRDefault="00D6096A" w:rsidP="009B5A46">
            <w:pPr>
              <w:pStyle w:val="Newparagraph"/>
              <w:spacing w:line="276" w:lineRule="auto"/>
              <w:ind w:firstLine="0"/>
              <w:rPr>
                <w:b/>
                <w:bCs/>
              </w:rPr>
            </w:pPr>
            <w:r w:rsidRPr="00B86CD7">
              <w:rPr>
                <w:b/>
                <w:bCs/>
              </w:rPr>
              <w:t>Questionnaire</w:t>
            </w:r>
          </w:p>
        </w:tc>
      </w:tr>
      <w:tr w:rsidR="00D6096A" w:rsidRPr="00B86CD7" w14:paraId="5D1B401F" w14:textId="77777777" w:rsidTr="009B5A46">
        <w:tc>
          <w:tcPr>
            <w:tcW w:w="8500" w:type="dxa"/>
          </w:tcPr>
          <w:p w14:paraId="465565AE"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How long have you been a school teacher?</w:t>
            </w:r>
          </w:p>
          <w:p w14:paraId="552A9176" w14:textId="77777777" w:rsidR="00D6096A" w:rsidRPr="00B86CD7" w:rsidRDefault="00D6096A" w:rsidP="009B5A46">
            <w:pPr>
              <w:spacing w:line="240" w:lineRule="auto"/>
              <w:ind w:left="360"/>
            </w:pPr>
            <w:r w:rsidRPr="00B86CD7">
              <w:t>0-3 years4/ -6 years/ 7-10 years/ More than 10 years</w:t>
            </w:r>
          </w:p>
        </w:tc>
      </w:tr>
      <w:tr w:rsidR="00D6096A" w:rsidRPr="00B86CD7" w14:paraId="021ED7CB" w14:textId="77777777" w:rsidTr="009B5A46">
        <w:tc>
          <w:tcPr>
            <w:tcW w:w="8500" w:type="dxa"/>
          </w:tcPr>
          <w:p w14:paraId="7977C072"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 xml:space="preserve">How long have you been a lecturer teaching on Primary/Secondary Education courses? </w:t>
            </w:r>
          </w:p>
        </w:tc>
      </w:tr>
      <w:tr w:rsidR="00D6096A" w:rsidRPr="00B86CD7" w14:paraId="389BEAC3" w14:textId="77777777" w:rsidTr="009B5A46">
        <w:tc>
          <w:tcPr>
            <w:tcW w:w="8500" w:type="dxa"/>
          </w:tcPr>
          <w:p w14:paraId="74493C51"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How much experience do you have with learners who have English as an Additional Language (EAL)?</w:t>
            </w:r>
          </w:p>
        </w:tc>
      </w:tr>
      <w:tr w:rsidR="00D6096A" w:rsidRPr="00B86CD7" w14:paraId="59E1048F" w14:textId="77777777" w:rsidTr="009B5A46">
        <w:tc>
          <w:tcPr>
            <w:tcW w:w="8500" w:type="dxa"/>
          </w:tcPr>
          <w:p w14:paraId="508A04A5"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 xml:space="preserve">Please describe your experiences with EAL learners? </w:t>
            </w:r>
          </w:p>
        </w:tc>
      </w:tr>
      <w:tr w:rsidR="00D6096A" w:rsidRPr="00B86CD7" w14:paraId="3AA6879B" w14:textId="77777777" w:rsidTr="009B5A46">
        <w:tc>
          <w:tcPr>
            <w:tcW w:w="8500" w:type="dxa"/>
          </w:tcPr>
          <w:p w14:paraId="2878BAE4"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 xml:space="preserve">Are issues relating to teaching EAL incorporated into the modules you teach? If so, how? </w:t>
            </w:r>
          </w:p>
        </w:tc>
      </w:tr>
      <w:tr w:rsidR="00D6096A" w:rsidRPr="00B86CD7" w14:paraId="3D29CC2F" w14:textId="77777777" w:rsidTr="009B5A46">
        <w:tc>
          <w:tcPr>
            <w:tcW w:w="8500" w:type="dxa"/>
          </w:tcPr>
          <w:p w14:paraId="21AD29CA"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 xml:space="preserve">How confident do you feel about teaching student-teachers how to teach EAL learners? </w:t>
            </w:r>
          </w:p>
          <w:p w14:paraId="0B28F41E" w14:textId="77777777" w:rsidR="00D6096A" w:rsidRPr="00B86CD7" w:rsidRDefault="00D6096A" w:rsidP="009B5A46">
            <w:pPr>
              <w:spacing w:line="240" w:lineRule="auto"/>
              <w:ind w:left="360"/>
            </w:pPr>
            <w:r w:rsidRPr="00B86CD7">
              <w:t xml:space="preserve">Not confident/ Slightly confident/ Confident/ Very confident </w:t>
            </w:r>
          </w:p>
        </w:tc>
      </w:tr>
      <w:tr w:rsidR="00D6096A" w:rsidRPr="00B86CD7" w14:paraId="7B2A7D1E" w14:textId="77777777" w:rsidTr="009B5A46">
        <w:tc>
          <w:tcPr>
            <w:tcW w:w="8500" w:type="dxa"/>
          </w:tcPr>
          <w:p w14:paraId="078B0424"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 xml:space="preserve">Do you feel that the teaching of EAL is incorporated into Primary and Secondary Education degrees and PGCEs sufficiently enough that your students would feel comfortable teaching EAL learners? </w:t>
            </w:r>
          </w:p>
        </w:tc>
      </w:tr>
      <w:tr w:rsidR="00D6096A" w:rsidRPr="00B86CD7" w14:paraId="5B4A88E3" w14:textId="77777777" w:rsidTr="009B5A46">
        <w:tc>
          <w:tcPr>
            <w:tcW w:w="8500" w:type="dxa"/>
          </w:tcPr>
          <w:p w14:paraId="280ECFE7"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 xml:space="preserve">Do you perceive teaching student-teachers about EAL to be challenging? </w:t>
            </w:r>
          </w:p>
        </w:tc>
      </w:tr>
      <w:tr w:rsidR="00D6096A" w:rsidRPr="00B86CD7" w14:paraId="773285BC" w14:textId="77777777" w:rsidTr="009B5A46">
        <w:tc>
          <w:tcPr>
            <w:tcW w:w="8500" w:type="dxa"/>
          </w:tcPr>
          <w:p w14:paraId="5572609A"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 xml:space="preserve">  How do you perceive the balance of EAL teaching to student-teachers?</w:t>
            </w:r>
          </w:p>
          <w:p w14:paraId="1FF0E29E" w14:textId="77777777" w:rsidR="00D6096A" w:rsidRPr="00B86CD7" w:rsidRDefault="00D6096A" w:rsidP="009B5A46">
            <w:pPr>
              <w:spacing w:line="240" w:lineRule="auto"/>
              <w:ind w:left="360"/>
            </w:pPr>
            <w:r w:rsidRPr="00B86CD7">
              <w:t>Mostly theoretical/ Mostly practical/ A combination of theoretical and practical</w:t>
            </w:r>
          </w:p>
        </w:tc>
      </w:tr>
      <w:tr w:rsidR="00D6096A" w:rsidRPr="00B86CD7" w14:paraId="3B5B25F8" w14:textId="77777777" w:rsidTr="009B5A46">
        <w:tc>
          <w:tcPr>
            <w:tcW w:w="8500" w:type="dxa"/>
          </w:tcPr>
          <w:p w14:paraId="6841824B" w14:textId="77777777" w:rsidR="00D6096A" w:rsidRPr="00B86CD7" w:rsidRDefault="00D6096A" w:rsidP="00D6096A">
            <w:pPr>
              <w:pStyle w:val="ListParagraph"/>
              <w:numPr>
                <w:ilvl w:val="0"/>
                <w:numId w:val="31"/>
              </w:numPr>
              <w:spacing w:line="240" w:lineRule="auto"/>
              <w:rPr>
                <w:rFonts w:ascii="Times New Roman" w:hAnsi="Times New Roman" w:cs="Times New Roman"/>
                <w:sz w:val="24"/>
              </w:rPr>
            </w:pPr>
            <w:r w:rsidRPr="00B86CD7">
              <w:rPr>
                <w:rFonts w:ascii="Times New Roman" w:hAnsi="Times New Roman" w:cs="Times New Roman"/>
                <w:sz w:val="24"/>
              </w:rPr>
              <w:t xml:space="preserve">Do you think any improvements could be made regarding how student-teachers learn about EAL learners? </w:t>
            </w:r>
          </w:p>
          <w:p w14:paraId="343060F9" w14:textId="77777777" w:rsidR="00D6096A" w:rsidRPr="00B86CD7" w:rsidRDefault="00D6096A" w:rsidP="009B5A46">
            <w:pPr>
              <w:pStyle w:val="ListParagraph"/>
              <w:spacing w:line="240" w:lineRule="auto"/>
              <w:rPr>
                <w:rFonts w:ascii="Times New Roman" w:hAnsi="Times New Roman" w:cs="Times New Roman"/>
                <w:sz w:val="20"/>
                <w:szCs w:val="20"/>
              </w:rPr>
            </w:pPr>
            <w:r w:rsidRPr="00B86CD7">
              <w:rPr>
                <w:rFonts w:ascii="Times New Roman" w:hAnsi="Times New Roman" w:cs="Times New Roman"/>
                <w:sz w:val="20"/>
                <w:szCs w:val="20"/>
              </w:rPr>
              <w:t xml:space="preserve">Yes/ No </w:t>
            </w:r>
          </w:p>
          <w:p w14:paraId="3F04EF3F" w14:textId="77777777" w:rsidR="00D6096A" w:rsidRPr="00B86CD7" w:rsidRDefault="00D6096A" w:rsidP="009B5A46">
            <w:pPr>
              <w:pStyle w:val="ListParagraph"/>
              <w:spacing w:line="240" w:lineRule="auto"/>
              <w:rPr>
                <w:rFonts w:ascii="Times New Roman" w:hAnsi="Times New Roman" w:cs="Times New Roman"/>
                <w:sz w:val="24"/>
              </w:rPr>
            </w:pPr>
            <w:r w:rsidRPr="00B86CD7">
              <w:rPr>
                <w:rFonts w:ascii="Times New Roman" w:hAnsi="Times New Roman" w:cs="Times New Roman"/>
                <w:sz w:val="20"/>
                <w:szCs w:val="20"/>
              </w:rPr>
              <w:t>If yes, please expand.</w:t>
            </w:r>
            <w:r w:rsidRPr="00B86CD7">
              <w:rPr>
                <w:rFonts w:ascii="Times New Roman" w:hAnsi="Times New Roman" w:cs="Times New Roman"/>
                <w:sz w:val="24"/>
              </w:rPr>
              <w:t xml:space="preserve">  </w:t>
            </w:r>
          </w:p>
        </w:tc>
      </w:tr>
    </w:tbl>
    <w:p w14:paraId="32CC6C04" w14:textId="77777777" w:rsidR="00D6096A" w:rsidRPr="00B86CD7" w:rsidRDefault="00D6096A" w:rsidP="00D6096A">
      <w:pPr>
        <w:pStyle w:val="Tabletitle"/>
        <w:rPr>
          <w:rFonts w:eastAsia="Calibri"/>
        </w:rPr>
      </w:pPr>
      <w:r w:rsidRPr="00B86CD7">
        <w:rPr>
          <w:rFonts w:eastAsia="Calibri"/>
        </w:rPr>
        <w:t>Table 1: Questionnaire items</w:t>
      </w:r>
    </w:p>
    <w:tbl>
      <w:tblPr>
        <w:tblStyle w:val="TableGrid"/>
        <w:tblW w:w="0" w:type="auto"/>
        <w:tblLook w:val="04A0" w:firstRow="1" w:lastRow="0" w:firstColumn="1" w:lastColumn="0" w:noHBand="0" w:noVBand="1"/>
      </w:tblPr>
      <w:tblGrid>
        <w:gridCol w:w="8217"/>
      </w:tblGrid>
      <w:tr w:rsidR="00D6096A" w:rsidRPr="00B825B5" w14:paraId="78D86436" w14:textId="77777777" w:rsidTr="009B5A46">
        <w:tc>
          <w:tcPr>
            <w:tcW w:w="8217" w:type="dxa"/>
          </w:tcPr>
          <w:p w14:paraId="34A6AA1A" w14:textId="77777777" w:rsidR="00D6096A" w:rsidRPr="00B825B5" w:rsidRDefault="00D6096A" w:rsidP="009B5A46">
            <w:pPr>
              <w:pStyle w:val="Newparagraph"/>
              <w:ind w:firstLine="0"/>
              <w:rPr>
                <w:b/>
                <w:bCs/>
              </w:rPr>
            </w:pPr>
            <w:r w:rsidRPr="00B825B5">
              <w:rPr>
                <w:b/>
                <w:bCs/>
              </w:rPr>
              <w:t>Interview questions</w:t>
            </w:r>
          </w:p>
        </w:tc>
      </w:tr>
      <w:tr w:rsidR="00D6096A" w14:paraId="4F0376C3" w14:textId="77777777" w:rsidTr="009B5A46">
        <w:tc>
          <w:tcPr>
            <w:tcW w:w="8217" w:type="dxa"/>
          </w:tcPr>
          <w:p w14:paraId="2089515F" w14:textId="77777777" w:rsidR="00D6096A" w:rsidRDefault="00D6096A" w:rsidP="00D6096A">
            <w:pPr>
              <w:numPr>
                <w:ilvl w:val="0"/>
                <w:numId w:val="32"/>
              </w:numPr>
              <w:spacing w:after="160" w:line="240" w:lineRule="auto"/>
            </w:pPr>
            <w:r w:rsidRPr="002F2880">
              <w:t>What region of Great Britain are you from?</w:t>
            </w:r>
          </w:p>
        </w:tc>
      </w:tr>
      <w:tr w:rsidR="00D6096A" w14:paraId="5B80A2E8" w14:textId="77777777" w:rsidTr="009B5A46">
        <w:tc>
          <w:tcPr>
            <w:tcW w:w="8217" w:type="dxa"/>
          </w:tcPr>
          <w:p w14:paraId="52EFFB18" w14:textId="77777777" w:rsidR="00D6096A" w:rsidRDefault="00D6096A" w:rsidP="00D6096A">
            <w:pPr>
              <w:numPr>
                <w:ilvl w:val="0"/>
                <w:numId w:val="32"/>
              </w:numPr>
              <w:spacing w:after="160" w:line="240" w:lineRule="auto"/>
            </w:pPr>
            <w:r w:rsidRPr="002F2880">
              <w:t>What EAL training did you receive in your Initial teacher training?</w:t>
            </w:r>
          </w:p>
        </w:tc>
      </w:tr>
      <w:tr w:rsidR="00D6096A" w14:paraId="3ABE6B2F" w14:textId="77777777" w:rsidTr="009B5A46">
        <w:tc>
          <w:tcPr>
            <w:tcW w:w="8217" w:type="dxa"/>
          </w:tcPr>
          <w:p w14:paraId="70F67A4A" w14:textId="77777777" w:rsidR="00D6096A" w:rsidRDefault="00D6096A" w:rsidP="00D6096A">
            <w:pPr>
              <w:numPr>
                <w:ilvl w:val="0"/>
                <w:numId w:val="32"/>
              </w:numPr>
              <w:spacing w:after="160" w:line="240" w:lineRule="auto"/>
            </w:pPr>
            <w:r w:rsidRPr="002F2880">
              <w:t>What feedback do you receive from your cohort?</w:t>
            </w:r>
          </w:p>
        </w:tc>
      </w:tr>
      <w:tr w:rsidR="00D6096A" w14:paraId="6E0AC1F4" w14:textId="77777777" w:rsidTr="009B5A46">
        <w:tc>
          <w:tcPr>
            <w:tcW w:w="8217" w:type="dxa"/>
          </w:tcPr>
          <w:p w14:paraId="3622BF1E" w14:textId="77777777" w:rsidR="00D6096A" w:rsidRDefault="00D6096A" w:rsidP="00D6096A">
            <w:pPr>
              <w:numPr>
                <w:ilvl w:val="0"/>
                <w:numId w:val="32"/>
              </w:numPr>
              <w:spacing w:after="160" w:line="240" w:lineRule="auto"/>
            </w:pPr>
            <w:r w:rsidRPr="002F2880">
              <w:t>The current evidence shows that students don’t feel prepared, so where do you think the mismatch is?</w:t>
            </w:r>
          </w:p>
        </w:tc>
      </w:tr>
      <w:tr w:rsidR="00D6096A" w14:paraId="2CB3D245" w14:textId="77777777" w:rsidTr="009B5A46">
        <w:tc>
          <w:tcPr>
            <w:tcW w:w="8217" w:type="dxa"/>
          </w:tcPr>
          <w:p w14:paraId="2DBFA899" w14:textId="77777777" w:rsidR="00D6096A" w:rsidRDefault="00D6096A" w:rsidP="00D6096A">
            <w:pPr>
              <w:numPr>
                <w:ilvl w:val="0"/>
                <w:numId w:val="32"/>
              </w:numPr>
              <w:spacing w:after="160" w:line="240" w:lineRule="auto"/>
            </w:pPr>
            <w:r w:rsidRPr="002F2880">
              <w:t xml:space="preserve">If the curriculum and current training practices are not focused on EAL, what are the current priorities? What do you think they’re focussing on in schools? </w:t>
            </w:r>
          </w:p>
        </w:tc>
      </w:tr>
      <w:tr w:rsidR="00D6096A" w14:paraId="6B2CDC83" w14:textId="77777777" w:rsidTr="009B5A46">
        <w:tc>
          <w:tcPr>
            <w:tcW w:w="8217" w:type="dxa"/>
          </w:tcPr>
          <w:p w14:paraId="09966EFF" w14:textId="77777777" w:rsidR="00D6096A" w:rsidRDefault="00D6096A" w:rsidP="00D6096A">
            <w:pPr>
              <w:numPr>
                <w:ilvl w:val="0"/>
                <w:numId w:val="32"/>
              </w:numPr>
              <w:spacing w:after="160" w:line="240" w:lineRule="auto"/>
            </w:pPr>
            <w:r w:rsidRPr="002F2880">
              <w:t>What do you think the biggest barriers for learning are for the children (with EAL)?</w:t>
            </w:r>
          </w:p>
        </w:tc>
      </w:tr>
    </w:tbl>
    <w:p w14:paraId="3314906A" w14:textId="77777777" w:rsidR="00D6096A" w:rsidRPr="00B86CD7" w:rsidRDefault="00D6096A" w:rsidP="00D6096A">
      <w:pPr>
        <w:pStyle w:val="Tabletitle"/>
        <w:rPr>
          <w:rFonts w:eastAsia="Calibri"/>
        </w:rPr>
      </w:pPr>
      <w:r w:rsidRPr="00B86CD7">
        <w:rPr>
          <w:rFonts w:eastAsia="Calibri"/>
        </w:rPr>
        <w:t xml:space="preserve">Table </w:t>
      </w:r>
      <w:r>
        <w:rPr>
          <w:rFonts w:eastAsia="Calibri"/>
        </w:rPr>
        <w:t>2</w:t>
      </w:r>
      <w:r w:rsidRPr="00B86CD7">
        <w:rPr>
          <w:rFonts w:eastAsia="Calibri"/>
        </w:rPr>
        <w:t xml:space="preserve">: </w:t>
      </w:r>
      <w:r>
        <w:rPr>
          <w:rFonts w:eastAsia="Calibri"/>
        </w:rPr>
        <w:t>Interview questions</w:t>
      </w:r>
    </w:p>
    <w:p w14:paraId="5EC30E26" w14:textId="59405401" w:rsidR="00DD07A0" w:rsidRDefault="00325173" w:rsidP="00531B0F">
      <w:pPr>
        <w:pStyle w:val="Newparagraph"/>
        <w:ind w:firstLine="0"/>
        <w:rPr>
          <w:rFonts w:eastAsia="Calibri"/>
        </w:rPr>
      </w:pPr>
      <w:r>
        <w:rPr>
          <w:rFonts w:eastAsia="Calibri"/>
          <w:b/>
          <w:bCs/>
        </w:rPr>
        <w:t xml:space="preserve">Questionnaire </w:t>
      </w:r>
      <w:r w:rsidRPr="00F908BE">
        <w:rPr>
          <w:rFonts w:eastAsia="Calibri"/>
          <w:b/>
          <w:bCs/>
        </w:rPr>
        <w:t>Participants</w:t>
      </w:r>
      <w:r>
        <w:rPr>
          <w:rFonts w:eastAsia="Calibri"/>
          <w:b/>
          <w:bCs/>
        </w:rPr>
        <w:br/>
      </w:r>
      <w:r w:rsidR="00906912" w:rsidRPr="00CF01F5">
        <w:rPr>
          <w:rFonts w:eastAsia="Calibri"/>
        </w:rPr>
        <w:t xml:space="preserve">The participants </w:t>
      </w:r>
      <w:r w:rsidR="00AC13CE">
        <w:rPr>
          <w:rFonts w:eastAsia="Calibri"/>
        </w:rPr>
        <w:t>are</w:t>
      </w:r>
      <w:r w:rsidR="00906912" w:rsidRPr="00CF01F5">
        <w:rPr>
          <w:rFonts w:eastAsia="Calibri"/>
        </w:rPr>
        <w:t xml:space="preserve"> </w:t>
      </w:r>
      <w:r w:rsidR="00AC13CE">
        <w:rPr>
          <w:rFonts w:eastAsia="Calibri"/>
        </w:rPr>
        <w:t>62</w:t>
      </w:r>
      <w:r w:rsidR="00906912" w:rsidRPr="00CF01F5">
        <w:rPr>
          <w:rFonts w:eastAsia="Calibri"/>
        </w:rPr>
        <w:t xml:space="preserve"> lecturers from higher education institutions</w:t>
      </w:r>
      <w:r w:rsidR="003B04F5">
        <w:rPr>
          <w:rFonts w:eastAsia="Calibri"/>
        </w:rPr>
        <w:t xml:space="preserve"> in the UK</w:t>
      </w:r>
      <w:r w:rsidR="00AC13CE">
        <w:rPr>
          <w:rFonts w:eastAsia="Calibri"/>
        </w:rPr>
        <w:t xml:space="preserve"> that provide</w:t>
      </w:r>
      <w:r w:rsidR="00906912" w:rsidRPr="00CF01F5">
        <w:rPr>
          <w:rFonts w:eastAsia="Calibri"/>
        </w:rPr>
        <w:t xml:space="preserve"> primary or secondary education courses to STs. </w:t>
      </w:r>
      <w:r w:rsidR="003B04F5">
        <w:rPr>
          <w:rFonts w:eastAsia="Calibri"/>
        </w:rPr>
        <w:t xml:space="preserve">The </w:t>
      </w:r>
      <w:r w:rsidR="00AC13CE">
        <w:rPr>
          <w:rFonts w:eastAsia="Calibri"/>
        </w:rPr>
        <w:t>Universities and College Admissions Service website</w:t>
      </w:r>
      <w:r w:rsidR="00906912" w:rsidRPr="00CF01F5">
        <w:rPr>
          <w:rFonts w:eastAsia="Calibri"/>
        </w:rPr>
        <w:t xml:space="preserve"> was used to do a search of all the ITT courses offered at institutions in </w:t>
      </w:r>
      <w:r w:rsidR="00AC13CE">
        <w:rPr>
          <w:rFonts w:eastAsia="Calibri"/>
        </w:rPr>
        <w:t>the UK</w:t>
      </w:r>
      <w:r w:rsidR="00906912" w:rsidRPr="00CF01F5">
        <w:rPr>
          <w:rFonts w:eastAsia="Calibri"/>
        </w:rPr>
        <w:t xml:space="preserve"> to find relevant participants. This list was then used to search the institutions’ websi</w:t>
      </w:r>
      <w:r w:rsidR="00AC13CE">
        <w:rPr>
          <w:rFonts w:eastAsia="Calibri"/>
        </w:rPr>
        <w:t>tes for relevant staff profiles, i.e.</w:t>
      </w:r>
      <w:r w:rsidR="00906912" w:rsidRPr="00CF01F5">
        <w:rPr>
          <w:rFonts w:eastAsia="Calibri"/>
        </w:rPr>
        <w:t xml:space="preserve"> staff involved in teaching modules on ITT relating to teaching STs about EAL. Upon finding relevant staff profiles, a list was made of their names and contact email addresses. The questionnaire was then sent to 204 ITT trainers across </w:t>
      </w:r>
      <w:r w:rsidR="00AC13CE">
        <w:rPr>
          <w:rFonts w:eastAsia="Calibri"/>
        </w:rPr>
        <w:t>the UK</w:t>
      </w:r>
      <w:r w:rsidR="00906912" w:rsidRPr="00CF01F5">
        <w:rPr>
          <w:rFonts w:eastAsia="Calibri"/>
        </w:rPr>
        <w:t>, 6</w:t>
      </w:r>
      <w:r w:rsidR="00AA605F">
        <w:rPr>
          <w:rFonts w:eastAsia="Calibri"/>
        </w:rPr>
        <w:t>2</w:t>
      </w:r>
      <w:r w:rsidR="00906912" w:rsidRPr="00CF01F5">
        <w:rPr>
          <w:rFonts w:eastAsia="Calibri"/>
        </w:rPr>
        <w:t xml:space="preserve"> of whom responded</w:t>
      </w:r>
      <w:r w:rsidR="00FE6B32">
        <w:rPr>
          <w:rFonts w:eastAsia="Calibri"/>
        </w:rPr>
        <w:t xml:space="preserve"> (30%</w:t>
      </w:r>
      <w:r w:rsidR="00BD1EF0">
        <w:rPr>
          <w:rFonts w:eastAsia="Calibri"/>
        </w:rPr>
        <w:t xml:space="preserve"> response rate</w:t>
      </w:r>
      <w:r w:rsidR="00FE6B32">
        <w:rPr>
          <w:rFonts w:eastAsia="Calibri"/>
        </w:rPr>
        <w:t>)</w:t>
      </w:r>
      <w:r w:rsidR="00AC13CE">
        <w:rPr>
          <w:rFonts w:eastAsia="Calibri"/>
        </w:rPr>
        <w:t xml:space="preserve">. </w:t>
      </w:r>
      <w:r w:rsidR="00CD2C3C">
        <w:rPr>
          <w:rFonts w:eastAsia="Calibri"/>
        </w:rPr>
        <w:t xml:space="preserve">Please see the table below for specific figures regarding responses to each question within the distributed questionnaire. </w:t>
      </w:r>
    </w:p>
    <w:tbl>
      <w:tblPr>
        <w:tblStyle w:val="TableGrid"/>
        <w:tblW w:w="0" w:type="auto"/>
        <w:tblLook w:val="04A0" w:firstRow="1" w:lastRow="0" w:firstColumn="1" w:lastColumn="0" w:noHBand="0" w:noVBand="1"/>
      </w:tblPr>
      <w:tblGrid>
        <w:gridCol w:w="4239"/>
        <w:gridCol w:w="4250"/>
      </w:tblGrid>
      <w:tr w:rsidR="00D6096A" w14:paraId="255AB5AB" w14:textId="77777777" w:rsidTr="009B5A46">
        <w:tc>
          <w:tcPr>
            <w:tcW w:w="4508" w:type="dxa"/>
          </w:tcPr>
          <w:p w14:paraId="4293EAD3" w14:textId="77777777" w:rsidR="00D6096A" w:rsidRPr="00B156B1" w:rsidRDefault="00D6096A" w:rsidP="009B5A46">
            <w:pPr>
              <w:rPr>
                <w:b/>
                <w:bCs/>
              </w:rPr>
            </w:pPr>
            <w:bookmarkStart w:id="1" w:name="_Hlk56690212"/>
            <w:r w:rsidRPr="00B156B1">
              <w:rPr>
                <w:b/>
                <w:bCs/>
              </w:rPr>
              <w:t>Question number</w:t>
            </w:r>
          </w:p>
        </w:tc>
        <w:tc>
          <w:tcPr>
            <w:tcW w:w="4508" w:type="dxa"/>
          </w:tcPr>
          <w:p w14:paraId="3FA483A2" w14:textId="77777777" w:rsidR="00D6096A" w:rsidRPr="00B156B1" w:rsidRDefault="00D6096A" w:rsidP="009B5A46">
            <w:pPr>
              <w:rPr>
                <w:b/>
                <w:bCs/>
              </w:rPr>
            </w:pPr>
            <w:r w:rsidRPr="00B156B1">
              <w:rPr>
                <w:b/>
                <w:bCs/>
              </w:rPr>
              <w:t xml:space="preserve">Responses </w:t>
            </w:r>
          </w:p>
        </w:tc>
      </w:tr>
      <w:tr w:rsidR="00D6096A" w14:paraId="4A4BA495" w14:textId="77777777" w:rsidTr="009B5A46">
        <w:tc>
          <w:tcPr>
            <w:tcW w:w="4508" w:type="dxa"/>
          </w:tcPr>
          <w:p w14:paraId="23F83677" w14:textId="77777777" w:rsidR="00D6096A" w:rsidRDefault="00D6096A" w:rsidP="009B5A46">
            <w:r>
              <w:t>1</w:t>
            </w:r>
          </w:p>
        </w:tc>
        <w:tc>
          <w:tcPr>
            <w:tcW w:w="4508" w:type="dxa"/>
          </w:tcPr>
          <w:p w14:paraId="044E48CD" w14:textId="77777777" w:rsidR="00D6096A" w:rsidRDefault="00D6096A" w:rsidP="009B5A46">
            <w:r>
              <w:t>62</w:t>
            </w:r>
          </w:p>
        </w:tc>
      </w:tr>
      <w:tr w:rsidR="00D6096A" w14:paraId="06B3845D" w14:textId="77777777" w:rsidTr="009B5A46">
        <w:tc>
          <w:tcPr>
            <w:tcW w:w="4508" w:type="dxa"/>
          </w:tcPr>
          <w:p w14:paraId="52F5C63D" w14:textId="77777777" w:rsidR="00D6096A" w:rsidRDefault="00D6096A" w:rsidP="009B5A46">
            <w:r>
              <w:t>2</w:t>
            </w:r>
          </w:p>
        </w:tc>
        <w:tc>
          <w:tcPr>
            <w:tcW w:w="4508" w:type="dxa"/>
          </w:tcPr>
          <w:p w14:paraId="39C2F165" w14:textId="77777777" w:rsidR="00D6096A" w:rsidRDefault="00D6096A" w:rsidP="009B5A46">
            <w:r>
              <w:t>60</w:t>
            </w:r>
          </w:p>
        </w:tc>
      </w:tr>
      <w:tr w:rsidR="00D6096A" w14:paraId="12A78D45" w14:textId="77777777" w:rsidTr="009B5A46">
        <w:tc>
          <w:tcPr>
            <w:tcW w:w="4508" w:type="dxa"/>
          </w:tcPr>
          <w:p w14:paraId="2FE9A101" w14:textId="77777777" w:rsidR="00D6096A" w:rsidRDefault="00D6096A" w:rsidP="009B5A46">
            <w:r>
              <w:t>3</w:t>
            </w:r>
          </w:p>
        </w:tc>
        <w:tc>
          <w:tcPr>
            <w:tcW w:w="4508" w:type="dxa"/>
          </w:tcPr>
          <w:p w14:paraId="30D26633" w14:textId="77777777" w:rsidR="00D6096A" w:rsidRDefault="00D6096A" w:rsidP="009B5A46">
            <w:r>
              <w:t>60</w:t>
            </w:r>
          </w:p>
        </w:tc>
      </w:tr>
      <w:tr w:rsidR="00D6096A" w14:paraId="5A2A2BDE" w14:textId="77777777" w:rsidTr="009B5A46">
        <w:tc>
          <w:tcPr>
            <w:tcW w:w="4508" w:type="dxa"/>
          </w:tcPr>
          <w:p w14:paraId="40E34245" w14:textId="77777777" w:rsidR="00D6096A" w:rsidRDefault="00D6096A" w:rsidP="009B5A46">
            <w:r>
              <w:t>4</w:t>
            </w:r>
          </w:p>
        </w:tc>
        <w:tc>
          <w:tcPr>
            <w:tcW w:w="4508" w:type="dxa"/>
          </w:tcPr>
          <w:p w14:paraId="69721F5D" w14:textId="77777777" w:rsidR="00D6096A" w:rsidRDefault="00D6096A" w:rsidP="009B5A46">
            <w:r>
              <w:t>58</w:t>
            </w:r>
          </w:p>
        </w:tc>
      </w:tr>
      <w:tr w:rsidR="00D6096A" w14:paraId="3A0B1F48" w14:textId="77777777" w:rsidTr="009B5A46">
        <w:tc>
          <w:tcPr>
            <w:tcW w:w="4508" w:type="dxa"/>
          </w:tcPr>
          <w:p w14:paraId="1EE1D1DF" w14:textId="77777777" w:rsidR="00D6096A" w:rsidRDefault="00D6096A" w:rsidP="009B5A46">
            <w:r>
              <w:t>5</w:t>
            </w:r>
          </w:p>
        </w:tc>
        <w:tc>
          <w:tcPr>
            <w:tcW w:w="4508" w:type="dxa"/>
          </w:tcPr>
          <w:p w14:paraId="583D12E7" w14:textId="77777777" w:rsidR="00D6096A" w:rsidRDefault="00D6096A" w:rsidP="009B5A46">
            <w:r>
              <w:t>55</w:t>
            </w:r>
          </w:p>
        </w:tc>
      </w:tr>
      <w:tr w:rsidR="00D6096A" w14:paraId="301D4448" w14:textId="77777777" w:rsidTr="009B5A46">
        <w:tc>
          <w:tcPr>
            <w:tcW w:w="4508" w:type="dxa"/>
          </w:tcPr>
          <w:p w14:paraId="57BBCE31" w14:textId="77777777" w:rsidR="00D6096A" w:rsidRDefault="00D6096A" w:rsidP="009B5A46">
            <w:r>
              <w:t>6</w:t>
            </w:r>
          </w:p>
        </w:tc>
        <w:tc>
          <w:tcPr>
            <w:tcW w:w="4508" w:type="dxa"/>
          </w:tcPr>
          <w:p w14:paraId="5AE2211D" w14:textId="77777777" w:rsidR="00D6096A" w:rsidRDefault="00D6096A" w:rsidP="009B5A46">
            <w:r>
              <w:t>55</w:t>
            </w:r>
          </w:p>
        </w:tc>
      </w:tr>
      <w:tr w:rsidR="00D6096A" w14:paraId="380D910C" w14:textId="77777777" w:rsidTr="009B5A46">
        <w:tc>
          <w:tcPr>
            <w:tcW w:w="4508" w:type="dxa"/>
          </w:tcPr>
          <w:p w14:paraId="6DD14376" w14:textId="77777777" w:rsidR="00D6096A" w:rsidRDefault="00D6096A" w:rsidP="009B5A46">
            <w:r>
              <w:t>7</w:t>
            </w:r>
          </w:p>
        </w:tc>
        <w:tc>
          <w:tcPr>
            <w:tcW w:w="4508" w:type="dxa"/>
          </w:tcPr>
          <w:p w14:paraId="101606BF" w14:textId="77777777" w:rsidR="00D6096A" w:rsidRDefault="00D6096A" w:rsidP="009B5A46">
            <w:r>
              <w:t>55</w:t>
            </w:r>
          </w:p>
        </w:tc>
      </w:tr>
      <w:tr w:rsidR="00D6096A" w14:paraId="55A813CA" w14:textId="77777777" w:rsidTr="009B5A46">
        <w:tc>
          <w:tcPr>
            <w:tcW w:w="4508" w:type="dxa"/>
          </w:tcPr>
          <w:p w14:paraId="7B825405" w14:textId="77777777" w:rsidR="00D6096A" w:rsidRDefault="00D6096A" w:rsidP="009B5A46">
            <w:r>
              <w:t>8</w:t>
            </w:r>
          </w:p>
        </w:tc>
        <w:tc>
          <w:tcPr>
            <w:tcW w:w="4508" w:type="dxa"/>
          </w:tcPr>
          <w:p w14:paraId="51DE3BC7" w14:textId="77777777" w:rsidR="00D6096A" w:rsidRDefault="00D6096A" w:rsidP="009B5A46">
            <w:r>
              <w:t xml:space="preserve">59 </w:t>
            </w:r>
          </w:p>
        </w:tc>
      </w:tr>
      <w:tr w:rsidR="00D6096A" w14:paraId="09779F66" w14:textId="77777777" w:rsidTr="009B5A46">
        <w:tc>
          <w:tcPr>
            <w:tcW w:w="4508" w:type="dxa"/>
          </w:tcPr>
          <w:p w14:paraId="2C0C05B3" w14:textId="77777777" w:rsidR="00D6096A" w:rsidRDefault="00D6096A" w:rsidP="009B5A46">
            <w:r>
              <w:t>9</w:t>
            </w:r>
          </w:p>
        </w:tc>
        <w:tc>
          <w:tcPr>
            <w:tcW w:w="4508" w:type="dxa"/>
          </w:tcPr>
          <w:p w14:paraId="64436B48" w14:textId="77777777" w:rsidR="00D6096A" w:rsidRDefault="00D6096A" w:rsidP="009B5A46">
            <w:r>
              <w:t>55</w:t>
            </w:r>
          </w:p>
        </w:tc>
      </w:tr>
      <w:tr w:rsidR="00D6096A" w14:paraId="3201BF6E" w14:textId="77777777" w:rsidTr="009B5A46">
        <w:tc>
          <w:tcPr>
            <w:tcW w:w="4508" w:type="dxa"/>
          </w:tcPr>
          <w:p w14:paraId="4D2AB14B" w14:textId="77777777" w:rsidR="00D6096A" w:rsidRDefault="00D6096A" w:rsidP="009B5A46">
            <w:r>
              <w:t>10</w:t>
            </w:r>
          </w:p>
        </w:tc>
        <w:tc>
          <w:tcPr>
            <w:tcW w:w="4508" w:type="dxa"/>
          </w:tcPr>
          <w:p w14:paraId="79E06EA6" w14:textId="77777777" w:rsidR="00D6096A" w:rsidRDefault="00D6096A" w:rsidP="009B5A46">
            <w:r>
              <w:t>55</w:t>
            </w:r>
          </w:p>
        </w:tc>
      </w:tr>
    </w:tbl>
    <w:p w14:paraId="1860328A" w14:textId="7C2BEF61" w:rsidR="00957CA9" w:rsidRPr="00D6096A" w:rsidRDefault="00D6096A" w:rsidP="00D6096A">
      <w:r>
        <w:t>Table 3: Questionnaire responses per item</w:t>
      </w:r>
    </w:p>
    <w:p w14:paraId="0D0E61D5" w14:textId="40891E21" w:rsidR="00D6096A" w:rsidRPr="00D6096A" w:rsidRDefault="00957CA9" w:rsidP="00D6096A">
      <w:pPr>
        <w:rPr>
          <w:b/>
          <w:bCs/>
        </w:rPr>
      </w:pPr>
      <w:r w:rsidRPr="00293D05">
        <w:rPr>
          <w:b/>
          <w:bCs/>
        </w:rPr>
        <w:t xml:space="preserve">Questionnaire Participant Characteristics </w:t>
      </w:r>
    </w:p>
    <w:tbl>
      <w:tblPr>
        <w:tblStyle w:val="TableGrid"/>
        <w:tblW w:w="0" w:type="auto"/>
        <w:tblLook w:val="04A0" w:firstRow="1" w:lastRow="0" w:firstColumn="1" w:lastColumn="0" w:noHBand="0" w:noVBand="1"/>
      </w:tblPr>
      <w:tblGrid>
        <w:gridCol w:w="4260"/>
        <w:gridCol w:w="4229"/>
      </w:tblGrid>
      <w:tr w:rsidR="00D6096A" w14:paraId="1275482D" w14:textId="77777777" w:rsidTr="009B5A46">
        <w:tc>
          <w:tcPr>
            <w:tcW w:w="4508" w:type="dxa"/>
          </w:tcPr>
          <w:p w14:paraId="7BCBE5E4" w14:textId="77777777" w:rsidR="00D6096A" w:rsidRDefault="00D6096A" w:rsidP="009B5A46">
            <w:r>
              <w:t>School teacher for more than ten years</w:t>
            </w:r>
          </w:p>
        </w:tc>
        <w:tc>
          <w:tcPr>
            <w:tcW w:w="4508" w:type="dxa"/>
          </w:tcPr>
          <w:p w14:paraId="583F60E6" w14:textId="77777777" w:rsidR="00D6096A" w:rsidRDefault="00D6096A" w:rsidP="009B5A46">
            <w:r>
              <w:t>50</w:t>
            </w:r>
          </w:p>
        </w:tc>
      </w:tr>
      <w:tr w:rsidR="00D6096A" w14:paraId="1DEC5837" w14:textId="77777777" w:rsidTr="009B5A46">
        <w:tc>
          <w:tcPr>
            <w:tcW w:w="4508" w:type="dxa"/>
          </w:tcPr>
          <w:p w14:paraId="385E9A0D" w14:textId="77777777" w:rsidR="00D6096A" w:rsidRDefault="00D6096A" w:rsidP="009B5A46">
            <w:r>
              <w:t>School teacher for 7-10 years</w:t>
            </w:r>
          </w:p>
        </w:tc>
        <w:tc>
          <w:tcPr>
            <w:tcW w:w="4508" w:type="dxa"/>
          </w:tcPr>
          <w:p w14:paraId="2048A4F0" w14:textId="77777777" w:rsidR="00D6096A" w:rsidRDefault="00D6096A" w:rsidP="009B5A46">
            <w:r>
              <w:t>5</w:t>
            </w:r>
          </w:p>
        </w:tc>
      </w:tr>
      <w:tr w:rsidR="00D6096A" w14:paraId="7F841A0F" w14:textId="77777777" w:rsidTr="009B5A46">
        <w:tc>
          <w:tcPr>
            <w:tcW w:w="4508" w:type="dxa"/>
          </w:tcPr>
          <w:p w14:paraId="0F010555" w14:textId="77777777" w:rsidR="00D6096A" w:rsidRDefault="00D6096A" w:rsidP="009B5A46">
            <w:r>
              <w:t>School teacher for 4-6 years</w:t>
            </w:r>
          </w:p>
        </w:tc>
        <w:tc>
          <w:tcPr>
            <w:tcW w:w="4508" w:type="dxa"/>
          </w:tcPr>
          <w:p w14:paraId="35364F11" w14:textId="77777777" w:rsidR="00D6096A" w:rsidRDefault="00D6096A" w:rsidP="009B5A46">
            <w:r>
              <w:t>7</w:t>
            </w:r>
          </w:p>
        </w:tc>
      </w:tr>
    </w:tbl>
    <w:p w14:paraId="09E8BE51" w14:textId="77777777" w:rsidR="00D6096A" w:rsidRDefault="00D6096A" w:rsidP="00D6096A">
      <w:r>
        <w:t>Table 4: Length of teaching experience</w:t>
      </w:r>
    </w:p>
    <w:p w14:paraId="1BD0E188" w14:textId="77777777" w:rsidR="00D6096A" w:rsidRDefault="00D6096A" w:rsidP="00D6096A"/>
    <w:tbl>
      <w:tblPr>
        <w:tblStyle w:val="TableGrid"/>
        <w:tblW w:w="0" w:type="auto"/>
        <w:tblLook w:val="04A0" w:firstRow="1" w:lastRow="0" w:firstColumn="1" w:lastColumn="0" w:noHBand="0" w:noVBand="1"/>
      </w:tblPr>
      <w:tblGrid>
        <w:gridCol w:w="4244"/>
        <w:gridCol w:w="4245"/>
      </w:tblGrid>
      <w:tr w:rsidR="00D6096A" w14:paraId="297D26C9" w14:textId="77777777" w:rsidTr="009B5A46">
        <w:tc>
          <w:tcPr>
            <w:tcW w:w="4244" w:type="dxa"/>
          </w:tcPr>
          <w:p w14:paraId="3768E570" w14:textId="77777777" w:rsidR="00D6096A" w:rsidRDefault="00D6096A" w:rsidP="009B5A46">
            <w:r>
              <w:t>0-1 year</w:t>
            </w:r>
          </w:p>
        </w:tc>
        <w:tc>
          <w:tcPr>
            <w:tcW w:w="4245" w:type="dxa"/>
          </w:tcPr>
          <w:p w14:paraId="4E36DB05" w14:textId="77777777" w:rsidR="00D6096A" w:rsidRDefault="00D6096A" w:rsidP="009B5A46">
            <w:r>
              <w:t>2</w:t>
            </w:r>
          </w:p>
        </w:tc>
      </w:tr>
      <w:tr w:rsidR="00D6096A" w14:paraId="7D6671CF" w14:textId="77777777" w:rsidTr="009B5A46">
        <w:tc>
          <w:tcPr>
            <w:tcW w:w="4244" w:type="dxa"/>
          </w:tcPr>
          <w:p w14:paraId="4145A9F0" w14:textId="77777777" w:rsidR="00D6096A" w:rsidRDefault="00D6096A" w:rsidP="009B5A46">
            <w:r>
              <w:t>1-5 years</w:t>
            </w:r>
          </w:p>
        </w:tc>
        <w:tc>
          <w:tcPr>
            <w:tcW w:w="4245" w:type="dxa"/>
          </w:tcPr>
          <w:p w14:paraId="28952984" w14:textId="77777777" w:rsidR="00D6096A" w:rsidRDefault="00D6096A" w:rsidP="009B5A46">
            <w:r>
              <w:t>22</w:t>
            </w:r>
          </w:p>
        </w:tc>
      </w:tr>
      <w:tr w:rsidR="00D6096A" w14:paraId="645B7C88" w14:textId="77777777" w:rsidTr="009B5A46">
        <w:tc>
          <w:tcPr>
            <w:tcW w:w="4244" w:type="dxa"/>
          </w:tcPr>
          <w:p w14:paraId="5E290FA1" w14:textId="77777777" w:rsidR="00D6096A" w:rsidRDefault="00D6096A" w:rsidP="009B5A46">
            <w:r>
              <w:t>6-10 years</w:t>
            </w:r>
          </w:p>
        </w:tc>
        <w:tc>
          <w:tcPr>
            <w:tcW w:w="4245" w:type="dxa"/>
          </w:tcPr>
          <w:p w14:paraId="68497006" w14:textId="77777777" w:rsidR="00D6096A" w:rsidRDefault="00D6096A" w:rsidP="009B5A46">
            <w:r>
              <w:t>14</w:t>
            </w:r>
          </w:p>
        </w:tc>
      </w:tr>
      <w:tr w:rsidR="00D6096A" w14:paraId="7261A58F" w14:textId="77777777" w:rsidTr="009B5A46">
        <w:tc>
          <w:tcPr>
            <w:tcW w:w="4244" w:type="dxa"/>
          </w:tcPr>
          <w:p w14:paraId="24C54BE5" w14:textId="77777777" w:rsidR="00D6096A" w:rsidRDefault="00D6096A" w:rsidP="009B5A46">
            <w:r>
              <w:t xml:space="preserve">11-15 years </w:t>
            </w:r>
          </w:p>
        </w:tc>
        <w:tc>
          <w:tcPr>
            <w:tcW w:w="4245" w:type="dxa"/>
          </w:tcPr>
          <w:p w14:paraId="3FFD458A" w14:textId="77777777" w:rsidR="00D6096A" w:rsidRDefault="00D6096A" w:rsidP="009B5A46">
            <w:r>
              <w:t>4</w:t>
            </w:r>
          </w:p>
        </w:tc>
      </w:tr>
      <w:tr w:rsidR="00D6096A" w14:paraId="3CED2245" w14:textId="77777777" w:rsidTr="009B5A46">
        <w:tc>
          <w:tcPr>
            <w:tcW w:w="4244" w:type="dxa"/>
          </w:tcPr>
          <w:p w14:paraId="27194467" w14:textId="77777777" w:rsidR="00D6096A" w:rsidRDefault="00D6096A" w:rsidP="009B5A46">
            <w:r>
              <w:t xml:space="preserve">16-20 years </w:t>
            </w:r>
          </w:p>
        </w:tc>
        <w:tc>
          <w:tcPr>
            <w:tcW w:w="4245" w:type="dxa"/>
          </w:tcPr>
          <w:p w14:paraId="0F61FB2A" w14:textId="77777777" w:rsidR="00D6096A" w:rsidRDefault="00D6096A" w:rsidP="009B5A46">
            <w:r>
              <w:t>5</w:t>
            </w:r>
          </w:p>
        </w:tc>
      </w:tr>
      <w:tr w:rsidR="00D6096A" w14:paraId="5BE2113F" w14:textId="77777777" w:rsidTr="009B5A46">
        <w:tc>
          <w:tcPr>
            <w:tcW w:w="4244" w:type="dxa"/>
          </w:tcPr>
          <w:p w14:paraId="70488AC1" w14:textId="77777777" w:rsidR="00D6096A" w:rsidRDefault="00D6096A" w:rsidP="009B5A46">
            <w:r>
              <w:t xml:space="preserve">21-25 years </w:t>
            </w:r>
          </w:p>
        </w:tc>
        <w:tc>
          <w:tcPr>
            <w:tcW w:w="4245" w:type="dxa"/>
          </w:tcPr>
          <w:p w14:paraId="29FFF837" w14:textId="77777777" w:rsidR="00D6096A" w:rsidRDefault="00D6096A" w:rsidP="009B5A46">
            <w:r>
              <w:t>2</w:t>
            </w:r>
          </w:p>
        </w:tc>
      </w:tr>
      <w:tr w:rsidR="00D6096A" w14:paraId="576A67F9" w14:textId="77777777" w:rsidTr="009B5A46">
        <w:tc>
          <w:tcPr>
            <w:tcW w:w="4244" w:type="dxa"/>
          </w:tcPr>
          <w:p w14:paraId="0ABC91BB" w14:textId="77777777" w:rsidR="00D6096A" w:rsidRDefault="00D6096A" w:rsidP="009B5A46">
            <w:r>
              <w:t>26-30 years</w:t>
            </w:r>
          </w:p>
        </w:tc>
        <w:tc>
          <w:tcPr>
            <w:tcW w:w="4245" w:type="dxa"/>
          </w:tcPr>
          <w:p w14:paraId="7F2F5F5D" w14:textId="77777777" w:rsidR="00D6096A" w:rsidRDefault="00D6096A" w:rsidP="009B5A46">
            <w:r>
              <w:t>3</w:t>
            </w:r>
          </w:p>
        </w:tc>
      </w:tr>
    </w:tbl>
    <w:p w14:paraId="28239898" w14:textId="77777777" w:rsidR="00D6096A" w:rsidRDefault="00D6096A" w:rsidP="00D6096A">
      <w:pPr>
        <w:pStyle w:val="Newparagraph"/>
        <w:spacing w:line="240" w:lineRule="auto"/>
        <w:ind w:firstLine="0"/>
      </w:pPr>
      <w:r>
        <w:t>Table 5: Higher Education lecturing experience</w:t>
      </w:r>
    </w:p>
    <w:p w14:paraId="7CA052C5" w14:textId="77777777" w:rsidR="00D6096A" w:rsidRDefault="00D6096A" w:rsidP="00D6096A"/>
    <w:tbl>
      <w:tblPr>
        <w:tblStyle w:val="TableGrid"/>
        <w:tblW w:w="0" w:type="auto"/>
        <w:tblLook w:val="04A0" w:firstRow="1" w:lastRow="0" w:firstColumn="1" w:lastColumn="0" w:noHBand="0" w:noVBand="1"/>
      </w:tblPr>
      <w:tblGrid>
        <w:gridCol w:w="4244"/>
        <w:gridCol w:w="4245"/>
      </w:tblGrid>
      <w:tr w:rsidR="00D6096A" w14:paraId="577818FD" w14:textId="77777777" w:rsidTr="009B5A46">
        <w:tc>
          <w:tcPr>
            <w:tcW w:w="4244" w:type="dxa"/>
          </w:tcPr>
          <w:p w14:paraId="2D9459A9" w14:textId="77777777" w:rsidR="00D6096A" w:rsidRDefault="00D6096A" w:rsidP="009B5A46">
            <w:pPr>
              <w:pStyle w:val="Newparagraph"/>
              <w:ind w:firstLine="0"/>
            </w:pPr>
            <w:r>
              <w:t>Significant</w:t>
            </w:r>
          </w:p>
        </w:tc>
        <w:tc>
          <w:tcPr>
            <w:tcW w:w="4245" w:type="dxa"/>
          </w:tcPr>
          <w:p w14:paraId="2F40793E" w14:textId="77777777" w:rsidR="00D6096A" w:rsidRDefault="00D6096A" w:rsidP="009B5A46">
            <w:pPr>
              <w:pStyle w:val="Newparagraph"/>
              <w:ind w:firstLine="0"/>
            </w:pPr>
            <w:r>
              <w:t>18</w:t>
            </w:r>
          </w:p>
        </w:tc>
      </w:tr>
      <w:tr w:rsidR="00D6096A" w14:paraId="127FD168" w14:textId="77777777" w:rsidTr="009B5A46">
        <w:tc>
          <w:tcPr>
            <w:tcW w:w="4244" w:type="dxa"/>
          </w:tcPr>
          <w:p w14:paraId="3563771B" w14:textId="77777777" w:rsidR="00D6096A" w:rsidRDefault="00D6096A" w:rsidP="009B5A46">
            <w:pPr>
              <w:pStyle w:val="Newparagraph"/>
              <w:ind w:firstLine="0"/>
            </w:pPr>
            <w:r>
              <w:t>Enough</w:t>
            </w:r>
          </w:p>
        </w:tc>
        <w:tc>
          <w:tcPr>
            <w:tcW w:w="4245" w:type="dxa"/>
          </w:tcPr>
          <w:p w14:paraId="43DD0E71" w14:textId="77777777" w:rsidR="00D6096A" w:rsidRDefault="00D6096A" w:rsidP="009B5A46">
            <w:pPr>
              <w:pStyle w:val="Newparagraph"/>
              <w:ind w:firstLine="0"/>
            </w:pPr>
            <w:r>
              <w:t>2</w:t>
            </w:r>
          </w:p>
        </w:tc>
      </w:tr>
      <w:tr w:rsidR="00D6096A" w14:paraId="2D12518F" w14:textId="77777777" w:rsidTr="009B5A46">
        <w:tc>
          <w:tcPr>
            <w:tcW w:w="4244" w:type="dxa"/>
          </w:tcPr>
          <w:p w14:paraId="4C9139C7" w14:textId="77777777" w:rsidR="00D6096A" w:rsidRDefault="00D6096A" w:rsidP="009B5A46">
            <w:pPr>
              <w:pStyle w:val="Newparagraph"/>
              <w:ind w:firstLine="0"/>
            </w:pPr>
            <w:r>
              <w:t>Some</w:t>
            </w:r>
          </w:p>
        </w:tc>
        <w:tc>
          <w:tcPr>
            <w:tcW w:w="4245" w:type="dxa"/>
          </w:tcPr>
          <w:p w14:paraId="7A626D91" w14:textId="77777777" w:rsidR="00D6096A" w:rsidRDefault="00D6096A" w:rsidP="009B5A46">
            <w:pPr>
              <w:pStyle w:val="Newparagraph"/>
              <w:ind w:firstLine="0"/>
            </w:pPr>
            <w:r>
              <w:t>8</w:t>
            </w:r>
          </w:p>
        </w:tc>
      </w:tr>
      <w:tr w:rsidR="00D6096A" w14:paraId="5145F0B5" w14:textId="77777777" w:rsidTr="009B5A46">
        <w:tc>
          <w:tcPr>
            <w:tcW w:w="4244" w:type="dxa"/>
          </w:tcPr>
          <w:p w14:paraId="32CF946C" w14:textId="77777777" w:rsidR="00D6096A" w:rsidRDefault="00D6096A" w:rsidP="009B5A46">
            <w:pPr>
              <w:pStyle w:val="Newparagraph"/>
              <w:ind w:firstLine="0"/>
            </w:pPr>
            <w:r>
              <w:t>Not very much</w:t>
            </w:r>
          </w:p>
        </w:tc>
        <w:tc>
          <w:tcPr>
            <w:tcW w:w="4245" w:type="dxa"/>
          </w:tcPr>
          <w:p w14:paraId="607DB2EC" w14:textId="77777777" w:rsidR="00D6096A" w:rsidRDefault="00D6096A" w:rsidP="009B5A46">
            <w:pPr>
              <w:pStyle w:val="Newparagraph"/>
              <w:ind w:firstLine="0"/>
            </w:pPr>
            <w:r>
              <w:t>3</w:t>
            </w:r>
          </w:p>
        </w:tc>
      </w:tr>
      <w:tr w:rsidR="00D6096A" w14:paraId="6F25C46E" w14:textId="77777777" w:rsidTr="009B5A46">
        <w:tc>
          <w:tcPr>
            <w:tcW w:w="4244" w:type="dxa"/>
          </w:tcPr>
          <w:p w14:paraId="03303BF4" w14:textId="77777777" w:rsidR="00D6096A" w:rsidRDefault="00D6096A" w:rsidP="009B5A46">
            <w:pPr>
              <w:pStyle w:val="Newparagraph"/>
              <w:ind w:firstLine="0"/>
            </w:pPr>
            <w:r>
              <w:t xml:space="preserve">Insufficient </w:t>
            </w:r>
          </w:p>
        </w:tc>
        <w:tc>
          <w:tcPr>
            <w:tcW w:w="4245" w:type="dxa"/>
          </w:tcPr>
          <w:p w14:paraId="6C78BE34" w14:textId="77777777" w:rsidR="00D6096A" w:rsidRDefault="00D6096A" w:rsidP="009B5A46">
            <w:pPr>
              <w:pStyle w:val="Newparagraph"/>
              <w:ind w:firstLine="0"/>
            </w:pPr>
            <w:r>
              <w:t>5</w:t>
            </w:r>
          </w:p>
        </w:tc>
      </w:tr>
      <w:tr w:rsidR="00D6096A" w14:paraId="03666500" w14:textId="77777777" w:rsidTr="009B5A46">
        <w:tc>
          <w:tcPr>
            <w:tcW w:w="4244" w:type="dxa"/>
          </w:tcPr>
          <w:p w14:paraId="16EDA454" w14:textId="77777777" w:rsidR="00D6096A" w:rsidRDefault="00D6096A" w:rsidP="009B5A46">
            <w:pPr>
              <w:pStyle w:val="Newparagraph"/>
              <w:ind w:firstLine="0"/>
            </w:pPr>
            <w:r>
              <w:t>10+ years</w:t>
            </w:r>
          </w:p>
        </w:tc>
        <w:tc>
          <w:tcPr>
            <w:tcW w:w="4245" w:type="dxa"/>
          </w:tcPr>
          <w:p w14:paraId="35C5E170" w14:textId="77777777" w:rsidR="00D6096A" w:rsidRDefault="00D6096A" w:rsidP="009B5A46">
            <w:pPr>
              <w:pStyle w:val="Newparagraph"/>
              <w:ind w:firstLine="0"/>
            </w:pPr>
            <w:r>
              <w:t>10</w:t>
            </w:r>
          </w:p>
        </w:tc>
      </w:tr>
      <w:tr w:rsidR="00D6096A" w14:paraId="62D67009" w14:textId="77777777" w:rsidTr="009B5A46">
        <w:tc>
          <w:tcPr>
            <w:tcW w:w="4244" w:type="dxa"/>
          </w:tcPr>
          <w:p w14:paraId="0A3D6647" w14:textId="77777777" w:rsidR="00D6096A" w:rsidRDefault="00D6096A" w:rsidP="009B5A46">
            <w:pPr>
              <w:pStyle w:val="Newparagraph"/>
              <w:ind w:firstLine="0"/>
            </w:pPr>
            <w:r>
              <w:t>5-10 years</w:t>
            </w:r>
          </w:p>
        </w:tc>
        <w:tc>
          <w:tcPr>
            <w:tcW w:w="4245" w:type="dxa"/>
          </w:tcPr>
          <w:p w14:paraId="70896AE3" w14:textId="77777777" w:rsidR="00D6096A" w:rsidRDefault="00D6096A" w:rsidP="009B5A46">
            <w:pPr>
              <w:pStyle w:val="Newparagraph"/>
              <w:ind w:firstLine="0"/>
            </w:pPr>
            <w:r>
              <w:t>2</w:t>
            </w:r>
          </w:p>
        </w:tc>
      </w:tr>
      <w:tr w:rsidR="00D6096A" w14:paraId="6AC44198" w14:textId="77777777" w:rsidTr="009B5A46">
        <w:tc>
          <w:tcPr>
            <w:tcW w:w="4244" w:type="dxa"/>
          </w:tcPr>
          <w:p w14:paraId="579506EC" w14:textId="77777777" w:rsidR="00D6096A" w:rsidRDefault="00D6096A" w:rsidP="009B5A46">
            <w:pPr>
              <w:pStyle w:val="Newparagraph"/>
              <w:ind w:firstLine="0"/>
            </w:pPr>
            <w:r>
              <w:t xml:space="preserve">Experience with Higher Education EAL students </w:t>
            </w:r>
          </w:p>
        </w:tc>
        <w:tc>
          <w:tcPr>
            <w:tcW w:w="4245" w:type="dxa"/>
          </w:tcPr>
          <w:p w14:paraId="0B377D08" w14:textId="77777777" w:rsidR="00D6096A" w:rsidRDefault="00D6096A" w:rsidP="009B5A46">
            <w:pPr>
              <w:pStyle w:val="Newparagraph"/>
              <w:ind w:firstLine="0"/>
            </w:pPr>
            <w:r>
              <w:t>1</w:t>
            </w:r>
          </w:p>
        </w:tc>
      </w:tr>
      <w:tr w:rsidR="00D6096A" w14:paraId="70F3B334" w14:textId="77777777" w:rsidTr="009B5A46">
        <w:tc>
          <w:tcPr>
            <w:tcW w:w="4244" w:type="dxa"/>
          </w:tcPr>
          <w:p w14:paraId="06154C13" w14:textId="77777777" w:rsidR="00D6096A" w:rsidRDefault="00D6096A" w:rsidP="009B5A46">
            <w:pPr>
              <w:pStyle w:val="Newparagraph"/>
              <w:ind w:firstLine="0"/>
            </w:pPr>
            <w:r>
              <w:t>Taught EAL pupils before</w:t>
            </w:r>
          </w:p>
        </w:tc>
        <w:tc>
          <w:tcPr>
            <w:tcW w:w="4245" w:type="dxa"/>
          </w:tcPr>
          <w:p w14:paraId="7A141EEF" w14:textId="77777777" w:rsidR="00D6096A" w:rsidRDefault="00D6096A" w:rsidP="009B5A46">
            <w:pPr>
              <w:pStyle w:val="Newparagraph"/>
              <w:ind w:firstLine="0"/>
            </w:pPr>
            <w:r>
              <w:t>5</w:t>
            </w:r>
          </w:p>
        </w:tc>
      </w:tr>
    </w:tbl>
    <w:p w14:paraId="60D3935E" w14:textId="1067F422" w:rsidR="00957CA9" w:rsidRDefault="00D6096A" w:rsidP="00EA3E98">
      <w:pPr>
        <w:pStyle w:val="Newparagraph"/>
        <w:ind w:firstLine="0"/>
      </w:pPr>
      <w:r w:rsidRPr="006E0BAB">
        <w:rPr>
          <w:rFonts w:eastAsia="Calibri"/>
        </w:rPr>
        <w:t xml:space="preserve">Table 6: </w:t>
      </w:r>
      <w:r w:rsidRPr="006E0BAB">
        <w:t>Experience</w:t>
      </w:r>
      <w:r>
        <w:t xml:space="preserve"> with EAL learners</w:t>
      </w:r>
    </w:p>
    <w:p w14:paraId="42739F15" w14:textId="77777777" w:rsidR="00D6096A" w:rsidRDefault="00D6096A" w:rsidP="00D6096A"/>
    <w:tbl>
      <w:tblPr>
        <w:tblStyle w:val="TableGrid"/>
        <w:tblW w:w="0" w:type="auto"/>
        <w:tblLook w:val="04A0" w:firstRow="1" w:lastRow="0" w:firstColumn="1" w:lastColumn="0" w:noHBand="0" w:noVBand="1"/>
      </w:tblPr>
      <w:tblGrid>
        <w:gridCol w:w="4275"/>
        <w:gridCol w:w="4214"/>
      </w:tblGrid>
      <w:tr w:rsidR="00D6096A" w14:paraId="264FE309" w14:textId="77777777" w:rsidTr="009B5A46">
        <w:tc>
          <w:tcPr>
            <w:tcW w:w="4508" w:type="dxa"/>
          </w:tcPr>
          <w:p w14:paraId="68AAC95C" w14:textId="77777777" w:rsidR="00D6096A" w:rsidRDefault="00D6096A" w:rsidP="009B5A46">
            <w:r>
              <w:t>Did not receive any EAL training, or if they did, they did not remember it.</w:t>
            </w:r>
          </w:p>
        </w:tc>
        <w:tc>
          <w:tcPr>
            <w:tcW w:w="4508" w:type="dxa"/>
          </w:tcPr>
          <w:p w14:paraId="7AFBBB5D" w14:textId="77777777" w:rsidR="00D6096A" w:rsidRDefault="00D6096A" w:rsidP="009B5A46">
            <w:r>
              <w:t>6</w:t>
            </w:r>
          </w:p>
        </w:tc>
      </w:tr>
      <w:tr w:rsidR="00D6096A" w14:paraId="42D89362" w14:textId="77777777" w:rsidTr="009B5A46">
        <w:tc>
          <w:tcPr>
            <w:tcW w:w="4508" w:type="dxa"/>
          </w:tcPr>
          <w:p w14:paraId="61C59AAC" w14:textId="77777777" w:rsidR="00D6096A" w:rsidRDefault="00D6096A" w:rsidP="009B5A46">
            <w:r>
              <w:t xml:space="preserve">Received a bit of EAL training, but could not fully remember </w:t>
            </w:r>
          </w:p>
        </w:tc>
        <w:tc>
          <w:tcPr>
            <w:tcW w:w="4508" w:type="dxa"/>
          </w:tcPr>
          <w:p w14:paraId="74CBA07B" w14:textId="77777777" w:rsidR="00D6096A" w:rsidRDefault="00D6096A" w:rsidP="009B5A46">
            <w:r>
              <w:t xml:space="preserve">1 </w:t>
            </w:r>
          </w:p>
        </w:tc>
      </w:tr>
      <w:tr w:rsidR="00D6096A" w14:paraId="714B9416" w14:textId="77777777" w:rsidTr="009B5A46">
        <w:tc>
          <w:tcPr>
            <w:tcW w:w="4508" w:type="dxa"/>
          </w:tcPr>
          <w:p w14:paraId="099AE475" w14:textId="77777777" w:rsidR="00D6096A" w:rsidRDefault="00D6096A" w:rsidP="009B5A46">
            <w:r>
              <w:t>Received extensive training in EAL due to her course being based on equality</w:t>
            </w:r>
          </w:p>
        </w:tc>
        <w:tc>
          <w:tcPr>
            <w:tcW w:w="4508" w:type="dxa"/>
          </w:tcPr>
          <w:p w14:paraId="163B056B" w14:textId="77777777" w:rsidR="00D6096A" w:rsidRDefault="00D6096A" w:rsidP="009B5A46">
            <w:r>
              <w:t>1</w:t>
            </w:r>
          </w:p>
        </w:tc>
      </w:tr>
    </w:tbl>
    <w:p w14:paraId="7B7D155C" w14:textId="77777777" w:rsidR="00D6096A" w:rsidRDefault="00D6096A" w:rsidP="00D6096A">
      <w:r>
        <w:t>Table 7: EAL training</w:t>
      </w:r>
    </w:p>
    <w:p w14:paraId="7F0D75F8" w14:textId="77777777" w:rsidR="00D6096A" w:rsidRDefault="00D6096A" w:rsidP="00EA3E98">
      <w:pPr>
        <w:pStyle w:val="Newparagraph"/>
        <w:ind w:firstLine="0"/>
        <w:rPr>
          <w:rFonts w:eastAsia="Calibri"/>
        </w:rPr>
      </w:pPr>
    </w:p>
    <w:p w14:paraId="0B9F3F5A" w14:textId="7C4915F6" w:rsidR="00EA3E98" w:rsidRDefault="00EE1B94" w:rsidP="00EA3E98">
      <w:pPr>
        <w:pStyle w:val="Newparagraph"/>
        <w:ind w:firstLine="0"/>
        <w:rPr>
          <w:rFonts w:eastAsia="Calibri"/>
        </w:rPr>
      </w:pPr>
      <w:r>
        <w:rPr>
          <w:rFonts w:eastAsia="Calibri"/>
        </w:rPr>
        <w:t>Q</w:t>
      </w:r>
      <w:r w:rsidRPr="00CF01F5">
        <w:rPr>
          <w:rFonts w:eastAsia="Calibri"/>
        </w:rPr>
        <w:t xml:space="preserve">uestionnaire participants were invited to leave their email address if they were happy to be contacted regarding a Skype or phone call interview. </w:t>
      </w:r>
      <w:r>
        <w:rPr>
          <w:rFonts w:eastAsia="Calibri"/>
          <w:color w:val="000000" w:themeColor="text1"/>
        </w:rPr>
        <w:t>Following the survey, the researcher (first author) undertook eight semi-structured interviews.</w:t>
      </w:r>
      <w:r w:rsidRPr="00CF01F5">
        <w:rPr>
          <w:rFonts w:eastAsia="Calibri"/>
          <w:color w:val="000000" w:themeColor="text1"/>
        </w:rPr>
        <w:t xml:space="preserve"> </w:t>
      </w:r>
      <w:r>
        <w:rPr>
          <w:rFonts w:eastAsia="Calibri"/>
        </w:rPr>
        <w:t>S</w:t>
      </w:r>
      <w:r w:rsidRPr="00CF01F5">
        <w:rPr>
          <w:rFonts w:eastAsia="Calibri"/>
        </w:rPr>
        <w:t xml:space="preserve">even of </w:t>
      </w:r>
      <w:r>
        <w:rPr>
          <w:rFonts w:eastAsia="Calibri"/>
        </w:rPr>
        <w:t xml:space="preserve">these participants had </w:t>
      </w:r>
      <w:r w:rsidRPr="00CF01F5">
        <w:rPr>
          <w:rFonts w:eastAsia="Calibri"/>
        </w:rPr>
        <w:t xml:space="preserve">completed the questionnaire, </w:t>
      </w:r>
      <w:r>
        <w:rPr>
          <w:rFonts w:eastAsia="Calibri"/>
        </w:rPr>
        <w:t>and the final one was</w:t>
      </w:r>
      <w:r w:rsidRPr="00CF01F5">
        <w:rPr>
          <w:rFonts w:eastAsia="Calibri"/>
        </w:rPr>
        <w:t xml:space="preserve"> </w:t>
      </w:r>
      <w:r w:rsidR="00091BF8">
        <w:rPr>
          <w:rFonts w:eastAsia="Calibri"/>
        </w:rPr>
        <w:t>an additional participant</w:t>
      </w:r>
      <w:r w:rsidRPr="00CF01F5">
        <w:rPr>
          <w:rFonts w:eastAsia="Calibri"/>
        </w:rPr>
        <w:t xml:space="preserve"> interview</w:t>
      </w:r>
      <w:r>
        <w:rPr>
          <w:rFonts w:eastAsia="Calibri"/>
        </w:rPr>
        <w:t xml:space="preserve">. </w:t>
      </w:r>
    </w:p>
    <w:p w14:paraId="45E2112E" w14:textId="520B03D7" w:rsidR="005A6DBF" w:rsidRDefault="00EE1B94" w:rsidP="002145B8">
      <w:pPr>
        <w:pStyle w:val="Newparagraph"/>
      </w:pPr>
      <w:r w:rsidRPr="007B0360">
        <w:t>After the interviews were conducte</w:t>
      </w:r>
      <w:r>
        <w:t>d the data was transcribed and</w:t>
      </w:r>
      <w:r w:rsidRPr="007B0360">
        <w:t xml:space="preserve"> the questio</w:t>
      </w:r>
      <w:r>
        <w:t>nnaire and interview responses were thematically analysed</w:t>
      </w:r>
      <w:r w:rsidR="001B01BF">
        <w:t xml:space="preserve"> initially by examining word frequency to establish the key themes</w:t>
      </w:r>
      <w:r w:rsidR="002145B8">
        <w:t xml:space="preserve"> enabling a quantitative analysis into the word frequency whilst revealing the key themes within the data. C</w:t>
      </w:r>
      <w:r w:rsidR="001B01BF">
        <w:t xml:space="preserve">olour coding was then employed to </w:t>
      </w:r>
      <w:r w:rsidR="002145B8">
        <w:t xml:space="preserve">enable separation of the data to further examine specific responses and their implications. </w:t>
      </w:r>
      <w:r w:rsidR="005A6DBF">
        <w:t xml:space="preserve">As the interview data was </w:t>
      </w:r>
      <w:r w:rsidR="00610FF1">
        <w:t xml:space="preserve">essentially </w:t>
      </w:r>
      <w:r w:rsidR="005A6DBF">
        <w:t xml:space="preserve">an extension of the initial questionnaire data and as such served as </w:t>
      </w:r>
      <w:r w:rsidR="00610FF1">
        <w:t>a</w:t>
      </w:r>
      <w:r w:rsidR="005A6DBF">
        <w:t xml:space="preserve">n additional commentary which </w:t>
      </w:r>
      <w:r w:rsidR="00610FF1">
        <w:t>corroborated and supported</w:t>
      </w:r>
      <w:r w:rsidR="005A6DBF">
        <w:t xml:space="preserve"> the initial data set, we subsequently analysed the data as one complementary, interlinked data set. </w:t>
      </w:r>
    </w:p>
    <w:bookmarkEnd w:id="1"/>
    <w:p w14:paraId="560A983D" w14:textId="6C97C22E" w:rsidR="00627E4B" w:rsidRDefault="00F21D74" w:rsidP="00627E4B">
      <w:pPr>
        <w:pStyle w:val="Heading1"/>
        <w:rPr>
          <w:rFonts w:eastAsia="Calibri"/>
        </w:rPr>
      </w:pPr>
      <w:r>
        <w:rPr>
          <w:rFonts w:eastAsia="Calibri"/>
        </w:rPr>
        <w:t>Findings</w:t>
      </w:r>
      <w:r w:rsidR="00FC3A5D">
        <w:rPr>
          <w:rFonts w:eastAsia="Calibri"/>
        </w:rPr>
        <w:t xml:space="preserve"> and discussion</w:t>
      </w:r>
    </w:p>
    <w:p w14:paraId="149CDCC0" w14:textId="5BC429B9" w:rsidR="00B825B5" w:rsidRPr="00E07DC3" w:rsidRDefault="00EC7231" w:rsidP="00BD1EF0">
      <w:pPr>
        <w:pStyle w:val="Paragraph"/>
      </w:pPr>
      <w:r>
        <w:t>B</w:t>
      </w:r>
      <w:r w:rsidR="00687414">
        <w:t xml:space="preserve">oth </w:t>
      </w:r>
      <w:r>
        <w:t xml:space="preserve">the questionnaire and interview </w:t>
      </w:r>
      <w:r w:rsidR="00687414">
        <w:t xml:space="preserve">data sets were thematically analysed </w:t>
      </w:r>
      <w:r>
        <w:t>and revealed that t</w:t>
      </w:r>
      <w:r w:rsidR="00C948FF">
        <w:t>he key emerg</w:t>
      </w:r>
      <w:r>
        <w:t>ing themes</w:t>
      </w:r>
      <w:r w:rsidR="00C948FF">
        <w:t xml:space="preserve"> </w:t>
      </w:r>
      <w:r w:rsidR="009002B1">
        <w:t>we</w:t>
      </w:r>
      <w:r w:rsidR="00364B92">
        <w:t xml:space="preserve">re focused </w:t>
      </w:r>
      <w:r w:rsidR="00A16F17">
        <w:t>around</w:t>
      </w:r>
      <w:r w:rsidR="00364B92">
        <w:t xml:space="preserve"> </w:t>
      </w:r>
      <w:r w:rsidR="00FA7087">
        <w:t>priorities in the education sector</w:t>
      </w:r>
      <w:r>
        <w:t xml:space="preserve">; </w:t>
      </w:r>
      <w:r w:rsidR="00832C45">
        <w:t>the balance bet</w:t>
      </w:r>
      <w:r w:rsidR="00FA7087">
        <w:t>ween practice and theory in ITT</w:t>
      </w:r>
      <w:r>
        <w:t>;</w:t>
      </w:r>
      <w:r w:rsidR="00832C45">
        <w:t xml:space="preserve"> </w:t>
      </w:r>
      <w:r w:rsidR="00FA7087">
        <w:t xml:space="preserve">and </w:t>
      </w:r>
      <w:r w:rsidR="00832C45">
        <w:t>the very notion of what being adequately prepared as a ST means to the participants</w:t>
      </w:r>
      <w:r>
        <w:t>. In addition to those themes,</w:t>
      </w:r>
      <w:r w:rsidR="00A16F17">
        <w:t xml:space="preserve"> </w:t>
      </w:r>
      <w:r>
        <w:t xml:space="preserve">the </w:t>
      </w:r>
      <w:r w:rsidR="00A16F17">
        <w:t>reported confidence levels from TEs with regards to preparing STs to work effectively with children who speak languages beyond English</w:t>
      </w:r>
      <w:r>
        <w:t xml:space="preserve"> was a theme of note</w:t>
      </w:r>
      <w:r w:rsidR="00832C45">
        <w:t xml:space="preserve">. Findings on these themes are presented </w:t>
      </w:r>
      <w:r w:rsidR="00CB6923">
        <w:t>and discussed below.</w:t>
      </w:r>
      <w:r w:rsidR="00BD1EF0" w:rsidRPr="00E07DC3">
        <w:t xml:space="preserve"> </w:t>
      </w:r>
    </w:p>
    <w:p w14:paraId="4BFB6198" w14:textId="77777777" w:rsidR="00FA7087" w:rsidRPr="00C9290F" w:rsidRDefault="00FA7087" w:rsidP="00FA7087">
      <w:pPr>
        <w:pStyle w:val="Heading2"/>
      </w:pPr>
      <w:r>
        <w:t xml:space="preserve">Education sector: priorities and attitudes </w:t>
      </w:r>
    </w:p>
    <w:p w14:paraId="4635F2D6" w14:textId="7BD4ACE3" w:rsidR="003D038D" w:rsidRDefault="00F9634D" w:rsidP="009002B1">
      <w:pPr>
        <w:spacing w:after="160"/>
        <w:rPr>
          <w:rFonts w:eastAsia="Calibri"/>
          <w:szCs w:val="22"/>
          <w:lang w:eastAsia="en-US"/>
        </w:rPr>
      </w:pPr>
      <w:r>
        <w:rPr>
          <w:rFonts w:eastAsia="Calibri"/>
          <w:szCs w:val="22"/>
          <w:lang w:eastAsia="en-US"/>
        </w:rPr>
        <w:t>A</w:t>
      </w:r>
      <w:r w:rsidR="00C06D84">
        <w:rPr>
          <w:rFonts w:eastAsia="Calibri"/>
          <w:szCs w:val="22"/>
          <w:lang w:eastAsia="en-US"/>
        </w:rPr>
        <w:t xml:space="preserve">s a result of the initial questionnaire data revealing that EAL is not a current priority in ITE, </w:t>
      </w:r>
      <w:r>
        <w:rPr>
          <w:rFonts w:eastAsia="Calibri"/>
          <w:szCs w:val="22"/>
          <w:lang w:eastAsia="en-US"/>
        </w:rPr>
        <w:t xml:space="preserve">a key follow-up question </w:t>
      </w:r>
      <w:r w:rsidR="00C06D84">
        <w:rPr>
          <w:rFonts w:eastAsia="Calibri"/>
          <w:szCs w:val="22"/>
          <w:lang w:eastAsia="en-US"/>
        </w:rPr>
        <w:t xml:space="preserve">was about the current priorities in ITE and in schools. This line of enquiry allowed us to understand why EAL </w:t>
      </w:r>
      <w:r w:rsidR="003D038D">
        <w:rPr>
          <w:rFonts w:eastAsia="Calibri"/>
          <w:szCs w:val="22"/>
          <w:lang w:eastAsia="en-US"/>
        </w:rPr>
        <w:t xml:space="preserve">is not currently a main priority within </w:t>
      </w:r>
      <w:r w:rsidR="00C06D84">
        <w:rPr>
          <w:rFonts w:eastAsia="Calibri"/>
          <w:szCs w:val="22"/>
          <w:lang w:eastAsia="en-US"/>
        </w:rPr>
        <w:t xml:space="preserve">ITE, </w:t>
      </w:r>
      <w:r w:rsidR="003D038D">
        <w:rPr>
          <w:rFonts w:eastAsia="Calibri"/>
          <w:szCs w:val="22"/>
          <w:lang w:eastAsia="en-US"/>
        </w:rPr>
        <w:t>as without this understanding of the current priorities we cannot effectively put forth valuable recommendations for how ITE on EAL could be improved in alignment with the current schools’ and curricul</w:t>
      </w:r>
      <w:r>
        <w:rPr>
          <w:rFonts w:eastAsia="Calibri"/>
          <w:szCs w:val="22"/>
          <w:lang w:eastAsia="en-US"/>
        </w:rPr>
        <w:t>ar</w:t>
      </w:r>
      <w:r w:rsidR="003D038D">
        <w:rPr>
          <w:rFonts w:eastAsia="Calibri"/>
          <w:szCs w:val="22"/>
          <w:lang w:eastAsia="en-US"/>
        </w:rPr>
        <w:t xml:space="preserve"> priorities. In addition to this, </w:t>
      </w:r>
      <w:r w:rsidR="00325173">
        <w:rPr>
          <w:rFonts w:eastAsia="Calibri"/>
          <w:szCs w:val="22"/>
          <w:lang w:eastAsia="en-US"/>
        </w:rPr>
        <w:t xml:space="preserve">we also asked TEs </w:t>
      </w:r>
      <w:r>
        <w:rPr>
          <w:rFonts w:eastAsia="Calibri"/>
          <w:szCs w:val="22"/>
          <w:lang w:eastAsia="en-US"/>
        </w:rPr>
        <w:t xml:space="preserve">what they </w:t>
      </w:r>
      <w:r w:rsidR="00325173">
        <w:rPr>
          <w:rFonts w:eastAsia="Calibri"/>
          <w:szCs w:val="22"/>
          <w:lang w:eastAsia="en-US"/>
        </w:rPr>
        <w:t xml:space="preserve">consider </w:t>
      </w:r>
      <w:r>
        <w:rPr>
          <w:rFonts w:eastAsia="Calibri"/>
          <w:szCs w:val="22"/>
          <w:lang w:eastAsia="en-US"/>
        </w:rPr>
        <w:t xml:space="preserve">to be </w:t>
      </w:r>
      <w:r w:rsidR="00325173">
        <w:rPr>
          <w:rFonts w:eastAsia="Calibri"/>
          <w:szCs w:val="22"/>
          <w:lang w:eastAsia="en-US"/>
        </w:rPr>
        <w:t>the biggest barriers for EAL pupils</w:t>
      </w:r>
      <w:r>
        <w:rPr>
          <w:rFonts w:eastAsia="Calibri"/>
          <w:szCs w:val="22"/>
          <w:lang w:eastAsia="en-US"/>
        </w:rPr>
        <w:t>’</w:t>
      </w:r>
      <w:r w:rsidR="00325173">
        <w:rPr>
          <w:rFonts w:eastAsia="Calibri"/>
          <w:szCs w:val="22"/>
          <w:lang w:eastAsia="en-US"/>
        </w:rPr>
        <w:t xml:space="preserve"> learning in mainstream schools</w:t>
      </w:r>
      <w:r>
        <w:rPr>
          <w:rFonts w:eastAsia="Calibri"/>
          <w:szCs w:val="22"/>
          <w:lang w:eastAsia="en-US"/>
        </w:rPr>
        <w:t>,</w:t>
      </w:r>
      <w:r w:rsidR="00325173">
        <w:rPr>
          <w:rFonts w:eastAsia="Calibri"/>
          <w:szCs w:val="22"/>
          <w:lang w:eastAsia="en-US"/>
        </w:rPr>
        <w:t xml:space="preserve"> as this provides an insight into why ITE on EAL is </w:t>
      </w:r>
      <w:r>
        <w:rPr>
          <w:rFonts w:eastAsia="Calibri"/>
          <w:szCs w:val="22"/>
          <w:lang w:eastAsia="en-US"/>
        </w:rPr>
        <w:t>offered</w:t>
      </w:r>
      <w:r w:rsidR="00325173">
        <w:rPr>
          <w:rFonts w:eastAsia="Calibri"/>
          <w:szCs w:val="22"/>
          <w:lang w:eastAsia="en-US"/>
        </w:rPr>
        <w:t xml:space="preserve"> in </w:t>
      </w:r>
      <w:r>
        <w:rPr>
          <w:rFonts w:eastAsia="Calibri"/>
          <w:szCs w:val="22"/>
          <w:lang w:eastAsia="en-US"/>
        </w:rPr>
        <w:t xml:space="preserve">the way it </w:t>
      </w:r>
      <w:r w:rsidR="00325173">
        <w:rPr>
          <w:rFonts w:eastAsia="Calibri"/>
          <w:szCs w:val="22"/>
          <w:lang w:eastAsia="en-US"/>
        </w:rPr>
        <w:t>current</w:t>
      </w:r>
      <w:r>
        <w:rPr>
          <w:rFonts w:eastAsia="Calibri"/>
          <w:szCs w:val="22"/>
          <w:lang w:eastAsia="en-US"/>
        </w:rPr>
        <w:t>ly is</w:t>
      </w:r>
      <w:r w:rsidR="00325173">
        <w:rPr>
          <w:rFonts w:eastAsia="Calibri"/>
          <w:szCs w:val="22"/>
          <w:lang w:eastAsia="en-US"/>
        </w:rPr>
        <w:t xml:space="preserve">. </w:t>
      </w:r>
    </w:p>
    <w:p w14:paraId="05DBD871" w14:textId="743B4DF8" w:rsidR="00FA7087" w:rsidRDefault="00FA7087" w:rsidP="00F908BE">
      <w:pPr>
        <w:spacing w:after="160"/>
        <w:ind w:firstLine="720"/>
        <w:rPr>
          <w:rFonts w:eastAsia="Calibri"/>
          <w:szCs w:val="22"/>
          <w:lang w:eastAsia="en-US"/>
        </w:rPr>
      </w:pPr>
      <w:r>
        <w:rPr>
          <w:rFonts w:eastAsia="Calibri"/>
          <w:szCs w:val="22"/>
          <w:lang w:eastAsia="en-US"/>
        </w:rPr>
        <w:t>Given the fact that</w:t>
      </w:r>
      <w:r w:rsidR="00AD7259">
        <w:rPr>
          <w:rFonts w:eastAsia="Calibri"/>
          <w:szCs w:val="22"/>
          <w:lang w:eastAsia="en-US"/>
        </w:rPr>
        <w:t xml:space="preserve"> four interviewee participants </w:t>
      </w:r>
      <w:r>
        <w:rPr>
          <w:rFonts w:eastAsia="Calibri"/>
          <w:szCs w:val="22"/>
          <w:lang w:eastAsia="en-US"/>
        </w:rPr>
        <w:t xml:space="preserve">describe the current performativity focus of schools to measure students’ and teachers’ abilities it is </w:t>
      </w:r>
      <w:r w:rsidR="009002B1">
        <w:rPr>
          <w:rFonts w:eastAsia="Calibri"/>
          <w:szCs w:val="22"/>
          <w:lang w:eastAsia="en-US"/>
        </w:rPr>
        <w:t xml:space="preserve">perhaps </w:t>
      </w:r>
      <w:r>
        <w:rPr>
          <w:rFonts w:eastAsia="Calibri"/>
          <w:szCs w:val="22"/>
          <w:lang w:eastAsia="en-US"/>
        </w:rPr>
        <w:t>unsurprising that EAL is not an explicit focus in ITT. However, Elena argues that the issue is not simply a national issue; school priorities stem from their cohort of pupils and their parents so it follows that if schools have pupils who are viewed as EAL then supporting EAL pupils becomes a priority for said school. Yet, it stands to reason that</w:t>
      </w:r>
      <w:r w:rsidR="00A17F46">
        <w:rPr>
          <w:rFonts w:eastAsia="Calibri"/>
          <w:szCs w:val="22"/>
          <w:lang w:eastAsia="en-US"/>
        </w:rPr>
        <w:t>,</w:t>
      </w:r>
      <w:r>
        <w:rPr>
          <w:rFonts w:eastAsia="Calibri"/>
          <w:szCs w:val="22"/>
          <w:lang w:eastAsia="en-US"/>
        </w:rPr>
        <w:t xml:space="preserve"> as stated previously</w:t>
      </w:r>
      <w:r w:rsidR="00A17F46">
        <w:rPr>
          <w:rFonts w:eastAsia="Calibri"/>
          <w:szCs w:val="22"/>
          <w:lang w:eastAsia="en-US"/>
        </w:rPr>
        <w:t>,</w:t>
      </w:r>
      <w:r>
        <w:rPr>
          <w:rFonts w:eastAsia="Calibri"/>
          <w:szCs w:val="22"/>
          <w:lang w:eastAsia="en-US"/>
        </w:rPr>
        <w:t xml:space="preserve"> due to an increasing number of EAL pupils in mainstream schools the need for quality support for EAL pupils should be an explicit and permanent priority for the education sector and</w:t>
      </w:r>
      <w:r w:rsidR="00A17F46">
        <w:rPr>
          <w:rFonts w:eastAsia="Calibri"/>
          <w:szCs w:val="22"/>
          <w:lang w:eastAsia="en-US"/>
        </w:rPr>
        <w:t>,</w:t>
      </w:r>
      <w:r>
        <w:rPr>
          <w:rFonts w:eastAsia="Calibri"/>
          <w:szCs w:val="22"/>
          <w:lang w:eastAsia="en-US"/>
        </w:rPr>
        <w:t xml:space="preserve"> as such</w:t>
      </w:r>
      <w:r w:rsidR="00A17F46">
        <w:rPr>
          <w:rFonts w:eastAsia="Calibri"/>
          <w:szCs w:val="22"/>
          <w:lang w:eastAsia="en-US"/>
        </w:rPr>
        <w:t>,</w:t>
      </w:r>
      <w:r>
        <w:rPr>
          <w:rFonts w:eastAsia="Calibri"/>
          <w:szCs w:val="22"/>
          <w:lang w:eastAsia="en-US"/>
        </w:rPr>
        <w:t xml:space="preserve"> for ITT. In some ways, it could be argued</w:t>
      </w:r>
      <w:r w:rsidR="00C06D84">
        <w:rPr>
          <w:rFonts w:eastAsia="Calibri"/>
          <w:szCs w:val="22"/>
          <w:lang w:eastAsia="en-US"/>
        </w:rPr>
        <w:t xml:space="preserve"> </w:t>
      </w:r>
      <w:r>
        <w:rPr>
          <w:rFonts w:eastAsia="Calibri"/>
          <w:szCs w:val="22"/>
          <w:lang w:eastAsia="en-US"/>
        </w:rPr>
        <w:t>that the EAL agenda is already a priority within the curriculum, admittedly an implicit one, as it permeates through the inclusion agenda</w:t>
      </w:r>
      <w:r w:rsidR="006D62C6">
        <w:rPr>
          <w:rFonts w:eastAsia="Calibri"/>
          <w:szCs w:val="22"/>
          <w:lang w:eastAsia="en-US"/>
        </w:rPr>
        <w:t xml:space="preserve"> as</w:t>
      </w:r>
      <w:r>
        <w:rPr>
          <w:rFonts w:eastAsia="Calibri"/>
          <w:szCs w:val="22"/>
          <w:lang w:eastAsia="en-US"/>
        </w:rPr>
        <w:t xml:space="preserve"> an ongoing education priority. On the other hand, the low and decreasing levels of engagement with other languages in the UK </w:t>
      </w:r>
      <w:r>
        <w:rPr>
          <w:rFonts w:eastAsia="Calibri"/>
          <w:szCs w:val="22"/>
          <w:lang w:eastAsia="en-US"/>
        </w:rPr>
        <w:fldChar w:fldCharType="begin" w:fldLock="1"/>
      </w:r>
      <w:r>
        <w:rPr>
          <w:rFonts w:eastAsia="Calibri"/>
          <w:szCs w:val="22"/>
          <w:lang w:eastAsia="en-US"/>
        </w:rPr>
        <w:instrText>ADDIN CSL_CITATION {"citationItems":[{"id":"ITEM-1","itemData":{"DOI":"10.1111/modl.12410","ISBN":"1540-4781","ISSN":"15404781","abstract":"Britain's already poor record for language learning might be exacerbated by the Global English phenomenon, in that utilitarian reasons for learning languages other than English are increasingly undermined (Lanvers, 2014; Lo Bianco, 2014). This article offers a state-of-the-art review of UK research on second language (L2) learning motivation and attitude. The introduction is dedicated to a review of language education policy and numerical evidence on the decline in language learning. Part I reviews UK motivational literature under the headings Primary school; Secondary school; University and beyond; Teachers, parents, milieu. The evaluation of the literature reveals some striking lacunae, as well as a misfit between common explanations of the UK's language learning crisis and the social divide between those who choose to learn languages and those who do not. A motivation-in-context understanding of UK language learning needs to account for the many contradictory Other influences impacting on learner motivation. Therefore, Part II presents a new motivational model, based on Higgins's Self-Discrepancy Theory, a model which includes multifaceted Others as well as Own selves, including that of resistance/rebellion against Others. ","author":[{"dropping-particle":"","family":"Lanvers","given":"Ursula","non-dropping-particle":"","parse-names":false,"suffix":""}],"container-title":"Modern Language Journal","id":"ITEM-1","issue":"3","issued":{"date-parts":[["2017"]]},"page":"517-532","title":"Contradictory Others and the Habitus of Languages: Surveying the L2 Motivation Landscape in the United Kingdom","type":"article-journal","volume":"101"},"uris":["http://www.mendeley.com/documents/?uuid=96f902f6-cf8b-4fc4-ba95-8bb735ca07a5"]}],"mendeley":{"formattedCitation":"(Lanvers 2017)","plainTextFormattedCitation":"(Lanvers 2017)"},"properties":{"noteIndex":0},"schema":"https://github.com/citation-style-language/schema/raw/master/csl-citation.json"}</w:instrText>
      </w:r>
      <w:r>
        <w:rPr>
          <w:rFonts w:eastAsia="Calibri"/>
          <w:szCs w:val="22"/>
          <w:lang w:eastAsia="en-US"/>
        </w:rPr>
        <w:fldChar w:fldCharType="separate"/>
      </w:r>
      <w:r w:rsidRPr="00FA7087">
        <w:rPr>
          <w:rFonts w:eastAsia="Calibri"/>
          <w:noProof/>
          <w:szCs w:val="22"/>
          <w:lang w:eastAsia="en-US"/>
        </w:rPr>
        <w:t>(Lanvers 2017)</w:t>
      </w:r>
      <w:r>
        <w:rPr>
          <w:rFonts w:eastAsia="Calibri"/>
          <w:szCs w:val="22"/>
          <w:lang w:eastAsia="en-US"/>
        </w:rPr>
        <w:fldChar w:fldCharType="end"/>
      </w:r>
      <w:r>
        <w:rPr>
          <w:rFonts w:eastAsia="Calibri"/>
          <w:szCs w:val="22"/>
          <w:lang w:eastAsia="en-US"/>
        </w:rPr>
        <w:t xml:space="preserve"> suggests that EAL as a focus is unlikely to become more pressing in the current climate.</w:t>
      </w:r>
    </w:p>
    <w:p w14:paraId="5E0B20D2" w14:textId="14E00AC6" w:rsidR="00FA7087" w:rsidRDefault="00FA7087" w:rsidP="00FA7087">
      <w:pPr>
        <w:spacing w:after="160"/>
        <w:ind w:firstLine="720"/>
        <w:rPr>
          <w:rFonts w:eastAsia="Calibri"/>
          <w:szCs w:val="22"/>
          <w:lang w:eastAsia="en-US"/>
        </w:rPr>
      </w:pPr>
      <w:r>
        <w:rPr>
          <w:rFonts w:eastAsia="Calibri"/>
          <w:szCs w:val="22"/>
          <w:lang w:eastAsia="en-US"/>
        </w:rPr>
        <w:t xml:space="preserve">Furthermore, it could be argued that the education sector </w:t>
      </w:r>
      <w:r w:rsidR="00DB58A5">
        <w:rPr>
          <w:rFonts w:eastAsia="Calibri"/>
          <w:szCs w:val="22"/>
          <w:lang w:eastAsia="en-US"/>
        </w:rPr>
        <w:t>should</w:t>
      </w:r>
      <w:r>
        <w:rPr>
          <w:rFonts w:eastAsia="Calibri"/>
          <w:szCs w:val="22"/>
          <w:lang w:eastAsia="en-US"/>
        </w:rPr>
        <w:t xml:space="preserve"> step away from viewing EAL as a </w:t>
      </w:r>
      <w:r w:rsidR="00865FAE">
        <w:rPr>
          <w:rFonts w:eastAsia="Calibri"/>
          <w:szCs w:val="22"/>
          <w:lang w:eastAsia="en-US"/>
        </w:rPr>
        <w:t>‘problem’</w:t>
      </w:r>
      <w:r>
        <w:rPr>
          <w:rFonts w:eastAsia="Calibri"/>
          <w:szCs w:val="22"/>
          <w:lang w:eastAsia="en-US"/>
        </w:rPr>
        <w:t xml:space="preserve"> in the classroom and </w:t>
      </w:r>
      <w:r w:rsidRPr="00DE7BC0">
        <w:rPr>
          <w:rFonts w:eastAsia="Calibri"/>
          <w:szCs w:val="22"/>
          <w:lang w:eastAsia="en-US"/>
        </w:rPr>
        <w:t>instead move towards viewing the teaching of EAL pupils as ‘good inclusive teaching practice’ for mainstream classes</w:t>
      </w:r>
      <w:r w:rsidR="00523D44">
        <w:rPr>
          <w:rFonts w:eastAsia="Calibri"/>
          <w:szCs w:val="22"/>
          <w:lang w:eastAsia="en-US"/>
        </w:rPr>
        <w:t>.</w:t>
      </w:r>
      <w:r>
        <w:rPr>
          <w:rFonts w:eastAsia="Calibri"/>
          <w:szCs w:val="22"/>
          <w:lang w:eastAsia="en-US"/>
        </w:rPr>
        <w:t xml:space="preserve"> </w:t>
      </w:r>
      <w:r w:rsidR="00523D44">
        <w:rPr>
          <w:rFonts w:eastAsia="Calibri"/>
          <w:szCs w:val="22"/>
          <w:lang w:eastAsia="en-US"/>
        </w:rPr>
        <w:t xml:space="preserve">This </w:t>
      </w:r>
      <w:r w:rsidR="001B48D0">
        <w:rPr>
          <w:rFonts w:eastAsia="Calibri"/>
          <w:szCs w:val="22"/>
          <w:lang w:eastAsia="en-US"/>
        </w:rPr>
        <w:t>may</w:t>
      </w:r>
      <w:r w:rsidR="00523D44">
        <w:rPr>
          <w:rFonts w:eastAsia="Calibri"/>
          <w:szCs w:val="22"/>
          <w:lang w:eastAsia="en-US"/>
        </w:rPr>
        <w:t xml:space="preserve"> </w:t>
      </w:r>
      <w:r>
        <w:rPr>
          <w:rFonts w:eastAsia="Calibri"/>
          <w:szCs w:val="22"/>
          <w:lang w:eastAsia="en-US"/>
        </w:rPr>
        <w:t xml:space="preserve">then </w:t>
      </w:r>
      <w:r w:rsidR="00A0330F">
        <w:rPr>
          <w:rFonts w:eastAsia="Calibri"/>
          <w:szCs w:val="22"/>
          <w:lang w:eastAsia="en-US"/>
        </w:rPr>
        <w:t xml:space="preserve">lead to </w:t>
      </w:r>
      <w:r>
        <w:rPr>
          <w:rFonts w:eastAsia="Calibri"/>
          <w:szCs w:val="22"/>
          <w:lang w:eastAsia="en-US"/>
        </w:rPr>
        <w:t xml:space="preserve">STs </w:t>
      </w:r>
      <w:r w:rsidR="00A0330F">
        <w:rPr>
          <w:rFonts w:eastAsia="Calibri"/>
          <w:szCs w:val="22"/>
          <w:lang w:eastAsia="en-US"/>
        </w:rPr>
        <w:t>feeling</w:t>
      </w:r>
      <w:r>
        <w:rPr>
          <w:rFonts w:eastAsia="Calibri"/>
          <w:szCs w:val="22"/>
          <w:lang w:eastAsia="en-US"/>
        </w:rPr>
        <w:t xml:space="preserve"> </w:t>
      </w:r>
      <w:r w:rsidRPr="00675ED4">
        <w:rPr>
          <w:rFonts w:eastAsia="Calibri"/>
          <w:szCs w:val="22"/>
          <w:lang w:eastAsia="en-US"/>
        </w:rPr>
        <w:t xml:space="preserve">more confident </w:t>
      </w:r>
      <w:r w:rsidR="00A0330F">
        <w:rPr>
          <w:rFonts w:eastAsia="Calibri"/>
          <w:szCs w:val="22"/>
          <w:lang w:eastAsia="en-US"/>
        </w:rPr>
        <w:t>in their</w:t>
      </w:r>
      <w:r w:rsidRPr="00675ED4">
        <w:rPr>
          <w:rFonts w:eastAsia="Calibri"/>
          <w:szCs w:val="22"/>
          <w:lang w:eastAsia="en-US"/>
        </w:rPr>
        <w:t xml:space="preserve"> aware</w:t>
      </w:r>
      <w:r w:rsidR="00A0330F">
        <w:rPr>
          <w:rFonts w:eastAsia="Calibri"/>
          <w:szCs w:val="22"/>
          <w:lang w:eastAsia="en-US"/>
        </w:rPr>
        <w:t>ness</w:t>
      </w:r>
      <w:r w:rsidRPr="00675ED4">
        <w:rPr>
          <w:rFonts w:eastAsia="Calibri"/>
          <w:szCs w:val="22"/>
          <w:lang w:eastAsia="en-US"/>
        </w:rPr>
        <w:t xml:space="preserve"> of and </w:t>
      </w:r>
      <w:r w:rsidR="00AD7553">
        <w:rPr>
          <w:rFonts w:eastAsia="Calibri"/>
          <w:szCs w:val="22"/>
          <w:lang w:eastAsia="en-US"/>
        </w:rPr>
        <w:t xml:space="preserve">ability to </w:t>
      </w:r>
      <w:proofErr w:type="spellStart"/>
      <w:r w:rsidRPr="00675ED4">
        <w:rPr>
          <w:rFonts w:eastAsia="Calibri"/>
          <w:szCs w:val="22"/>
          <w:lang w:eastAsia="en-US"/>
        </w:rPr>
        <w:t>teac</w:t>
      </w:r>
      <w:proofErr w:type="spellEnd"/>
      <w:r w:rsidRPr="00675ED4">
        <w:rPr>
          <w:rFonts w:eastAsia="Calibri"/>
          <w:szCs w:val="22"/>
          <w:lang w:eastAsia="en-US"/>
        </w:rPr>
        <w:t xml:space="preserve"> individual pupils in accordance </w:t>
      </w:r>
      <w:r w:rsidR="00AD7553">
        <w:rPr>
          <w:rFonts w:eastAsia="Calibri"/>
          <w:szCs w:val="22"/>
          <w:lang w:eastAsia="en-US"/>
        </w:rPr>
        <w:t>with</w:t>
      </w:r>
      <w:r w:rsidRPr="00675ED4">
        <w:rPr>
          <w:rFonts w:eastAsia="Calibri"/>
          <w:szCs w:val="22"/>
          <w:lang w:eastAsia="en-US"/>
        </w:rPr>
        <w:t xml:space="preserve"> their specific </w:t>
      </w:r>
      <w:proofErr w:type="gramStart"/>
      <w:r w:rsidRPr="00675ED4">
        <w:rPr>
          <w:rFonts w:eastAsia="Calibri"/>
          <w:szCs w:val="22"/>
          <w:lang w:eastAsia="en-US"/>
        </w:rPr>
        <w:t>needs</w:t>
      </w:r>
      <w:r w:rsidR="00AD7553">
        <w:rPr>
          <w:rFonts w:eastAsia="Calibri"/>
          <w:szCs w:val="22"/>
          <w:lang w:eastAsia="en-US"/>
        </w:rPr>
        <w:t>.</w:t>
      </w:r>
      <w:r w:rsidRPr="00675ED4">
        <w:rPr>
          <w:rFonts w:eastAsia="Calibri"/>
          <w:szCs w:val="22"/>
          <w:lang w:eastAsia="en-US"/>
        </w:rPr>
        <w:t>.</w:t>
      </w:r>
      <w:proofErr w:type="gramEnd"/>
      <w:r w:rsidRPr="00675ED4">
        <w:rPr>
          <w:rFonts w:eastAsia="Calibri"/>
          <w:szCs w:val="22"/>
          <w:lang w:eastAsia="en-US"/>
        </w:rPr>
        <w:t xml:space="preserve"> </w:t>
      </w:r>
      <w:r w:rsidRPr="00AF0D02">
        <w:rPr>
          <w:rFonts w:eastAsia="Calibri"/>
          <w:szCs w:val="22"/>
          <w:lang w:eastAsia="en-US"/>
        </w:rPr>
        <w:t>Additionally, when considering participants</w:t>
      </w:r>
      <w:r w:rsidR="00865FAE">
        <w:rPr>
          <w:rFonts w:eastAsia="Calibri"/>
          <w:szCs w:val="22"/>
          <w:lang w:eastAsia="en-US"/>
        </w:rPr>
        <w:t>’</w:t>
      </w:r>
      <w:r w:rsidRPr="00AF0D02">
        <w:rPr>
          <w:rFonts w:eastAsia="Calibri"/>
          <w:szCs w:val="22"/>
          <w:lang w:eastAsia="en-US"/>
        </w:rPr>
        <w:t xml:space="preserve"> descriptions of needing to address the negative attitudes towards EAL pupils that is seemingly held by the education sector, </w:t>
      </w:r>
      <w:r>
        <w:rPr>
          <w:rFonts w:eastAsia="Calibri"/>
          <w:szCs w:val="22"/>
          <w:lang w:eastAsia="en-US"/>
        </w:rPr>
        <w:t xml:space="preserve">Bailey and Marsden (2017) argue the detrimental </w:t>
      </w:r>
      <w:r w:rsidR="00F3590D">
        <w:rPr>
          <w:rFonts w:eastAsia="Calibri"/>
          <w:szCs w:val="22"/>
          <w:lang w:eastAsia="en-US"/>
        </w:rPr>
        <w:t>e</w:t>
      </w:r>
      <w:r>
        <w:rPr>
          <w:rFonts w:eastAsia="Calibri"/>
          <w:szCs w:val="22"/>
          <w:lang w:eastAsia="en-US"/>
        </w:rPr>
        <w:t>ffect such an attitude can have on such pupils. Sharples (2017) takes it a step further, arguing that viewing EAL pupi</w:t>
      </w:r>
      <w:r w:rsidR="00B82E07">
        <w:rPr>
          <w:rFonts w:eastAsia="Calibri"/>
          <w:szCs w:val="22"/>
          <w:lang w:eastAsia="en-US"/>
        </w:rPr>
        <w:t xml:space="preserve">ls as students with a specific </w:t>
      </w:r>
      <w:r w:rsidR="00B82E07" w:rsidRPr="00B82E07">
        <w:rPr>
          <w:rFonts w:eastAsia="Calibri"/>
          <w:i/>
          <w:szCs w:val="22"/>
          <w:lang w:eastAsia="en-US"/>
        </w:rPr>
        <w:t>need</w:t>
      </w:r>
      <w:r>
        <w:rPr>
          <w:rFonts w:eastAsia="Calibri"/>
          <w:szCs w:val="22"/>
          <w:lang w:eastAsia="en-US"/>
        </w:rPr>
        <w:t xml:space="preserve"> rather than as students who, like all other pupils have individual needs, but who also have a positive linguistic and cultural repertoire and prior education experiences they can bring into the classroom, can lead to pupils only being assessed by their ability to cope in an unfamiliar curriculum. </w:t>
      </w:r>
      <w:r w:rsidRPr="00675ED4">
        <w:rPr>
          <w:rFonts w:eastAsia="Calibri"/>
          <w:szCs w:val="22"/>
          <w:lang w:eastAsia="en-US"/>
        </w:rPr>
        <w:t>Furthermore, teaching STs</w:t>
      </w:r>
      <w:r>
        <w:rPr>
          <w:rFonts w:eastAsia="Calibri"/>
          <w:szCs w:val="22"/>
          <w:lang w:eastAsia="en-US"/>
        </w:rPr>
        <w:t xml:space="preserve"> such practices</w:t>
      </w:r>
      <w:r w:rsidRPr="00675ED4">
        <w:rPr>
          <w:rFonts w:eastAsia="Calibri"/>
          <w:szCs w:val="22"/>
          <w:lang w:eastAsia="en-US"/>
        </w:rPr>
        <w:t xml:space="preserve"> would serve to benefit all pupils in the classroom, as would incorporating individual pupil’s linguistic and cul</w:t>
      </w:r>
      <w:r w:rsidR="00DF4677">
        <w:rPr>
          <w:rFonts w:eastAsia="Calibri"/>
          <w:szCs w:val="22"/>
          <w:lang w:eastAsia="en-US"/>
        </w:rPr>
        <w:t>tural diversity into the class.</w:t>
      </w:r>
    </w:p>
    <w:p w14:paraId="5FDC713F" w14:textId="749107CC" w:rsidR="00526F67" w:rsidRDefault="00FA7087" w:rsidP="00110042">
      <w:pPr>
        <w:pStyle w:val="Heading2"/>
      </w:pPr>
      <w:r>
        <w:t>Balancing the practical and the theoretical in ITT</w:t>
      </w:r>
    </w:p>
    <w:p w14:paraId="0DE88801" w14:textId="72BA103E" w:rsidR="00090257" w:rsidRDefault="0020685C" w:rsidP="004C5A04">
      <w:pPr>
        <w:pStyle w:val="Paragraph"/>
        <w:rPr>
          <w:rFonts w:eastAsia="Calibri"/>
          <w:szCs w:val="22"/>
          <w:lang w:eastAsia="en-US"/>
        </w:rPr>
      </w:pPr>
      <w:r w:rsidRPr="0020685C">
        <w:t xml:space="preserve">Four questionnaire participants explicitly </w:t>
      </w:r>
      <w:r w:rsidR="004C5A04" w:rsidRPr="0020685C">
        <w:t>discuss the problematic narrative surrounding EAL in the education sector</w:t>
      </w:r>
      <w:r w:rsidR="00090257">
        <w:t>.</w:t>
      </w:r>
      <w:r w:rsidR="004C5A04" w:rsidRPr="0020685C">
        <w:t xml:space="preserve"> </w:t>
      </w:r>
      <w:r w:rsidR="00090257">
        <w:rPr>
          <w:rFonts w:eastAsia="Calibri"/>
          <w:szCs w:val="22"/>
          <w:lang w:eastAsia="en-US"/>
        </w:rPr>
        <w:t>O</w:t>
      </w:r>
      <w:r w:rsidR="004C5A04" w:rsidRPr="00253B04">
        <w:rPr>
          <w:rFonts w:eastAsia="Calibri"/>
          <w:szCs w:val="22"/>
          <w:lang w:eastAsia="en-US"/>
        </w:rPr>
        <w:t xml:space="preserve">ne </w:t>
      </w:r>
      <w:r w:rsidR="00253B04" w:rsidRPr="00253B04">
        <w:rPr>
          <w:rFonts w:eastAsia="Calibri"/>
          <w:szCs w:val="22"/>
          <w:lang w:eastAsia="en-US"/>
        </w:rPr>
        <w:t xml:space="preserve">questionnaire </w:t>
      </w:r>
      <w:r w:rsidR="004C5A04" w:rsidRPr="00253B04">
        <w:rPr>
          <w:rFonts w:eastAsia="Calibri"/>
          <w:szCs w:val="22"/>
          <w:lang w:eastAsia="en-US"/>
        </w:rPr>
        <w:t>participant state</w:t>
      </w:r>
      <w:r w:rsidR="00090257">
        <w:rPr>
          <w:rFonts w:eastAsia="Calibri"/>
          <w:szCs w:val="22"/>
          <w:lang w:eastAsia="en-US"/>
        </w:rPr>
        <w:t>d</w:t>
      </w:r>
      <w:r w:rsidR="004C5A04" w:rsidRPr="00253B04">
        <w:rPr>
          <w:rFonts w:eastAsia="Calibri"/>
          <w:szCs w:val="22"/>
          <w:lang w:eastAsia="en-US"/>
        </w:rPr>
        <w:t xml:space="preserve"> </w:t>
      </w:r>
      <w:r w:rsidR="00090257">
        <w:rPr>
          <w:rFonts w:eastAsia="Calibri"/>
          <w:szCs w:val="22"/>
          <w:lang w:eastAsia="en-US"/>
        </w:rPr>
        <w:t>that</w:t>
      </w:r>
      <w:r w:rsidR="004C5A04" w:rsidRPr="00253B04">
        <w:rPr>
          <w:rFonts w:eastAsia="Calibri"/>
          <w:szCs w:val="22"/>
          <w:lang w:eastAsia="en-US"/>
        </w:rPr>
        <w:t xml:space="preserve"> the training their </w:t>
      </w:r>
      <w:r w:rsidR="006B17D3" w:rsidRPr="00253B04">
        <w:rPr>
          <w:rFonts w:eastAsia="Calibri"/>
          <w:szCs w:val="22"/>
          <w:lang w:eastAsia="en-US"/>
        </w:rPr>
        <w:t>STs</w:t>
      </w:r>
      <w:r w:rsidR="004C5A04" w:rsidRPr="00253B04">
        <w:rPr>
          <w:rFonts w:eastAsia="Calibri"/>
          <w:szCs w:val="22"/>
          <w:lang w:eastAsia="en-US"/>
        </w:rPr>
        <w:t xml:space="preserve"> receive is</w:t>
      </w:r>
      <w:r w:rsidR="00090257">
        <w:rPr>
          <w:rFonts w:eastAsia="Calibri"/>
          <w:szCs w:val="22"/>
          <w:lang w:eastAsia="en-US"/>
        </w:rPr>
        <w:t>:</w:t>
      </w:r>
      <w:r w:rsidR="004C5A04" w:rsidRPr="00253B04">
        <w:rPr>
          <w:rFonts w:eastAsia="Calibri"/>
          <w:szCs w:val="22"/>
          <w:lang w:eastAsia="en-US"/>
        </w:rPr>
        <w:t xml:space="preserve"> </w:t>
      </w:r>
    </w:p>
    <w:p w14:paraId="539BA388" w14:textId="5F27F008" w:rsidR="00090257" w:rsidRPr="00090257" w:rsidRDefault="004C5A04" w:rsidP="00090257">
      <w:pPr>
        <w:pStyle w:val="Paragraph"/>
        <w:ind w:left="720"/>
        <w:rPr>
          <w:rFonts w:eastAsia="Calibri"/>
          <w:i/>
          <w:iCs/>
          <w:szCs w:val="22"/>
          <w:lang w:eastAsia="en-US"/>
        </w:rPr>
      </w:pPr>
      <w:r w:rsidRPr="00090257">
        <w:rPr>
          <w:rFonts w:eastAsia="Calibri"/>
          <w:i/>
          <w:iCs/>
          <w:szCs w:val="22"/>
          <w:lang w:eastAsia="en-US"/>
        </w:rPr>
        <w:t>lodged into the ‘EAL’ narrative which approaches multilingualism as an educational problem to be overcome by instrumentally ignoring multilingualism and replacing emerging bilingualism with enforced monolingualism.</w:t>
      </w:r>
    </w:p>
    <w:p w14:paraId="64903C8E" w14:textId="607E9A9C" w:rsidR="004A7DD5" w:rsidRPr="00897C03" w:rsidRDefault="004C5A04" w:rsidP="00897C03">
      <w:pPr>
        <w:pStyle w:val="Paragraph"/>
      </w:pPr>
      <w:r>
        <w:rPr>
          <w:rFonts w:eastAsia="Calibri"/>
          <w:szCs w:val="22"/>
          <w:lang w:eastAsia="en-US"/>
        </w:rPr>
        <w:t xml:space="preserve">Furthermore, </w:t>
      </w:r>
      <w:r w:rsidR="0020685C">
        <w:rPr>
          <w:rFonts w:eastAsia="Calibri"/>
          <w:szCs w:val="22"/>
          <w:lang w:eastAsia="en-US"/>
        </w:rPr>
        <w:t xml:space="preserve">as one questionnaire participant stated, one of the main challenges </w:t>
      </w:r>
      <w:r w:rsidR="00B27E00">
        <w:rPr>
          <w:rFonts w:eastAsia="Calibri"/>
          <w:szCs w:val="22"/>
          <w:lang w:eastAsia="en-US"/>
        </w:rPr>
        <w:t>for</w:t>
      </w:r>
      <w:r w:rsidR="0020685C">
        <w:rPr>
          <w:rFonts w:eastAsia="Calibri"/>
          <w:szCs w:val="22"/>
          <w:lang w:eastAsia="en-US"/>
        </w:rPr>
        <w:t xml:space="preserve"> teacher educators </w:t>
      </w:r>
      <w:r w:rsidRPr="0020685C">
        <w:rPr>
          <w:rFonts w:eastAsia="Calibri"/>
          <w:szCs w:val="22"/>
          <w:lang w:eastAsia="en-US"/>
        </w:rPr>
        <w:t xml:space="preserve">when teaching STs about EAL is </w:t>
      </w:r>
      <w:r w:rsidR="00B27E00">
        <w:rPr>
          <w:rFonts w:eastAsia="Calibri"/>
          <w:szCs w:val="22"/>
          <w:lang w:eastAsia="en-US"/>
        </w:rPr>
        <w:t>challenging</w:t>
      </w:r>
      <w:r w:rsidR="00B27E00" w:rsidRPr="0020685C">
        <w:rPr>
          <w:rFonts w:eastAsia="Calibri"/>
          <w:szCs w:val="22"/>
          <w:lang w:eastAsia="en-US"/>
        </w:rPr>
        <w:t xml:space="preserve"> </w:t>
      </w:r>
      <w:r w:rsidRPr="0020685C">
        <w:rPr>
          <w:rFonts w:eastAsia="Calibri"/>
          <w:szCs w:val="22"/>
          <w:lang w:eastAsia="en-US"/>
        </w:rPr>
        <w:t xml:space="preserve">their cohort to </w:t>
      </w:r>
      <w:r w:rsidR="00B27E00">
        <w:rPr>
          <w:rFonts w:eastAsia="Calibri"/>
          <w:szCs w:val="22"/>
          <w:lang w:eastAsia="en-US"/>
        </w:rPr>
        <w:t>reconsider</w:t>
      </w:r>
      <w:r w:rsidR="00B27E00" w:rsidRPr="0020685C">
        <w:rPr>
          <w:rFonts w:eastAsia="Calibri"/>
          <w:szCs w:val="22"/>
          <w:lang w:eastAsia="en-US"/>
        </w:rPr>
        <w:t xml:space="preserve"> </w:t>
      </w:r>
      <w:r w:rsidRPr="0020685C">
        <w:rPr>
          <w:rFonts w:eastAsia="Calibri"/>
          <w:szCs w:val="22"/>
          <w:lang w:eastAsia="en-US"/>
        </w:rPr>
        <w:t xml:space="preserve">the preconceived notions in the education sector as </w:t>
      </w:r>
      <w:r w:rsidR="00B97B2F">
        <w:rPr>
          <w:rFonts w:eastAsia="Calibri"/>
          <w:szCs w:val="22"/>
          <w:lang w:eastAsia="en-US"/>
        </w:rPr>
        <w:t>it</w:t>
      </w:r>
      <w:r w:rsidRPr="0020685C">
        <w:rPr>
          <w:rFonts w:eastAsia="Calibri"/>
          <w:szCs w:val="22"/>
          <w:lang w:eastAsia="en-US"/>
        </w:rPr>
        <w:t xml:space="preserve"> continue</w:t>
      </w:r>
      <w:r w:rsidR="00B97B2F">
        <w:rPr>
          <w:rFonts w:eastAsia="Calibri"/>
          <w:szCs w:val="22"/>
          <w:lang w:eastAsia="en-US"/>
        </w:rPr>
        <w:t>s</w:t>
      </w:r>
      <w:r w:rsidRPr="0020685C">
        <w:rPr>
          <w:rFonts w:eastAsia="Calibri"/>
          <w:szCs w:val="22"/>
          <w:lang w:eastAsia="en-US"/>
        </w:rPr>
        <w:t xml:space="preserve"> to </w:t>
      </w:r>
      <w:r w:rsidR="00B97B2F">
        <w:rPr>
          <w:rFonts w:eastAsia="Calibri"/>
          <w:szCs w:val="22"/>
          <w:lang w:eastAsia="en-US"/>
        </w:rPr>
        <w:t>construct</w:t>
      </w:r>
      <w:r w:rsidR="00B97B2F" w:rsidRPr="0020685C">
        <w:rPr>
          <w:rFonts w:eastAsia="Calibri"/>
          <w:szCs w:val="22"/>
          <w:lang w:eastAsia="en-US"/>
        </w:rPr>
        <w:t xml:space="preserve"> </w:t>
      </w:r>
      <w:r w:rsidRPr="0020685C">
        <w:rPr>
          <w:rFonts w:eastAsia="Calibri"/>
          <w:szCs w:val="22"/>
          <w:lang w:eastAsia="en-US"/>
        </w:rPr>
        <w:t xml:space="preserve">EAL </w:t>
      </w:r>
      <w:r w:rsidRPr="00507095">
        <w:rPr>
          <w:rFonts w:eastAsia="Calibri"/>
          <w:i/>
          <w:iCs/>
          <w:szCs w:val="22"/>
          <w:lang w:eastAsia="en-US"/>
        </w:rPr>
        <w:t>‘as if it was a ‘need’ rather than a ‘bonus’</w:t>
      </w:r>
      <w:r w:rsidR="002A13CD">
        <w:t>.</w:t>
      </w:r>
      <w:r w:rsidR="00897C03">
        <w:t xml:space="preserve"> </w:t>
      </w:r>
      <w:r w:rsidR="00832C45">
        <w:t xml:space="preserve">The majority of </w:t>
      </w:r>
      <w:r w:rsidR="00CD276A">
        <w:t xml:space="preserve">questionnaire </w:t>
      </w:r>
      <w:r w:rsidR="00832C45">
        <w:t>participants (</w:t>
      </w:r>
      <w:r w:rsidR="00484FDF">
        <w:t xml:space="preserve">n = </w:t>
      </w:r>
      <w:r w:rsidR="00832C45">
        <w:t>40) considered that improvements could and should be made to ITT with regards to the coverage of EAL issues in the curriculum.</w:t>
      </w:r>
      <w:r w:rsidR="00832C45" w:rsidRPr="00385EB8">
        <w:t xml:space="preserve"> </w:t>
      </w:r>
      <w:r w:rsidR="00110042" w:rsidRPr="00385EB8">
        <w:t>S</w:t>
      </w:r>
      <w:r w:rsidR="00385EB8" w:rsidRPr="00385EB8">
        <w:t>even</w:t>
      </w:r>
      <w:r w:rsidR="00110042" w:rsidRPr="00385EB8">
        <w:t xml:space="preserve"> participants </w:t>
      </w:r>
      <w:r w:rsidR="00832C45" w:rsidRPr="00385EB8">
        <w:t>bemoan the fact</w:t>
      </w:r>
      <w:r w:rsidR="00110042" w:rsidRPr="00385EB8">
        <w:t xml:space="preserve"> that</w:t>
      </w:r>
      <w:r w:rsidR="00897C03">
        <w:t xml:space="preserve"> </w:t>
      </w:r>
      <w:r w:rsidR="00110042" w:rsidRPr="00385EB8">
        <w:t>due to time constraints on ITT courses</w:t>
      </w:r>
      <w:r w:rsidR="00832C45" w:rsidRPr="00385EB8">
        <w:t>,</w:t>
      </w:r>
      <w:r w:rsidR="00110042" w:rsidRPr="00385EB8">
        <w:t xml:space="preserve"> </w:t>
      </w:r>
      <w:r w:rsidR="00110042" w:rsidRPr="00110042">
        <w:t xml:space="preserve">it is impossible to cover everything in depth and report that, </w:t>
      </w:r>
      <w:r w:rsidR="00832C45">
        <w:t>as a result</w:t>
      </w:r>
      <w:r w:rsidR="00110042" w:rsidRPr="00110042">
        <w:t xml:space="preserve">, students inevitably do not receive enough input about EAL. </w:t>
      </w:r>
      <w:r w:rsidR="00D83A50">
        <w:t>Two participants explicitly stated that their STs request practical strategies they can apply to EAL pupils in the classroom</w:t>
      </w:r>
      <w:r w:rsidR="00BA2043">
        <w:t>.</w:t>
      </w:r>
      <w:r w:rsidR="00D83A50">
        <w:t xml:space="preserve"> </w:t>
      </w:r>
      <w:r w:rsidR="000866C4">
        <w:t xml:space="preserve">In addition, </w:t>
      </w:r>
      <w:r w:rsidR="00484FDF">
        <w:t xml:space="preserve">many (n = </w:t>
      </w:r>
      <w:r w:rsidR="00667540" w:rsidRPr="00667540">
        <w:t>18</w:t>
      </w:r>
      <w:r w:rsidR="00484FDF">
        <w:t>)</w:t>
      </w:r>
      <w:r w:rsidR="00D83A50">
        <w:t xml:space="preserve"> </w:t>
      </w:r>
      <w:r w:rsidR="00667540">
        <w:t>separate extracts from the questionnaire data</w:t>
      </w:r>
      <w:r w:rsidR="000866C4">
        <w:t xml:space="preserve"> across</w:t>
      </w:r>
      <w:r w:rsidR="00667540">
        <w:t xml:space="preserve"> </w:t>
      </w:r>
      <w:r w:rsidR="000866C4">
        <w:t>multiple items</w:t>
      </w:r>
      <w:r w:rsidR="00667540">
        <w:t>,</w:t>
      </w:r>
      <w:r w:rsidR="00D83A50">
        <w:t xml:space="preserve"> </w:t>
      </w:r>
      <w:r w:rsidR="005C00A6">
        <w:t xml:space="preserve">and all interviewees </w:t>
      </w:r>
      <w:r w:rsidR="00D83A50">
        <w:t>highlight</w:t>
      </w:r>
      <w:r w:rsidR="00E420C5">
        <w:t>ed</w:t>
      </w:r>
      <w:r w:rsidR="00D83A50">
        <w:t xml:space="preserve"> the need </w:t>
      </w:r>
      <w:r w:rsidR="00667540">
        <w:t>for</w:t>
      </w:r>
      <w:r w:rsidR="00E420C5">
        <w:t xml:space="preserve">, and value of, </w:t>
      </w:r>
      <w:r w:rsidR="00667540">
        <w:t>more</w:t>
      </w:r>
      <w:r w:rsidR="00484FDF">
        <w:t xml:space="preserve"> </w:t>
      </w:r>
      <w:r w:rsidR="00D83A50">
        <w:t>practical classroom experience with EAL pupils</w:t>
      </w:r>
      <w:r w:rsidR="00E420C5">
        <w:t>.</w:t>
      </w:r>
      <w:r w:rsidR="00D83A50">
        <w:t xml:space="preserve"> </w:t>
      </w:r>
      <w:r w:rsidR="00E420C5">
        <w:t xml:space="preserve">This </w:t>
      </w:r>
      <w:r w:rsidR="004F4CA5">
        <w:t xml:space="preserve">strongly </w:t>
      </w:r>
      <w:r w:rsidR="00110042" w:rsidRPr="00110042">
        <w:t>suggest</w:t>
      </w:r>
      <w:r w:rsidR="004F4CA5">
        <w:t>s</w:t>
      </w:r>
      <w:r w:rsidR="00110042" w:rsidRPr="00110042">
        <w:t xml:space="preserve"> that the perception of current training (by both STs and TEs) is that it is either too short or too theoretical. </w:t>
      </w:r>
      <w:r w:rsidR="00897C03">
        <w:t xml:space="preserve">However, some participants (questionnaire: n = 3; interview: n = 1) suggested that it would be beneficial to provide STs with a theoretical understanding of Language acquisition during EAL training as it will aid with STs practical understanding of how best to support their students learning EAL. </w:t>
      </w:r>
      <w:r w:rsidR="00091BF8">
        <w:t xml:space="preserve">Three interview participants also discussed the importance of STs being made aware of the benefits of learners maintaining their first language and how it can be used as a resource in the classroom for promoting diversity. </w:t>
      </w:r>
      <w:r w:rsidR="00897C03">
        <w:br/>
      </w:r>
      <w:r w:rsidR="00110042" w:rsidRPr="00110042">
        <w:t xml:space="preserve">Bailey and Marsden (2017) stated that whilst most of the teachers they interviewed said they had received no specialist EAL training, those that did said they received lecture-based training as opposed to practical classroom-based training, which still left them feeling unprepared to teach and support EAL pupils. </w:t>
      </w:r>
      <w:proofErr w:type="spellStart"/>
      <w:r w:rsidR="00B82E07">
        <w:rPr>
          <w:rFonts w:eastAsia="Calibri"/>
        </w:rPr>
        <w:t>Cajkler</w:t>
      </w:r>
      <w:proofErr w:type="spellEnd"/>
      <w:r w:rsidR="00B82E07">
        <w:rPr>
          <w:rFonts w:eastAsia="Calibri"/>
        </w:rPr>
        <w:t xml:space="preserve"> and Hall (2009, </w:t>
      </w:r>
      <w:r w:rsidR="005A6548">
        <w:rPr>
          <w:rFonts w:eastAsia="Calibri"/>
        </w:rPr>
        <w:t>163) note that</w:t>
      </w:r>
      <w:r w:rsidR="009861F5" w:rsidRPr="0003096B">
        <w:rPr>
          <w:rFonts w:eastAsia="Calibri"/>
        </w:rPr>
        <w:t xml:space="preserve"> their participants </w:t>
      </w:r>
      <w:r w:rsidR="00507095">
        <w:rPr>
          <w:rFonts w:eastAsia="Calibri"/>
        </w:rPr>
        <w:t>‘</w:t>
      </w:r>
      <w:r w:rsidR="009861F5" w:rsidRPr="0003096B">
        <w:rPr>
          <w:rFonts w:eastAsia="Calibri"/>
        </w:rPr>
        <w:t>indicated [a] desire for training into how to include or differentiate for EAL learners, especially new arrivals and pupils in the early stages of acquiring English</w:t>
      </w:r>
      <w:r w:rsidR="00507095">
        <w:rPr>
          <w:rFonts w:eastAsia="Calibri"/>
        </w:rPr>
        <w:t>’</w:t>
      </w:r>
      <w:r w:rsidR="00464766">
        <w:rPr>
          <w:rFonts w:eastAsia="Calibri"/>
        </w:rPr>
        <w:t>. This is despite research from elsewhere demonstrating that it is deeper language awareness training that has the most impact of STs (Lucas et al. 2008).</w:t>
      </w:r>
      <w:r w:rsidR="009861F5" w:rsidRPr="0003096B">
        <w:rPr>
          <w:rFonts w:eastAsia="Calibri"/>
        </w:rPr>
        <w:t xml:space="preserve"> </w:t>
      </w:r>
      <w:r w:rsidR="00464766">
        <w:rPr>
          <w:rFonts w:eastAsia="Calibri"/>
        </w:rPr>
        <w:t>One</w:t>
      </w:r>
      <w:r w:rsidR="00B215C4" w:rsidRPr="004A7DD5">
        <w:rPr>
          <w:rFonts w:eastAsia="Calibri"/>
        </w:rPr>
        <w:t xml:space="preserve"> participant discusses</w:t>
      </w:r>
      <w:r w:rsidR="009861F5" w:rsidRPr="004A7DD5">
        <w:rPr>
          <w:rFonts w:eastAsia="Calibri"/>
        </w:rPr>
        <w:t xml:space="preserve"> training their STs to support learners with individual needs through</w:t>
      </w:r>
      <w:r w:rsidR="005A6548" w:rsidRPr="004A7DD5">
        <w:rPr>
          <w:rFonts w:eastAsia="Calibri"/>
        </w:rPr>
        <w:t xml:space="preserve"> differentiation tactics</w:t>
      </w:r>
      <w:r w:rsidR="004A7DD5" w:rsidRPr="004A7DD5">
        <w:rPr>
          <w:rFonts w:eastAsia="Calibri"/>
        </w:rPr>
        <w:t xml:space="preserve">, thus </w:t>
      </w:r>
      <w:r w:rsidR="004A7DD5" w:rsidRPr="009F11B9">
        <w:rPr>
          <w:rFonts w:eastAsia="Calibri"/>
        </w:rPr>
        <w:t xml:space="preserve">supporting </w:t>
      </w:r>
      <w:r w:rsidR="00464766">
        <w:rPr>
          <w:rFonts w:eastAsia="Calibri"/>
        </w:rPr>
        <w:t>another</w:t>
      </w:r>
      <w:r w:rsidR="004A7DD5" w:rsidRPr="009F11B9">
        <w:rPr>
          <w:rFonts w:eastAsia="Calibri"/>
        </w:rPr>
        <w:t xml:space="preserve"> participant</w:t>
      </w:r>
      <w:r w:rsidR="00464766">
        <w:rPr>
          <w:rFonts w:eastAsia="Calibri"/>
        </w:rPr>
        <w:t>’</w:t>
      </w:r>
      <w:r w:rsidR="004A7DD5" w:rsidRPr="009F11B9">
        <w:rPr>
          <w:rFonts w:eastAsia="Calibri"/>
        </w:rPr>
        <w:t xml:space="preserve">s argument that teaching EAL pupils is like teaching any pupil as they are </w:t>
      </w:r>
      <w:r w:rsidR="00464766">
        <w:rPr>
          <w:rFonts w:eastAsia="Calibri"/>
        </w:rPr>
        <w:t xml:space="preserve">simply </w:t>
      </w:r>
      <w:r w:rsidR="004A7DD5" w:rsidRPr="009F11B9">
        <w:rPr>
          <w:rFonts w:eastAsia="Calibri"/>
        </w:rPr>
        <w:t xml:space="preserve">part of the mainstream. </w:t>
      </w:r>
      <w:r w:rsidR="00464766">
        <w:rPr>
          <w:rFonts w:eastAsia="Calibri"/>
        </w:rPr>
        <w:t>This echoes a common refrain in the teaching community that ‘good teaching for EAL is simply good teaching’ (Gershon 2011).</w:t>
      </w:r>
    </w:p>
    <w:p w14:paraId="00FD863E" w14:textId="7B6E3332" w:rsidR="00464766" w:rsidRDefault="004A7DD5" w:rsidP="00FD64A5">
      <w:pPr>
        <w:pStyle w:val="Paragraph"/>
        <w:ind w:firstLine="720"/>
      </w:pPr>
      <w:r>
        <w:rPr>
          <w:rFonts w:eastAsia="Calibri"/>
          <w:color w:val="FF0000"/>
        </w:rPr>
        <w:t xml:space="preserve"> </w:t>
      </w:r>
      <w:r w:rsidR="00464766">
        <w:t>Two</w:t>
      </w:r>
      <w:r w:rsidR="0070301A" w:rsidRPr="001E4D0D">
        <w:t xml:space="preserve"> participants stated that they provide their STs with guest </w:t>
      </w:r>
      <w:r w:rsidR="001E4D0D" w:rsidRPr="001E4D0D">
        <w:t xml:space="preserve">experienced </w:t>
      </w:r>
      <w:r w:rsidR="0070301A" w:rsidRPr="001E4D0D">
        <w:t>practitioners to deliver a session on EAL</w:t>
      </w:r>
      <w:r w:rsidR="0070301A">
        <w:t xml:space="preserve">, suggesting that in some cases the practical teaching advice provided is tokenistic and so not necessarily useful input. </w:t>
      </w:r>
      <w:r w:rsidR="00DC6BDC" w:rsidRPr="00DC6BDC">
        <w:t>The</w:t>
      </w:r>
      <w:r w:rsidR="00CD1C97" w:rsidRPr="00DC6BDC">
        <w:t xml:space="preserve"> importance of placement experience</w:t>
      </w:r>
      <w:r w:rsidR="00DC6BDC" w:rsidRPr="00DC6BDC">
        <w:t xml:space="preserve"> is mentioned 23 times throughout the course of the collected questionnaire data</w:t>
      </w:r>
      <w:r w:rsidR="00CD1C97" w:rsidRPr="00DC6BDC">
        <w:t xml:space="preserve">, outlining the need for </w:t>
      </w:r>
      <w:r w:rsidR="009D565F" w:rsidRPr="00DC6BDC">
        <w:t xml:space="preserve">more placement experience involving EAL for STs, as STs’ ‘preparedness’ is dependent on sufficient experience and training </w:t>
      </w:r>
      <w:r w:rsidR="009D565F" w:rsidRPr="00110042">
        <w:t xml:space="preserve">(Butcher, </w:t>
      </w:r>
      <w:proofErr w:type="spellStart"/>
      <w:r w:rsidR="009D565F" w:rsidRPr="00110042">
        <w:t>Sinka</w:t>
      </w:r>
      <w:proofErr w:type="spellEnd"/>
      <w:r w:rsidR="009D565F" w:rsidRPr="00110042">
        <w:t xml:space="preserve"> and </w:t>
      </w:r>
      <w:proofErr w:type="spellStart"/>
      <w:r w:rsidR="009D565F" w:rsidRPr="00110042">
        <w:t>Troman</w:t>
      </w:r>
      <w:proofErr w:type="spellEnd"/>
      <w:r w:rsidR="009D565F" w:rsidRPr="00110042">
        <w:t xml:space="preserve"> 2007; Foley, Sangster and Anderson 2013).  </w:t>
      </w:r>
      <w:r w:rsidR="009D565F" w:rsidRPr="00FE7BC0">
        <w:t>One participant comment</w:t>
      </w:r>
      <w:r w:rsidR="007B4237" w:rsidRPr="00FE7BC0">
        <w:t>ed</w:t>
      </w:r>
      <w:r w:rsidR="009D565F" w:rsidRPr="00FE7BC0">
        <w:t xml:space="preserve"> that</w:t>
      </w:r>
      <w:r w:rsidR="00464766">
        <w:t>:</w:t>
      </w:r>
      <w:r w:rsidR="009D565F" w:rsidRPr="00FE7BC0">
        <w:t xml:space="preserve"> </w:t>
      </w:r>
    </w:p>
    <w:p w14:paraId="2041EA21" w14:textId="63615336" w:rsidR="00464766" w:rsidRPr="00464766" w:rsidRDefault="009D565F" w:rsidP="00464766">
      <w:pPr>
        <w:pStyle w:val="Paragraph"/>
        <w:ind w:left="720"/>
        <w:rPr>
          <w:i/>
          <w:iCs/>
        </w:rPr>
      </w:pPr>
      <w:r w:rsidRPr="00464766">
        <w:rPr>
          <w:i/>
          <w:iCs/>
        </w:rPr>
        <w:t>c</w:t>
      </w:r>
      <w:r w:rsidR="00695512" w:rsidRPr="00464766">
        <w:rPr>
          <w:i/>
          <w:iCs/>
        </w:rPr>
        <w:t xml:space="preserve">lassroom teaching of students only accounts for a very small amount of their </w:t>
      </w:r>
      <w:r w:rsidRPr="00464766">
        <w:t>[STs]</w:t>
      </w:r>
      <w:r w:rsidRPr="00464766">
        <w:rPr>
          <w:i/>
          <w:iCs/>
        </w:rPr>
        <w:t xml:space="preserve"> </w:t>
      </w:r>
      <w:r w:rsidR="00695512" w:rsidRPr="00464766">
        <w:rPr>
          <w:i/>
          <w:iCs/>
        </w:rPr>
        <w:t>learning. Placements in schools with EAL learners should be offered for as many trainees as possible</w:t>
      </w:r>
      <w:r w:rsidR="00DE022F">
        <w:rPr>
          <w:i/>
          <w:iCs/>
        </w:rPr>
        <w:t>.</w:t>
      </w:r>
    </w:p>
    <w:p w14:paraId="4CC5BDBD" w14:textId="3CA6CF13" w:rsidR="00B054ED" w:rsidRPr="00FD64A5" w:rsidRDefault="00797978" w:rsidP="00D52A7D">
      <w:r>
        <w:t>Currently</w:t>
      </w:r>
      <w:r w:rsidR="00AD48E2">
        <w:t>,</w:t>
      </w:r>
      <w:r>
        <w:t xml:space="preserve"> it seems that the minority of STs are provided with opportunities to work with EAL pupils as </w:t>
      </w:r>
      <w:r w:rsidR="005E39B3">
        <w:t>only nine</w:t>
      </w:r>
      <w:r>
        <w:t xml:space="preserve"> </w:t>
      </w:r>
      <w:r w:rsidR="00CD276A">
        <w:t xml:space="preserve">questionnaire </w:t>
      </w:r>
      <w:r>
        <w:t>participants explicitly stated that their students were given an opportunity to work with, and teach, EAL pupils in the classroom</w:t>
      </w:r>
      <w:r w:rsidR="00567A12">
        <w:t>. H</w:t>
      </w:r>
      <w:r>
        <w:t>owever</w:t>
      </w:r>
      <w:r w:rsidR="00567A12">
        <w:t>,</w:t>
      </w:r>
      <w:r>
        <w:t xml:space="preserve"> this is dependent upon EAL populations and the institutions</w:t>
      </w:r>
      <w:r w:rsidR="00F46893">
        <w:t>’</w:t>
      </w:r>
      <w:r>
        <w:t xml:space="preserve"> partnership schools. </w:t>
      </w:r>
      <w:r w:rsidR="005E39B3">
        <w:t xml:space="preserve">Given that, it seems perhaps unsurprising that TEs seem split over how effectively they have prepared their STs to teach EAL as seventeen explicitly stated that they felt their students have sufficiently incorporated EAL into their ITT so students would feel comfortable teaching EAL, whilst another seventeen explicitly disagreed. These findings contradict existing studies </w:t>
      </w:r>
      <w:r w:rsidR="00D52A7D">
        <w:t>(</w:t>
      </w:r>
      <w:proofErr w:type="spellStart"/>
      <w:r w:rsidR="00D52A7D">
        <w:t>Franson</w:t>
      </w:r>
      <w:proofErr w:type="spellEnd"/>
      <w:r w:rsidR="00D52A7D">
        <w:t xml:space="preserve"> 1999; Starbuck 2018)</w:t>
      </w:r>
      <w:r w:rsidR="00D52A7D">
        <w:br/>
        <w:t xml:space="preserve">where teachers overwhelmingly expressed feeling inadequately trained and prepared to teach EAL pupils, resulting in them lacking confidence in their ability to meet the needs of their EAL learners. </w:t>
      </w:r>
      <w:r>
        <w:t xml:space="preserve">As such, </w:t>
      </w:r>
      <w:r w:rsidRPr="00EF6F04">
        <w:t xml:space="preserve">it is unsurprising that </w:t>
      </w:r>
      <w:r w:rsidR="00535C89" w:rsidRPr="00535C89">
        <w:t>twenty</w:t>
      </w:r>
      <w:r w:rsidR="00EF6F04" w:rsidRPr="00535C89">
        <w:t xml:space="preserve"> </w:t>
      </w:r>
      <w:r w:rsidRPr="00535C89">
        <w:t>p</w:t>
      </w:r>
      <w:r w:rsidR="009D565F" w:rsidRPr="00535C89">
        <w:t>articipants suggested that ITT with regards to</w:t>
      </w:r>
      <w:r w:rsidR="00695512" w:rsidRPr="00535C89">
        <w:t xml:space="preserve"> EAL could be improved by ensuring STs across the country gain </w:t>
      </w:r>
      <w:r w:rsidR="009D565F" w:rsidRPr="00535C89">
        <w:t xml:space="preserve">adequate </w:t>
      </w:r>
      <w:r w:rsidR="00695512" w:rsidRPr="00535C89">
        <w:t xml:space="preserve">practical experience </w:t>
      </w:r>
      <w:r w:rsidR="00695512" w:rsidRPr="00735238">
        <w:t xml:space="preserve">of teaching EAL learners, regardless of the location they are studying in. </w:t>
      </w:r>
      <w:r w:rsidR="00E2789C">
        <w:t xml:space="preserve">However, </w:t>
      </w:r>
      <w:r w:rsidR="00FD64A5">
        <w:t xml:space="preserve">it is vital that such experiences are not tokenistic as one questionnaire participant states that practical experience at their institution involves </w:t>
      </w:r>
      <w:r w:rsidR="00CB4AE1" w:rsidRPr="00507095">
        <w:rPr>
          <w:i/>
          <w:iCs/>
        </w:rPr>
        <w:t>‘spend[</w:t>
      </w:r>
      <w:proofErr w:type="spellStart"/>
      <w:r w:rsidR="00CB4AE1" w:rsidRPr="00507095">
        <w:rPr>
          <w:i/>
          <w:iCs/>
        </w:rPr>
        <w:t>ing</w:t>
      </w:r>
      <w:proofErr w:type="spellEnd"/>
      <w:r w:rsidR="00CB4AE1" w:rsidRPr="00507095">
        <w:rPr>
          <w:i/>
          <w:iCs/>
        </w:rPr>
        <w:t>] a day at one of our partnership schools which has a large proportion of EAL students’</w:t>
      </w:r>
      <w:r w:rsidR="00CB4AE1" w:rsidRPr="00110042">
        <w:t xml:space="preserve">. </w:t>
      </w:r>
    </w:p>
    <w:p w14:paraId="222346E4" w14:textId="5EA7F8C4" w:rsidR="009D565F" w:rsidRDefault="00832C45" w:rsidP="009D565F">
      <w:pPr>
        <w:pStyle w:val="Heading2"/>
      </w:pPr>
      <w:r>
        <w:t>T</w:t>
      </w:r>
      <w:r w:rsidR="009D565F">
        <w:t xml:space="preserve">he </w:t>
      </w:r>
      <w:r>
        <w:t>nature</w:t>
      </w:r>
      <w:r w:rsidR="009D565F">
        <w:t xml:space="preserve"> of </w:t>
      </w:r>
      <w:r>
        <w:t>‘</w:t>
      </w:r>
      <w:r w:rsidR="009D565F">
        <w:t>preparedness</w:t>
      </w:r>
      <w:r>
        <w:t>’</w:t>
      </w:r>
      <w:r w:rsidR="009D565F">
        <w:t xml:space="preserve"> in Student Teachers</w:t>
      </w:r>
    </w:p>
    <w:p w14:paraId="7F0B39BC" w14:textId="6662DA20" w:rsidR="0014597A" w:rsidRPr="00183805" w:rsidRDefault="00610FF1" w:rsidP="00FA7087">
      <w:pPr>
        <w:pStyle w:val="Paragraph"/>
        <w:rPr>
          <w:color w:val="FF0000"/>
        </w:rPr>
      </w:pPr>
      <w:r>
        <w:t xml:space="preserve">The data </w:t>
      </w:r>
      <w:r w:rsidR="00FA7087">
        <w:t xml:space="preserve">initially </w:t>
      </w:r>
      <w:r>
        <w:t>suggest that</w:t>
      </w:r>
      <w:r w:rsidR="005B3EC5">
        <w:t xml:space="preserve"> more is needed to establish what ‘preparedness’ </w:t>
      </w:r>
      <w:r>
        <w:t xml:space="preserve">actually </w:t>
      </w:r>
      <w:r w:rsidR="005B3EC5">
        <w:t>is in relation to STs leaving their ITT feeling ready to teach</w:t>
      </w:r>
      <w:r>
        <w:t>. W</w:t>
      </w:r>
      <w:r w:rsidR="005B3EC5">
        <w:t xml:space="preserve">hat such ‘preparedness’ should, and currently does, mean to both TEs and STs seemingly causes disparity within the data. </w:t>
      </w:r>
      <w:r w:rsidR="00600565" w:rsidRPr="00600565">
        <w:t xml:space="preserve">One of the </w:t>
      </w:r>
      <w:r w:rsidR="00600565">
        <w:t>participants</w:t>
      </w:r>
      <w:r w:rsidR="00AC013F" w:rsidRPr="00600565">
        <w:t xml:space="preserve"> </w:t>
      </w:r>
      <w:r w:rsidR="00600565">
        <w:t>suggest</w:t>
      </w:r>
      <w:r w:rsidR="00075730">
        <w:t>ed</w:t>
      </w:r>
      <w:r w:rsidR="00AC013F" w:rsidRPr="00600565">
        <w:t xml:space="preserve"> </w:t>
      </w:r>
      <w:r w:rsidR="00600565">
        <w:t xml:space="preserve">in the interview </w:t>
      </w:r>
      <w:r w:rsidR="00AC013F" w:rsidRPr="00600565">
        <w:t xml:space="preserve">that </w:t>
      </w:r>
      <w:r w:rsidR="00600565" w:rsidRPr="00600565">
        <w:t xml:space="preserve">some of the negative issues around ST preparedness are based in </w:t>
      </w:r>
      <w:r w:rsidR="00600565">
        <w:t xml:space="preserve">STs’ </w:t>
      </w:r>
      <w:r w:rsidR="00600565" w:rsidRPr="00600565">
        <w:t>own misapprehensions about what being prepared actually means.</w:t>
      </w:r>
      <w:r w:rsidR="005B3EC5">
        <w:t xml:space="preserve"> </w:t>
      </w:r>
      <w:r w:rsidR="00183805" w:rsidRPr="00183805">
        <w:t xml:space="preserve">Six questionnaire participants and all interviewee participants </w:t>
      </w:r>
      <w:r w:rsidR="00600565" w:rsidRPr="00183805">
        <w:t>posit</w:t>
      </w:r>
      <w:r w:rsidR="008070BF">
        <w:t>ed</w:t>
      </w:r>
      <w:r w:rsidR="00600565" w:rsidRPr="00183805">
        <w:t xml:space="preserve"> that it may be seen as unreasonable to expect STs to report feeling prepared to work with EAL at the point when they leave ITT courses. </w:t>
      </w:r>
      <w:r w:rsidR="00600565" w:rsidRPr="00AC013F">
        <w:t>It could be argued that being ‘prepared’ is about ensuring teachers have a general understanding of the area and tactics they can use with EAL pupils, whilst simultaneously being aware of the networks and resources available</w:t>
      </w:r>
      <w:r w:rsidR="00600565">
        <w:t xml:space="preserve"> to them.</w:t>
      </w:r>
    </w:p>
    <w:p w14:paraId="18C0635F" w14:textId="77777777" w:rsidR="00FA7087" w:rsidRDefault="00FA7087" w:rsidP="00FA7087">
      <w:pPr>
        <w:pStyle w:val="Heading2"/>
      </w:pPr>
      <w:r>
        <w:t>Teacher Educators’ confidence levels in preparing STs to work with EAL</w:t>
      </w:r>
    </w:p>
    <w:p w14:paraId="27B10051" w14:textId="5DFD9908" w:rsidR="00FA7087" w:rsidRDefault="00FA7087" w:rsidP="00FA7087">
      <w:pPr>
        <w:pStyle w:val="Paragraph"/>
        <w:rPr>
          <w:rFonts w:eastAsia="Calibri"/>
        </w:rPr>
      </w:pPr>
      <w:r>
        <w:rPr>
          <w:rFonts w:eastAsia="Calibri"/>
        </w:rPr>
        <w:t xml:space="preserve">The </w:t>
      </w:r>
      <w:r w:rsidRPr="0098120E">
        <w:rPr>
          <w:rFonts w:eastAsia="Calibri"/>
        </w:rPr>
        <w:t xml:space="preserve">majority of </w:t>
      </w:r>
      <w:r w:rsidR="00CD276A">
        <w:rPr>
          <w:rFonts w:eastAsia="Calibri"/>
        </w:rPr>
        <w:t xml:space="preserve">questionnaire </w:t>
      </w:r>
      <w:r w:rsidRPr="0098120E">
        <w:rPr>
          <w:rFonts w:eastAsia="Calibri"/>
        </w:rPr>
        <w:t xml:space="preserve">respondents </w:t>
      </w:r>
      <w:r>
        <w:rPr>
          <w:rFonts w:eastAsia="Calibri"/>
        </w:rPr>
        <w:t>state</w:t>
      </w:r>
      <w:r w:rsidR="008070BF">
        <w:rPr>
          <w:rFonts w:eastAsia="Calibri"/>
        </w:rPr>
        <w:t>d</w:t>
      </w:r>
      <w:r>
        <w:rPr>
          <w:rFonts w:eastAsia="Calibri"/>
        </w:rPr>
        <w:t xml:space="preserve"> that they </w:t>
      </w:r>
      <w:r w:rsidRPr="0098120E">
        <w:rPr>
          <w:rFonts w:eastAsia="Calibri"/>
        </w:rPr>
        <w:t>feel confident about teaching STs how to teach EAL learners</w:t>
      </w:r>
      <w:r w:rsidR="002D5308">
        <w:rPr>
          <w:rFonts w:eastAsia="Calibri"/>
        </w:rPr>
        <w:t xml:space="preserve"> (n = 21: very confident; n = 25: confident)</w:t>
      </w:r>
      <w:r w:rsidR="00CD276A">
        <w:rPr>
          <w:rFonts w:eastAsia="Calibri"/>
        </w:rPr>
        <w:t xml:space="preserve">, </w:t>
      </w:r>
      <w:r w:rsidRPr="0098120E">
        <w:rPr>
          <w:rFonts w:eastAsia="Calibri"/>
        </w:rPr>
        <w:t xml:space="preserve">and </w:t>
      </w:r>
      <w:r w:rsidR="00A748A6">
        <w:rPr>
          <w:rFonts w:eastAsia="Calibri"/>
        </w:rPr>
        <w:t xml:space="preserve">there were </w:t>
      </w:r>
      <w:r>
        <w:rPr>
          <w:rFonts w:eastAsia="Calibri"/>
        </w:rPr>
        <w:t>more</w:t>
      </w:r>
      <w:r w:rsidR="00A748A6">
        <w:rPr>
          <w:rFonts w:eastAsia="Calibri"/>
        </w:rPr>
        <w:t xml:space="preserve"> participants that</w:t>
      </w:r>
      <w:r>
        <w:rPr>
          <w:rFonts w:eastAsia="Calibri"/>
        </w:rPr>
        <w:t xml:space="preserve"> (</w:t>
      </w:r>
      <w:r w:rsidR="00484FDF">
        <w:rPr>
          <w:rFonts w:eastAsia="Calibri"/>
        </w:rPr>
        <w:t xml:space="preserve">n = </w:t>
      </w:r>
      <w:r>
        <w:rPr>
          <w:rFonts w:eastAsia="Calibri"/>
        </w:rPr>
        <w:t>31) report</w:t>
      </w:r>
      <w:r w:rsidR="008070BF">
        <w:rPr>
          <w:rFonts w:eastAsia="Calibri"/>
        </w:rPr>
        <w:t>ed</w:t>
      </w:r>
      <w:r>
        <w:rPr>
          <w:rFonts w:eastAsia="Calibri"/>
        </w:rPr>
        <w:t xml:space="preserve"> they</w:t>
      </w:r>
      <w:r w:rsidRPr="0098120E">
        <w:rPr>
          <w:rFonts w:eastAsia="Calibri"/>
        </w:rPr>
        <w:t xml:space="preserve"> do </w:t>
      </w:r>
      <w:r w:rsidRPr="00F908BE">
        <w:rPr>
          <w:rFonts w:eastAsia="Calibri"/>
          <w:i/>
          <w:iCs/>
        </w:rPr>
        <w:t xml:space="preserve">not </w:t>
      </w:r>
      <w:r w:rsidRPr="0098120E">
        <w:rPr>
          <w:rFonts w:eastAsia="Calibri"/>
        </w:rPr>
        <w:t>perceive teaching STs about EAL to be challenging</w:t>
      </w:r>
      <w:r>
        <w:rPr>
          <w:rFonts w:eastAsia="Calibri"/>
        </w:rPr>
        <w:t xml:space="preserve"> than </w:t>
      </w:r>
      <w:r w:rsidR="00A748A6">
        <w:rPr>
          <w:rFonts w:eastAsia="Calibri"/>
        </w:rPr>
        <w:t xml:space="preserve">those </w:t>
      </w:r>
      <w:r w:rsidR="00C214D0">
        <w:rPr>
          <w:rFonts w:eastAsia="Calibri"/>
        </w:rPr>
        <w:t>(</w:t>
      </w:r>
      <w:r w:rsidR="00484FDF">
        <w:rPr>
          <w:rFonts w:eastAsia="Calibri"/>
        </w:rPr>
        <w:t xml:space="preserve">n = </w:t>
      </w:r>
      <w:r w:rsidR="00C214D0">
        <w:rPr>
          <w:rFonts w:eastAsia="Calibri"/>
        </w:rPr>
        <w:t xml:space="preserve">24) </w:t>
      </w:r>
      <w:r w:rsidR="00A748A6">
        <w:rPr>
          <w:rFonts w:eastAsia="Calibri"/>
        </w:rPr>
        <w:t xml:space="preserve">who </w:t>
      </w:r>
      <w:r>
        <w:rPr>
          <w:rFonts w:eastAsia="Calibri"/>
        </w:rPr>
        <w:t xml:space="preserve">say they do. </w:t>
      </w:r>
    </w:p>
    <w:p w14:paraId="7AFD818F" w14:textId="2CB6A3A6" w:rsidR="00FA7087" w:rsidRDefault="00FA7087" w:rsidP="00F035C0">
      <w:pPr>
        <w:pStyle w:val="Paragraph"/>
        <w:ind w:firstLine="720"/>
      </w:pPr>
      <w:r>
        <w:t xml:space="preserve">Despite all </w:t>
      </w:r>
      <w:r w:rsidR="00CD276A">
        <w:t xml:space="preserve">questionnaire </w:t>
      </w:r>
      <w:r>
        <w:t>p</w:t>
      </w:r>
      <w:r w:rsidRPr="006245BC">
        <w:t xml:space="preserve">articipants </w:t>
      </w:r>
      <w:r>
        <w:t xml:space="preserve">stating their cohort receive some form of input on EAL on their ITT course, participants were equally split </w:t>
      </w:r>
      <w:r w:rsidRPr="006245BC">
        <w:t xml:space="preserve">on the question of whether they feel </w:t>
      </w:r>
      <w:r>
        <w:t>their student teachers</w:t>
      </w:r>
      <w:r w:rsidRPr="006245BC">
        <w:t xml:space="preserve"> would feel comfortab</w:t>
      </w:r>
      <w:r>
        <w:t>le teaching EAL learners, suggesting that participants’ views on how useful the EAL training is on their courses is varied. Yet, previous research shows</w:t>
      </w:r>
      <w:r w:rsidRPr="006245BC">
        <w:t xml:space="preserve"> that the </w:t>
      </w:r>
      <w:r>
        <w:t xml:space="preserve">overwhelming </w:t>
      </w:r>
      <w:r w:rsidRPr="006245BC">
        <w:t xml:space="preserve">majority </w:t>
      </w:r>
      <w:r>
        <w:t xml:space="preserve">of student teachers report </w:t>
      </w:r>
      <w:r w:rsidRPr="006245BC">
        <w:t>feel</w:t>
      </w:r>
      <w:r>
        <w:t>ing</w:t>
      </w:r>
      <w:r w:rsidRPr="006245BC">
        <w:t xml:space="preserve"> unprepared to teach EAL upon completion of their ITT (</w:t>
      </w:r>
      <w:proofErr w:type="spellStart"/>
      <w:r w:rsidRPr="006245BC">
        <w:t>Franson</w:t>
      </w:r>
      <w:proofErr w:type="spellEnd"/>
      <w:r w:rsidRPr="006245BC">
        <w:t xml:space="preserve"> 1999; Murakami 2008; Foley, Sangster and Anderson 2013; Bailey and Marsden 2017; Starbuck 2018). </w:t>
      </w:r>
    </w:p>
    <w:p w14:paraId="6A604B13" w14:textId="20900512" w:rsidR="00FA7087" w:rsidRPr="00A1074D" w:rsidRDefault="00A1074D" w:rsidP="00A1074D">
      <w:pPr>
        <w:pStyle w:val="Newparagraph"/>
        <w:rPr>
          <w:color w:val="FF0000"/>
        </w:rPr>
      </w:pPr>
      <w:r w:rsidRPr="00A1074D">
        <w:t xml:space="preserve">All interviewees, and </w:t>
      </w:r>
      <w:r w:rsidR="00484FDF">
        <w:t>some (n = 6)</w:t>
      </w:r>
      <w:r w:rsidRPr="00A1074D">
        <w:t xml:space="preserve"> questionnaire participants</w:t>
      </w:r>
      <w:r w:rsidR="00FA7087" w:rsidRPr="00A1074D">
        <w:t xml:space="preserve"> in this study argue</w:t>
      </w:r>
      <w:r w:rsidR="008070BF">
        <w:t>d</w:t>
      </w:r>
      <w:r w:rsidR="00FA7087" w:rsidRPr="00A1074D">
        <w:t xml:space="preserve"> that feelings of ‘competence and confidence come with experience’. One </w:t>
      </w:r>
      <w:r w:rsidRPr="00A1074D">
        <w:t xml:space="preserve">questionnaire participant </w:t>
      </w:r>
      <w:r w:rsidR="00FA7087" w:rsidRPr="00A1074D">
        <w:t>observe</w:t>
      </w:r>
      <w:r w:rsidR="008070BF">
        <w:t>d</w:t>
      </w:r>
      <w:r w:rsidR="00FA7087" w:rsidRPr="00A1074D">
        <w:t xml:space="preserve"> that it is more important for STs to ‘think critically, ask the right questions and know where to go for resources’, and another state</w:t>
      </w:r>
      <w:r w:rsidR="008070BF">
        <w:t>d</w:t>
      </w:r>
      <w:r w:rsidR="00FA7087" w:rsidRPr="00A1074D">
        <w:t xml:space="preserve"> that </w:t>
      </w:r>
      <w:r w:rsidR="00FA7087" w:rsidRPr="00507095">
        <w:rPr>
          <w:i/>
          <w:iCs/>
        </w:rPr>
        <w:t>‘trainees may be competent to teach but not totally confident’</w:t>
      </w:r>
      <w:r w:rsidR="00FA7087" w:rsidRPr="00A1074D">
        <w:t xml:space="preserve">. </w:t>
      </w:r>
      <w:r w:rsidR="00FA7087">
        <w:t xml:space="preserve">It is, therefore, dealing with the expectation that STs </w:t>
      </w:r>
      <w:r w:rsidR="00FA7087" w:rsidRPr="00364B92">
        <w:rPr>
          <w:i/>
        </w:rPr>
        <w:t xml:space="preserve">should </w:t>
      </w:r>
      <w:r w:rsidR="00FA7087">
        <w:t>feel comfortable and confident at this stage that is</w:t>
      </w:r>
      <w:r w:rsidR="00FA7087" w:rsidRPr="00AC013F">
        <w:t xml:space="preserve"> </w:t>
      </w:r>
      <w:r w:rsidR="00FA7087">
        <w:t xml:space="preserve">considered </w:t>
      </w:r>
      <w:r w:rsidR="00FA7087" w:rsidRPr="00AC013F">
        <w:t xml:space="preserve">potentially challenging </w:t>
      </w:r>
      <w:r w:rsidR="00FA7087">
        <w:t xml:space="preserve">for some TEs. </w:t>
      </w:r>
    </w:p>
    <w:p w14:paraId="59C3AF58" w14:textId="4419513D" w:rsidR="00FA7087" w:rsidRPr="00FA7087" w:rsidRDefault="00FA7087" w:rsidP="00B82E07">
      <w:pPr>
        <w:pStyle w:val="Newparagraph"/>
      </w:pPr>
      <w:r w:rsidRPr="004848B8">
        <w:rPr>
          <w:rFonts w:eastAsia="Calibri"/>
        </w:rPr>
        <w:t xml:space="preserve">Interview participants were told about the apparent disparity between our </w:t>
      </w:r>
      <w:r w:rsidR="00507095">
        <w:rPr>
          <w:rFonts w:eastAsia="Calibri"/>
        </w:rPr>
        <w:t xml:space="preserve">questionnaire </w:t>
      </w:r>
      <w:r w:rsidRPr="004848B8">
        <w:rPr>
          <w:rFonts w:eastAsia="Calibri"/>
        </w:rPr>
        <w:t xml:space="preserve">findings and previous research </w:t>
      </w:r>
      <w:r w:rsidR="00FB798E">
        <w:rPr>
          <w:rFonts w:eastAsia="Calibri"/>
        </w:rPr>
        <w:t xml:space="preserve">(i.e. that </w:t>
      </w:r>
      <w:r w:rsidR="001565EC">
        <w:rPr>
          <w:rFonts w:eastAsia="Calibri"/>
        </w:rPr>
        <w:t xml:space="preserve">teacher educators </w:t>
      </w:r>
      <w:r w:rsidR="00806D9A">
        <w:rPr>
          <w:rFonts w:eastAsia="Calibri"/>
        </w:rPr>
        <w:t xml:space="preserve">seem to be </w:t>
      </w:r>
      <w:r w:rsidR="001565EC">
        <w:rPr>
          <w:rFonts w:eastAsia="Calibri"/>
        </w:rPr>
        <w:t xml:space="preserve">more confident about equipping STs to </w:t>
      </w:r>
      <w:r w:rsidR="009D4A9C">
        <w:rPr>
          <w:rFonts w:eastAsia="Calibri"/>
        </w:rPr>
        <w:t xml:space="preserve">work with EAL children than NQTs have regularly been reporting) </w:t>
      </w:r>
      <w:r w:rsidRPr="004848B8">
        <w:rPr>
          <w:rFonts w:eastAsia="Calibri"/>
        </w:rPr>
        <w:t>and asked where they thought the potential mismatch was. Helen argued that teachers work on instinct upon being out in the field because they no longer have access to academic research in the same way ST</w:t>
      </w:r>
      <w:r w:rsidR="00507095">
        <w:rPr>
          <w:rFonts w:eastAsia="Calibri"/>
        </w:rPr>
        <w:t>s</w:t>
      </w:r>
      <w:r w:rsidRPr="004848B8">
        <w:rPr>
          <w:rFonts w:eastAsia="Calibri"/>
        </w:rPr>
        <w:t xml:space="preserve"> do</w:t>
      </w:r>
      <w:r w:rsidR="00B82E07">
        <w:rPr>
          <w:rFonts w:eastAsia="Calibri"/>
        </w:rPr>
        <w:t xml:space="preserve">, thus supporting </w:t>
      </w:r>
      <w:proofErr w:type="spellStart"/>
      <w:r w:rsidR="00B82E07">
        <w:rPr>
          <w:rFonts w:eastAsia="Calibri"/>
        </w:rPr>
        <w:t>Medgyes</w:t>
      </w:r>
      <w:proofErr w:type="spellEnd"/>
      <w:r w:rsidR="00B82E07">
        <w:rPr>
          <w:rFonts w:eastAsia="Calibri"/>
        </w:rPr>
        <w:t xml:space="preserve"> (2017</w:t>
      </w:r>
      <w:r w:rsidRPr="004848B8">
        <w:rPr>
          <w:rFonts w:eastAsia="Calibri"/>
        </w:rPr>
        <w:t xml:space="preserve">) and </w:t>
      </w:r>
      <w:proofErr w:type="spellStart"/>
      <w:r w:rsidRPr="004848B8">
        <w:rPr>
          <w:rFonts w:eastAsia="Calibri"/>
        </w:rPr>
        <w:t>Paran’s</w:t>
      </w:r>
      <w:proofErr w:type="spellEnd"/>
      <w:r w:rsidRPr="004848B8">
        <w:rPr>
          <w:rFonts w:eastAsia="Calibri"/>
        </w:rPr>
        <w:t xml:space="preserve"> (2017) argument that more needs to be done to prevent this, and as such they may feel unprepared as instinct comes with experience. Lucy, on the other hand, argued that EAL training used to be more heavily incorporated into the ITT programme, but, over the last five years, this has changed with more of a focus on phonics</w:t>
      </w:r>
      <w:r w:rsidR="00507095">
        <w:rPr>
          <w:rFonts w:eastAsia="Calibri"/>
        </w:rPr>
        <w:t xml:space="preserve"> (in her own field of practice, at least)</w:t>
      </w:r>
      <w:r w:rsidRPr="004848B8">
        <w:rPr>
          <w:rFonts w:eastAsia="Calibri"/>
        </w:rPr>
        <w:t xml:space="preserve">; this could potentially explain the disparity. </w:t>
      </w:r>
    </w:p>
    <w:p w14:paraId="432AAEF1" w14:textId="5D28F11A" w:rsidR="00FA7087" w:rsidRPr="00FC3A5D" w:rsidRDefault="00FA7087" w:rsidP="00FA7087">
      <w:pPr>
        <w:rPr>
          <w:rFonts w:eastAsia="Calibri"/>
        </w:rPr>
      </w:pPr>
      <w:r w:rsidRPr="004848B8">
        <w:rPr>
          <w:rFonts w:eastAsia="Calibri"/>
        </w:rPr>
        <w:tab/>
        <w:t>Furthermore, Carole suggested the disparity could be because of a lack of time and a variety of experiences had by STs on placements; for instance, their mentors in schools are not equipped to deal with EAL pupils, possibly resulting in STs leaving placements feeling overwhelmed and underprepared.</w:t>
      </w:r>
      <w:r>
        <w:rPr>
          <w:rFonts w:eastAsia="Calibri"/>
        </w:rPr>
        <w:t xml:space="preserve"> Many participants support</w:t>
      </w:r>
      <w:r w:rsidR="002F3A57">
        <w:rPr>
          <w:rFonts w:eastAsia="Calibri"/>
        </w:rPr>
        <w:t>ed</w:t>
      </w:r>
      <w:r>
        <w:rPr>
          <w:rFonts w:eastAsia="Calibri"/>
        </w:rPr>
        <w:t xml:space="preserve"> this</w:t>
      </w:r>
      <w:r w:rsidR="00507095">
        <w:rPr>
          <w:rFonts w:eastAsia="Calibri"/>
        </w:rPr>
        <w:t xml:space="preserve"> viewpoint</w:t>
      </w:r>
      <w:r>
        <w:rPr>
          <w:rFonts w:eastAsia="Calibri"/>
        </w:rPr>
        <w:t xml:space="preserve">, arguing that practical placement experience with EAL pupils correlates with STs leaving ITT courses feeling prepared and confident. </w:t>
      </w:r>
      <w:r w:rsidRPr="004848B8">
        <w:rPr>
          <w:rFonts w:eastAsia="Calibri"/>
        </w:rPr>
        <w:t xml:space="preserve">Kate </w:t>
      </w:r>
      <w:r w:rsidR="00507095">
        <w:rPr>
          <w:rFonts w:eastAsia="Calibri"/>
        </w:rPr>
        <w:t>corroborate</w:t>
      </w:r>
      <w:r w:rsidR="002F3A57">
        <w:rPr>
          <w:rFonts w:eastAsia="Calibri"/>
        </w:rPr>
        <w:t>d</w:t>
      </w:r>
      <w:r w:rsidRPr="004848B8">
        <w:rPr>
          <w:rFonts w:eastAsia="Calibri"/>
        </w:rPr>
        <w:t>, suggesting that it is a lack of appropriate and effective deployment of EAL support staff, leaving schools feeling potentially ill-equipped to support EAL pupils. Sophie and Rosie suggest</w:t>
      </w:r>
      <w:r w:rsidR="002F3A57">
        <w:rPr>
          <w:rFonts w:eastAsia="Calibri"/>
        </w:rPr>
        <w:t>ed</w:t>
      </w:r>
      <w:r w:rsidRPr="004848B8">
        <w:rPr>
          <w:rFonts w:eastAsia="Calibri"/>
        </w:rPr>
        <w:t xml:space="preserve"> that ultimately it is relevant experience that will make the students confident, no matter how prepared institutions may attempt to make them. Rosie </w:t>
      </w:r>
      <w:proofErr w:type="spellStart"/>
      <w:r w:rsidR="002F3A57">
        <w:rPr>
          <w:rFonts w:eastAsia="Calibri"/>
        </w:rPr>
        <w:t>went</w:t>
      </w:r>
      <w:r w:rsidR="008740A9">
        <w:rPr>
          <w:rFonts w:eastAsia="Calibri"/>
        </w:rPr>
        <w:t>s</w:t>
      </w:r>
      <w:proofErr w:type="spellEnd"/>
      <w:r w:rsidR="008740A9">
        <w:rPr>
          <w:rFonts w:eastAsia="Calibri"/>
        </w:rPr>
        <w:t xml:space="preserve"> on to </w:t>
      </w:r>
      <w:r w:rsidRPr="004848B8">
        <w:rPr>
          <w:rFonts w:eastAsia="Calibri"/>
        </w:rPr>
        <w:t>argue</w:t>
      </w:r>
      <w:r w:rsidR="008740A9">
        <w:rPr>
          <w:rFonts w:eastAsia="Calibri"/>
        </w:rPr>
        <w:t xml:space="preserve"> that</w:t>
      </w:r>
      <w:r w:rsidRPr="004848B8">
        <w:rPr>
          <w:rFonts w:eastAsia="Calibri"/>
        </w:rPr>
        <w:t xml:space="preserve"> the reason for the disparity could be that although teaching EAL learners in mainstream classrooms should simply be good inclusive practice, </w:t>
      </w:r>
      <w:r w:rsidR="008740A9">
        <w:rPr>
          <w:rFonts w:eastAsia="Calibri"/>
        </w:rPr>
        <w:t>STs</w:t>
      </w:r>
      <w:r w:rsidRPr="004848B8">
        <w:rPr>
          <w:rFonts w:eastAsia="Calibri"/>
        </w:rPr>
        <w:t xml:space="preserve"> believe it is more complex than that and it follows that, if teaching EAL in mainstream classrooms is demystified when taught to STs, they may feel more prepared to teach it. </w:t>
      </w:r>
    </w:p>
    <w:p w14:paraId="161E0A4C" w14:textId="7D81FF75" w:rsidR="00C83297" w:rsidRPr="0014597A" w:rsidRDefault="00C83297" w:rsidP="0014597A">
      <w:pPr>
        <w:pStyle w:val="Heading1"/>
      </w:pPr>
      <w:r>
        <w:t>Conclusion</w:t>
      </w:r>
    </w:p>
    <w:p w14:paraId="6182C889" w14:textId="1A48E1D1" w:rsidR="00190674" w:rsidRPr="002E13F3" w:rsidRDefault="00C83297" w:rsidP="002E13F3">
      <w:pPr>
        <w:rPr>
          <w:sz w:val="22"/>
          <w:szCs w:val="22"/>
        </w:rPr>
      </w:pPr>
      <w:r>
        <w:rPr>
          <w:rFonts w:eastAsia="Calibri"/>
        </w:rPr>
        <w:t>T</w:t>
      </w:r>
      <w:r w:rsidR="0014597A">
        <w:rPr>
          <w:rFonts w:eastAsia="Calibri"/>
        </w:rPr>
        <w:t>his study has</w:t>
      </w:r>
      <w:r>
        <w:rPr>
          <w:rFonts w:eastAsia="Calibri"/>
        </w:rPr>
        <w:t xml:space="preserve"> revealed </w:t>
      </w:r>
      <w:r w:rsidR="0014597A">
        <w:rPr>
          <w:rFonts w:eastAsia="Calibri"/>
        </w:rPr>
        <w:t xml:space="preserve">a </w:t>
      </w:r>
      <w:r>
        <w:rPr>
          <w:rFonts w:eastAsia="Calibri"/>
        </w:rPr>
        <w:t xml:space="preserve">disparity between how TEs perceive the training </w:t>
      </w:r>
      <w:r w:rsidR="00D23196">
        <w:rPr>
          <w:rFonts w:eastAsia="Calibri"/>
        </w:rPr>
        <w:t xml:space="preserve">for </w:t>
      </w:r>
      <w:r>
        <w:rPr>
          <w:rFonts w:eastAsia="Calibri"/>
        </w:rPr>
        <w:t xml:space="preserve">STs </w:t>
      </w:r>
      <w:r w:rsidR="00D23196">
        <w:rPr>
          <w:rFonts w:eastAsia="Calibri"/>
        </w:rPr>
        <w:t>on linguistic diversity and EAL</w:t>
      </w:r>
      <w:r>
        <w:rPr>
          <w:rFonts w:eastAsia="Calibri"/>
        </w:rPr>
        <w:t xml:space="preserve"> during ITT courses and how STs</w:t>
      </w:r>
      <w:r w:rsidR="00A660B9">
        <w:rPr>
          <w:rFonts w:eastAsia="Calibri"/>
        </w:rPr>
        <w:t xml:space="preserve"> and</w:t>
      </w:r>
      <w:r>
        <w:rPr>
          <w:rFonts w:eastAsia="Calibri"/>
        </w:rPr>
        <w:t xml:space="preserve"> in-service teachers viewed their ITT on EAL (</w:t>
      </w:r>
      <w:r w:rsidR="00A660B9" w:rsidRPr="00A660B9">
        <w:rPr>
          <w:rFonts w:eastAsia="Calibri"/>
        </w:rPr>
        <w:t xml:space="preserve">Murakami 2008; </w:t>
      </w:r>
      <w:bookmarkStart w:id="2" w:name="_Hlk507955416"/>
      <w:r w:rsidR="00A660B9" w:rsidRPr="00A660B9">
        <w:rPr>
          <w:rFonts w:eastAsia="Calibri"/>
        </w:rPr>
        <w:t>Foley, Sangster and Anderson</w:t>
      </w:r>
      <w:bookmarkEnd w:id="2"/>
      <w:r w:rsidR="00A660B9" w:rsidRPr="00A660B9">
        <w:rPr>
          <w:rFonts w:eastAsia="Calibri"/>
        </w:rPr>
        <w:t xml:space="preserve"> 2013</w:t>
      </w:r>
      <w:r w:rsidR="00A660B9">
        <w:rPr>
          <w:rFonts w:eastAsia="Calibri"/>
        </w:rPr>
        <w:t xml:space="preserve">; Starbuck 2018; </w:t>
      </w:r>
      <w:proofErr w:type="spellStart"/>
      <w:r w:rsidR="008A1C45">
        <w:rPr>
          <w:rFonts w:eastAsia="Calibri"/>
        </w:rPr>
        <w:t>Ginnis</w:t>
      </w:r>
      <w:proofErr w:type="spellEnd"/>
      <w:r w:rsidR="008A1C45">
        <w:rPr>
          <w:rFonts w:eastAsia="Calibri"/>
        </w:rPr>
        <w:t xml:space="preserve"> et al</w:t>
      </w:r>
      <w:r w:rsidR="00C10805">
        <w:rPr>
          <w:rFonts w:eastAsia="Calibri"/>
        </w:rPr>
        <w:t>.</w:t>
      </w:r>
      <w:r w:rsidR="00A660B9">
        <w:rPr>
          <w:rFonts w:eastAsia="Calibri"/>
        </w:rPr>
        <w:t xml:space="preserve"> 2018)</w:t>
      </w:r>
      <w:r w:rsidR="00852216">
        <w:rPr>
          <w:rFonts w:eastAsia="Calibri"/>
        </w:rPr>
        <w:t xml:space="preserve">. </w:t>
      </w:r>
      <w:r w:rsidR="00A660B9">
        <w:rPr>
          <w:rFonts w:eastAsia="Calibri"/>
        </w:rPr>
        <w:t xml:space="preserve">TEs </w:t>
      </w:r>
      <w:r w:rsidR="00B84F4D">
        <w:rPr>
          <w:rFonts w:eastAsia="Calibri"/>
        </w:rPr>
        <w:t xml:space="preserve">reported </w:t>
      </w:r>
      <w:r w:rsidR="00A660B9">
        <w:rPr>
          <w:rFonts w:eastAsia="Calibri"/>
        </w:rPr>
        <w:t>feeling that</w:t>
      </w:r>
      <w:r w:rsidR="00B84F4D">
        <w:rPr>
          <w:rFonts w:eastAsia="Calibri"/>
        </w:rPr>
        <w:t xml:space="preserve"> </w:t>
      </w:r>
      <w:r w:rsidR="00A660B9">
        <w:rPr>
          <w:rFonts w:eastAsia="Calibri"/>
        </w:rPr>
        <w:t xml:space="preserve">they felt they had sufficiently </w:t>
      </w:r>
      <w:r w:rsidR="00A660B9" w:rsidRPr="00B82E07">
        <w:rPr>
          <w:rFonts w:eastAsia="Calibri"/>
        </w:rPr>
        <w:t xml:space="preserve">prepared their teachers, </w:t>
      </w:r>
      <w:r w:rsidR="00B84F4D">
        <w:rPr>
          <w:rFonts w:eastAsia="Calibri"/>
        </w:rPr>
        <w:t>contrary to findings from researchers (</w:t>
      </w:r>
      <w:proofErr w:type="spellStart"/>
      <w:r w:rsidR="00B84F4D">
        <w:rPr>
          <w:rFonts w:eastAsia="Calibri"/>
        </w:rPr>
        <w:t>Franson</w:t>
      </w:r>
      <w:proofErr w:type="spellEnd"/>
      <w:r w:rsidR="00B84F4D">
        <w:rPr>
          <w:rFonts w:eastAsia="Calibri"/>
        </w:rPr>
        <w:t xml:space="preserve"> 1999; </w:t>
      </w:r>
      <w:proofErr w:type="spellStart"/>
      <w:r w:rsidR="008A1C45">
        <w:rPr>
          <w:rFonts w:eastAsia="Calibri"/>
        </w:rPr>
        <w:t>Ginnis</w:t>
      </w:r>
      <w:proofErr w:type="spellEnd"/>
      <w:r w:rsidR="008A1C45">
        <w:rPr>
          <w:rFonts w:eastAsia="Calibri"/>
        </w:rPr>
        <w:t xml:space="preserve"> et al</w:t>
      </w:r>
      <w:r w:rsidR="00C10805">
        <w:rPr>
          <w:rFonts w:eastAsia="Calibri"/>
        </w:rPr>
        <w:t>.</w:t>
      </w:r>
      <w:r w:rsidR="00B84F4D">
        <w:rPr>
          <w:rFonts w:eastAsia="Calibri"/>
        </w:rPr>
        <w:t xml:space="preserve"> 2018)</w:t>
      </w:r>
      <w:r w:rsidR="00091BF8">
        <w:rPr>
          <w:rFonts w:eastAsia="Calibri"/>
        </w:rPr>
        <w:t xml:space="preserve"> who have reported that teachers have expressed that they felt inadequately trained in the teaching of EAL</w:t>
      </w:r>
      <w:r w:rsidR="002E13F3">
        <w:rPr>
          <w:rFonts w:eastAsia="Calibri"/>
        </w:rPr>
        <w:t xml:space="preserve">. </w:t>
      </w:r>
      <w:r w:rsidR="00D23196">
        <w:rPr>
          <w:rFonts w:eastAsia="Calibri"/>
        </w:rPr>
        <w:t>They</w:t>
      </w:r>
      <w:r w:rsidR="00A660B9" w:rsidRPr="00B82E07">
        <w:rPr>
          <w:rFonts w:eastAsia="Calibri"/>
        </w:rPr>
        <w:t xml:space="preserve"> acknowledg</w:t>
      </w:r>
      <w:r w:rsidR="00D23196">
        <w:rPr>
          <w:rFonts w:eastAsia="Calibri"/>
        </w:rPr>
        <w:t>ed</w:t>
      </w:r>
      <w:r w:rsidR="00A660B9" w:rsidRPr="00B82E07">
        <w:rPr>
          <w:rFonts w:eastAsia="Calibri"/>
        </w:rPr>
        <w:t xml:space="preserve"> that this </w:t>
      </w:r>
      <w:r w:rsidR="00D23196">
        <w:rPr>
          <w:rFonts w:eastAsia="Calibri"/>
        </w:rPr>
        <w:t xml:space="preserve">confidence in their provision does not necessarily equate to </w:t>
      </w:r>
      <w:r w:rsidR="00A660B9" w:rsidRPr="00B82E07">
        <w:rPr>
          <w:rFonts w:eastAsia="Calibri"/>
        </w:rPr>
        <w:t>STs and NQTs feeling confident or 100% comfortable as this is something, they argue, comes with</w:t>
      </w:r>
      <w:r w:rsidR="00A660B9">
        <w:rPr>
          <w:rFonts w:eastAsia="Calibri"/>
        </w:rPr>
        <w:t xml:space="preserve"> experience. </w:t>
      </w:r>
      <w:r w:rsidR="00D23196">
        <w:rPr>
          <w:rFonts w:eastAsia="Calibri"/>
        </w:rPr>
        <w:t>However, this study has suggested that</w:t>
      </w:r>
      <w:r w:rsidR="00190674" w:rsidRPr="00190674">
        <w:rPr>
          <w:rFonts w:eastAsia="Calibri"/>
        </w:rPr>
        <w:t xml:space="preserve"> there is a disparity between how STs, NQTs and TEs define ‘preparedness’, ‘comfortable’ and ‘confident’</w:t>
      </w:r>
      <w:r w:rsidR="00D23196">
        <w:rPr>
          <w:rFonts w:eastAsia="Calibri"/>
        </w:rPr>
        <w:t>. C</w:t>
      </w:r>
      <w:r w:rsidR="00190674" w:rsidRPr="00190674">
        <w:rPr>
          <w:rFonts w:eastAsia="Calibri"/>
        </w:rPr>
        <w:t>onsequently</w:t>
      </w:r>
      <w:r w:rsidR="00D23196">
        <w:rPr>
          <w:rFonts w:eastAsia="Calibri"/>
        </w:rPr>
        <w:t>,</w:t>
      </w:r>
      <w:r w:rsidR="00190674" w:rsidRPr="00190674">
        <w:rPr>
          <w:rFonts w:eastAsia="Calibri"/>
        </w:rPr>
        <w:t xml:space="preserve"> further research </w:t>
      </w:r>
      <w:r w:rsidR="00D23196">
        <w:rPr>
          <w:rFonts w:eastAsia="Calibri"/>
        </w:rPr>
        <w:t>would be valuable</w:t>
      </w:r>
      <w:r w:rsidR="00190674" w:rsidRPr="00190674">
        <w:rPr>
          <w:rFonts w:eastAsia="Calibri"/>
        </w:rPr>
        <w:t xml:space="preserve"> to unravel </w:t>
      </w:r>
      <w:r w:rsidR="00F971D7">
        <w:rPr>
          <w:rFonts w:eastAsia="Calibri"/>
        </w:rPr>
        <w:t>precisely</w:t>
      </w:r>
      <w:r w:rsidR="00190674" w:rsidRPr="00190674">
        <w:rPr>
          <w:rFonts w:eastAsia="Calibri"/>
        </w:rPr>
        <w:t xml:space="preserve"> what these concepts mean to the groups in question</w:t>
      </w:r>
      <w:r w:rsidR="00D23196">
        <w:rPr>
          <w:rFonts w:eastAsia="Calibri"/>
        </w:rPr>
        <w:t xml:space="preserve"> and whether they are indeed attainable at the point when surveys of new teachers aim to assess these feelings</w:t>
      </w:r>
      <w:r w:rsidR="00190674" w:rsidRPr="00190674">
        <w:rPr>
          <w:rFonts w:eastAsia="Calibri"/>
        </w:rPr>
        <w:t xml:space="preserve">. </w:t>
      </w:r>
    </w:p>
    <w:p w14:paraId="6562C220" w14:textId="5327FB59" w:rsidR="00627E4B" w:rsidRDefault="00D23196" w:rsidP="005C00A6">
      <w:pPr>
        <w:pStyle w:val="Newparagraph"/>
        <w:rPr>
          <w:rFonts w:eastAsia="Calibri"/>
        </w:rPr>
      </w:pPr>
      <w:r>
        <w:rPr>
          <w:rFonts w:eastAsia="Calibri"/>
        </w:rPr>
        <w:t>I</w:t>
      </w:r>
      <w:r w:rsidR="00A660B9">
        <w:rPr>
          <w:rFonts w:eastAsia="Calibri"/>
        </w:rPr>
        <w:t>t must be acknowledged that the questions asked undeniably influenced the answers given as it is impossible to separate questions from their responses</w:t>
      </w:r>
      <w:r w:rsidR="00190674">
        <w:rPr>
          <w:rFonts w:eastAsia="Calibri"/>
        </w:rPr>
        <w:t xml:space="preserve"> as they inevitably affect the answers</w:t>
      </w:r>
      <w:r w:rsidR="00A660B9">
        <w:rPr>
          <w:rFonts w:eastAsia="Calibri"/>
        </w:rPr>
        <w:t xml:space="preserve"> </w:t>
      </w:r>
      <w:r w:rsidR="00190674">
        <w:rPr>
          <w:rFonts w:eastAsia="Calibri"/>
        </w:rPr>
        <w:t xml:space="preserve">(Roulston 2011; Mann 2011). As such, it is important to acknowledge the word choice in the questions because </w:t>
      </w:r>
      <w:r w:rsidR="00190674" w:rsidRPr="00190674">
        <w:rPr>
          <w:rFonts w:eastAsia="Calibri"/>
        </w:rPr>
        <w:t xml:space="preserve">‘comfortable’ and ‘confident’ could be perceived differently to ‘prepared’, thus leading to a potential different </w:t>
      </w:r>
      <w:r w:rsidR="00190674">
        <w:rPr>
          <w:rFonts w:eastAsia="Calibri"/>
        </w:rPr>
        <w:t xml:space="preserve">response. This, therefore, reinforces the need for future research to establish what is meant by these terms in the data. However, the word choice in the questions did serve to yield interesting results regarding what TEs feel is required for STs to feel prepared to teach EAL. </w:t>
      </w:r>
      <w:r w:rsidR="005C00A6" w:rsidRPr="005C00A6">
        <w:rPr>
          <w:rFonts w:eastAsia="Calibri"/>
        </w:rPr>
        <w:t xml:space="preserve">All interviewee </w:t>
      </w:r>
      <w:r w:rsidR="00190674" w:rsidRPr="005C00A6">
        <w:rPr>
          <w:rFonts w:eastAsia="Calibri"/>
        </w:rPr>
        <w:t>participants</w:t>
      </w:r>
      <w:r w:rsidR="005C00A6" w:rsidRPr="005C00A6">
        <w:rPr>
          <w:rFonts w:eastAsia="Calibri"/>
        </w:rPr>
        <w:t xml:space="preserve"> and 24 questionnaire data extracts </w:t>
      </w:r>
      <w:r w:rsidR="00190674" w:rsidRPr="005C00A6">
        <w:rPr>
          <w:rFonts w:eastAsia="Calibri"/>
        </w:rPr>
        <w:t xml:space="preserve">argue </w:t>
      </w:r>
      <w:r>
        <w:rPr>
          <w:rFonts w:eastAsia="Calibri"/>
        </w:rPr>
        <w:t xml:space="preserve">that the opportunity for </w:t>
      </w:r>
      <w:r w:rsidR="00190674" w:rsidRPr="005C00A6">
        <w:rPr>
          <w:rFonts w:eastAsia="Calibri"/>
        </w:rPr>
        <w:t xml:space="preserve">practical placement experiences with EAL pupils correlates with STs leaving ITT feeling more prepared and confident. </w:t>
      </w:r>
      <w:r w:rsidR="00190674">
        <w:rPr>
          <w:rFonts w:eastAsia="Calibri"/>
        </w:rPr>
        <w:t xml:space="preserve">Consequently, there is a distinct need </w:t>
      </w:r>
      <w:r>
        <w:rPr>
          <w:rFonts w:eastAsia="Calibri"/>
        </w:rPr>
        <w:t xml:space="preserve">expressed </w:t>
      </w:r>
      <w:r w:rsidR="00190674">
        <w:rPr>
          <w:rFonts w:eastAsia="Calibri"/>
        </w:rPr>
        <w:t>for more placement opportunities with EAL pupils and more specialist training from experienced practitioners</w:t>
      </w:r>
      <w:r w:rsidR="00590486">
        <w:rPr>
          <w:rFonts w:eastAsia="Calibri"/>
        </w:rPr>
        <w:t xml:space="preserve">, who could provide STs with practical techniques and guidance to create and alter resources based on the individual needs of pupils, including students for whom English is an additional language. </w:t>
      </w:r>
    </w:p>
    <w:p w14:paraId="020BF963" w14:textId="738BF8E6" w:rsidR="00FC3A5D" w:rsidRPr="0014597A" w:rsidRDefault="00FC3A5D" w:rsidP="00FC3A5D">
      <w:pPr>
        <w:rPr>
          <w:rFonts w:eastAsia="Calibri"/>
        </w:rPr>
      </w:pPr>
      <w:r>
        <w:rPr>
          <w:rFonts w:eastAsia="Calibri"/>
        </w:rPr>
        <w:tab/>
      </w:r>
      <w:r w:rsidR="00D23196">
        <w:rPr>
          <w:rFonts w:eastAsia="Calibri"/>
        </w:rPr>
        <w:t>T</w:t>
      </w:r>
      <w:r>
        <w:rPr>
          <w:rFonts w:eastAsia="Calibri"/>
        </w:rPr>
        <w:t xml:space="preserve">his study suggests that there </w:t>
      </w:r>
      <w:r w:rsidRPr="00FC3A5D">
        <w:rPr>
          <w:rFonts w:eastAsia="Calibri"/>
          <w:i/>
        </w:rPr>
        <w:t>is</w:t>
      </w:r>
      <w:r>
        <w:rPr>
          <w:rFonts w:eastAsia="Calibri"/>
        </w:rPr>
        <w:t xml:space="preserve"> a clear disparity between what STs </w:t>
      </w:r>
      <w:r w:rsidR="00D23196">
        <w:rPr>
          <w:rFonts w:eastAsia="Calibri"/>
        </w:rPr>
        <w:t>feel they need</w:t>
      </w:r>
      <w:r>
        <w:rPr>
          <w:rFonts w:eastAsia="Calibri"/>
        </w:rPr>
        <w:t xml:space="preserve"> and what TEs believe STs require to be prepared to help EAL learners to succeed in accessing the curriculum in mainstream schools. Research elsewhere also indicates there is a further disparity between what many argue schools require to support such learners and the amount of appropriate funding schools receive</w:t>
      </w:r>
      <w:r w:rsidR="00D23196">
        <w:rPr>
          <w:rFonts w:eastAsia="Calibri"/>
        </w:rPr>
        <w:t xml:space="preserve"> </w:t>
      </w:r>
      <w:r>
        <w:rPr>
          <w:rFonts w:eastAsia="Calibri"/>
        </w:rPr>
        <w:t>a</w:t>
      </w:r>
      <w:r w:rsidR="00D23196">
        <w:rPr>
          <w:rFonts w:eastAsia="Calibri"/>
        </w:rPr>
        <w:t>s well as</w:t>
      </w:r>
      <w:r>
        <w:rPr>
          <w:rFonts w:eastAsia="Calibri"/>
        </w:rPr>
        <w:t xml:space="preserve"> the policies that schools are expected to conform to (</w:t>
      </w:r>
      <w:proofErr w:type="spellStart"/>
      <w:r>
        <w:rPr>
          <w:rFonts w:eastAsia="Calibri"/>
        </w:rPr>
        <w:t>Nowlan</w:t>
      </w:r>
      <w:proofErr w:type="spellEnd"/>
      <w:r>
        <w:rPr>
          <w:rFonts w:eastAsia="Calibri"/>
        </w:rPr>
        <w:t xml:space="preserve"> 2008; </w:t>
      </w:r>
      <w:proofErr w:type="spellStart"/>
      <w:r>
        <w:rPr>
          <w:rFonts w:eastAsia="Calibri"/>
        </w:rPr>
        <w:t>Demie</w:t>
      </w:r>
      <w:proofErr w:type="spellEnd"/>
      <w:r>
        <w:rPr>
          <w:rFonts w:eastAsia="Calibri"/>
        </w:rPr>
        <w:t xml:space="preserve"> 2018). As such</w:t>
      </w:r>
      <w:r w:rsidR="00F54826">
        <w:rPr>
          <w:rFonts w:eastAsia="Calibri"/>
        </w:rPr>
        <w:t>,</w:t>
      </w:r>
      <w:r>
        <w:rPr>
          <w:rFonts w:eastAsia="Calibri"/>
        </w:rPr>
        <w:t xml:space="preserve"> it is vital that </w:t>
      </w:r>
      <w:r w:rsidR="00D23196">
        <w:rPr>
          <w:rFonts w:eastAsia="Calibri"/>
        </w:rPr>
        <w:t xml:space="preserve">while </w:t>
      </w:r>
      <w:r>
        <w:rPr>
          <w:rFonts w:eastAsia="Calibri"/>
        </w:rPr>
        <w:t xml:space="preserve">future research seeks to define and identify what STs, teachers and TEs define as being ‘prepared’, it is also </w:t>
      </w:r>
      <w:r w:rsidR="00F54826">
        <w:rPr>
          <w:rFonts w:eastAsia="Calibri"/>
        </w:rPr>
        <w:t xml:space="preserve">important </w:t>
      </w:r>
      <w:r>
        <w:rPr>
          <w:rFonts w:eastAsia="Calibri"/>
        </w:rPr>
        <w:t xml:space="preserve">for improvements to be made and successfully implemented, that TEs, researchers and practitioners continue to critically evaluate the current situation and engage with those in policymaking in an attempt to make beneficial changes for all (Conteh 2012; Schneider and Arnot 2018). </w:t>
      </w:r>
    </w:p>
    <w:p w14:paraId="564A6A88" w14:textId="1B9321CD" w:rsidR="00627E4B" w:rsidRPr="0014597A" w:rsidRDefault="005366D7" w:rsidP="0014597A">
      <w:pPr>
        <w:pStyle w:val="Heading1"/>
      </w:pPr>
      <w:r>
        <w:t>Implications</w:t>
      </w:r>
      <w:r w:rsidR="0014597A">
        <w:t xml:space="preserve"> and recommendations</w:t>
      </w:r>
    </w:p>
    <w:p w14:paraId="2D9F5448" w14:textId="7F694C78" w:rsidR="00627E4B" w:rsidRPr="00FB225C" w:rsidRDefault="00957CA9" w:rsidP="00B82E07">
      <w:pPr>
        <w:pStyle w:val="Paragraph"/>
        <w:rPr>
          <w:rFonts w:eastAsia="Calibri"/>
        </w:rPr>
      </w:pPr>
      <w:r w:rsidRPr="00CE6D57">
        <w:rPr>
          <w:rFonts w:eastAsia="Calibri"/>
        </w:rPr>
        <w:t xml:space="preserve">This paper sought to </w:t>
      </w:r>
      <w:r>
        <w:rPr>
          <w:rFonts w:eastAsia="Calibri"/>
        </w:rPr>
        <w:t xml:space="preserve">establish teacher educators’ perceptions of the usefulness of ITT on EAL for STs and </w:t>
      </w:r>
      <w:r w:rsidRPr="00CE6D57">
        <w:rPr>
          <w:rFonts w:eastAsia="Calibri"/>
        </w:rPr>
        <w:t>how it could potentially be improved</w:t>
      </w:r>
      <w:r w:rsidR="00627E4B" w:rsidRPr="00CE6D57">
        <w:rPr>
          <w:rFonts w:eastAsia="Calibri"/>
        </w:rPr>
        <w:t xml:space="preserve">. Some participants argued that ITT on EAL could be improved by teaching STs about Language Acquisition, so they can understand the importance of maintaining the L1 and potentially using it as a resource in the classroom. It could be argued that this understanding of the process of language acquisition could prevent the negative attitudes towards </w:t>
      </w:r>
      <w:r w:rsidR="00D23196">
        <w:rPr>
          <w:rFonts w:eastAsia="Calibri"/>
        </w:rPr>
        <w:t>home language</w:t>
      </w:r>
      <w:r w:rsidR="00627E4B" w:rsidRPr="00CE6D57">
        <w:rPr>
          <w:rFonts w:eastAsia="Calibri"/>
        </w:rPr>
        <w:t xml:space="preserve"> usage in the classroom and </w:t>
      </w:r>
      <w:r w:rsidR="00D23196">
        <w:rPr>
          <w:rFonts w:eastAsia="Calibri"/>
        </w:rPr>
        <w:t xml:space="preserve">the potential for subsequent </w:t>
      </w:r>
      <w:r w:rsidR="00627E4B" w:rsidRPr="00CE6D57">
        <w:rPr>
          <w:rFonts w:eastAsia="Calibri"/>
        </w:rPr>
        <w:t>enforced monolingualism discussed by Conteh (2003)</w:t>
      </w:r>
      <w:r w:rsidR="00D23196">
        <w:rPr>
          <w:rFonts w:eastAsia="Calibri"/>
        </w:rPr>
        <w:t xml:space="preserve"> and </w:t>
      </w:r>
      <w:r w:rsidR="00653AB6">
        <w:rPr>
          <w:rFonts w:eastAsia="Calibri"/>
        </w:rPr>
        <w:t>Cunningham</w:t>
      </w:r>
      <w:r w:rsidR="00D23196">
        <w:rPr>
          <w:rFonts w:eastAsia="Calibri"/>
        </w:rPr>
        <w:t xml:space="preserve"> (2019)</w:t>
      </w:r>
      <w:r w:rsidR="00627E4B" w:rsidRPr="00CE6D57">
        <w:rPr>
          <w:rFonts w:eastAsia="Calibri"/>
        </w:rPr>
        <w:t xml:space="preserve">, and in turn this could help create a positive model of multilingualism </w:t>
      </w:r>
      <w:r w:rsidR="000C7FCD">
        <w:rPr>
          <w:rFonts w:eastAsia="Calibri"/>
        </w:rPr>
        <w:t xml:space="preserve">as a resource (Catalano and Hamann 2016) </w:t>
      </w:r>
      <w:r w:rsidR="00627E4B" w:rsidRPr="00CE6D57">
        <w:rPr>
          <w:rFonts w:eastAsia="Calibri"/>
        </w:rPr>
        <w:t xml:space="preserve">within the education sector. </w:t>
      </w:r>
    </w:p>
    <w:p w14:paraId="121E4A13" w14:textId="7689B63D" w:rsidR="00627E4B" w:rsidRPr="0014597A" w:rsidRDefault="00627E4B" w:rsidP="0014597A">
      <w:pPr>
        <w:pStyle w:val="Newparagraph"/>
        <w:rPr>
          <w:rFonts w:eastAsia="Calibri"/>
        </w:rPr>
      </w:pPr>
      <w:r w:rsidRPr="00CE6D57">
        <w:rPr>
          <w:rFonts w:eastAsia="Calibri"/>
        </w:rPr>
        <w:t xml:space="preserve">In addition to this, </w:t>
      </w:r>
      <w:r w:rsidRPr="00106E43">
        <w:rPr>
          <w:rFonts w:eastAsia="Calibri"/>
        </w:rPr>
        <w:t>many participants believe that placement opportunities need to improve to enable STs to have experience with EAL learners</w:t>
      </w:r>
      <w:r w:rsidRPr="00CE6D57">
        <w:rPr>
          <w:rFonts w:eastAsia="Calibri"/>
        </w:rPr>
        <w:t xml:space="preserve">; how practical this is remains unknown as it depends on each institution’s connections with other schools. However, to compensate for this, it is undeniable that teachers would benefit from practical advice given by experienced practitioners on how to develop resources for EAL students as well as practical teaching strategies (NALDIC 1999; </w:t>
      </w:r>
      <w:proofErr w:type="spellStart"/>
      <w:r w:rsidRPr="00CE6D57">
        <w:rPr>
          <w:rFonts w:eastAsia="Calibri"/>
        </w:rPr>
        <w:t>Franson</w:t>
      </w:r>
      <w:proofErr w:type="spellEnd"/>
      <w:r w:rsidRPr="00CE6D57">
        <w:rPr>
          <w:rFonts w:eastAsia="Calibri"/>
        </w:rPr>
        <w:t xml:space="preserve"> </w:t>
      </w:r>
      <w:r w:rsidR="00DF4677">
        <w:rPr>
          <w:rFonts w:eastAsia="Calibri"/>
        </w:rPr>
        <w:t>et al. 2002; Conteh 2015</w:t>
      </w:r>
      <w:r w:rsidRPr="00CE6D57">
        <w:rPr>
          <w:rFonts w:eastAsia="Calibri"/>
        </w:rPr>
        <w:t xml:space="preserve">). Furthermore, it seems </w:t>
      </w:r>
      <w:r w:rsidR="005366D7">
        <w:rPr>
          <w:rFonts w:eastAsia="Calibri"/>
        </w:rPr>
        <w:t xml:space="preserve">TEs and STs alike </w:t>
      </w:r>
      <w:r w:rsidRPr="00CE6D57">
        <w:rPr>
          <w:rFonts w:eastAsia="Calibri"/>
        </w:rPr>
        <w:t xml:space="preserve">would benefit from sharing </w:t>
      </w:r>
      <w:r w:rsidR="005366D7">
        <w:rPr>
          <w:rFonts w:eastAsia="Calibri"/>
        </w:rPr>
        <w:t xml:space="preserve">existing </w:t>
      </w:r>
      <w:r w:rsidRPr="00CE6D57">
        <w:rPr>
          <w:rFonts w:eastAsia="Calibri"/>
        </w:rPr>
        <w:t xml:space="preserve">resources and accessing </w:t>
      </w:r>
      <w:r w:rsidR="00F971D7">
        <w:rPr>
          <w:rFonts w:eastAsia="Calibri"/>
        </w:rPr>
        <w:t>local and national networks.</w:t>
      </w:r>
    </w:p>
    <w:p w14:paraId="3896051D" w14:textId="4D7CF41F" w:rsidR="00627E4B" w:rsidRPr="005366D7" w:rsidRDefault="00627E4B" w:rsidP="005366D7">
      <w:pPr>
        <w:pStyle w:val="Newparagraph"/>
        <w:rPr>
          <w:rFonts w:eastAsia="Calibri"/>
        </w:rPr>
      </w:pPr>
      <w:r w:rsidRPr="00CE6D57">
        <w:rPr>
          <w:rFonts w:eastAsia="Calibri"/>
        </w:rPr>
        <w:t xml:space="preserve">Finally, as it seems that current priorities in the education sector consists of tests, performativity and results according to numerous interview participants, it seems that ITT courses need to equip STs to deal with the challenge of getting all students through such regimented tests, whilst also differentiating materials to best support learners, whilst simultaneously creating an inclusive environment where students’ </w:t>
      </w:r>
      <w:r w:rsidR="000C7FCD">
        <w:rPr>
          <w:rFonts w:eastAsia="Calibri"/>
        </w:rPr>
        <w:t>home language</w:t>
      </w:r>
      <w:r w:rsidRPr="00CE6D57">
        <w:rPr>
          <w:rFonts w:eastAsia="Calibri"/>
        </w:rPr>
        <w:t xml:space="preserve">s are welcomed in the classroom; a task that may be increasingly challenging but also increasingly necessary as the EAL population continues to increase and funding </w:t>
      </w:r>
      <w:r>
        <w:rPr>
          <w:rFonts w:eastAsia="Calibri"/>
        </w:rPr>
        <w:t>seems likely to remain</w:t>
      </w:r>
      <w:r w:rsidRPr="00CE6D57">
        <w:rPr>
          <w:rFonts w:eastAsia="Calibri"/>
        </w:rPr>
        <w:t xml:space="preserve"> low. </w:t>
      </w:r>
    </w:p>
    <w:p w14:paraId="08FFAF3B" w14:textId="1C213E65" w:rsidR="00CB4AE1" w:rsidRDefault="00627E4B" w:rsidP="00F971D7">
      <w:pPr>
        <w:pStyle w:val="Newparagraph"/>
        <w:rPr>
          <w:rFonts w:eastAsia="Calibri"/>
        </w:rPr>
      </w:pPr>
      <w:r w:rsidRPr="00CE6D57">
        <w:rPr>
          <w:rFonts w:eastAsia="Calibri"/>
        </w:rPr>
        <w:t>To further establish ways in which ITT on EAL can be improved, future research needs to be conducted to establish exactly how much time is spent on EAL training and whether said training is compulsory. In addition to this, future research also needs to contemplate what is mea</w:t>
      </w:r>
      <w:r w:rsidR="00B82E07">
        <w:rPr>
          <w:rFonts w:eastAsia="Calibri"/>
        </w:rPr>
        <w:t xml:space="preserve">nt by </w:t>
      </w:r>
      <w:r w:rsidR="00B82E07" w:rsidRPr="00B82E07">
        <w:rPr>
          <w:rFonts w:eastAsia="Calibri"/>
          <w:i/>
        </w:rPr>
        <w:t>practical</w:t>
      </w:r>
      <w:r w:rsidRPr="00B82E07">
        <w:rPr>
          <w:rFonts w:eastAsia="Calibri"/>
          <w:i/>
        </w:rPr>
        <w:t xml:space="preserve"> </w:t>
      </w:r>
      <w:r w:rsidRPr="00CE6D57">
        <w:rPr>
          <w:rFonts w:eastAsia="Calibri"/>
        </w:rPr>
        <w:t xml:space="preserve">training on EAL. Furthermore, when considering how ITT can make STs feel prepared to teach EAL learners, researchers need to carefully define terminology such as ‘comfortable’ and ‘prepared’ in the context of the question they are asking in order to yield specific results, which will help further establish what is currently done and what more can be done to ensure STs feel prepared and, most important of all, </w:t>
      </w:r>
      <w:r w:rsidRPr="00215718">
        <w:rPr>
          <w:rFonts w:eastAsia="Calibri"/>
          <w:i/>
        </w:rPr>
        <w:t>are</w:t>
      </w:r>
      <w:r w:rsidRPr="00CE6D57">
        <w:rPr>
          <w:rFonts w:eastAsia="Calibri"/>
        </w:rPr>
        <w:t xml:space="preserve"> prepared to </w:t>
      </w:r>
      <w:r w:rsidR="000C7FCD">
        <w:rPr>
          <w:rFonts w:eastAsia="Calibri"/>
        </w:rPr>
        <w:t>work with emergent bi/multilingual students</w:t>
      </w:r>
      <w:r w:rsidRPr="00CE6D57">
        <w:rPr>
          <w:rFonts w:eastAsia="Calibri"/>
        </w:rPr>
        <w:t xml:space="preserve">. </w:t>
      </w:r>
    </w:p>
    <w:p w14:paraId="09C2A875" w14:textId="7E0CF7C4" w:rsidR="00BD1EF0" w:rsidRDefault="00CB4AE1" w:rsidP="00FA7087">
      <w:pPr>
        <w:pStyle w:val="Paragraph"/>
        <w:ind w:firstLine="720"/>
      </w:pPr>
      <w:r w:rsidRPr="00AC013F">
        <w:t xml:space="preserve">Such improvements are, of course, limited by time and funding. Consequently, as stated previously, a future line of enquiry is required to attempt to establish how much time is spent on EAL training to uncover how much timed input STs receive. </w:t>
      </w:r>
      <w:r>
        <w:t>T</w:t>
      </w:r>
      <w:r w:rsidRPr="00AC013F">
        <w:t>his also raises the question as to how effective it is to have such short ITT courses in Great Britain, as they seemingly do not have enough time to cover all the necessary areas, such as EAL, in enough depth for STs to feel sufficiently prepared.</w:t>
      </w:r>
    </w:p>
    <w:p w14:paraId="528A2917" w14:textId="77777777" w:rsidR="00BD1EF0" w:rsidRDefault="00BD1EF0">
      <w:pPr>
        <w:spacing w:line="240" w:lineRule="auto"/>
      </w:pPr>
      <w:r>
        <w:br w:type="page"/>
      </w:r>
    </w:p>
    <w:p w14:paraId="241E4C85" w14:textId="71D8B42F" w:rsidR="00E66188" w:rsidRPr="0021138D" w:rsidRDefault="00161344" w:rsidP="0021138D">
      <w:pPr>
        <w:pStyle w:val="Heading1"/>
      </w:pPr>
      <w:r w:rsidRPr="0021138D">
        <w:t>References</w:t>
      </w:r>
    </w:p>
    <w:p w14:paraId="003C0ED8" w14:textId="42636276" w:rsidR="0021138D" w:rsidRPr="00803985" w:rsidRDefault="0021138D" w:rsidP="00215718">
      <w:pPr>
        <w:pStyle w:val="References"/>
      </w:pPr>
      <w:r w:rsidRPr="00803985">
        <w:t xml:space="preserve">Arnot, M., Schneider, C. Evans, M., Liu, Y., </w:t>
      </w:r>
      <w:proofErr w:type="spellStart"/>
      <w:r w:rsidR="00DF4677">
        <w:t>Welply</w:t>
      </w:r>
      <w:proofErr w:type="spellEnd"/>
      <w:r w:rsidR="00DF4677">
        <w:t xml:space="preserve">, O. and Davies-Tutt, D. </w:t>
      </w:r>
      <w:r w:rsidRPr="00803985">
        <w:t>2</w:t>
      </w:r>
      <w:r w:rsidR="00DF4677">
        <w:t>014.</w:t>
      </w:r>
      <w:r w:rsidRPr="00803985">
        <w:t xml:space="preserve"> </w:t>
      </w:r>
      <w:r w:rsidRPr="00803985">
        <w:rPr>
          <w:i/>
        </w:rPr>
        <w:t xml:space="preserve">School approaches to the education of EAL students </w:t>
      </w:r>
      <w:r w:rsidRPr="00803985">
        <w:t xml:space="preserve">[Internet]. University of Cambridge, The Bell Educational Trust Limited. Available from </w:t>
      </w:r>
      <w:hyperlink r:id="rId10" w:history="1">
        <w:r w:rsidRPr="00803985">
          <w:rPr>
            <w:color w:val="0000FF" w:themeColor="hyperlink"/>
            <w:u w:val="single"/>
          </w:rPr>
          <w:t>https://www.educ.cam.ac.uk/research/projects/ealead/Fullreport.pdf</w:t>
        </w:r>
      </w:hyperlink>
      <w:r w:rsidRPr="00803985">
        <w:t xml:space="preserve"> [</w:t>
      </w:r>
      <w:r w:rsidR="00C10805">
        <w:t>A</w:t>
      </w:r>
      <w:r w:rsidRPr="00803985">
        <w:t xml:space="preserve">ccessed 16th August 2018]. </w:t>
      </w:r>
    </w:p>
    <w:p w14:paraId="1B122EC4" w14:textId="79C5246D" w:rsidR="0021138D" w:rsidRDefault="0021138D" w:rsidP="00215718">
      <w:pPr>
        <w:pStyle w:val="References"/>
      </w:pPr>
      <w:r w:rsidRPr="00803985">
        <w:t>Bail</w:t>
      </w:r>
      <w:r w:rsidR="00DF4677">
        <w:t xml:space="preserve">ey, E.J. </w:t>
      </w:r>
      <w:r w:rsidR="009C3C3F">
        <w:t>a</w:t>
      </w:r>
      <w:r w:rsidR="00DF4677">
        <w:t xml:space="preserve">nd Marsden, E. 2017. </w:t>
      </w:r>
      <w:r w:rsidRPr="00803985">
        <w:t xml:space="preserve">Teachers’ views on recognising and using home languages in predominantly monolingual primary schools. </w:t>
      </w:r>
      <w:r w:rsidRPr="00803985">
        <w:rPr>
          <w:i/>
        </w:rPr>
        <w:t>Language and Education</w:t>
      </w:r>
      <w:r w:rsidR="00DF4677">
        <w:t xml:space="preserve">, 31 (4): </w:t>
      </w:r>
      <w:r w:rsidRPr="00803985">
        <w:t xml:space="preserve">283-307. </w:t>
      </w:r>
    </w:p>
    <w:p w14:paraId="5C72A358" w14:textId="52831BE7" w:rsidR="00A2457C" w:rsidRPr="00A2457C" w:rsidRDefault="00A2457C" w:rsidP="00215718">
      <w:pPr>
        <w:pStyle w:val="References"/>
      </w:pPr>
      <w:r>
        <w:t xml:space="preserve">Ball, A. F. and R. J. Muhammad. 2003. Language Diversity in Teacher Education and in the Classroom. In Smitherman, G. and V. Villanueva (eds) </w:t>
      </w:r>
      <w:r w:rsidRPr="00A2457C">
        <w:rPr>
          <w:i/>
          <w:iCs/>
        </w:rPr>
        <w:t>Language Diversity in the Classroom: From Intention to Practice</w:t>
      </w:r>
      <w:r>
        <w:t>. Carbondale: Southern Illinois University Press: 76-88.</w:t>
      </w:r>
    </w:p>
    <w:p w14:paraId="1092979D" w14:textId="611F5F1D" w:rsidR="0021138D" w:rsidRPr="00803985" w:rsidRDefault="0021138D" w:rsidP="00215718">
      <w:pPr>
        <w:pStyle w:val="References"/>
      </w:pPr>
      <w:r w:rsidRPr="00803985">
        <w:t>British Educatio</w:t>
      </w:r>
      <w:r w:rsidR="00DF4677">
        <w:t xml:space="preserve">nal Research Association. 2011. </w:t>
      </w:r>
      <w:r w:rsidRPr="0077380C">
        <w:rPr>
          <w:i/>
        </w:rPr>
        <w:t>Ethical Guidelines for Educational Research</w:t>
      </w:r>
      <w:r w:rsidRPr="00803985">
        <w:t xml:space="preserve">. [Internet]. Available from </w:t>
      </w:r>
      <w:hyperlink r:id="rId11" w:history="1">
        <w:r w:rsidRPr="00803985">
          <w:rPr>
            <w:color w:val="0000FF" w:themeColor="hyperlink"/>
            <w:u w:val="single"/>
          </w:rPr>
          <w:t>https://www.bera.ac.uk/researchers-resources/publications/ethical-guidelines-for-educational-research-2011</w:t>
        </w:r>
      </w:hyperlink>
      <w:r w:rsidRPr="00803985">
        <w:t xml:space="preserve"> [Accessed 28th March 2018]. </w:t>
      </w:r>
    </w:p>
    <w:p w14:paraId="633253CE" w14:textId="77777777" w:rsidR="00C56734" w:rsidRPr="00803985" w:rsidRDefault="00C56734" w:rsidP="00C56734">
      <w:pPr>
        <w:pStyle w:val="References"/>
      </w:pPr>
      <w:r w:rsidRPr="00803985">
        <w:t xml:space="preserve">Butcher, </w:t>
      </w:r>
      <w:r>
        <w:t xml:space="preserve">J., </w:t>
      </w:r>
      <w:proofErr w:type="spellStart"/>
      <w:r>
        <w:t>Sinka</w:t>
      </w:r>
      <w:proofErr w:type="spellEnd"/>
      <w:r>
        <w:t xml:space="preserve">, I. and </w:t>
      </w:r>
      <w:proofErr w:type="spellStart"/>
      <w:r>
        <w:t>Troman</w:t>
      </w:r>
      <w:proofErr w:type="spellEnd"/>
      <w:r>
        <w:t xml:space="preserve">. 2007. </w:t>
      </w:r>
      <w:r w:rsidRPr="00803985">
        <w:t>Exploring diversity: teacher education policy and bilingualism</w:t>
      </w:r>
      <w:r>
        <w:t>.</w:t>
      </w:r>
      <w:r w:rsidRPr="00803985">
        <w:t xml:space="preserve"> </w:t>
      </w:r>
      <w:r w:rsidRPr="00803985">
        <w:rPr>
          <w:i/>
        </w:rPr>
        <w:t>Research Papers in Education</w:t>
      </w:r>
      <w:r>
        <w:t xml:space="preserve">, 22 (4): </w:t>
      </w:r>
      <w:r w:rsidRPr="00803985">
        <w:t xml:space="preserve">483-501. </w:t>
      </w:r>
    </w:p>
    <w:p w14:paraId="62CF2385" w14:textId="712A62AC" w:rsidR="0021138D" w:rsidRDefault="00DF4677" w:rsidP="00215718">
      <w:pPr>
        <w:pStyle w:val="References"/>
      </w:pPr>
      <w:proofErr w:type="spellStart"/>
      <w:r>
        <w:t>Cajkler</w:t>
      </w:r>
      <w:proofErr w:type="spellEnd"/>
      <w:r>
        <w:t>, W. and Hall, B. 2009.</w:t>
      </w:r>
      <w:r w:rsidR="0021138D" w:rsidRPr="00803985">
        <w:t xml:space="preserve"> When they first come in what do you do?’ English as an additional language and newly qualified teachers. </w:t>
      </w:r>
      <w:r w:rsidR="0021138D" w:rsidRPr="00803985">
        <w:rPr>
          <w:i/>
        </w:rPr>
        <w:t>Language and Education</w:t>
      </w:r>
      <w:r>
        <w:t xml:space="preserve">, 23 (2): </w:t>
      </w:r>
      <w:r w:rsidR="0021138D" w:rsidRPr="00803985">
        <w:t xml:space="preserve">153-170. </w:t>
      </w:r>
    </w:p>
    <w:p w14:paraId="0218554D" w14:textId="69B7866B" w:rsidR="00252816" w:rsidRDefault="00252816" w:rsidP="00215718">
      <w:pPr>
        <w:pStyle w:val="References"/>
      </w:pPr>
      <w:r>
        <w:t xml:space="preserve">Catalano, T. and E. Hamann. 2016. Multilingual pedagogies and pre-service teachers: Implementing “language as a resource” orientations in teacher education programs. </w:t>
      </w:r>
      <w:r>
        <w:rPr>
          <w:i/>
          <w:iCs/>
        </w:rPr>
        <w:t xml:space="preserve">Bilingual Research Journal </w:t>
      </w:r>
      <w:r>
        <w:t xml:space="preserve">39 (3-4): 263-278. </w:t>
      </w:r>
    </w:p>
    <w:p w14:paraId="0C287483" w14:textId="71F629AC" w:rsidR="005A50E7" w:rsidRPr="000A1B06" w:rsidRDefault="005A50E7" w:rsidP="00215718">
      <w:pPr>
        <w:pStyle w:val="References"/>
      </w:pPr>
      <w:proofErr w:type="spellStart"/>
      <w:r>
        <w:t>Coady</w:t>
      </w:r>
      <w:proofErr w:type="spellEnd"/>
      <w:r>
        <w:t xml:space="preserve">, M, Harper, C. and E. de Jong. 2011. From Preservice to Practice: Mainstream </w:t>
      </w:r>
      <w:r w:rsidR="000A1B06">
        <w:t xml:space="preserve">Elementary Teacher Beliefs of Preparation and Efficacy with English Language Learners in the State of Florida. </w:t>
      </w:r>
      <w:r w:rsidR="000A1B06">
        <w:rPr>
          <w:i/>
          <w:iCs/>
        </w:rPr>
        <w:t xml:space="preserve">Bilingual Research Journal, </w:t>
      </w:r>
      <w:r w:rsidR="000A1B06">
        <w:t>34 (2): 223-239.</w:t>
      </w:r>
    </w:p>
    <w:p w14:paraId="54BE9513" w14:textId="6F41ABF5" w:rsidR="0021138D" w:rsidRDefault="00DF4677" w:rsidP="00215718">
      <w:pPr>
        <w:pStyle w:val="References"/>
        <w:rPr>
          <w:rFonts w:eastAsia="Calibri"/>
          <w:bCs/>
        </w:rPr>
      </w:pPr>
      <w:bookmarkStart w:id="3" w:name="_Hlk511308998"/>
      <w:r>
        <w:rPr>
          <w:rFonts w:eastAsia="Calibri"/>
        </w:rPr>
        <w:t>Conteh, J. 2003.</w:t>
      </w:r>
      <w:r w:rsidR="0021138D" w:rsidRPr="00803985">
        <w:rPr>
          <w:rFonts w:eastAsia="Calibri"/>
        </w:rPr>
        <w:t xml:space="preserve"> </w:t>
      </w:r>
      <w:r w:rsidR="0021138D" w:rsidRPr="00DF4677">
        <w:rPr>
          <w:rFonts w:eastAsia="Calibri"/>
          <w:bCs/>
          <w:i/>
        </w:rPr>
        <w:t>Succeeding in diversity: culture, language and learning in primary classrooms</w:t>
      </w:r>
      <w:r w:rsidR="0021138D" w:rsidRPr="00803985">
        <w:rPr>
          <w:rFonts w:eastAsia="Calibri"/>
          <w:bCs/>
        </w:rPr>
        <w:t>. Stoke-on-Trent, Trentham.</w:t>
      </w:r>
      <w:bookmarkEnd w:id="3"/>
    </w:p>
    <w:p w14:paraId="456EC87F" w14:textId="0E587EE8" w:rsidR="00331143" w:rsidRPr="00AC16CC" w:rsidRDefault="00331143" w:rsidP="00215718">
      <w:pPr>
        <w:pStyle w:val="References"/>
        <w:rPr>
          <w:rFonts w:eastAsia="Calibri"/>
          <w:bCs/>
        </w:rPr>
      </w:pPr>
      <w:r w:rsidRPr="00AC16CC">
        <w:rPr>
          <w:rFonts w:eastAsia="Calibri"/>
          <w:bCs/>
        </w:rPr>
        <w:t>Conteh, J. 2012</w:t>
      </w:r>
      <w:r w:rsidR="00AC16CC" w:rsidRPr="00AC16CC">
        <w:rPr>
          <w:rFonts w:eastAsia="Calibri"/>
          <w:bCs/>
        </w:rPr>
        <w:t xml:space="preserve">. </w:t>
      </w:r>
      <w:r w:rsidR="00AC16CC" w:rsidRPr="00F908BE">
        <w:rPr>
          <w:i/>
          <w:iCs/>
          <w:color w:val="000000"/>
          <w:shd w:val="clear" w:color="auto" w:fill="FFFFFF"/>
        </w:rPr>
        <w:t>Teaching Bilingual and EAL Learners in Primary Schools</w:t>
      </w:r>
      <w:r w:rsidR="00AC16CC" w:rsidRPr="00F908BE">
        <w:rPr>
          <w:color w:val="000000"/>
          <w:shd w:val="clear" w:color="auto" w:fill="FFFFFF"/>
        </w:rPr>
        <w:t>. London: SAGE.</w:t>
      </w:r>
    </w:p>
    <w:p w14:paraId="2E69E5BA" w14:textId="20460D56" w:rsidR="0021138D" w:rsidRPr="00803985" w:rsidRDefault="00DF4677" w:rsidP="00215718">
      <w:pPr>
        <w:pStyle w:val="References"/>
        <w:rPr>
          <w:rFonts w:eastAsia="Calibri"/>
        </w:rPr>
      </w:pPr>
      <w:bookmarkStart w:id="4" w:name="_Hlk511309373"/>
      <w:r>
        <w:rPr>
          <w:rFonts w:eastAsia="Calibri"/>
        </w:rPr>
        <w:t>Conteh, J. 2015.</w:t>
      </w:r>
      <w:r w:rsidR="0021138D" w:rsidRPr="00803985">
        <w:rPr>
          <w:rFonts w:eastAsia="Calibri"/>
        </w:rPr>
        <w:t xml:space="preserve"> </w:t>
      </w:r>
      <w:r w:rsidR="0021138D" w:rsidRPr="00DF4677">
        <w:rPr>
          <w:rFonts w:eastAsia="Calibri"/>
          <w:i/>
        </w:rPr>
        <w:t>The EAL Teaching Book: promoting success for multilingual learners</w:t>
      </w:r>
      <w:r w:rsidR="0021138D" w:rsidRPr="00803985">
        <w:rPr>
          <w:rFonts w:eastAsia="Calibri"/>
        </w:rPr>
        <w:t>. 2</w:t>
      </w:r>
      <w:r w:rsidR="0021138D" w:rsidRPr="00803985">
        <w:rPr>
          <w:rFonts w:eastAsia="Calibri"/>
          <w:vertAlign w:val="superscript"/>
        </w:rPr>
        <w:t>nd</w:t>
      </w:r>
      <w:r w:rsidR="0021138D" w:rsidRPr="00803985">
        <w:rPr>
          <w:rFonts w:eastAsia="Calibri"/>
        </w:rPr>
        <w:t xml:space="preserve"> ed. Los Angeles, Learning Matters.</w:t>
      </w:r>
      <w:bookmarkEnd w:id="4"/>
    </w:p>
    <w:p w14:paraId="2899A64E" w14:textId="77777777" w:rsidR="009F7AE7" w:rsidRDefault="009F7AE7" w:rsidP="009F7AE7">
      <w:pPr>
        <w:pStyle w:val="References"/>
      </w:pPr>
      <w:r>
        <w:t>Cunningham, C. 2018</w:t>
      </w:r>
      <w:r w:rsidRPr="00803985">
        <w:t xml:space="preserve">. Terminological tussles: taking issue with 'EAL' and 'languages other than English. </w:t>
      </w:r>
      <w:r w:rsidRPr="00803985">
        <w:rPr>
          <w:i/>
        </w:rPr>
        <w:t>Power and Education</w:t>
      </w:r>
      <w:r>
        <w:t>, 11 (1): 121-128.</w:t>
      </w:r>
    </w:p>
    <w:p w14:paraId="298DD63B" w14:textId="77777777" w:rsidR="009F7AE7" w:rsidRPr="00D23196" w:rsidRDefault="009F7AE7" w:rsidP="009F7AE7">
      <w:pPr>
        <w:pStyle w:val="References"/>
      </w:pPr>
      <w:r w:rsidRPr="00D23196">
        <w:t>Cunningham, C. 2019. ‘</w:t>
      </w:r>
      <w:r w:rsidRPr="00D23196">
        <w:rPr>
          <w:szCs w:val="20"/>
        </w:rPr>
        <w:t xml:space="preserve">The Inappropriateness of Language’: discourses of power and control over languages beyond English in primary schools. </w:t>
      </w:r>
      <w:r w:rsidRPr="00D23196">
        <w:rPr>
          <w:i/>
          <w:szCs w:val="20"/>
        </w:rPr>
        <w:t>Language and Education</w:t>
      </w:r>
      <w:r w:rsidRPr="00D23196">
        <w:rPr>
          <w:szCs w:val="20"/>
        </w:rPr>
        <w:t xml:space="preserve">, </w:t>
      </w:r>
      <w:r w:rsidRPr="00D23196">
        <w:rPr>
          <w:i/>
          <w:iCs/>
          <w:szCs w:val="20"/>
        </w:rPr>
        <w:t>33</w:t>
      </w:r>
      <w:r w:rsidRPr="00D23196">
        <w:rPr>
          <w:szCs w:val="20"/>
        </w:rPr>
        <w:t xml:space="preserve">(4): 285-301. </w:t>
      </w:r>
    </w:p>
    <w:p w14:paraId="1DF6AEED" w14:textId="3C355697" w:rsidR="00C56734" w:rsidRDefault="00C56734" w:rsidP="00215718">
      <w:pPr>
        <w:pStyle w:val="References"/>
      </w:pPr>
      <w:r>
        <w:t xml:space="preserve">Curran, M. 2003. Linguistic diversity and classroom management. </w:t>
      </w:r>
      <w:r w:rsidRPr="00F908BE">
        <w:rPr>
          <w:i/>
          <w:iCs/>
        </w:rPr>
        <w:t>Theory into Practice</w:t>
      </w:r>
      <w:r>
        <w:t>, 42 (4): 334-340.</w:t>
      </w:r>
    </w:p>
    <w:p w14:paraId="6278BD19" w14:textId="12439D21" w:rsidR="00F931D6" w:rsidRPr="00F908BE" w:rsidRDefault="00F931D6" w:rsidP="00215718">
      <w:pPr>
        <w:pStyle w:val="References"/>
        <w:rPr>
          <w:rStyle w:val="pagerange"/>
          <w:color w:val="333333"/>
          <w:shd w:val="clear" w:color="auto" w:fill="FFFFFF"/>
        </w:rPr>
      </w:pPr>
      <w:r w:rsidRPr="00F908BE">
        <w:rPr>
          <w:rStyle w:val="authors"/>
          <w:color w:val="333333"/>
          <w:shd w:val="clear" w:color="auto" w:fill="FFFFFF"/>
        </w:rPr>
        <w:t>Czerniawski, G., Gray, D., MacPhail, A., Bain,</w:t>
      </w:r>
      <w:r w:rsidR="008B57A2">
        <w:rPr>
          <w:rStyle w:val="authors"/>
          <w:color w:val="333333"/>
          <w:shd w:val="clear" w:color="auto" w:fill="FFFFFF"/>
        </w:rPr>
        <w:t xml:space="preserve"> </w:t>
      </w:r>
      <w:r w:rsidRPr="00F908BE">
        <w:rPr>
          <w:rStyle w:val="authors"/>
          <w:color w:val="333333"/>
          <w:shd w:val="clear" w:color="auto" w:fill="FFFFFF"/>
        </w:rPr>
        <w:t xml:space="preserve">Y., Conway P. and </w:t>
      </w:r>
      <w:proofErr w:type="spellStart"/>
      <w:r w:rsidRPr="00F908BE">
        <w:rPr>
          <w:rStyle w:val="authors"/>
          <w:color w:val="333333"/>
          <w:shd w:val="clear" w:color="auto" w:fill="FFFFFF"/>
        </w:rPr>
        <w:t>Guberman</w:t>
      </w:r>
      <w:proofErr w:type="spellEnd"/>
      <w:r w:rsidRPr="00F908BE">
        <w:rPr>
          <w:rStyle w:val="authors"/>
          <w:color w:val="333333"/>
          <w:shd w:val="clear" w:color="auto" w:fill="FFFFFF"/>
        </w:rPr>
        <w:t>, A.</w:t>
      </w:r>
      <w:r w:rsidRPr="00F908BE">
        <w:rPr>
          <w:color w:val="333333"/>
          <w:shd w:val="clear" w:color="auto" w:fill="FFFFFF"/>
        </w:rPr>
        <w:t> </w:t>
      </w:r>
      <w:r w:rsidRPr="00F908BE">
        <w:rPr>
          <w:rStyle w:val="Date1"/>
          <w:color w:val="333333"/>
          <w:shd w:val="clear" w:color="auto" w:fill="FFFFFF"/>
        </w:rPr>
        <w:t>2018.</w:t>
      </w:r>
      <w:r w:rsidRPr="00F908BE">
        <w:rPr>
          <w:color w:val="333333"/>
          <w:shd w:val="clear" w:color="auto" w:fill="FFFFFF"/>
        </w:rPr>
        <w:t> </w:t>
      </w:r>
      <w:r w:rsidRPr="00F908BE">
        <w:rPr>
          <w:rStyle w:val="arttitle"/>
          <w:color w:val="333333"/>
          <w:shd w:val="clear" w:color="auto" w:fill="FFFFFF"/>
        </w:rPr>
        <w:t>The professional learning needs and priorities of higher-education-based teacher educators in England, Ireland and Scotland,</w:t>
      </w:r>
      <w:r w:rsidRPr="00F908BE">
        <w:rPr>
          <w:color w:val="333333"/>
          <w:shd w:val="clear" w:color="auto" w:fill="FFFFFF"/>
        </w:rPr>
        <w:t> </w:t>
      </w:r>
      <w:r w:rsidRPr="00F908BE">
        <w:rPr>
          <w:rStyle w:val="serialtitle"/>
          <w:i/>
          <w:iCs/>
          <w:color w:val="333333"/>
          <w:shd w:val="clear" w:color="auto" w:fill="FFFFFF"/>
        </w:rPr>
        <w:t>Journal of Education for Teaching</w:t>
      </w:r>
      <w:r w:rsidRPr="00F908BE">
        <w:rPr>
          <w:rStyle w:val="serialtitle"/>
          <w:color w:val="333333"/>
          <w:shd w:val="clear" w:color="auto" w:fill="FFFFFF"/>
        </w:rPr>
        <w:t>,</w:t>
      </w:r>
      <w:r w:rsidRPr="00F908BE">
        <w:rPr>
          <w:color w:val="333333"/>
          <w:shd w:val="clear" w:color="auto" w:fill="FFFFFF"/>
        </w:rPr>
        <w:t> </w:t>
      </w:r>
      <w:r w:rsidRPr="00F908BE">
        <w:rPr>
          <w:rStyle w:val="volumeissue"/>
          <w:color w:val="333333"/>
          <w:shd w:val="clear" w:color="auto" w:fill="FFFFFF"/>
        </w:rPr>
        <w:t>44 (2):</w:t>
      </w:r>
      <w:r w:rsidRPr="00F908BE">
        <w:rPr>
          <w:color w:val="333333"/>
          <w:shd w:val="clear" w:color="auto" w:fill="FFFFFF"/>
        </w:rPr>
        <w:t> </w:t>
      </w:r>
      <w:r w:rsidRPr="00F908BE">
        <w:rPr>
          <w:rStyle w:val="pagerange"/>
          <w:color w:val="333333"/>
          <w:shd w:val="clear" w:color="auto" w:fill="FFFFFF"/>
        </w:rPr>
        <w:t>133-148.</w:t>
      </w:r>
    </w:p>
    <w:p w14:paraId="5092BD2B" w14:textId="749834CD" w:rsidR="0021138D" w:rsidRPr="00803985" w:rsidRDefault="00DF4677" w:rsidP="00215718">
      <w:pPr>
        <w:pStyle w:val="References"/>
      </w:pPr>
      <w:proofErr w:type="spellStart"/>
      <w:r>
        <w:t>Demie</w:t>
      </w:r>
      <w:proofErr w:type="spellEnd"/>
      <w:r>
        <w:t>, F. 2018.</w:t>
      </w:r>
      <w:r w:rsidR="0021138D" w:rsidRPr="00803985">
        <w:t xml:space="preserve"> English as an additional language and attainment in primary schools in England. </w:t>
      </w:r>
      <w:r w:rsidR="0021138D" w:rsidRPr="00803985">
        <w:rPr>
          <w:i/>
        </w:rPr>
        <w:t>Journal of Multilingual and Multicultural Development</w:t>
      </w:r>
      <w:r>
        <w:rPr>
          <w:i/>
        </w:rPr>
        <w:t xml:space="preserve">, </w:t>
      </w:r>
      <w:r>
        <w:t xml:space="preserve">39 (3): </w:t>
      </w:r>
      <w:r w:rsidR="0021138D" w:rsidRPr="00803985">
        <w:t>210-223. Foley,</w:t>
      </w:r>
      <w:r>
        <w:t xml:space="preserve"> Y., Sangster, P. and Anderson. C. 2013.</w:t>
      </w:r>
      <w:r w:rsidR="0021138D" w:rsidRPr="00803985">
        <w:t xml:space="preserve"> Examining EAL policy and practice in mainstream schools. </w:t>
      </w:r>
      <w:r w:rsidR="0021138D" w:rsidRPr="00803985">
        <w:rPr>
          <w:i/>
        </w:rPr>
        <w:t>Language and Education</w:t>
      </w:r>
      <w:r>
        <w:t xml:space="preserve">, 27 (3): </w:t>
      </w:r>
      <w:r w:rsidR="0021138D" w:rsidRPr="00803985">
        <w:t xml:space="preserve">191-207. </w:t>
      </w:r>
    </w:p>
    <w:p w14:paraId="286FF151" w14:textId="160554A8" w:rsidR="0021138D" w:rsidRPr="00803985" w:rsidRDefault="00DF4677" w:rsidP="00215718">
      <w:pPr>
        <w:pStyle w:val="References"/>
      </w:pPr>
      <w:proofErr w:type="spellStart"/>
      <w:r>
        <w:t>Franson</w:t>
      </w:r>
      <w:proofErr w:type="spellEnd"/>
      <w:r>
        <w:t>, C. 1999.</w:t>
      </w:r>
      <w:r w:rsidR="0021138D" w:rsidRPr="00803985">
        <w:t xml:space="preserve"> Mainstreaming Learners of English as an Additional Language: The Class Teacher’s Perspective. </w:t>
      </w:r>
      <w:r w:rsidR="0021138D" w:rsidRPr="00803985">
        <w:rPr>
          <w:i/>
        </w:rPr>
        <w:t xml:space="preserve">Language, Culture </w:t>
      </w:r>
      <w:r w:rsidR="0021138D" w:rsidRPr="00803985">
        <w:rPr>
          <w:i/>
          <w:noProof/>
        </w:rPr>
        <w:t>and</w:t>
      </w:r>
      <w:r w:rsidR="0021138D" w:rsidRPr="00803985">
        <w:rPr>
          <w:i/>
        </w:rPr>
        <w:t xml:space="preserve"> Curriculum</w:t>
      </w:r>
      <w:r w:rsidR="0021138D" w:rsidRPr="00803985">
        <w:t xml:space="preserve"> [Internet], 12</w:t>
      </w:r>
      <w:r>
        <w:t xml:space="preserve"> (1): </w:t>
      </w:r>
      <w:r w:rsidR="0021138D" w:rsidRPr="00803985">
        <w:t xml:space="preserve">59-72. </w:t>
      </w:r>
    </w:p>
    <w:p w14:paraId="698969F8" w14:textId="2DD575D1" w:rsidR="0021138D" w:rsidRDefault="0021138D" w:rsidP="00215718">
      <w:pPr>
        <w:pStyle w:val="References"/>
        <w:rPr>
          <w:i/>
        </w:rPr>
      </w:pPr>
      <w:proofErr w:type="spellStart"/>
      <w:r w:rsidRPr="00803985">
        <w:t>Franson</w:t>
      </w:r>
      <w:proofErr w:type="spellEnd"/>
      <w:r w:rsidRPr="00803985">
        <w:t>, C., Brown,</w:t>
      </w:r>
      <w:r w:rsidR="00DF4677">
        <w:t xml:space="preserve"> A., Cameron, L. and South, H. 2002.</w:t>
      </w:r>
      <w:r w:rsidRPr="00803985">
        <w:t xml:space="preserve"> </w:t>
      </w:r>
      <w:r w:rsidRPr="00803985">
        <w:rPr>
          <w:i/>
        </w:rPr>
        <w:t xml:space="preserve">The EAL Teacher:  Descriptors of Good Practice. </w:t>
      </w:r>
      <w:r w:rsidR="00DF4677" w:rsidRPr="00DF4677">
        <w:t>London:</w:t>
      </w:r>
      <w:r w:rsidR="00DF4677">
        <w:rPr>
          <w:i/>
        </w:rPr>
        <w:t xml:space="preserve"> </w:t>
      </w:r>
      <w:r w:rsidRPr="00803985">
        <w:t>NALDIC</w:t>
      </w:r>
      <w:r w:rsidRPr="00803985">
        <w:rPr>
          <w:i/>
        </w:rPr>
        <w:t>.</w:t>
      </w:r>
    </w:p>
    <w:p w14:paraId="711593A9" w14:textId="3DD5867B" w:rsidR="00464766" w:rsidRPr="00464766" w:rsidRDefault="00464766" w:rsidP="00215718">
      <w:pPr>
        <w:pStyle w:val="References"/>
        <w:rPr>
          <w:iCs/>
        </w:rPr>
      </w:pPr>
      <w:r>
        <w:rPr>
          <w:iCs/>
        </w:rPr>
        <w:t xml:space="preserve">Gershon, M. 2011. How to succeed with EAL students in the classroom. </w:t>
      </w:r>
      <w:r>
        <w:rPr>
          <w:i/>
        </w:rPr>
        <w:t xml:space="preserve">Teacher Network, The Guardian. </w:t>
      </w:r>
      <w:r>
        <w:rPr>
          <w:iCs/>
        </w:rPr>
        <w:t xml:space="preserve">Published 7 November 2011, available at URL: </w:t>
      </w:r>
      <w:hyperlink r:id="rId12" w:history="1">
        <w:r w:rsidRPr="003E7F4F">
          <w:rPr>
            <w:rStyle w:val="Hyperlink"/>
            <w:iCs/>
          </w:rPr>
          <w:t>https://www.theguardian.com/teacher-network/2011/nov/07/eal-students-classroom-teaching-resources</w:t>
        </w:r>
      </w:hyperlink>
      <w:r>
        <w:rPr>
          <w:iCs/>
        </w:rPr>
        <w:t xml:space="preserve"> [accessed 7 February 2020].</w:t>
      </w:r>
    </w:p>
    <w:p w14:paraId="75305A1E" w14:textId="0FBF52CC" w:rsidR="008A1C45" w:rsidRDefault="008A1C45" w:rsidP="00215718">
      <w:pPr>
        <w:pStyle w:val="References"/>
      </w:pPr>
      <w:proofErr w:type="spellStart"/>
      <w:r>
        <w:t>Ginnis</w:t>
      </w:r>
      <w:proofErr w:type="spellEnd"/>
      <w:r>
        <w:t xml:space="preserve">, S., </w:t>
      </w:r>
      <w:proofErr w:type="spellStart"/>
      <w:r>
        <w:t>Pestell</w:t>
      </w:r>
      <w:proofErr w:type="spellEnd"/>
      <w:r>
        <w:t xml:space="preserve">, G., Mason, E., </w:t>
      </w:r>
      <w:proofErr w:type="spellStart"/>
      <w:r>
        <w:t>Knibbs</w:t>
      </w:r>
      <w:proofErr w:type="spellEnd"/>
      <w:r>
        <w:t xml:space="preserve">, S. and Ipsos MORI. 2018. Newly qualified teachers: annual survey 2017. London: Department for Education, available at </w:t>
      </w:r>
      <w:hyperlink r:id="rId13" w:history="1">
        <w:r w:rsidRPr="00502D34">
          <w:rPr>
            <w:rStyle w:val="Hyperlink"/>
          </w:rPr>
          <w:t>URL:https://assets.publishing.service.gov.uk/government/uploads/system/uploads/attachment_data/file/738037/NQT_2017_survey.pdf</w:t>
        </w:r>
      </w:hyperlink>
      <w:r>
        <w:t xml:space="preserve"> [</w:t>
      </w:r>
      <w:r w:rsidR="00C10805">
        <w:t>A</w:t>
      </w:r>
      <w:r>
        <w:t>ccessed 17 November 2020].</w:t>
      </w:r>
    </w:p>
    <w:p w14:paraId="7275A390" w14:textId="77777777" w:rsidR="002C06E6" w:rsidRDefault="008A1C45" w:rsidP="002C06E6">
      <w:pPr>
        <w:pStyle w:val="References"/>
      </w:pPr>
      <w:r w:rsidRPr="00F908BE">
        <w:rPr>
          <w:color w:val="333333"/>
          <w:shd w:val="clear" w:color="auto" w:fill="FFFFFF"/>
        </w:rPr>
        <w:t xml:space="preserve">Goodwin A. L., Smith L., </w:t>
      </w:r>
      <w:proofErr w:type="spellStart"/>
      <w:r w:rsidRPr="00F908BE">
        <w:rPr>
          <w:color w:val="333333"/>
          <w:shd w:val="clear" w:color="auto" w:fill="FFFFFF"/>
        </w:rPr>
        <w:t>Souto</w:t>
      </w:r>
      <w:proofErr w:type="spellEnd"/>
      <w:r w:rsidRPr="00F908BE">
        <w:rPr>
          <w:color w:val="333333"/>
          <w:shd w:val="clear" w:color="auto" w:fill="FFFFFF"/>
        </w:rPr>
        <w:t>-Manning M.,</w:t>
      </w:r>
      <w:hyperlink r:id="rId14" w:history="1">
        <w:r w:rsidRPr="00F908BE">
          <w:rPr>
            <w:rStyle w:val="Hyperlink"/>
            <w:color w:val="006ACC"/>
            <w:shd w:val="clear" w:color="auto" w:fill="FFFFFF"/>
          </w:rPr>
          <w:t xml:space="preserve"> </w:t>
        </w:r>
        <w:proofErr w:type="spellStart"/>
        <w:r w:rsidRPr="00F908BE">
          <w:rPr>
            <w:rStyle w:val="Hyperlink"/>
            <w:color w:val="006ACC"/>
            <w:shd w:val="clear" w:color="auto" w:fill="FFFFFF"/>
          </w:rPr>
          <w:t>Cheruvu</w:t>
        </w:r>
        <w:proofErr w:type="spellEnd"/>
      </w:hyperlink>
      <w:r w:rsidRPr="00F908BE">
        <w:rPr>
          <w:color w:val="000000"/>
          <w:shd w:val="clear" w:color="auto" w:fill="FFFFFF"/>
        </w:rPr>
        <w:t xml:space="preserve">, R., </w:t>
      </w:r>
      <w:hyperlink r:id="rId15" w:history="1">
        <w:r w:rsidRPr="00F908BE">
          <w:rPr>
            <w:rStyle w:val="Hyperlink"/>
            <w:color w:val="006ACC"/>
            <w:shd w:val="clear" w:color="auto" w:fill="FFFFFF"/>
          </w:rPr>
          <w:t>Tan</w:t>
        </w:r>
      </w:hyperlink>
      <w:r w:rsidRPr="00F908BE">
        <w:rPr>
          <w:color w:val="000000"/>
          <w:shd w:val="clear" w:color="auto" w:fill="FFFFFF"/>
        </w:rPr>
        <w:t xml:space="preserve">, M. Y., </w:t>
      </w:r>
      <w:hyperlink r:id="rId16" w:history="1">
        <w:r w:rsidRPr="00F908BE">
          <w:rPr>
            <w:rStyle w:val="Hyperlink"/>
            <w:color w:val="006ACC"/>
            <w:shd w:val="clear" w:color="auto" w:fill="FFFFFF"/>
          </w:rPr>
          <w:t>Reed</w:t>
        </w:r>
      </w:hyperlink>
      <w:r w:rsidRPr="00F908BE">
        <w:rPr>
          <w:color w:val="000000"/>
          <w:shd w:val="clear" w:color="auto" w:fill="FFFFFF"/>
        </w:rPr>
        <w:t xml:space="preserve">, R. and </w:t>
      </w:r>
      <w:hyperlink r:id="rId17" w:history="1">
        <w:r w:rsidRPr="00F908BE">
          <w:rPr>
            <w:rStyle w:val="Hyperlink"/>
            <w:color w:val="006ACC"/>
            <w:shd w:val="clear" w:color="auto" w:fill="FFFFFF"/>
          </w:rPr>
          <w:t>Taveras</w:t>
        </w:r>
      </w:hyperlink>
      <w:r w:rsidRPr="00F908BE">
        <w:rPr>
          <w:rStyle w:val="contribdegrees"/>
          <w:color w:val="000000"/>
          <w:shd w:val="clear" w:color="auto" w:fill="FFFFFF"/>
        </w:rPr>
        <w:t>, L. 2014.</w:t>
      </w:r>
      <w:r w:rsidRPr="00F908BE">
        <w:rPr>
          <w:color w:val="333333"/>
          <w:shd w:val="clear" w:color="auto" w:fill="FFFFFF"/>
        </w:rPr>
        <w:t xml:space="preserve"> What Should Teacher Educators Know and Be Able to Do? Perspectives </w:t>
      </w:r>
      <w:proofErr w:type="gramStart"/>
      <w:r w:rsidRPr="00F908BE">
        <w:rPr>
          <w:color w:val="333333"/>
          <w:shd w:val="clear" w:color="auto" w:fill="FFFFFF"/>
        </w:rPr>
        <w:t>From</w:t>
      </w:r>
      <w:proofErr w:type="gramEnd"/>
      <w:r w:rsidRPr="00F908BE">
        <w:rPr>
          <w:color w:val="333333"/>
          <w:shd w:val="clear" w:color="auto" w:fill="FFFFFF"/>
        </w:rPr>
        <w:t xml:space="preserve"> Practicing Teacher Educators. </w:t>
      </w:r>
      <w:r w:rsidRPr="00F908BE">
        <w:rPr>
          <w:i/>
          <w:iCs/>
          <w:color w:val="333333"/>
          <w:shd w:val="clear" w:color="auto" w:fill="FFFFFF"/>
        </w:rPr>
        <w:t>Journal of Teacher Education</w:t>
      </w:r>
      <w:r w:rsidRPr="00F908BE">
        <w:rPr>
          <w:color w:val="333333"/>
          <w:shd w:val="clear" w:color="auto" w:fill="FFFFFF"/>
        </w:rPr>
        <w:t>, 65 (4): 284-302.</w:t>
      </w:r>
      <w:r w:rsidRPr="002C06E6">
        <w:t xml:space="preserve"> </w:t>
      </w:r>
    </w:p>
    <w:p w14:paraId="4B14A388" w14:textId="77777777" w:rsidR="002C06E6" w:rsidRDefault="00C56734" w:rsidP="002C06E6">
      <w:pPr>
        <w:pStyle w:val="References"/>
        <w:rPr>
          <w:bCs/>
        </w:rPr>
      </w:pPr>
      <w:r w:rsidRPr="002C06E6">
        <w:rPr>
          <w:bCs/>
        </w:rPr>
        <w:t>Lanvers</w:t>
      </w:r>
      <w:r w:rsidR="002C06E6" w:rsidRPr="002C06E6">
        <w:rPr>
          <w:bCs/>
        </w:rPr>
        <w:t>, U.</w:t>
      </w:r>
      <w:r w:rsidRPr="002C06E6">
        <w:rPr>
          <w:bCs/>
        </w:rPr>
        <w:t xml:space="preserve"> 2017</w:t>
      </w:r>
      <w:r w:rsidR="002C06E6" w:rsidRPr="002C06E6">
        <w:rPr>
          <w:bCs/>
        </w:rPr>
        <w:t xml:space="preserve">. </w:t>
      </w:r>
      <w:r w:rsidR="002C06E6" w:rsidRPr="00F908BE">
        <w:rPr>
          <w:bCs/>
          <w:color w:val="1C1D1E"/>
        </w:rPr>
        <w:t>Contradictory </w:t>
      </w:r>
      <w:r w:rsidR="002C06E6" w:rsidRPr="00F908BE">
        <w:rPr>
          <w:bCs/>
          <w:i/>
          <w:iCs/>
          <w:color w:val="1C1D1E"/>
        </w:rPr>
        <w:t>Others</w:t>
      </w:r>
      <w:r w:rsidR="002C06E6" w:rsidRPr="00F908BE">
        <w:rPr>
          <w:bCs/>
          <w:color w:val="1C1D1E"/>
        </w:rPr>
        <w:t> and the </w:t>
      </w:r>
      <w:r w:rsidR="002C06E6" w:rsidRPr="00F908BE">
        <w:rPr>
          <w:bCs/>
          <w:i/>
          <w:iCs/>
          <w:color w:val="1C1D1E"/>
        </w:rPr>
        <w:t>Habitus</w:t>
      </w:r>
      <w:r w:rsidR="002C06E6" w:rsidRPr="00F908BE">
        <w:rPr>
          <w:bCs/>
          <w:color w:val="1C1D1E"/>
        </w:rPr>
        <w:t xml:space="preserve"> of Languages: Surveying the L2 Motivation Landscape in the United Kingdom. </w:t>
      </w:r>
      <w:r w:rsidR="002C06E6" w:rsidRPr="00F908BE">
        <w:rPr>
          <w:bCs/>
          <w:i/>
          <w:iCs/>
          <w:color w:val="1C1D1E"/>
        </w:rPr>
        <w:t>The Modern Language Journal</w:t>
      </w:r>
      <w:r w:rsidR="002C06E6" w:rsidRPr="00F908BE">
        <w:rPr>
          <w:bCs/>
          <w:color w:val="1C1D1E"/>
        </w:rPr>
        <w:t>, 101 (3): 517-532.</w:t>
      </w:r>
    </w:p>
    <w:p w14:paraId="41F4F42D" w14:textId="336F2CC0" w:rsidR="0021138D" w:rsidRPr="002C06E6" w:rsidRDefault="0021138D" w:rsidP="002C06E6">
      <w:pPr>
        <w:pStyle w:val="References"/>
        <w:rPr>
          <w:bCs/>
        </w:rPr>
      </w:pPr>
      <w:r w:rsidRPr="00803985">
        <w:t xml:space="preserve">Leung, C. </w:t>
      </w:r>
      <w:r w:rsidR="00DF4677">
        <w:t>2016.</w:t>
      </w:r>
      <w:r w:rsidRPr="00803985">
        <w:t xml:space="preserve"> English as an additional language – a genealogy of language-in-education policies and reflections on research trajectories. </w:t>
      </w:r>
      <w:r w:rsidRPr="00803985">
        <w:rPr>
          <w:i/>
        </w:rPr>
        <w:t xml:space="preserve">Language and Education </w:t>
      </w:r>
      <w:r w:rsidR="00DF4677">
        <w:t xml:space="preserve">[Internet], 30 (2): </w:t>
      </w:r>
      <w:r w:rsidRPr="00803985">
        <w:t xml:space="preserve">158-175. </w:t>
      </w:r>
    </w:p>
    <w:p w14:paraId="25C9C248" w14:textId="33051B0A" w:rsidR="00750361" w:rsidRDefault="00750361" w:rsidP="00215718">
      <w:pPr>
        <w:pStyle w:val="References"/>
      </w:pPr>
      <w:proofErr w:type="spellStart"/>
      <w:r>
        <w:t>Lortie</w:t>
      </w:r>
      <w:proofErr w:type="spellEnd"/>
      <w:r>
        <w:t xml:space="preserve">, D. C. 1975. </w:t>
      </w:r>
      <w:r>
        <w:rPr>
          <w:i/>
          <w:iCs/>
        </w:rPr>
        <w:t xml:space="preserve">School teacher: A sociological inquiry. </w:t>
      </w:r>
      <w:r>
        <w:t>Chicago: University of Chicago Press.</w:t>
      </w:r>
    </w:p>
    <w:p w14:paraId="65EB288B" w14:textId="41810C86" w:rsidR="00DE33B7" w:rsidRPr="00DE33B7" w:rsidRDefault="00DE33B7" w:rsidP="00215718">
      <w:pPr>
        <w:pStyle w:val="References"/>
      </w:pPr>
      <w:r>
        <w:t xml:space="preserve">Lucas, T., A. M. Villegas and M. </w:t>
      </w:r>
      <w:proofErr w:type="spellStart"/>
      <w:r>
        <w:t>Freedson</w:t>
      </w:r>
      <w:proofErr w:type="spellEnd"/>
      <w:r>
        <w:t xml:space="preserve">-Gonzalez. 2008. Linguistically Responsive Teacher Education: Preparing Classroom Teachers to Teach English Language Learners. </w:t>
      </w:r>
      <w:r>
        <w:rPr>
          <w:i/>
          <w:iCs/>
        </w:rPr>
        <w:t xml:space="preserve">Journal of Teacher Education, </w:t>
      </w:r>
      <w:r>
        <w:t>59 (4): 361-373.</w:t>
      </w:r>
    </w:p>
    <w:p w14:paraId="48C53C3D" w14:textId="02C52F45" w:rsidR="00CB3412" w:rsidRPr="00CB3412" w:rsidRDefault="00CB3412" w:rsidP="00215718">
      <w:pPr>
        <w:pStyle w:val="References"/>
      </w:pPr>
      <w:r>
        <w:t xml:space="preserve">Lucas, T. and A. M. Villegas. 2010. The Missing Piece in Teacher Education: The Preparation of Linguistically Responsive Teachers. </w:t>
      </w:r>
      <w:r>
        <w:rPr>
          <w:i/>
          <w:iCs/>
        </w:rPr>
        <w:t xml:space="preserve">National Society for the Study of Education, </w:t>
      </w:r>
      <w:r>
        <w:t>109 (2): 297-318.</w:t>
      </w:r>
    </w:p>
    <w:p w14:paraId="07FD4652" w14:textId="05A23126" w:rsidR="0021138D" w:rsidRPr="00803985" w:rsidRDefault="00DF4677" w:rsidP="00215718">
      <w:pPr>
        <w:pStyle w:val="References"/>
      </w:pPr>
      <w:r>
        <w:t>Mann, S. 2011.</w:t>
      </w:r>
      <w:r w:rsidR="0021138D" w:rsidRPr="00803985">
        <w:t xml:space="preserve"> A Critical Review of Qualitative Interviews in Applied Linguistics. </w:t>
      </w:r>
      <w:r w:rsidR="0021138D" w:rsidRPr="00803985">
        <w:rPr>
          <w:i/>
        </w:rPr>
        <w:t>Applied Linguistics</w:t>
      </w:r>
      <w:r>
        <w:t xml:space="preserve"> [Internet], 32 (1): </w:t>
      </w:r>
      <w:r w:rsidR="0021138D" w:rsidRPr="00803985">
        <w:t xml:space="preserve">6-24. </w:t>
      </w:r>
    </w:p>
    <w:p w14:paraId="1A7F5F47" w14:textId="5FBD9D0C" w:rsidR="0021138D" w:rsidRPr="00803985" w:rsidRDefault="00DF4677" w:rsidP="00215718">
      <w:pPr>
        <w:pStyle w:val="References"/>
      </w:pPr>
      <w:proofErr w:type="spellStart"/>
      <w:r>
        <w:t>Medgyes</w:t>
      </w:r>
      <w:proofErr w:type="spellEnd"/>
      <w:r>
        <w:t xml:space="preserve">, P. </w:t>
      </w:r>
      <w:r w:rsidR="00B82E07">
        <w:t>2017</w:t>
      </w:r>
      <w:r>
        <w:t>.</w:t>
      </w:r>
      <w:r w:rsidR="0021138D" w:rsidRPr="00803985">
        <w:t xml:space="preserve"> The (</w:t>
      </w:r>
      <w:proofErr w:type="spellStart"/>
      <w:r w:rsidR="0021138D" w:rsidRPr="00803985">
        <w:t>ir</w:t>
      </w:r>
      <w:proofErr w:type="spellEnd"/>
      <w:r w:rsidR="0021138D" w:rsidRPr="00803985">
        <w:t xml:space="preserve">)relevance of academic research for the language teacher. </w:t>
      </w:r>
      <w:r w:rsidR="0021138D" w:rsidRPr="00803985">
        <w:rPr>
          <w:i/>
        </w:rPr>
        <w:t>ELT Journal</w:t>
      </w:r>
      <w:r>
        <w:t xml:space="preserve"> [Internet], 71 (4): </w:t>
      </w:r>
      <w:r w:rsidR="0021138D" w:rsidRPr="00803985">
        <w:t xml:space="preserve">491-498. </w:t>
      </w:r>
    </w:p>
    <w:p w14:paraId="25CACAC3" w14:textId="4E6155AC" w:rsidR="0021138D" w:rsidRPr="00803985" w:rsidRDefault="00DF4677" w:rsidP="00215718">
      <w:pPr>
        <w:pStyle w:val="References"/>
      </w:pPr>
      <w:r>
        <w:t xml:space="preserve">Mistry, M. and </w:t>
      </w:r>
      <w:proofErr w:type="spellStart"/>
      <w:r>
        <w:t>Sood</w:t>
      </w:r>
      <w:proofErr w:type="spellEnd"/>
      <w:r>
        <w:t>, K. 2012.</w:t>
      </w:r>
      <w:r w:rsidR="0021138D" w:rsidRPr="00803985">
        <w:t xml:space="preserve"> Raising standards for pupils who have English as an Additional Language (EAL) through monitoring and evaluation of provision in primary schools. </w:t>
      </w:r>
      <w:r w:rsidR="0021138D" w:rsidRPr="00803985">
        <w:rPr>
          <w:i/>
        </w:rPr>
        <w:t xml:space="preserve">International Journal of Primary, Elementary and Early Years Education </w:t>
      </w:r>
      <w:r>
        <w:t xml:space="preserve">[Internet], 40 (3): </w:t>
      </w:r>
      <w:r w:rsidR="0021138D" w:rsidRPr="00803985">
        <w:t xml:space="preserve">281-294. </w:t>
      </w:r>
    </w:p>
    <w:p w14:paraId="6FD1537C" w14:textId="54475764" w:rsidR="0021138D" w:rsidRPr="00803985" w:rsidRDefault="00DF4677" w:rsidP="00215718">
      <w:pPr>
        <w:pStyle w:val="References"/>
      </w:pPr>
      <w:r>
        <w:t>Murakami, C. 2008.</w:t>
      </w:r>
      <w:r w:rsidR="0021138D" w:rsidRPr="00803985">
        <w:t xml:space="preserve"> ‘Everybody is just Fumbling Along’: An Investigation of Views Regarding EAL Training and Support Provisions in a Rural Area. </w:t>
      </w:r>
      <w:r w:rsidR="0021138D" w:rsidRPr="00803985">
        <w:rPr>
          <w:i/>
        </w:rPr>
        <w:t xml:space="preserve">Language and Education </w:t>
      </w:r>
      <w:r>
        <w:t xml:space="preserve">[Internet], 22 (4): </w:t>
      </w:r>
      <w:r w:rsidR="0021138D" w:rsidRPr="00803985">
        <w:t xml:space="preserve">265-283. </w:t>
      </w:r>
    </w:p>
    <w:p w14:paraId="46CA890B" w14:textId="75830362" w:rsidR="0021138D" w:rsidRPr="00803985" w:rsidRDefault="0021138D" w:rsidP="00215718">
      <w:pPr>
        <w:pStyle w:val="References"/>
        <w:rPr>
          <w:rFonts w:eastAsia="Calibri"/>
        </w:rPr>
      </w:pPr>
      <w:r w:rsidRPr="00803985">
        <w:rPr>
          <w:rFonts w:eastAsia="Calibri"/>
        </w:rPr>
        <w:t xml:space="preserve">NALDIC </w:t>
      </w:r>
      <w:r w:rsidR="002D3BF5">
        <w:rPr>
          <w:rFonts w:eastAsia="Calibri"/>
        </w:rPr>
        <w:t>(National Association for Language</w:t>
      </w:r>
      <w:r w:rsidR="00DF4677">
        <w:rPr>
          <w:rFonts w:eastAsia="Calibri"/>
        </w:rPr>
        <w:t xml:space="preserve"> Development in the Curriculum). 1999.</w:t>
      </w:r>
      <w:r w:rsidRPr="00803985">
        <w:rPr>
          <w:rFonts w:eastAsia="Calibri"/>
        </w:rPr>
        <w:t xml:space="preserve"> </w:t>
      </w:r>
      <w:r w:rsidRPr="00803985">
        <w:rPr>
          <w:rFonts w:eastAsia="Calibri"/>
          <w:i/>
        </w:rPr>
        <w:t>The Distinctiveness of English as an Additional Language: a cross-curriculum discipline</w:t>
      </w:r>
      <w:r w:rsidRPr="00803985">
        <w:rPr>
          <w:rFonts w:eastAsia="Calibri"/>
        </w:rPr>
        <w:t>. Working paper 5.</w:t>
      </w:r>
      <w:r w:rsidR="002D3BF5">
        <w:rPr>
          <w:rFonts w:eastAsia="Calibri"/>
        </w:rPr>
        <w:t xml:space="preserve"> London.</w:t>
      </w:r>
    </w:p>
    <w:p w14:paraId="6A8F4ABD" w14:textId="46C6CA8A" w:rsidR="0021138D" w:rsidRPr="00803985" w:rsidRDefault="00DF4677" w:rsidP="00215718">
      <w:pPr>
        <w:pStyle w:val="References"/>
      </w:pPr>
      <w:proofErr w:type="spellStart"/>
      <w:r>
        <w:t>Nowlan</w:t>
      </w:r>
      <w:proofErr w:type="spellEnd"/>
      <w:r>
        <w:t>, E. 2008.</w:t>
      </w:r>
      <w:r w:rsidR="0021138D" w:rsidRPr="00803985">
        <w:t xml:space="preserve"> Underneath the Band-Aid: supporting bilingual students in Irish schools. </w:t>
      </w:r>
      <w:r w:rsidR="0021138D" w:rsidRPr="00803985">
        <w:rPr>
          <w:i/>
        </w:rPr>
        <w:t xml:space="preserve">Irish Educational Studies </w:t>
      </w:r>
      <w:r>
        <w:t xml:space="preserve">[Internet], 27 (3): </w:t>
      </w:r>
      <w:r w:rsidR="0021138D" w:rsidRPr="00803985">
        <w:t xml:space="preserve">253-266. </w:t>
      </w:r>
    </w:p>
    <w:p w14:paraId="1633202F" w14:textId="6413C545" w:rsidR="0021138D" w:rsidRPr="00803985" w:rsidRDefault="00DF4677" w:rsidP="00215718">
      <w:pPr>
        <w:pStyle w:val="References"/>
      </w:pPr>
      <w:proofErr w:type="spellStart"/>
      <w:r>
        <w:t>Paran</w:t>
      </w:r>
      <w:proofErr w:type="spellEnd"/>
      <w:r>
        <w:t>, A. 2017.</w:t>
      </w:r>
      <w:r w:rsidR="0021138D" w:rsidRPr="00803985">
        <w:t xml:space="preserve"> ‘Only connect’: researchers and teachers in dialogue. </w:t>
      </w:r>
      <w:r w:rsidR="0021138D" w:rsidRPr="00803985">
        <w:rPr>
          <w:i/>
        </w:rPr>
        <w:t xml:space="preserve">ELT Journal </w:t>
      </w:r>
      <w:r>
        <w:t xml:space="preserve">[Internet], 71 (4): </w:t>
      </w:r>
      <w:r w:rsidR="0021138D" w:rsidRPr="00803985">
        <w:t xml:space="preserve">499-508. </w:t>
      </w:r>
    </w:p>
    <w:p w14:paraId="426677A7" w14:textId="2279B405" w:rsidR="0021138D" w:rsidRPr="00803985" w:rsidRDefault="00DF4677" w:rsidP="00215718">
      <w:pPr>
        <w:pStyle w:val="References"/>
      </w:pPr>
      <w:r>
        <w:t>Roulston, K. 2011.</w:t>
      </w:r>
      <w:r w:rsidR="0021138D" w:rsidRPr="00803985">
        <w:t xml:space="preserve"> Interview ‘Problems’ as Topics for Analysis. </w:t>
      </w:r>
      <w:r w:rsidR="0021138D" w:rsidRPr="00803985">
        <w:rPr>
          <w:i/>
          <w:iCs/>
        </w:rPr>
        <w:t>Applied Linguistics</w:t>
      </w:r>
      <w:r>
        <w:t xml:space="preserve"> 32 (1): </w:t>
      </w:r>
      <w:r w:rsidR="0021138D" w:rsidRPr="00803985">
        <w:t>77-94.</w:t>
      </w:r>
    </w:p>
    <w:p w14:paraId="30D97517" w14:textId="77777777" w:rsidR="002C06E6" w:rsidRPr="002C06E6" w:rsidRDefault="002C06E6" w:rsidP="00215718">
      <w:pPr>
        <w:pStyle w:val="References"/>
      </w:pPr>
      <w:bookmarkStart w:id="5" w:name="_Hlk511310164"/>
      <w:r w:rsidRPr="00F908BE">
        <w:rPr>
          <w:rStyle w:val="authors"/>
          <w:color w:val="333333"/>
          <w:shd w:val="clear" w:color="auto" w:fill="FFFFFF"/>
        </w:rPr>
        <w:t>Schneider, C. and Arnot, M.</w:t>
      </w:r>
      <w:r w:rsidRPr="00F908BE">
        <w:rPr>
          <w:color w:val="333333"/>
          <w:shd w:val="clear" w:color="auto" w:fill="FFFFFF"/>
        </w:rPr>
        <w:t> </w:t>
      </w:r>
      <w:r w:rsidRPr="00F908BE">
        <w:rPr>
          <w:rStyle w:val="Date1"/>
          <w:color w:val="333333"/>
          <w:shd w:val="clear" w:color="auto" w:fill="FFFFFF"/>
        </w:rPr>
        <w:t xml:space="preserve">2018. </w:t>
      </w:r>
      <w:r w:rsidRPr="00F908BE">
        <w:rPr>
          <w:rStyle w:val="arttitle"/>
          <w:color w:val="333333"/>
          <w:shd w:val="clear" w:color="auto" w:fill="FFFFFF"/>
        </w:rPr>
        <w:t>An exploration of school communication approaches for newly arrived EAL students: applying three dimensions of organisational communication theory,</w:t>
      </w:r>
      <w:r w:rsidRPr="00F908BE">
        <w:rPr>
          <w:color w:val="333333"/>
          <w:shd w:val="clear" w:color="auto" w:fill="FFFFFF"/>
        </w:rPr>
        <w:t> </w:t>
      </w:r>
      <w:r w:rsidRPr="00F908BE">
        <w:rPr>
          <w:rStyle w:val="serialtitle"/>
          <w:i/>
          <w:iCs/>
          <w:color w:val="333333"/>
          <w:shd w:val="clear" w:color="auto" w:fill="FFFFFF"/>
        </w:rPr>
        <w:t>Cambridge Journal of Education</w:t>
      </w:r>
      <w:r w:rsidRPr="00F908BE">
        <w:rPr>
          <w:rStyle w:val="serialtitle"/>
          <w:color w:val="333333"/>
          <w:shd w:val="clear" w:color="auto" w:fill="FFFFFF"/>
        </w:rPr>
        <w:t>,</w:t>
      </w:r>
      <w:r w:rsidRPr="00F908BE">
        <w:rPr>
          <w:color w:val="333333"/>
          <w:shd w:val="clear" w:color="auto" w:fill="FFFFFF"/>
        </w:rPr>
        <w:t> </w:t>
      </w:r>
      <w:r w:rsidRPr="00F908BE">
        <w:rPr>
          <w:rStyle w:val="volumeissue"/>
          <w:color w:val="333333"/>
          <w:shd w:val="clear" w:color="auto" w:fill="FFFFFF"/>
        </w:rPr>
        <w:t>48 (2):</w:t>
      </w:r>
      <w:r w:rsidRPr="00F908BE">
        <w:rPr>
          <w:color w:val="333333"/>
          <w:shd w:val="clear" w:color="auto" w:fill="FFFFFF"/>
        </w:rPr>
        <w:t> </w:t>
      </w:r>
      <w:r w:rsidRPr="00F908BE">
        <w:rPr>
          <w:rStyle w:val="pagerange"/>
          <w:color w:val="333333"/>
          <w:shd w:val="clear" w:color="auto" w:fill="FFFFFF"/>
        </w:rPr>
        <w:t>245-262.</w:t>
      </w:r>
      <w:r w:rsidRPr="002C06E6">
        <w:t xml:space="preserve"> </w:t>
      </w:r>
    </w:p>
    <w:p w14:paraId="771F3047" w14:textId="63438886" w:rsidR="0021138D" w:rsidRPr="00803985" w:rsidRDefault="00DF4677" w:rsidP="00215718">
      <w:pPr>
        <w:pStyle w:val="References"/>
      </w:pPr>
      <w:r>
        <w:t>Sharples, R. 2017.</w:t>
      </w:r>
      <w:r w:rsidR="0021138D" w:rsidRPr="00803985">
        <w:t xml:space="preserve"> Local practice, </w:t>
      </w:r>
      <w:proofErr w:type="spellStart"/>
      <w:r w:rsidR="0021138D" w:rsidRPr="00803985">
        <w:t>translocal</w:t>
      </w:r>
      <w:proofErr w:type="spellEnd"/>
      <w:r w:rsidR="0021138D" w:rsidRPr="00803985">
        <w:t xml:space="preserve"> people: conflicting identities in the multilingual classroom. </w:t>
      </w:r>
      <w:r w:rsidR="0021138D" w:rsidRPr="00803985">
        <w:rPr>
          <w:i/>
        </w:rPr>
        <w:t>Language and Education</w:t>
      </w:r>
      <w:r>
        <w:t xml:space="preserve"> [Internet], 31 (2): </w:t>
      </w:r>
      <w:r w:rsidR="0021138D" w:rsidRPr="00803985">
        <w:t xml:space="preserve">169-183. </w:t>
      </w:r>
      <w:bookmarkEnd w:id="5"/>
    </w:p>
    <w:p w14:paraId="60130780" w14:textId="6980DDE9" w:rsidR="0021138D" w:rsidRPr="00803985" w:rsidRDefault="00DF4677" w:rsidP="00215718">
      <w:pPr>
        <w:pStyle w:val="References"/>
      </w:pPr>
      <w:r>
        <w:t>Skinner, B. 2010.</w:t>
      </w:r>
      <w:r w:rsidR="0021138D" w:rsidRPr="00803985">
        <w:t xml:space="preserve"> English as an Additional Language and initial teacher education: views and experiences from Northern Ireland. </w:t>
      </w:r>
      <w:r w:rsidR="0021138D" w:rsidRPr="00803985">
        <w:rPr>
          <w:i/>
        </w:rPr>
        <w:t xml:space="preserve">Journal of Education for Teaching: International Research and Pedagogy </w:t>
      </w:r>
      <w:r>
        <w:t xml:space="preserve">[Internet], 36 (1): </w:t>
      </w:r>
      <w:r w:rsidR="0021138D" w:rsidRPr="00803985">
        <w:t xml:space="preserve">75-91. </w:t>
      </w:r>
    </w:p>
    <w:p w14:paraId="5513A5FF" w14:textId="765DDB55" w:rsidR="0021138D" w:rsidRDefault="00DF4677" w:rsidP="00215718">
      <w:pPr>
        <w:pStyle w:val="References"/>
      </w:pPr>
      <w:r>
        <w:t>Starbuck, E. 2018.</w:t>
      </w:r>
      <w:r w:rsidR="0021138D" w:rsidRPr="00803985">
        <w:t xml:space="preserve"> How well prepared to teach EAL learners do teachers </w:t>
      </w:r>
      <w:proofErr w:type="gramStart"/>
      <w:r w:rsidR="0021138D" w:rsidRPr="00803985">
        <w:t>feel?.</w:t>
      </w:r>
      <w:proofErr w:type="gramEnd"/>
      <w:r w:rsidR="0021138D" w:rsidRPr="00803985">
        <w:t xml:space="preserve"> </w:t>
      </w:r>
      <w:r w:rsidR="0021138D" w:rsidRPr="00803985">
        <w:rPr>
          <w:i/>
        </w:rPr>
        <w:t>EAL Journal</w:t>
      </w:r>
      <w:r w:rsidR="0021138D" w:rsidRPr="00803985">
        <w:t xml:space="preserve"> [Internet]. Available from </w:t>
      </w:r>
      <w:hyperlink r:id="rId18" w:history="1">
        <w:r w:rsidR="0021138D" w:rsidRPr="00803985">
          <w:rPr>
            <w:color w:val="0000FF" w:themeColor="hyperlink"/>
            <w:u w:val="single"/>
          </w:rPr>
          <w:t>https://ealjournal.org/2018/04/23/how-well-prepared-to-teach</w:t>
        </w:r>
        <w:bookmarkStart w:id="6" w:name="_GoBack"/>
        <w:bookmarkEnd w:id="6"/>
        <w:r w:rsidR="0021138D" w:rsidRPr="00803985">
          <w:rPr>
            <w:color w:val="0000FF" w:themeColor="hyperlink"/>
            <w:u w:val="single"/>
          </w:rPr>
          <w:t>ers-feel-to-teach-eal-learners/</w:t>
        </w:r>
      </w:hyperlink>
      <w:r w:rsidR="0021138D" w:rsidRPr="00803985">
        <w:t xml:space="preserve"> [Accessed 27</w:t>
      </w:r>
      <w:r w:rsidR="0021138D" w:rsidRPr="00803985">
        <w:rPr>
          <w:vertAlign w:val="superscript"/>
        </w:rPr>
        <w:t>th</w:t>
      </w:r>
      <w:r w:rsidR="0021138D" w:rsidRPr="00803985">
        <w:t xml:space="preserve"> April 2018].</w:t>
      </w:r>
    </w:p>
    <w:p w14:paraId="549CB296" w14:textId="05210271" w:rsidR="0021138D" w:rsidRPr="00803985" w:rsidRDefault="006304B5" w:rsidP="00DC631F">
      <w:pPr>
        <w:pStyle w:val="References"/>
      </w:pPr>
      <w:r>
        <w:t>Wardman, C. 2012</w:t>
      </w:r>
      <w:r w:rsidRPr="00803985">
        <w:t xml:space="preserve">. ‘Pulling the threads together: current theories and current practice affecting UK primary school children who have English as an Additional Language’. </w:t>
      </w:r>
      <w:r w:rsidRPr="00803985">
        <w:rPr>
          <w:i/>
          <w:iCs/>
        </w:rPr>
        <w:t xml:space="preserve">British Council ELT Research Papers, </w:t>
      </w:r>
      <w:r w:rsidRPr="00803985">
        <w:t xml:space="preserve">12-04, available at URL: </w:t>
      </w:r>
      <w:hyperlink r:id="rId19">
        <w:r w:rsidRPr="00803985">
          <w:rPr>
            <w:rStyle w:val="Hyperlink"/>
          </w:rPr>
          <w:t>http://englishagenda.britishcouncil.org/sites/ec/files/B387%20ELTRP%20Report%20-%20Wardman_v6.pdf</w:t>
        </w:r>
      </w:hyperlink>
      <w:r w:rsidRPr="00803985">
        <w:rPr>
          <w:rStyle w:val="Hyperlink"/>
          <w:b/>
          <w:color w:val="auto"/>
        </w:rPr>
        <w:t>.</w:t>
      </w:r>
      <w:r w:rsidR="00DC631F" w:rsidRPr="00803985">
        <w:t xml:space="preserve"> </w:t>
      </w:r>
    </w:p>
    <w:p w14:paraId="19A2DBB6" w14:textId="05DD6864" w:rsidR="00D6096A" w:rsidRDefault="00D6096A">
      <w:pPr>
        <w:spacing w:line="240" w:lineRule="auto"/>
      </w:pPr>
      <w:r>
        <w:br w:type="page"/>
      </w:r>
    </w:p>
    <w:p w14:paraId="3AD57FDB" w14:textId="77777777" w:rsidR="00D6096A" w:rsidRDefault="00D6096A" w:rsidP="00D6096A">
      <w:pPr>
        <w:pStyle w:val="Heading1"/>
      </w:pPr>
      <w:r>
        <w:t>Supplemental material</w:t>
      </w:r>
    </w:p>
    <w:p w14:paraId="2B96CC35" w14:textId="77777777" w:rsidR="00D6096A" w:rsidRPr="00BD1EF0" w:rsidRDefault="00D6096A" w:rsidP="00D6096A">
      <w:pPr>
        <w:pStyle w:val="Heading2"/>
      </w:pPr>
      <w:r w:rsidRPr="00BD1EF0">
        <w:t>1: Questionnaire items and summary of responses</w:t>
      </w:r>
    </w:p>
    <w:tbl>
      <w:tblPr>
        <w:tblStyle w:val="TableGrid"/>
        <w:tblW w:w="0" w:type="auto"/>
        <w:tblLook w:val="04A0" w:firstRow="1" w:lastRow="0" w:firstColumn="1" w:lastColumn="0" w:noHBand="0" w:noVBand="1"/>
      </w:tblPr>
      <w:tblGrid>
        <w:gridCol w:w="4244"/>
        <w:gridCol w:w="4245"/>
      </w:tblGrid>
      <w:tr w:rsidR="00D6096A" w14:paraId="028A6423" w14:textId="77777777" w:rsidTr="009B5A46">
        <w:tc>
          <w:tcPr>
            <w:tcW w:w="4244" w:type="dxa"/>
          </w:tcPr>
          <w:p w14:paraId="5324DC87" w14:textId="77777777" w:rsidR="00D6096A" w:rsidRPr="00E07DC3" w:rsidRDefault="00D6096A" w:rsidP="009B5A46">
            <w:pPr>
              <w:pStyle w:val="Newparagraph"/>
              <w:spacing w:line="276" w:lineRule="auto"/>
              <w:ind w:firstLine="0"/>
              <w:rPr>
                <w:b/>
                <w:bCs/>
              </w:rPr>
            </w:pPr>
            <w:r w:rsidRPr="00E07DC3">
              <w:rPr>
                <w:b/>
                <w:bCs/>
              </w:rPr>
              <w:t>Q</w:t>
            </w:r>
            <w:r>
              <w:rPr>
                <w:b/>
                <w:bCs/>
              </w:rPr>
              <w:t>uestionnaire q</w:t>
            </w:r>
            <w:r w:rsidRPr="00E07DC3">
              <w:rPr>
                <w:b/>
                <w:bCs/>
              </w:rPr>
              <w:t>uestion</w:t>
            </w:r>
            <w:r>
              <w:rPr>
                <w:b/>
                <w:bCs/>
              </w:rPr>
              <w:t>s</w:t>
            </w:r>
          </w:p>
        </w:tc>
        <w:tc>
          <w:tcPr>
            <w:tcW w:w="4245" w:type="dxa"/>
          </w:tcPr>
          <w:p w14:paraId="482D07A0" w14:textId="77777777" w:rsidR="00D6096A" w:rsidRPr="00E07DC3" w:rsidRDefault="00D6096A" w:rsidP="009B5A46">
            <w:pPr>
              <w:pStyle w:val="Newparagraph"/>
              <w:spacing w:line="240" w:lineRule="auto"/>
              <w:ind w:firstLine="0"/>
              <w:rPr>
                <w:b/>
                <w:bCs/>
              </w:rPr>
            </w:pPr>
            <w:r w:rsidRPr="00E07DC3">
              <w:rPr>
                <w:b/>
                <w:bCs/>
              </w:rPr>
              <w:t xml:space="preserve">Summary of response given in questionnaire </w:t>
            </w:r>
          </w:p>
        </w:tc>
      </w:tr>
      <w:tr w:rsidR="00D6096A" w14:paraId="47D6EFD5" w14:textId="77777777" w:rsidTr="009B5A46">
        <w:tc>
          <w:tcPr>
            <w:tcW w:w="4244" w:type="dxa"/>
          </w:tcPr>
          <w:p w14:paraId="1230527B" w14:textId="77777777" w:rsidR="00D6096A" w:rsidRDefault="00D6096A" w:rsidP="00D6096A">
            <w:pPr>
              <w:pStyle w:val="ListParagraph"/>
              <w:numPr>
                <w:ilvl w:val="0"/>
                <w:numId w:val="31"/>
              </w:numPr>
              <w:spacing w:line="240" w:lineRule="auto"/>
              <w:rPr>
                <w:sz w:val="24"/>
              </w:rPr>
            </w:pPr>
            <w:r>
              <w:rPr>
                <w:sz w:val="24"/>
              </w:rPr>
              <w:t>How long have you been a school teacher?</w:t>
            </w:r>
          </w:p>
          <w:p w14:paraId="62D90244" w14:textId="77777777" w:rsidR="00D6096A" w:rsidRDefault="00D6096A" w:rsidP="009B5A46">
            <w:pPr>
              <w:spacing w:line="240" w:lineRule="auto"/>
              <w:ind w:left="360"/>
            </w:pPr>
            <w:r>
              <w:t>0-3 years</w:t>
            </w:r>
          </w:p>
          <w:p w14:paraId="3A38C36B" w14:textId="77777777" w:rsidR="00D6096A" w:rsidRDefault="00D6096A" w:rsidP="009B5A46">
            <w:pPr>
              <w:spacing w:line="240" w:lineRule="auto"/>
              <w:ind w:left="360"/>
            </w:pPr>
            <w:r>
              <w:t>4-6 years</w:t>
            </w:r>
          </w:p>
          <w:p w14:paraId="2EADBC1C" w14:textId="77777777" w:rsidR="00D6096A" w:rsidRDefault="00D6096A" w:rsidP="009B5A46">
            <w:pPr>
              <w:spacing w:line="240" w:lineRule="auto"/>
              <w:ind w:left="360"/>
            </w:pPr>
            <w:r>
              <w:t xml:space="preserve">7-10 years </w:t>
            </w:r>
          </w:p>
          <w:p w14:paraId="5A1648A6" w14:textId="77777777" w:rsidR="00D6096A" w:rsidRDefault="00D6096A" w:rsidP="009B5A46">
            <w:pPr>
              <w:spacing w:line="240" w:lineRule="auto"/>
              <w:ind w:left="360"/>
            </w:pPr>
            <w:r>
              <w:t>More than 10 years</w:t>
            </w:r>
          </w:p>
        </w:tc>
        <w:tc>
          <w:tcPr>
            <w:tcW w:w="4245" w:type="dxa"/>
          </w:tcPr>
          <w:p w14:paraId="23EDF747" w14:textId="77777777" w:rsidR="00D6096A" w:rsidRDefault="00D6096A" w:rsidP="009B5A46">
            <w:pPr>
              <w:pStyle w:val="Newparagraph"/>
              <w:spacing w:line="240" w:lineRule="auto"/>
              <w:ind w:firstLine="0"/>
            </w:pPr>
            <w:r>
              <w:t>4-6 years: 7</w:t>
            </w:r>
          </w:p>
          <w:p w14:paraId="7B3412A4" w14:textId="77777777" w:rsidR="00D6096A" w:rsidRDefault="00D6096A" w:rsidP="009B5A46">
            <w:pPr>
              <w:pStyle w:val="Newparagraph"/>
              <w:spacing w:line="240" w:lineRule="auto"/>
              <w:ind w:firstLine="0"/>
            </w:pPr>
            <w:r>
              <w:t xml:space="preserve">7-10 years: 4  </w:t>
            </w:r>
          </w:p>
          <w:p w14:paraId="17BC1218" w14:textId="77777777" w:rsidR="00D6096A" w:rsidRDefault="00D6096A" w:rsidP="009B5A46">
            <w:pPr>
              <w:pStyle w:val="Newparagraph"/>
              <w:spacing w:line="240" w:lineRule="auto"/>
              <w:ind w:firstLine="0"/>
            </w:pPr>
            <w:r>
              <w:t xml:space="preserve">10 or more years: 50 </w:t>
            </w:r>
          </w:p>
          <w:p w14:paraId="250EE794" w14:textId="77777777" w:rsidR="00D6096A" w:rsidRDefault="00D6096A" w:rsidP="009B5A46">
            <w:pPr>
              <w:pStyle w:val="Newparagraph"/>
              <w:ind w:firstLine="0"/>
            </w:pPr>
          </w:p>
        </w:tc>
      </w:tr>
      <w:tr w:rsidR="00D6096A" w14:paraId="4FC3E40F" w14:textId="77777777" w:rsidTr="009B5A46">
        <w:tc>
          <w:tcPr>
            <w:tcW w:w="4244" w:type="dxa"/>
          </w:tcPr>
          <w:p w14:paraId="1BBB9AC5" w14:textId="77777777" w:rsidR="00D6096A" w:rsidRDefault="00D6096A" w:rsidP="00D6096A">
            <w:pPr>
              <w:pStyle w:val="ListParagraph"/>
              <w:numPr>
                <w:ilvl w:val="0"/>
                <w:numId w:val="31"/>
              </w:numPr>
              <w:spacing w:line="240" w:lineRule="auto"/>
              <w:rPr>
                <w:sz w:val="24"/>
              </w:rPr>
            </w:pPr>
            <w:r>
              <w:rPr>
                <w:sz w:val="24"/>
              </w:rPr>
              <w:t xml:space="preserve">How long have you been a lecturer teaching on Primary/Secondary Education courses? </w:t>
            </w:r>
          </w:p>
          <w:p w14:paraId="072D299F" w14:textId="77777777" w:rsidR="00D6096A" w:rsidRDefault="00D6096A" w:rsidP="009B5A46">
            <w:pPr>
              <w:spacing w:line="240" w:lineRule="auto"/>
              <w:ind w:left="360"/>
            </w:pPr>
            <w:r w:rsidRPr="006869A4">
              <w:t xml:space="preserve"> </w:t>
            </w:r>
            <w:r>
              <w:t>Open answer</w:t>
            </w:r>
          </w:p>
        </w:tc>
        <w:tc>
          <w:tcPr>
            <w:tcW w:w="4245" w:type="dxa"/>
          </w:tcPr>
          <w:p w14:paraId="6AA2791F" w14:textId="77777777" w:rsidR="00D6096A" w:rsidRDefault="00D6096A" w:rsidP="009B5A46">
            <w:pPr>
              <w:pStyle w:val="Newparagraph"/>
              <w:spacing w:line="240" w:lineRule="auto"/>
              <w:ind w:firstLine="0"/>
            </w:pPr>
            <w:r>
              <w:t>0-1year: 2</w:t>
            </w:r>
          </w:p>
          <w:p w14:paraId="760D9B96" w14:textId="77777777" w:rsidR="00D6096A" w:rsidRDefault="00D6096A" w:rsidP="009B5A46">
            <w:pPr>
              <w:pStyle w:val="Newparagraph"/>
              <w:spacing w:line="240" w:lineRule="auto"/>
              <w:ind w:firstLine="0"/>
            </w:pPr>
            <w:r>
              <w:t xml:space="preserve">1-5years: 22 </w:t>
            </w:r>
          </w:p>
          <w:p w14:paraId="0316B6F7" w14:textId="77777777" w:rsidR="00D6096A" w:rsidRDefault="00D6096A" w:rsidP="009B5A46">
            <w:pPr>
              <w:pStyle w:val="Newparagraph"/>
              <w:spacing w:line="240" w:lineRule="auto"/>
              <w:ind w:firstLine="0"/>
            </w:pPr>
            <w:r>
              <w:t xml:space="preserve">6-10 years:14 </w:t>
            </w:r>
          </w:p>
          <w:p w14:paraId="1975E3BF" w14:textId="77777777" w:rsidR="00D6096A" w:rsidRDefault="00D6096A" w:rsidP="009B5A46">
            <w:pPr>
              <w:pStyle w:val="Newparagraph"/>
              <w:spacing w:line="240" w:lineRule="auto"/>
              <w:ind w:firstLine="0"/>
            </w:pPr>
            <w:r>
              <w:t>11-15 years: 4</w:t>
            </w:r>
          </w:p>
          <w:p w14:paraId="5AAECAD6" w14:textId="77777777" w:rsidR="00D6096A" w:rsidRDefault="00D6096A" w:rsidP="009B5A46">
            <w:pPr>
              <w:pStyle w:val="Newparagraph"/>
              <w:spacing w:line="240" w:lineRule="auto"/>
              <w:ind w:firstLine="0"/>
            </w:pPr>
            <w:r>
              <w:t>16-20 years: 5</w:t>
            </w:r>
          </w:p>
          <w:p w14:paraId="7EA86A46" w14:textId="77777777" w:rsidR="00D6096A" w:rsidRDefault="00D6096A" w:rsidP="009B5A46">
            <w:pPr>
              <w:pStyle w:val="Newparagraph"/>
              <w:spacing w:line="240" w:lineRule="auto"/>
              <w:ind w:firstLine="0"/>
            </w:pPr>
            <w:r>
              <w:t xml:space="preserve">21-25years: 2 </w:t>
            </w:r>
          </w:p>
          <w:p w14:paraId="1E020D45" w14:textId="77777777" w:rsidR="00D6096A" w:rsidRDefault="00D6096A" w:rsidP="009B5A46">
            <w:pPr>
              <w:pStyle w:val="Newparagraph"/>
              <w:spacing w:line="240" w:lineRule="auto"/>
              <w:ind w:firstLine="0"/>
            </w:pPr>
            <w:r>
              <w:t xml:space="preserve">26-30years: 3 </w:t>
            </w:r>
          </w:p>
        </w:tc>
      </w:tr>
      <w:tr w:rsidR="00D6096A" w14:paraId="1985EE9F" w14:textId="77777777" w:rsidTr="009B5A46">
        <w:tc>
          <w:tcPr>
            <w:tcW w:w="4244" w:type="dxa"/>
          </w:tcPr>
          <w:p w14:paraId="2911050B" w14:textId="77777777" w:rsidR="00D6096A" w:rsidRDefault="00D6096A" w:rsidP="00D6096A">
            <w:pPr>
              <w:pStyle w:val="ListParagraph"/>
              <w:numPr>
                <w:ilvl w:val="0"/>
                <w:numId w:val="31"/>
              </w:numPr>
              <w:spacing w:line="240" w:lineRule="auto"/>
              <w:rPr>
                <w:sz w:val="24"/>
              </w:rPr>
            </w:pPr>
            <w:r>
              <w:rPr>
                <w:sz w:val="24"/>
              </w:rPr>
              <w:t>How much experience do you have with learners who have English as an Additional Language (EAL)?</w:t>
            </w:r>
          </w:p>
          <w:p w14:paraId="0CFB3890" w14:textId="77777777" w:rsidR="00D6096A" w:rsidRDefault="00D6096A" w:rsidP="009B5A46">
            <w:pPr>
              <w:spacing w:line="240" w:lineRule="auto"/>
              <w:ind w:left="360"/>
            </w:pPr>
            <w:r>
              <w:t xml:space="preserve">Open answer </w:t>
            </w:r>
          </w:p>
        </w:tc>
        <w:tc>
          <w:tcPr>
            <w:tcW w:w="4245" w:type="dxa"/>
          </w:tcPr>
          <w:p w14:paraId="1CB59D51" w14:textId="77777777" w:rsidR="00D6096A" w:rsidRDefault="00D6096A" w:rsidP="009B5A46">
            <w:pPr>
              <w:pStyle w:val="Newparagraph"/>
              <w:spacing w:line="240" w:lineRule="auto"/>
              <w:ind w:firstLine="0"/>
            </w:pPr>
            <w:r>
              <w:t>Significant (18)</w:t>
            </w:r>
          </w:p>
          <w:p w14:paraId="7E60FE52" w14:textId="77777777" w:rsidR="00D6096A" w:rsidRDefault="00D6096A" w:rsidP="009B5A46">
            <w:pPr>
              <w:pStyle w:val="Newparagraph"/>
              <w:spacing w:line="240" w:lineRule="auto"/>
              <w:ind w:firstLine="0"/>
            </w:pPr>
            <w:r>
              <w:t>Enough (2)</w:t>
            </w:r>
          </w:p>
          <w:p w14:paraId="6A097E15" w14:textId="77777777" w:rsidR="00D6096A" w:rsidRDefault="00D6096A" w:rsidP="009B5A46">
            <w:pPr>
              <w:pStyle w:val="Newparagraph"/>
              <w:spacing w:line="240" w:lineRule="auto"/>
              <w:ind w:firstLine="0"/>
            </w:pPr>
            <w:r>
              <w:t>Some (8)</w:t>
            </w:r>
          </w:p>
          <w:p w14:paraId="0936D3DC" w14:textId="77777777" w:rsidR="00D6096A" w:rsidRDefault="00D6096A" w:rsidP="009B5A46">
            <w:pPr>
              <w:pStyle w:val="Newparagraph"/>
              <w:spacing w:line="240" w:lineRule="auto"/>
              <w:ind w:firstLine="0"/>
            </w:pPr>
            <w:r>
              <w:t>Not very much (3)</w:t>
            </w:r>
          </w:p>
          <w:p w14:paraId="176A4570" w14:textId="77777777" w:rsidR="00D6096A" w:rsidRDefault="00D6096A" w:rsidP="009B5A46">
            <w:pPr>
              <w:pStyle w:val="Newparagraph"/>
              <w:spacing w:line="240" w:lineRule="auto"/>
              <w:ind w:firstLine="0"/>
            </w:pPr>
            <w:r>
              <w:t>Insufficient (5)</w:t>
            </w:r>
          </w:p>
          <w:p w14:paraId="62F69B19" w14:textId="77777777" w:rsidR="00D6096A" w:rsidRDefault="00D6096A" w:rsidP="009B5A46">
            <w:pPr>
              <w:pStyle w:val="Newparagraph"/>
              <w:spacing w:line="240" w:lineRule="auto"/>
              <w:ind w:firstLine="0"/>
            </w:pPr>
            <w:r>
              <w:t>10+yrs (10)</w:t>
            </w:r>
          </w:p>
          <w:p w14:paraId="29A8FDE0" w14:textId="77777777" w:rsidR="00D6096A" w:rsidRDefault="00D6096A" w:rsidP="009B5A46">
            <w:pPr>
              <w:pStyle w:val="Newparagraph"/>
              <w:spacing w:line="240" w:lineRule="auto"/>
              <w:ind w:firstLine="0"/>
            </w:pPr>
            <w:r>
              <w:t>5-10yrs (2)</w:t>
            </w:r>
          </w:p>
          <w:p w14:paraId="53205483" w14:textId="77777777" w:rsidR="00D6096A" w:rsidRDefault="00D6096A" w:rsidP="009B5A46">
            <w:pPr>
              <w:pStyle w:val="Newparagraph"/>
              <w:spacing w:line="240" w:lineRule="auto"/>
              <w:ind w:firstLine="0"/>
            </w:pPr>
            <w:r>
              <w:t xml:space="preserve">1 participant discussed experience with HE EAL students </w:t>
            </w:r>
          </w:p>
          <w:p w14:paraId="1A571323" w14:textId="77777777" w:rsidR="00D6096A" w:rsidRDefault="00D6096A" w:rsidP="009B5A46">
            <w:pPr>
              <w:pStyle w:val="Newparagraph"/>
              <w:spacing w:line="240" w:lineRule="auto"/>
              <w:ind w:firstLine="0"/>
            </w:pPr>
            <w:r>
              <w:t>5 had taught EAL pupils.</w:t>
            </w:r>
          </w:p>
        </w:tc>
      </w:tr>
      <w:tr w:rsidR="00D6096A" w14:paraId="0AF9232D" w14:textId="77777777" w:rsidTr="009B5A46">
        <w:tc>
          <w:tcPr>
            <w:tcW w:w="4244" w:type="dxa"/>
          </w:tcPr>
          <w:p w14:paraId="4220197C" w14:textId="77777777" w:rsidR="00D6096A" w:rsidRDefault="00D6096A" w:rsidP="00D6096A">
            <w:pPr>
              <w:pStyle w:val="ListParagraph"/>
              <w:numPr>
                <w:ilvl w:val="0"/>
                <w:numId w:val="31"/>
              </w:numPr>
              <w:spacing w:line="240" w:lineRule="auto"/>
              <w:rPr>
                <w:sz w:val="24"/>
              </w:rPr>
            </w:pPr>
            <w:r>
              <w:rPr>
                <w:sz w:val="24"/>
              </w:rPr>
              <w:t xml:space="preserve">Please describe your experiences with EAL learners? </w:t>
            </w:r>
          </w:p>
          <w:p w14:paraId="647E8E13" w14:textId="77777777" w:rsidR="00D6096A" w:rsidRDefault="00D6096A" w:rsidP="009B5A46">
            <w:pPr>
              <w:spacing w:line="240" w:lineRule="auto"/>
              <w:ind w:left="360"/>
            </w:pPr>
            <w:r>
              <w:t xml:space="preserve">Open answer </w:t>
            </w:r>
          </w:p>
        </w:tc>
        <w:tc>
          <w:tcPr>
            <w:tcW w:w="4245" w:type="dxa"/>
          </w:tcPr>
          <w:p w14:paraId="661D5B8C" w14:textId="77777777" w:rsidR="00D6096A" w:rsidRDefault="00D6096A" w:rsidP="00D6096A">
            <w:pPr>
              <w:pStyle w:val="Newparagraph"/>
              <w:numPr>
                <w:ilvl w:val="0"/>
                <w:numId w:val="33"/>
              </w:numPr>
              <w:spacing w:line="240" w:lineRule="auto"/>
            </w:pPr>
            <w:r>
              <w:t xml:space="preserve">39 explicitly describe their practical experience with EAL pupils. </w:t>
            </w:r>
          </w:p>
          <w:p w14:paraId="0F4DF23D" w14:textId="77777777" w:rsidR="00D6096A" w:rsidRDefault="00D6096A" w:rsidP="00D6096A">
            <w:pPr>
              <w:pStyle w:val="Newparagraph"/>
              <w:numPr>
                <w:ilvl w:val="0"/>
                <w:numId w:val="33"/>
              </w:numPr>
              <w:spacing w:line="240" w:lineRule="auto"/>
            </w:pPr>
            <w:r>
              <w:t xml:space="preserve">6 described their experiences with EAL pupils positively. </w:t>
            </w:r>
          </w:p>
          <w:p w14:paraId="3C52C29C" w14:textId="77777777" w:rsidR="00D6096A" w:rsidRDefault="00D6096A" w:rsidP="00D6096A">
            <w:pPr>
              <w:pStyle w:val="Newparagraph"/>
              <w:numPr>
                <w:ilvl w:val="0"/>
                <w:numId w:val="33"/>
              </w:numPr>
              <w:spacing w:line="240" w:lineRule="auto"/>
            </w:pPr>
            <w:r>
              <w:t xml:space="preserve">2 stated that EAL is part of the mainstream. </w:t>
            </w:r>
          </w:p>
          <w:p w14:paraId="4E00BA34" w14:textId="77777777" w:rsidR="00D6096A" w:rsidRDefault="00D6096A" w:rsidP="00D6096A">
            <w:pPr>
              <w:pStyle w:val="Newparagraph"/>
              <w:numPr>
                <w:ilvl w:val="0"/>
                <w:numId w:val="33"/>
              </w:numPr>
              <w:spacing w:line="240" w:lineRule="auto"/>
            </w:pPr>
            <w:r>
              <w:t xml:space="preserve">1 mentioned EAL pupils are in the minority in the classroom. </w:t>
            </w:r>
          </w:p>
          <w:p w14:paraId="0CF44D70" w14:textId="77777777" w:rsidR="00D6096A" w:rsidRDefault="00D6096A" w:rsidP="00D6096A">
            <w:pPr>
              <w:pStyle w:val="Newparagraph"/>
              <w:numPr>
                <w:ilvl w:val="0"/>
                <w:numId w:val="33"/>
              </w:numPr>
              <w:spacing w:line="240" w:lineRule="auto"/>
            </w:pPr>
            <w:r>
              <w:t>2 had never taught EAL pupils.</w:t>
            </w:r>
          </w:p>
          <w:p w14:paraId="134B6E6C" w14:textId="77777777" w:rsidR="00D6096A" w:rsidRDefault="00D6096A" w:rsidP="00D6096A">
            <w:pPr>
              <w:pStyle w:val="Newparagraph"/>
              <w:numPr>
                <w:ilvl w:val="0"/>
                <w:numId w:val="33"/>
              </w:numPr>
              <w:spacing w:line="240" w:lineRule="auto"/>
            </w:pPr>
            <w:r>
              <w:t xml:space="preserve">1 discussed their initial worries of supporting EAL pupils and how they noticed what they provided for their EAL children supported the whole class. </w:t>
            </w:r>
          </w:p>
          <w:p w14:paraId="4FD7E991" w14:textId="77777777" w:rsidR="00D6096A" w:rsidRDefault="00D6096A" w:rsidP="00D6096A">
            <w:pPr>
              <w:pStyle w:val="Newparagraph"/>
              <w:numPr>
                <w:ilvl w:val="0"/>
                <w:numId w:val="33"/>
              </w:numPr>
              <w:spacing w:line="240" w:lineRule="auto"/>
            </w:pPr>
            <w:r>
              <w:t xml:space="preserve">1 described their learners’ levels of English. </w:t>
            </w:r>
          </w:p>
          <w:p w14:paraId="292852B1" w14:textId="77777777" w:rsidR="00D6096A" w:rsidRDefault="00D6096A" w:rsidP="00D6096A">
            <w:pPr>
              <w:pStyle w:val="Newparagraph"/>
              <w:numPr>
                <w:ilvl w:val="0"/>
                <w:numId w:val="33"/>
              </w:numPr>
              <w:spacing w:line="240" w:lineRule="auto"/>
            </w:pPr>
            <w:r>
              <w:t xml:space="preserve">4 discussed their experiences in specific relation to their careers. </w:t>
            </w:r>
          </w:p>
        </w:tc>
      </w:tr>
      <w:tr w:rsidR="00D6096A" w14:paraId="1B39CB31" w14:textId="77777777" w:rsidTr="009B5A46">
        <w:tc>
          <w:tcPr>
            <w:tcW w:w="4244" w:type="dxa"/>
          </w:tcPr>
          <w:p w14:paraId="12C724C8" w14:textId="77777777" w:rsidR="00D6096A" w:rsidRDefault="00D6096A" w:rsidP="00D6096A">
            <w:pPr>
              <w:pStyle w:val="ListParagraph"/>
              <w:numPr>
                <w:ilvl w:val="0"/>
                <w:numId w:val="31"/>
              </w:numPr>
              <w:spacing w:line="240" w:lineRule="auto"/>
              <w:rPr>
                <w:sz w:val="24"/>
              </w:rPr>
            </w:pPr>
            <w:r>
              <w:rPr>
                <w:sz w:val="24"/>
              </w:rPr>
              <w:t xml:space="preserve">Are issues relating to teaching EAL incorporated into the modules you teach? If so, how? </w:t>
            </w:r>
          </w:p>
          <w:p w14:paraId="7CDABF4E" w14:textId="77777777" w:rsidR="00D6096A" w:rsidRDefault="00D6096A" w:rsidP="009B5A46">
            <w:pPr>
              <w:spacing w:line="240" w:lineRule="auto"/>
              <w:ind w:left="360"/>
            </w:pPr>
            <w:r>
              <w:t>Open answer</w:t>
            </w:r>
          </w:p>
        </w:tc>
        <w:tc>
          <w:tcPr>
            <w:tcW w:w="4245" w:type="dxa"/>
          </w:tcPr>
          <w:p w14:paraId="6EEA0B72" w14:textId="77777777" w:rsidR="00D6096A" w:rsidRDefault="00D6096A" w:rsidP="009B5A46">
            <w:pPr>
              <w:pStyle w:val="Newparagraph"/>
              <w:ind w:firstLine="0"/>
            </w:pPr>
            <w:r>
              <w:t>Yes: 52</w:t>
            </w:r>
          </w:p>
          <w:p w14:paraId="23C5F4D9" w14:textId="77777777" w:rsidR="00D6096A" w:rsidRDefault="00D6096A" w:rsidP="009B5A46">
            <w:pPr>
              <w:pStyle w:val="Newparagraph"/>
              <w:spacing w:line="240" w:lineRule="auto"/>
              <w:ind w:firstLine="0"/>
            </w:pPr>
            <w:r>
              <w:t>No: 3 (but stated it is taught in others’ modules)</w:t>
            </w:r>
          </w:p>
          <w:p w14:paraId="7C4EF9FA" w14:textId="77777777" w:rsidR="00D6096A" w:rsidRDefault="00D6096A" w:rsidP="009B5A46">
            <w:pPr>
              <w:pStyle w:val="Newparagraph"/>
              <w:spacing w:line="240" w:lineRule="auto"/>
              <w:ind w:firstLine="0"/>
            </w:pPr>
          </w:p>
          <w:p w14:paraId="7CD8E128" w14:textId="77777777" w:rsidR="00D6096A" w:rsidRDefault="00D6096A" w:rsidP="00D6096A">
            <w:pPr>
              <w:pStyle w:val="Newparagraph"/>
              <w:numPr>
                <w:ilvl w:val="0"/>
                <w:numId w:val="34"/>
              </w:numPr>
              <w:spacing w:line="240" w:lineRule="auto"/>
            </w:pPr>
            <w:r>
              <w:t>1 described inclusion of EAL into their modules as following the ‘EAL’ narrative “</w:t>
            </w:r>
            <w:r w:rsidRPr="003942B2">
              <w:t>which approaches mul</w:t>
            </w:r>
            <w:r>
              <w:t>t</w:t>
            </w:r>
            <w:r w:rsidRPr="003942B2">
              <w:t>ilingualism as an educational problem to be overcome by instrumentally ignoring multilingualism and replacing emerging bilingualism with enforced monolingualism</w:t>
            </w:r>
            <w:r>
              <w:t xml:space="preserve">”. </w:t>
            </w:r>
          </w:p>
          <w:p w14:paraId="2742A6C1" w14:textId="77777777" w:rsidR="00D6096A" w:rsidRDefault="00D6096A" w:rsidP="00D6096A">
            <w:pPr>
              <w:pStyle w:val="Newparagraph"/>
              <w:numPr>
                <w:ilvl w:val="0"/>
                <w:numId w:val="34"/>
              </w:numPr>
              <w:spacing w:line="240" w:lineRule="auto"/>
            </w:pPr>
            <w:r>
              <w:t xml:space="preserve">3 - it is covered alongside issues of diversity and equality.  </w:t>
            </w:r>
          </w:p>
          <w:p w14:paraId="43041141" w14:textId="77777777" w:rsidR="00D6096A" w:rsidRDefault="00D6096A" w:rsidP="00D6096A">
            <w:pPr>
              <w:pStyle w:val="Newparagraph"/>
              <w:numPr>
                <w:ilvl w:val="0"/>
                <w:numId w:val="34"/>
              </w:numPr>
              <w:spacing w:line="240" w:lineRule="auto"/>
            </w:pPr>
            <w:r>
              <w:t>1 described teaching techniques.</w:t>
            </w:r>
          </w:p>
          <w:p w14:paraId="0E16CDF9" w14:textId="77777777" w:rsidR="00D6096A" w:rsidRDefault="00D6096A" w:rsidP="00D6096A">
            <w:pPr>
              <w:pStyle w:val="Newparagraph"/>
              <w:numPr>
                <w:ilvl w:val="0"/>
                <w:numId w:val="34"/>
              </w:numPr>
              <w:spacing w:line="240" w:lineRule="auto"/>
            </w:pPr>
            <w:r>
              <w:t>1: “</w:t>
            </w:r>
            <w:r w:rsidRPr="003942B2">
              <w:t>Trainee teachers ask for practical strategies.</w:t>
            </w:r>
            <w:r>
              <w:t>”</w:t>
            </w:r>
          </w:p>
          <w:p w14:paraId="1BE87764" w14:textId="77777777" w:rsidR="00D6096A" w:rsidRDefault="00D6096A" w:rsidP="00D6096A">
            <w:pPr>
              <w:pStyle w:val="Newparagraph"/>
              <w:numPr>
                <w:ilvl w:val="0"/>
                <w:numId w:val="34"/>
              </w:numPr>
              <w:spacing w:line="240" w:lineRule="auto"/>
            </w:pPr>
            <w:r>
              <w:t xml:space="preserve">3: it is covered by an external specialist. </w:t>
            </w:r>
          </w:p>
          <w:p w14:paraId="4038F811" w14:textId="77777777" w:rsidR="00D6096A" w:rsidRDefault="00D6096A" w:rsidP="00D6096A">
            <w:pPr>
              <w:pStyle w:val="Newparagraph"/>
              <w:numPr>
                <w:ilvl w:val="0"/>
                <w:numId w:val="34"/>
              </w:numPr>
              <w:spacing w:line="240" w:lineRule="auto"/>
            </w:pPr>
            <w:r>
              <w:t xml:space="preserve">2: students had classroom experience in one of their modules.  </w:t>
            </w:r>
          </w:p>
          <w:p w14:paraId="64917B9D" w14:textId="77777777" w:rsidR="00D6096A" w:rsidRDefault="00D6096A" w:rsidP="00D6096A">
            <w:pPr>
              <w:pStyle w:val="Newparagraph"/>
              <w:numPr>
                <w:ilvl w:val="0"/>
                <w:numId w:val="34"/>
              </w:numPr>
              <w:spacing w:line="240" w:lineRule="auto"/>
            </w:pPr>
            <w:r>
              <w:t>2: some (superficial) input was given.</w:t>
            </w:r>
          </w:p>
          <w:p w14:paraId="3C403544" w14:textId="77777777" w:rsidR="00D6096A" w:rsidRDefault="00D6096A" w:rsidP="00D6096A">
            <w:pPr>
              <w:pStyle w:val="Newparagraph"/>
              <w:numPr>
                <w:ilvl w:val="0"/>
                <w:numId w:val="34"/>
              </w:numPr>
              <w:spacing w:line="240" w:lineRule="auto"/>
            </w:pPr>
            <w:r>
              <w:t>1: “</w:t>
            </w:r>
            <w:r w:rsidRPr="00AA75FD">
              <w:t>An option</w:t>
            </w:r>
            <w:r>
              <w:t>al</w:t>
            </w:r>
            <w:r w:rsidRPr="00AA75FD">
              <w:t xml:space="preserve"> programme is offered</w:t>
            </w:r>
            <w:r>
              <w:t xml:space="preserve">”. </w:t>
            </w:r>
          </w:p>
          <w:p w14:paraId="06483584" w14:textId="77777777" w:rsidR="00D6096A" w:rsidRDefault="00D6096A" w:rsidP="00D6096A">
            <w:pPr>
              <w:pStyle w:val="Newparagraph"/>
              <w:numPr>
                <w:ilvl w:val="0"/>
                <w:numId w:val="34"/>
              </w:numPr>
              <w:spacing w:line="240" w:lineRule="auto"/>
            </w:pPr>
            <w:r>
              <w:t>1: “</w:t>
            </w:r>
            <w:r w:rsidRPr="00EB1BC2">
              <w:t>We hold a conference day for our students, focussed on EAL, as well as referring regularly to the implications for EAL learners, within our teaching.</w:t>
            </w:r>
            <w:r>
              <w:t>”</w:t>
            </w:r>
          </w:p>
        </w:tc>
      </w:tr>
      <w:tr w:rsidR="00D6096A" w14:paraId="34C5C8FD" w14:textId="77777777" w:rsidTr="009B5A46">
        <w:tc>
          <w:tcPr>
            <w:tcW w:w="4244" w:type="dxa"/>
          </w:tcPr>
          <w:p w14:paraId="1334E029" w14:textId="77777777" w:rsidR="00D6096A" w:rsidRDefault="00D6096A" w:rsidP="00D6096A">
            <w:pPr>
              <w:pStyle w:val="ListParagraph"/>
              <w:numPr>
                <w:ilvl w:val="0"/>
                <w:numId w:val="31"/>
              </w:numPr>
              <w:spacing w:line="240" w:lineRule="auto"/>
              <w:rPr>
                <w:sz w:val="24"/>
              </w:rPr>
            </w:pPr>
            <w:r>
              <w:rPr>
                <w:sz w:val="24"/>
              </w:rPr>
              <w:t xml:space="preserve">How confident do you feel about teaching student-teachers how to teach EAL learners? </w:t>
            </w:r>
          </w:p>
          <w:p w14:paraId="6E8831B3" w14:textId="77777777" w:rsidR="00D6096A" w:rsidRDefault="00D6096A" w:rsidP="009B5A46">
            <w:pPr>
              <w:spacing w:line="240" w:lineRule="auto"/>
              <w:ind w:left="360"/>
            </w:pPr>
            <w:r>
              <w:t>Not confident</w:t>
            </w:r>
          </w:p>
          <w:p w14:paraId="79E791B1" w14:textId="77777777" w:rsidR="00D6096A" w:rsidRDefault="00D6096A" w:rsidP="009B5A46">
            <w:pPr>
              <w:spacing w:line="240" w:lineRule="auto"/>
              <w:ind w:left="360"/>
            </w:pPr>
            <w:r>
              <w:t>Slightly confident</w:t>
            </w:r>
          </w:p>
          <w:p w14:paraId="43CD2245" w14:textId="77777777" w:rsidR="00D6096A" w:rsidRDefault="00D6096A" w:rsidP="009B5A46">
            <w:pPr>
              <w:spacing w:line="240" w:lineRule="auto"/>
              <w:ind w:left="360"/>
            </w:pPr>
            <w:r>
              <w:t xml:space="preserve">Confident </w:t>
            </w:r>
          </w:p>
          <w:p w14:paraId="2FA88B5B" w14:textId="77777777" w:rsidR="00D6096A" w:rsidRDefault="00D6096A" w:rsidP="009B5A46">
            <w:pPr>
              <w:spacing w:line="240" w:lineRule="auto"/>
              <w:ind w:left="360"/>
            </w:pPr>
            <w:r>
              <w:t xml:space="preserve">Very confident </w:t>
            </w:r>
          </w:p>
        </w:tc>
        <w:tc>
          <w:tcPr>
            <w:tcW w:w="4245" w:type="dxa"/>
          </w:tcPr>
          <w:p w14:paraId="6FF6F72D" w14:textId="77777777" w:rsidR="00D6096A" w:rsidRDefault="00D6096A" w:rsidP="009B5A46">
            <w:pPr>
              <w:pStyle w:val="Newparagraph"/>
              <w:spacing w:line="240" w:lineRule="auto"/>
              <w:ind w:firstLine="0"/>
            </w:pPr>
            <w:r>
              <w:t>Not confident: 1</w:t>
            </w:r>
          </w:p>
          <w:p w14:paraId="7075605F" w14:textId="77777777" w:rsidR="00D6096A" w:rsidRDefault="00D6096A" w:rsidP="009B5A46">
            <w:pPr>
              <w:pStyle w:val="Newparagraph"/>
              <w:spacing w:line="240" w:lineRule="auto"/>
              <w:ind w:firstLine="0"/>
            </w:pPr>
            <w:r>
              <w:t>Slight confident: 9</w:t>
            </w:r>
          </w:p>
          <w:p w14:paraId="61FF136C" w14:textId="77777777" w:rsidR="00D6096A" w:rsidRDefault="00D6096A" w:rsidP="009B5A46">
            <w:pPr>
              <w:pStyle w:val="Newparagraph"/>
              <w:spacing w:line="240" w:lineRule="auto"/>
              <w:ind w:firstLine="0"/>
            </w:pPr>
            <w:r>
              <w:t xml:space="preserve">Confident: 25 </w:t>
            </w:r>
          </w:p>
          <w:p w14:paraId="1198FA44" w14:textId="77777777" w:rsidR="00D6096A" w:rsidRDefault="00D6096A" w:rsidP="009B5A46">
            <w:pPr>
              <w:pStyle w:val="Newparagraph"/>
              <w:spacing w:line="240" w:lineRule="auto"/>
              <w:ind w:firstLine="0"/>
            </w:pPr>
            <w:r>
              <w:t>Very confident: 21</w:t>
            </w:r>
          </w:p>
        </w:tc>
      </w:tr>
      <w:tr w:rsidR="00D6096A" w14:paraId="3EC1BCC0" w14:textId="77777777" w:rsidTr="009B5A46">
        <w:tc>
          <w:tcPr>
            <w:tcW w:w="4244" w:type="dxa"/>
          </w:tcPr>
          <w:p w14:paraId="22BC53ED" w14:textId="77777777" w:rsidR="00D6096A" w:rsidRDefault="00D6096A" w:rsidP="00D6096A">
            <w:pPr>
              <w:pStyle w:val="ListParagraph"/>
              <w:numPr>
                <w:ilvl w:val="0"/>
                <w:numId w:val="31"/>
              </w:numPr>
              <w:spacing w:line="240" w:lineRule="auto"/>
              <w:rPr>
                <w:sz w:val="24"/>
              </w:rPr>
            </w:pPr>
            <w:r>
              <w:rPr>
                <w:sz w:val="24"/>
              </w:rPr>
              <w:t xml:space="preserve">Do you feel that the teaching of EAL is incorporated into Primary and Secondary Education degrees and PGCEs sufficiently enough that your students would feel comfortable teaching EAL learners? </w:t>
            </w:r>
          </w:p>
          <w:p w14:paraId="2DEC5F8D" w14:textId="77777777" w:rsidR="00D6096A" w:rsidRDefault="00D6096A" w:rsidP="009B5A46">
            <w:pPr>
              <w:spacing w:line="240" w:lineRule="auto"/>
              <w:ind w:left="360"/>
            </w:pPr>
            <w:r>
              <w:t>Open answer</w:t>
            </w:r>
          </w:p>
        </w:tc>
        <w:tc>
          <w:tcPr>
            <w:tcW w:w="4245" w:type="dxa"/>
          </w:tcPr>
          <w:p w14:paraId="601A5D64" w14:textId="77777777" w:rsidR="00D6096A" w:rsidRDefault="00D6096A" w:rsidP="009B5A46">
            <w:pPr>
              <w:pStyle w:val="Newparagraph"/>
              <w:spacing w:line="240" w:lineRule="auto"/>
              <w:ind w:firstLine="0"/>
            </w:pPr>
            <w:r>
              <w:t>Yes: 17</w:t>
            </w:r>
          </w:p>
          <w:p w14:paraId="6E7DB5DE" w14:textId="77777777" w:rsidR="00D6096A" w:rsidRDefault="00D6096A" w:rsidP="009B5A46">
            <w:pPr>
              <w:pStyle w:val="Newparagraph"/>
              <w:spacing w:line="240" w:lineRule="auto"/>
              <w:ind w:firstLine="0"/>
            </w:pPr>
            <w:r>
              <w:t>No: 17</w:t>
            </w:r>
          </w:p>
          <w:p w14:paraId="67B6FF1B" w14:textId="77777777" w:rsidR="00D6096A" w:rsidRDefault="00D6096A" w:rsidP="009B5A46">
            <w:pPr>
              <w:pStyle w:val="Newparagraph"/>
              <w:spacing w:line="240" w:lineRule="auto"/>
              <w:ind w:firstLine="0"/>
            </w:pPr>
            <w:r>
              <w:t xml:space="preserve">Depends: 3 </w:t>
            </w:r>
          </w:p>
          <w:p w14:paraId="72659994" w14:textId="77777777" w:rsidR="00D6096A" w:rsidRDefault="00D6096A" w:rsidP="009B5A46">
            <w:pPr>
              <w:pStyle w:val="Newparagraph"/>
              <w:spacing w:line="240" w:lineRule="auto"/>
              <w:ind w:firstLine="0"/>
            </w:pPr>
            <w:r>
              <w:t>Other: 20</w:t>
            </w:r>
          </w:p>
        </w:tc>
      </w:tr>
      <w:tr w:rsidR="00D6096A" w14:paraId="4553E35D" w14:textId="77777777" w:rsidTr="009B5A46">
        <w:tc>
          <w:tcPr>
            <w:tcW w:w="4244" w:type="dxa"/>
          </w:tcPr>
          <w:p w14:paraId="2972E080" w14:textId="77777777" w:rsidR="00D6096A" w:rsidRDefault="00D6096A" w:rsidP="00D6096A">
            <w:pPr>
              <w:pStyle w:val="ListParagraph"/>
              <w:numPr>
                <w:ilvl w:val="0"/>
                <w:numId w:val="31"/>
              </w:numPr>
              <w:spacing w:line="240" w:lineRule="auto"/>
              <w:rPr>
                <w:sz w:val="24"/>
              </w:rPr>
            </w:pPr>
            <w:r>
              <w:rPr>
                <w:sz w:val="24"/>
              </w:rPr>
              <w:t xml:space="preserve">Do you perceive teaching student-teachers about EAL to be challenging? </w:t>
            </w:r>
          </w:p>
          <w:p w14:paraId="371B64AB" w14:textId="77777777" w:rsidR="00D6096A" w:rsidRDefault="00D6096A" w:rsidP="009B5A46">
            <w:pPr>
              <w:spacing w:line="240" w:lineRule="auto"/>
              <w:ind w:left="360"/>
            </w:pPr>
            <w:r>
              <w:t>Open answer</w:t>
            </w:r>
          </w:p>
        </w:tc>
        <w:tc>
          <w:tcPr>
            <w:tcW w:w="4245" w:type="dxa"/>
          </w:tcPr>
          <w:p w14:paraId="30F1C99E" w14:textId="77777777" w:rsidR="00D6096A" w:rsidRDefault="00D6096A" w:rsidP="009B5A46">
            <w:pPr>
              <w:pStyle w:val="Newparagraph"/>
              <w:spacing w:line="240" w:lineRule="auto"/>
              <w:ind w:firstLine="0"/>
            </w:pPr>
            <w:r>
              <w:t>Yes: 24</w:t>
            </w:r>
          </w:p>
          <w:p w14:paraId="46D06F8A" w14:textId="77777777" w:rsidR="00D6096A" w:rsidRDefault="00D6096A" w:rsidP="009B5A46">
            <w:pPr>
              <w:pStyle w:val="Newparagraph"/>
              <w:spacing w:line="240" w:lineRule="auto"/>
              <w:ind w:firstLine="0"/>
            </w:pPr>
            <w:r>
              <w:t>No: 31</w:t>
            </w:r>
          </w:p>
        </w:tc>
      </w:tr>
      <w:tr w:rsidR="00D6096A" w14:paraId="38BF1C61" w14:textId="77777777" w:rsidTr="009B5A46">
        <w:tc>
          <w:tcPr>
            <w:tcW w:w="4244" w:type="dxa"/>
          </w:tcPr>
          <w:p w14:paraId="3E4645A5" w14:textId="77777777" w:rsidR="00D6096A" w:rsidRDefault="00D6096A" w:rsidP="00D6096A">
            <w:pPr>
              <w:pStyle w:val="ListParagraph"/>
              <w:numPr>
                <w:ilvl w:val="0"/>
                <w:numId w:val="31"/>
              </w:numPr>
              <w:spacing w:line="240" w:lineRule="auto"/>
              <w:rPr>
                <w:sz w:val="24"/>
              </w:rPr>
            </w:pPr>
            <w:r>
              <w:rPr>
                <w:sz w:val="24"/>
              </w:rPr>
              <w:t xml:space="preserve">  How do you perceive the balance of EAL teaching to student-teachers?</w:t>
            </w:r>
          </w:p>
          <w:p w14:paraId="28EAA322" w14:textId="77777777" w:rsidR="00D6096A" w:rsidRDefault="00D6096A" w:rsidP="009B5A46">
            <w:pPr>
              <w:spacing w:line="240" w:lineRule="auto"/>
              <w:ind w:left="360"/>
            </w:pPr>
            <w:r>
              <w:t>Mostly theoretical</w:t>
            </w:r>
          </w:p>
          <w:p w14:paraId="4C81212C" w14:textId="77777777" w:rsidR="00D6096A" w:rsidRDefault="00D6096A" w:rsidP="009B5A46">
            <w:pPr>
              <w:spacing w:line="240" w:lineRule="auto"/>
              <w:ind w:left="360"/>
            </w:pPr>
            <w:r>
              <w:t xml:space="preserve">Mostly practical </w:t>
            </w:r>
          </w:p>
          <w:p w14:paraId="10E27C50" w14:textId="77777777" w:rsidR="00D6096A" w:rsidRPr="00B825B5" w:rsidRDefault="00D6096A" w:rsidP="009B5A46">
            <w:pPr>
              <w:spacing w:line="240" w:lineRule="auto"/>
              <w:ind w:left="360"/>
            </w:pPr>
            <w:r>
              <w:t>A combination of theoretical and practical</w:t>
            </w:r>
          </w:p>
        </w:tc>
        <w:tc>
          <w:tcPr>
            <w:tcW w:w="4245" w:type="dxa"/>
          </w:tcPr>
          <w:p w14:paraId="5BC7CF0B" w14:textId="77777777" w:rsidR="00D6096A" w:rsidRDefault="00D6096A" w:rsidP="009B5A46">
            <w:pPr>
              <w:pStyle w:val="Newparagraph"/>
              <w:spacing w:line="240" w:lineRule="auto"/>
              <w:ind w:firstLine="0"/>
            </w:pPr>
            <w:r>
              <w:t>Mostly theoretical: 3</w:t>
            </w:r>
          </w:p>
          <w:p w14:paraId="1B5ECBDD" w14:textId="77777777" w:rsidR="00D6096A" w:rsidRDefault="00D6096A" w:rsidP="009B5A46">
            <w:pPr>
              <w:pStyle w:val="Newparagraph"/>
              <w:spacing w:line="240" w:lineRule="auto"/>
              <w:ind w:firstLine="0"/>
            </w:pPr>
            <w:r>
              <w:t>Mostly practical: 5</w:t>
            </w:r>
          </w:p>
          <w:p w14:paraId="1EBFA239" w14:textId="77777777" w:rsidR="00D6096A" w:rsidRDefault="00D6096A" w:rsidP="009B5A46">
            <w:pPr>
              <w:pStyle w:val="Newparagraph"/>
              <w:spacing w:line="240" w:lineRule="auto"/>
              <w:ind w:firstLine="0"/>
            </w:pPr>
            <w:r>
              <w:t>A combination of theoretical and practical: 48</w:t>
            </w:r>
          </w:p>
        </w:tc>
      </w:tr>
      <w:tr w:rsidR="00D6096A" w14:paraId="04017E09" w14:textId="77777777" w:rsidTr="009B5A46">
        <w:tc>
          <w:tcPr>
            <w:tcW w:w="4244" w:type="dxa"/>
          </w:tcPr>
          <w:p w14:paraId="16B08D82" w14:textId="77777777" w:rsidR="00D6096A" w:rsidRDefault="00D6096A" w:rsidP="00D6096A">
            <w:pPr>
              <w:pStyle w:val="ListParagraph"/>
              <w:numPr>
                <w:ilvl w:val="0"/>
                <w:numId w:val="31"/>
              </w:numPr>
              <w:spacing w:line="240" w:lineRule="auto"/>
              <w:rPr>
                <w:sz w:val="24"/>
              </w:rPr>
            </w:pPr>
            <w:r>
              <w:rPr>
                <w:sz w:val="24"/>
              </w:rPr>
              <w:t xml:space="preserve">Do you think any improvements could be made regarding how student-teachers learn about EAL learners? </w:t>
            </w:r>
          </w:p>
          <w:p w14:paraId="0E3166A8" w14:textId="77777777" w:rsidR="00D6096A" w:rsidRDefault="00D6096A" w:rsidP="009B5A46">
            <w:pPr>
              <w:pStyle w:val="ListParagraph"/>
              <w:spacing w:line="240" w:lineRule="auto"/>
              <w:rPr>
                <w:sz w:val="24"/>
              </w:rPr>
            </w:pPr>
            <w:r>
              <w:rPr>
                <w:sz w:val="24"/>
              </w:rPr>
              <w:t xml:space="preserve">Yes </w:t>
            </w:r>
          </w:p>
          <w:p w14:paraId="183BF7E0" w14:textId="77777777" w:rsidR="00D6096A" w:rsidRDefault="00D6096A" w:rsidP="009B5A46">
            <w:pPr>
              <w:pStyle w:val="ListParagraph"/>
              <w:spacing w:line="240" w:lineRule="auto"/>
              <w:rPr>
                <w:sz w:val="24"/>
              </w:rPr>
            </w:pPr>
            <w:r>
              <w:rPr>
                <w:sz w:val="24"/>
              </w:rPr>
              <w:t xml:space="preserve">No </w:t>
            </w:r>
          </w:p>
          <w:p w14:paraId="4FA112BB" w14:textId="77777777" w:rsidR="00D6096A" w:rsidRPr="00B825B5" w:rsidRDefault="00D6096A" w:rsidP="009B5A46">
            <w:pPr>
              <w:pStyle w:val="ListParagraph"/>
              <w:spacing w:line="240" w:lineRule="auto"/>
              <w:rPr>
                <w:sz w:val="24"/>
              </w:rPr>
            </w:pPr>
            <w:r>
              <w:rPr>
                <w:sz w:val="24"/>
              </w:rPr>
              <w:t xml:space="preserve">If yes, please expand.  </w:t>
            </w:r>
          </w:p>
        </w:tc>
        <w:tc>
          <w:tcPr>
            <w:tcW w:w="4245" w:type="dxa"/>
          </w:tcPr>
          <w:p w14:paraId="71587F46" w14:textId="77777777" w:rsidR="00D6096A" w:rsidRDefault="00D6096A" w:rsidP="009B5A46">
            <w:pPr>
              <w:pStyle w:val="Newparagraph"/>
              <w:ind w:firstLine="0"/>
            </w:pPr>
            <w:r>
              <w:t>Yes: 40</w:t>
            </w:r>
          </w:p>
          <w:p w14:paraId="6B179D7C" w14:textId="77777777" w:rsidR="00D6096A" w:rsidRDefault="00D6096A" w:rsidP="009B5A46">
            <w:pPr>
              <w:pStyle w:val="Newparagraph"/>
              <w:ind w:firstLine="0"/>
            </w:pPr>
            <w:r>
              <w:t>No: 1</w:t>
            </w:r>
          </w:p>
        </w:tc>
      </w:tr>
    </w:tbl>
    <w:p w14:paraId="484CC69B" w14:textId="77777777" w:rsidR="00D6096A" w:rsidRPr="00163B28" w:rsidRDefault="00D6096A" w:rsidP="00D6096A">
      <w:pPr>
        <w:pStyle w:val="Heading2"/>
      </w:pPr>
      <w:r>
        <w:t>2</w:t>
      </w:r>
      <w:r w:rsidRPr="00BD1EF0">
        <w:t xml:space="preserve">: </w:t>
      </w:r>
      <w:r>
        <w:t>Interview questions</w:t>
      </w:r>
      <w:r w:rsidRPr="00BD1EF0">
        <w:t xml:space="preserve"> and summary of responses</w:t>
      </w:r>
    </w:p>
    <w:tbl>
      <w:tblPr>
        <w:tblStyle w:val="TableGrid"/>
        <w:tblW w:w="0" w:type="auto"/>
        <w:tblLook w:val="04A0" w:firstRow="1" w:lastRow="0" w:firstColumn="1" w:lastColumn="0" w:noHBand="0" w:noVBand="1"/>
      </w:tblPr>
      <w:tblGrid>
        <w:gridCol w:w="4244"/>
        <w:gridCol w:w="4245"/>
      </w:tblGrid>
      <w:tr w:rsidR="00D6096A" w14:paraId="5574D07B" w14:textId="77777777" w:rsidTr="009B5A46">
        <w:tc>
          <w:tcPr>
            <w:tcW w:w="4244" w:type="dxa"/>
          </w:tcPr>
          <w:p w14:paraId="446C1002" w14:textId="77777777" w:rsidR="00D6096A" w:rsidRPr="00B825B5" w:rsidRDefault="00D6096A" w:rsidP="009B5A46">
            <w:pPr>
              <w:pStyle w:val="Newparagraph"/>
              <w:ind w:firstLine="0"/>
              <w:rPr>
                <w:b/>
                <w:bCs/>
              </w:rPr>
            </w:pPr>
            <w:r w:rsidRPr="00B825B5">
              <w:rPr>
                <w:b/>
                <w:bCs/>
              </w:rPr>
              <w:t>Interview questions</w:t>
            </w:r>
          </w:p>
        </w:tc>
        <w:tc>
          <w:tcPr>
            <w:tcW w:w="4245" w:type="dxa"/>
          </w:tcPr>
          <w:p w14:paraId="00AF058E" w14:textId="77777777" w:rsidR="00D6096A" w:rsidRPr="00B825B5" w:rsidRDefault="00D6096A" w:rsidP="009B5A46">
            <w:pPr>
              <w:pStyle w:val="Newparagraph"/>
              <w:ind w:firstLine="0"/>
              <w:rPr>
                <w:b/>
                <w:bCs/>
              </w:rPr>
            </w:pPr>
            <w:r w:rsidRPr="00B825B5">
              <w:rPr>
                <w:b/>
                <w:bCs/>
              </w:rPr>
              <w:t>Summary of responses</w:t>
            </w:r>
          </w:p>
        </w:tc>
      </w:tr>
      <w:tr w:rsidR="00D6096A" w14:paraId="17D9893D" w14:textId="77777777" w:rsidTr="009B5A46">
        <w:tc>
          <w:tcPr>
            <w:tcW w:w="4244" w:type="dxa"/>
          </w:tcPr>
          <w:p w14:paraId="7D6EEBDA" w14:textId="77777777" w:rsidR="00D6096A" w:rsidRDefault="00D6096A" w:rsidP="00D6096A">
            <w:pPr>
              <w:numPr>
                <w:ilvl w:val="0"/>
                <w:numId w:val="32"/>
              </w:numPr>
              <w:spacing w:after="160" w:line="240" w:lineRule="auto"/>
            </w:pPr>
            <w:r w:rsidRPr="002F2880">
              <w:t>What region of Great Britain are you from?</w:t>
            </w:r>
          </w:p>
        </w:tc>
        <w:tc>
          <w:tcPr>
            <w:tcW w:w="4245" w:type="dxa"/>
          </w:tcPr>
          <w:p w14:paraId="235B0874" w14:textId="77777777" w:rsidR="00D6096A" w:rsidRDefault="00D6096A" w:rsidP="009B5A46">
            <w:pPr>
              <w:pStyle w:val="Newparagraph"/>
              <w:spacing w:line="240" w:lineRule="auto"/>
              <w:ind w:firstLine="0"/>
            </w:pPr>
            <w:r>
              <w:t>Yorkshire: 2</w:t>
            </w:r>
          </w:p>
          <w:p w14:paraId="76600029" w14:textId="77777777" w:rsidR="00D6096A" w:rsidRDefault="00D6096A" w:rsidP="009B5A46">
            <w:pPr>
              <w:pStyle w:val="Newparagraph"/>
              <w:spacing w:line="240" w:lineRule="auto"/>
              <w:ind w:firstLine="0"/>
            </w:pPr>
            <w:r>
              <w:t>North West: 1</w:t>
            </w:r>
          </w:p>
          <w:p w14:paraId="5BF323AC" w14:textId="77777777" w:rsidR="00D6096A" w:rsidRDefault="00D6096A" w:rsidP="009B5A46">
            <w:pPr>
              <w:pStyle w:val="Newparagraph"/>
              <w:spacing w:line="240" w:lineRule="auto"/>
              <w:ind w:firstLine="0"/>
            </w:pPr>
            <w:r>
              <w:t>East Midlands: 1</w:t>
            </w:r>
          </w:p>
          <w:p w14:paraId="19AC6437" w14:textId="77777777" w:rsidR="00D6096A" w:rsidRDefault="00D6096A" w:rsidP="009B5A46">
            <w:pPr>
              <w:pStyle w:val="Newparagraph"/>
              <w:spacing w:line="240" w:lineRule="auto"/>
              <w:ind w:firstLine="0"/>
            </w:pPr>
            <w:r>
              <w:t>South of England: 3</w:t>
            </w:r>
          </w:p>
          <w:p w14:paraId="058D4696" w14:textId="77777777" w:rsidR="00D6096A" w:rsidRDefault="00D6096A" w:rsidP="009B5A46">
            <w:pPr>
              <w:pStyle w:val="Newparagraph"/>
              <w:ind w:firstLine="0"/>
            </w:pPr>
            <w:r>
              <w:t xml:space="preserve"> </w:t>
            </w:r>
          </w:p>
        </w:tc>
      </w:tr>
      <w:tr w:rsidR="00D6096A" w14:paraId="070E22FE" w14:textId="77777777" w:rsidTr="009B5A46">
        <w:tc>
          <w:tcPr>
            <w:tcW w:w="4244" w:type="dxa"/>
          </w:tcPr>
          <w:p w14:paraId="0F72AB1A" w14:textId="77777777" w:rsidR="00D6096A" w:rsidRDefault="00D6096A" w:rsidP="00D6096A">
            <w:pPr>
              <w:numPr>
                <w:ilvl w:val="0"/>
                <w:numId w:val="32"/>
              </w:numPr>
              <w:spacing w:after="160" w:line="240" w:lineRule="auto"/>
            </w:pPr>
            <w:r w:rsidRPr="002F2880">
              <w:t>What EAL training did you receive in your Initial teacher training?</w:t>
            </w:r>
          </w:p>
        </w:tc>
        <w:tc>
          <w:tcPr>
            <w:tcW w:w="4245" w:type="dxa"/>
          </w:tcPr>
          <w:p w14:paraId="3D1AB1ED" w14:textId="77777777" w:rsidR="00D6096A" w:rsidRDefault="00D6096A" w:rsidP="00D6096A">
            <w:pPr>
              <w:pStyle w:val="Newparagraph"/>
              <w:numPr>
                <w:ilvl w:val="0"/>
                <w:numId w:val="35"/>
              </w:numPr>
              <w:spacing w:line="240" w:lineRule="auto"/>
            </w:pPr>
            <w:r>
              <w:t>6: no training in their ITT (as far as they can recall).</w:t>
            </w:r>
          </w:p>
          <w:p w14:paraId="4428B4C1" w14:textId="77777777" w:rsidR="00D6096A" w:rsidRDefault="00D6096A" w:rsidP="00D6096A">
            <w:pPr>
              <w:pStyle w:val="Newparagraph"/>
              <w:numPr>
                <w:ilvl w:val="0"/>
                <w:numId w:val="35"/>
              </w:numPr>
              <w:spacing w:line="240" w:lineRule="auto"/>
            </w:pPr>
            <w:r>
              <w:t xml:space="preserve">1 received a bit, but they could not fully remember. </w:t>
            </w:r>
          </w:p>
          <w:p w14:paraId="68AB19EA" w14:textId="77777777" w:rsidR="00D6096A" w:rsidRDefault="00D6096A" w:rsidP="00D6096A">
            <w:pPr>
              <w:pStyle w:val="Newparagraph"/>
              <w:numPr>
                <w:ilvl w:val="0"/>
                <w:numId w:val="35"/>
              </w:numPr>
              <w:spacing w:line="240" w:lineRule="auto"/>
            </w:pPr>
            <w:r>
              <w:t xml:space="preserve">1 received extensive training.  </w:t>
            </w:r>
          </w:p>
        </w:tc>
      </w:tr>
      <w:tr w:rsidR="00D6096A" w14:paraId="539DB499" w14:textId="77777777" w:rsidTr="009B5A46">
        <w:tc>
          <w:tcPr>
            <w:tcW w:w="4244" w:type="dxa"/>
          </w:tcPr>
          <w:p w14:paraId="44611CDA" w14:textId="77777777" w:rsidR="00D6096A" w:rsidRDefault="00D6096A" w:rsidP="00D6096A">
            <w:pPr>
              <w:numPr>
                <w:ilvl w:val="0"/>
                <w:numId w:val="32"/>
              </w:numPr>
              <w:spacing w:after="160" w:line="240" w:lineRule="auto"/>
            </w:pPr>
            <w:r w:rsidRPr="002F2880">
              <w:t>What feedback do you receive from your cohort?</w:t>
            </w:r>
          </w:p>
        </w:tc>
        <w:tc>
          <w:tcPr>
            <w:tcW w:w="4245" w:type="dxa"/>
          </w:tcPr>
          <w:p w14:paraId="5C9CA1F9" w14:textId="77777777" w:rsidR="00D6096A" w:rsidRDefault="00D6096A" w:rsidP="00D6096A">
            <w:pPr>
              <w:pStyle w:val="Newparagraph"/>
              <w:numPr>
                <w:ilvl w:val="0"/>
                <w:numId w:val="36"/>
              </w:numPr>
              <w:spacing w:line="240" w:lineRule="auto"/>
            </w:pPr>
            <w:r>
              <w:t>1: good feedback.</w:t>
            </w:r>
          </w:p>
          <w:p w14:paraId="7FFEB1EF" w14:textId="77777777" w:rsidR="00D6096A" w:rsidRDefault="00D6096A" w:rsidP="00D6096A">
            <w:pPr>
              <w:pStyle w:val="Newparagraph"/>
              <w:numPr>
                <w:ilvl w:val="0"/>
                <w:numId w:val="36"/>
              </w:numPr>
              <w:spacing w:line="240" w:lineRule="auto"/>
            </w:pPr>
            <w:r>
              <w:t xml:space="preserve">1: mixed feedback; dependent on how high EAL is on the school’s agenda as to how much support they receive. </w:t>
            </w:r>
          </w:p>
          <w:p w14:paraId="68FD0DEA" w14:textId="77777777" w:rsidR="00D6096A" w:rsidRDefault="00D6096A" w:rsidP="00D6096A">
            <w:pPr>
              <w:pStyle w:val="Newparagraph"/>
              <w:numPr>
                <w:ilvl w:val="0"/>
                <w:numId w:val="36"/>
              </w:numPr>
              <w:spacing w:line="240" w:lineRule="auto"/>
            </w:pPr>
            <w:r>
              <w:t>1: their cohort are pre-ITT, but they do education placements. The cohort says they find the EAL work helpful “but obviously they’re not having to always apply them because its dependent on the circumstances they find themselves in”</w:t>
            </w:r>
          </w:p>
          <w:p w14:paraId="4F0BC005" w14:textId="77777777" w:rsidR="00D6096A" w:rsidRDefault="00D6096A" w:rsidP="00D6096A">
            <w:pPr>
              <w:pStyle w:val="Newparagraph"/>
              <w:numPr>
                <w:ilvl w:val="0"/>
                <w:numId w:val="36"/>
              </w:numPr>
              <w:spacing w:line="240" w:lineRule="auto"/>
            </w:pPr>
            <w:r>
              <w:t xml:space="preserve">1: lower than ‘feel confident to teach in my subject’ for EAL in the NQT survey. </w:t>
            </w:r>
          </w:p>
          <w:p w14:paraId="10D25CE1" w14:textId="77777777" w:rsidR="00D6096A" w:rsidRDefault="00D6096A" w:rsidP="00D6096A">
            <w:pPr>
              <w:pStyle w:val="Newparagraph"/>
              <w:numPr>
                <w:ilvl w:val="0"/>
                <w:numId w:val="36"/>
              </w:numPr>
              <w:spacing w:line="240" w:lineRule="auto"/>
            </w:pPr>
            <w:r>
              <w:t>1 described how their students do not always identify who EAL learners are.</w:t>
            </w:r>
          </w:p>
          <w:p w14:paraId="7141EE24" w14:textId="77777777" w:rsidR="00D6096A" w:rsidRDefault="00D6096A" w:rsidP="00D6096A">
            <w:pPr>
              <w:pStyle w:val="Newparagraph"/>
              <w:numPr>
                <w:ilvl w:val="0"/>
                <w:numId w:val="36"/>
              </w:numPr>
              <w:spacing w:line="240" w:lineRule="auto"/>
            </w:pPr>
            <w:r>
              <w:t xml:space="preserve">1 argued due to the general approach to EAL, student teachers view EAL as a hinderance rather than a benefit. </w:t>
            </w:r>
          </w:p>
          <w:p w14:paraId="0959C315" w14:textId="77777777" w:rsidR="00D6096A" w:rsidRDefault="00D6096A" w:rsidP="00D6096A">
            <w:pPr>
              <w:pStyle w:val="Newparagraph"/>
              <w:numPr>
                <w:ilvl w:val="0"/>
                <w:numId w:val="36"/>
              </w:numPr>
              <w:spacing w:line="240" w:lineRule="auto"/>
            </w:pPr>
            <w:r>
              <w:t xml:space="preserve">1: “we were looking at 39% of students who felt that their preparation or that their confidence was either very good or good… 61% said their confidence was either satisfactory or unsatisfactory”. </w:t>
            </w:r>
          </w:p>
        </w:tc>
      </w:tr>
      <w:tr w:rsidR="00D6096A" w14:paraId="5033344D" w14:textId="77777777" w:rsidTr="009B5A46">
        <w:tc>
          <w:tcPr>
            <w:tcW w:w="4244" w:type="dxa"/>
          </w:tcPr>
          <w:p w14:paraId="642645B8" w14:textId="77777777" w:rsidR="00D6096A" w:rsidRDefault="00D6096A" w:rsidP="00D6096A">
            <w:pPr>
              <w:numPr>
                <w:ilvl w:val="0"/>
                <w:numId w:val="32"/>
              </w:numPr>
              <w:spacing w:after="160" w:line="240" w:lineRule="auto"/>
            </w:pPr>
            <w:r w:rsidRPr="002F2880">
              <w:t>The current evidence shows that students don’t feel prepared, so where do you think the mismatch is?</w:t>
            </w:r>
          </w:p>
        </w:tc>
        <w:tc>
          <w:tcPr>
            <w:tcW w:w="4245" w:type="dxa"/>
          </w:tcPr>
          <w:p w14:paraId="2B4D9284" w14:textId="77777777" w:rsidR="00D6096A" w:rsidRDefault="00D6096A" w:rsidP="00D6096A">
            <w:pPr>
              <w:pStyle w:val="Newparagraph"/>
              <w:numPr>
                <w:ilvl w:val="0"/>
                <w:numId w:val="37"/>
              </w:numPr>
              <w:spacing w:line="240" w:lineRule="auto"/>
            </w:pPr>
            <w:r>
              <w:t xml:space="preserve">1 argued the need for more clarity on what best practice is. </w:t>
            </w:r>
          </w:p>
          <w:p w14:paraId="59FA904B" w14:textId="77777777" w:rsidR="00D6096A" w:rsidRDefault="00D6096A" w:rsidP="00D6096A">
            <w:pPr>
              <w:pStyle w:val="Newparagraph"/>
              <w:numPr>
                <w:ilvl w:val="0"/>
                <w:numId w:val="37"/>
              </w:numPr>
              <w:spacing w:line="240" w:lineRule="auto"/>
            </w:pPr>
            <w:r>
              <w:t xml:space="preserve">1 described how previously EAL was a priority in teacher training, but it is slowly being placed into the English modules due to the government agenda. </w:t>
            </w:r>
          </w:p>
          <w:p w14:paraId="7C7E6BE1" w14:textId="77777777" w:rsidR="00D6096A" w:rsidRDefault="00D6096A" w:rsidP="00D6096A">
            <w:pPr>
              <w:pStyle w:val="Newparagraph"/>
              <w:numPr>
                <w:ilvl w:val="0"/>
                <w:numId w:val="37"/>
              </w:numPr>
              <w:spacing w:line="240" w:lineRule="auto"/>
            </w:pPr>
            <w:r>
              <w:t>1 argued time constraints are an issue, and that the teachers in their placement schools have not had any training in supporting children with EAL themselves, another issue is that it is placement dependent as to whether they get practical EAL experience.</w:t>
            </w:r>
          </w:p>
          <w:p w14:paraId="18FD8064" w14:textId="77777777" w:rsidR="00D6096A" w:rsidRDefault="00D6096A" w:rsidP="00D6096A">
            <w:pPr>
              <w:pStyle w:val="Newparagraph"/>
              <w:numPr>
                <w:ilvl w:val="0"/>
                <w:numId w:val="37"/>
              </w:numPr>
              <w:spacing w:line="240" w:lineRule="auto"/>
            </w:pPr>
            <w:r>
              <w:t xml:space="preserve">5 argued it is primarily about confidence, something which correlates with their practical experience. </w:t>
            </w:r>
          </w:p>
        </w:tc>
      </w:tr>
      <w:tr w:rsidR="00D6096A" w14:paraId="70CCB204" w14:textId="77777777" w:rsidTr="009B5A46">
        <w:tc>
          <w:tcPr>
            <w:tcW w:w="4244" w:type="dxa"/>
          </w:tcPr>
          <w:p w14:paraId="576A3BBF" w14:textId="77777777" w:rsidR="00D6096A" w:rsidRDefault="00D6096A" w:rsidP="00D6096A">
            <w:pPr>
              <w:numPr>
                <w:ilvl w:val="0"/>
                <w:numId w:val="32"/>
              </w:numPr>
              <w:spacing w:after="160" w:line="240" w:lineRule="auto"/>
            </w:pPr>
            <w:r w:rsidRPr="002F2880">
              <w:t xml:space="preserve">If the curriculum and current training practices are not focused on EAL, what are the current priorities? What do you think they’re focussing on in schools? </w:t>
            </w:r>
          </w:p>
        </w:tc>
        <w:tc>
          <w:tcPr>
            <w:tcW w:w="4245" w:type="dxa"/>
          </w:tcPr>
          <w:p w14:paraId="2182FD0F" w14:textId="77777777" w:rsidR="00D6096A" w:rsidRDefault="00D6096A" w:rsidP="00D6096A">
            <w:pPr>
              <w:pStyle w:val="Newparagraph"/>
              <w:numPr>
                <w:ilvl w:val="0"/>
                <w:numId w:val="38"/>
              </w:numPr>
              <w:spacing w:line="240" w:lineRule="auto"/>
            </w:pPr>
            <w:r>
              <w:t>4 argued the current priorities are at pushing academic results and meeting OFSTED criteria.</w:t>
            </w:r>
          </w:p>
          <w:p w14:paraId="3932E6CA" w14:textId="77777777" w:rsidR="00D6096A" w:rsidRDefault="00D6096A" w:rsidP="00D6096A">
            <w:pPr>
              <w:pStyle w:val="Newparagraph"/>
              <w:numPr>
                <w:ilvl w:val="0"/>
                <w:numId w:val="38"/>
              </w:numPr>
              <w:spacing w:line="240" w:lineRule="auto"/>
            </w:pPr>
            <w:r>
              <w:t>1 participant argued that the “EAL agenda permeates through the whole [of] inclusion”.</w:t>
            </w:r>
          </w:p>
        </w:tc>
      </w:tr>
      <w:tr w:rsidR="00D6096A" w14:paraId="6053E28B" w14:textId="77777777" w:rsidTr="009B5A46">
        <w:tc>
          <w:tcPr>
            <w:tcW w:w="4244" w:type="dxa"/>
          </w:tcPr>
          <w:p w14:paraId="77D62D19" w14:textId="77777777" w:rsidR="00D6096A" w:rsidRDefault="00D6096A" w:rsidP="00D6096A">
            <w:pPr>
              <w:numPr>
                <w:ilvl w:val="0"/>
                <w:numId w:val="32"/>
              </w:numPr>
              <w:spacing w:after="160" w:line="240" w:lineRule="auto"/>
            </w:pPr>
            <w:r w:rsidRPr="002F2880">
              <w:t>What do you think the biggest barriers for learning are for the children (with EAL)?</w:t>
            </w:r>
          </w:p>
        </w:tc>
        <w:tc>
          <w:tcPr>
            <w:tcW w:w="4245" w:type="dxa"/>
          </w:tcPr>
          <w:p w14:paraId="6E8D1CC7" w14:textId="77777777" w:rsidR="00D6096A" w:rsidRDefault="00D6096A" w:rsidP="00D6096A">
            <w:pPr>
              <w:pStyle w:val="ListParagraph"/>
              <w:numPr>
                <w:ilvl w:val="0"/>
                <w:numId w:val="39"/>
              </w:numPr>
              <w:spacing w:line="240" w:lineRule="auto"/>
              <w:rPr>
                <w:rFonts w:ascii="Times New Roman" w:hAnsi="Times New Roman" w:cs="Times New Roman"/>
                <w:sz w:val="24"/>
                <w:szCs w:val="24"/>
              </w:rPr>
            </w:pPr>
            <w:r w:rsidRPr="00151EBE">
              <w:rPr>
                <w:rFonts w:ascii="Times New Roman" w:hAnsi="Times New Roman" w:cs="Times New Roman"/>
                <w:sz w:val="24"/>
                <w:szCs w:val="24"/>
              </w:rPr>
              <w:t xml:space="preserve">2 argued the biggest barrier is the lack of opportunity for EAL pupils to communicate with others through play. </w:t>
            </w:r>
          </w:p>
          <w:p w14:paraId="3695F282" w14:textId="77777777" w:rsidR="00D6096A" w:rsidRPr="00D52DBD" w:rsidRDefault="00D6096A" w:rsidP="00D6096A">
            <w:pPr>
              <w:pStyle w:val="ListParagraph"/>
              <w:numPr>
                <w:ilvl w:val="0"/>
                <w:numId w:val="39"/>
              </w:numPr>
              <w:spacing w:line="240" w:lineRule="auto"/>
              <w:rPr>
                <w:rFonts w:ascii="Times New Roman" w:hAnsi="Times New Roman" w:cs="Times New Roman"/>
                <w:sz w:val="28"/>
                <w:szCs w:val="28"/>
              </w:rPr>
            </w:pPr>
            <w:r w:rsidRPr="00151EBE">
              <w:rPr>
                <w:rFonts w:ascii="Times New Roman" w:hAnsi="Times New Roman" w:cs="Times New Roman"/>
                <w:sz w:val="24"/>
                <w:szCs w:val="24"/>
              </w:rPr>
              <w:t>1 stated that one of the main issues is around educators valuing the home language and using that as a starting point</w:t>
            </w:r>
            <w:r>
              <w:rPr>
                <w:rFonts w:ascii="Times New Roman" w:hAnsi="Times New Roman" w:cs="Times New Roman"/>
                <w:sz w:val="24"/>
                <w:szCs w:val="24"/>
              </w:rPr>
              <w:t>.</w:t>
            </w:r>
            <w:r w:rsidRPr="00151EBE">
              <w:rPr>
                <w:rFonts w:ascii="Times New Roman" w:hAnsi="Times New Roman" w:cs="Times New Roman"/>
                <w:sz w:val="24"/>
                <w:szCs w:val="24"/>
              </w:rPr>
              <w:t xml:space="preserve"> </w:t>
            </w:r>
          </w:p>
          <w:p w14:paraId="31853494" w14:textId="77777777" w:rsidR="00D6096A" w:rsidRPr="00D52DBD" w:rsidRDefault="00D6096A" w:rsidP="00D6096A">
            <w:pPr>
              <w:pStyle w:val="ListParagraph"/>
              <w:numPr>
                <w:ilvl w:val="0"/>
                <w:numId w:val="39"/>
              </w:numPr>
              <w:spacing w:line="240" w:lineRule="auto"/>
              <w:rPr>
                <w:rFonts w:ascii="Times New Roman" w:hAnsi="Times New Roman" w:cs="Times New Roman"/>
                <w:sz w:val="32"/>
                <w:szCs w:val="32"/>
              </w:rPr>
            </w:pPr>
            <w:r w:rsidRPr="00D52DBD">
              <w:rPr>
                <w:rFonts w:ascii="Times New Roman" w:hAnsi="Times New Roman" w:cs="Times New Roman"/>
                <w:sz w:val="24"/>
                <w:szCs w:val="24"/>
              </w:rPr>
              <w:t xml:space="preserve">2 argued one of the biggest barriers is the curriculum focus on passing exams. </w:t>
            </w:r>
          </w:p>
          <w:p w14:paraId="5E3ED2F4" w14:textId="77777777" w:rsidR="00D6096A" w:rsidRDefault="00D6096A" w:rsidP="00D6096A">
            <w:pPr>
              <w:pStyle w:val="ListParagraph"/>
              <w:numPr>
                <w:ilvl w:val="0"/>
                <w:numId w:val="39"/>
              </w:numPr>
              <w:spacing w:line="240" w:lineRule="auto"/>
              <w:rPr>
                <w:rFonts w:ascii="Times New Roman" w:hAnsi="Times New Roman" w:cs="Times New Roman"/>
                <w:sz w:val="24"/>
                <w:szCs w:val="24"/>
              </w:rPr>
            </w:pPr>
            <w:r w:rsidRPr="00151EBE">
              <w:rPr>
                <w:rFonts w:ascii="Times New Roman" w:hAnsi="Times New Roman" w:cs="Times New Roman"/>
                <w:sz w:val="24"/>
                <w:szCs w:val="24"/>
              </w:rPr>
              <w:t xml:space="preserve">1 argued it depended on their age when they arrived. </w:t>
            </w:r>
          </w:p>
          <w:p w14:paraId="2B2FB588" w14:textId="77777777" w:rsidR="00D6096A" w:rsidRPr="00151EBE" w:rsidRDefault="00D6096A" w:rsidP="00D6096A">
            <w:pPr>
              <w:pStyle w:val="ListParagraph"/>
              <w:numPr>
                <w:ilvl w:val="0"/>
                <w:numId w:val="39"/>
              </w:numPr>
              <w:spacing w:line="240" w:lineRule="auto"/>
              <w:rPr>
                <w:rFonts w:ascii="Times New Roman" w:hAnsi="Times New Roman" w:cs="Times New Roman"/>
                <w:sz w:val="24"/>
                <w:szCs w:val="24"/>
              </w:rPr>
            </w:pPr>
            <w:r w:rsidRPr="00151EBE">
              <w:rPr>
                <w:rFonts w:ascii="Times New Roman" w:hAnsi="Times New Roman" w:cs="Times New Roman"/>
                <w:sz w:val="24"/>
                <w:szCs w:val="24"/>
              </w:rPr>
              <w:t xml:space="preserve">2 argued the lack of funding for specialist assistance is a hindrance. </w:t>
            </w:r>
          </w:p>
        </w:tc>
      </w:tr>
    </w:tbl>
    <w:p w14:paraId="0D26DAEC" w14:textId="77777777" w:rsidR="00D6096A" w:rsidRPr="00E07DC3" w:rsidRDefault="00D6096A" w:rsidP="00D6096A">
      <w:pPr>
        <w:pStyle w:val="Newparagraph"/>
      </w:pPr>
    </w:p>
    <w:p w14:paraId="26A93CD8" w14:textId="77777777" w:rsidR="00D6096A" w:rsidRDefault="00D6096A" w:rsidP="00D6096A"/>
    <w:p w14:paraId="19FA8538" w14:textId="77777777" w:rsidR="0011037C" w:rsidRPr="0077380C" w:rsidRDefault="0011037C" w:rsidP="00222C1D">
      <w:pPr>
        <w:spacing w:line="240" w:lineRule="auto"/>
      </w:pPr>
    </w:p>
    <w:sectPr w:rsidR="0011037C" w:rsidRPr="0077380C" w:rsidSect="00074B81">
      <w:footerReference w:type="even" r:id="rId20"/>
      <w:footerReference w:type="default" r:id="rId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0EBE" w14:textId="77777777" w:rsidR="004B2CE7" w:rsidRDefault="004B2CE7" w:rsidP="00AF2C92">
      <w:r>
        <w:separator/>
      </w:r>
    </w:p>
  </w:endnote>
  <w:endnote w:type="continuationSeparator" w:id="0">
    <w:p w14:paraId="14E0928B" w14:textId="77777777" w:rsidR="004B2CE7" w:rsidRDefault="004B2CE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4209674"/>
      <w:docPartObj>
        <w:docPartGallery w:val="Page Numbers (Bottom of Page)"/>
        <w:docPartUnique/>
      </w:docPartObj>
    </w:sdtPr>
    <w:sdtEndPr>
      <w:rPr>
        <w:rStyle w:val="PageNumber"/>
      </w:rPr>
    </w:sdtEndPr>
    <w:sdtContent>
      <w:p w14:paraId="3FEBDDF5" w14:textId="0A80E0D2" w:rsidR="002E13F3" w:rsidRDefault="002E13F3" w:rsidP="002E13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704B1" w14:textId="77777777" w:rsidR="002E13F3" w:rsidRDefault="002E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9886187"/>
      <w:docPartObj>
        <w:docPartGallery w:val="Page Numbers (Bottom of Page)"/>
        <w:docPartUnique/>
      </w:docPartObj>
    </w:sdtPr>
    <w:sdtEndPr>
      <w:rPr>
        <w:rStyle w:val="PageNumber"/>
      </w:rPr>
    </w:sdtEndPr>
    <w:sdtContent>
      <w:p w14:paraId="1DC52D4A" w14:textId="7AAC6552" w:rsidR="002E13F3" w:rsidRDefault="002E13F3" w:rsidP="002E13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8A53FE" w14:textId="77777777" w:rsidR="002E13F3" w:rsidRDefault="002E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809B" w14:textId="77777777" w:rsidR="004B2CE7" w:rsidRDefault="004B2CE7" w:rsidP="00AF2C92">
      <w:r>
        <w:separator/>
      </w:r>
    </w:p>
  </w:footnote>
  <w:footnote w:type="continuationSeparator" w:id="0">
    <w:p w14:paraId="5EDB5E4B" w14:textId="77777777" w:rsidR="004B2CE7" w:rsidRDefault="004B2CE7"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046679"/>
    <w:multiLevelType w:val="hybridMultilevel"/>
    <w:tmpl w:val="0E04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360644"/>
    <w:multiLevelType w:val="hybridMultilevel"/>
    <w:tmpl w:val="08AE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6B7D96"/>
    <w:multiLevelType w:val="hybridMultilevel"/>
    <w:tmpl w:val="7E8E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C618F"/>
    <w:multiLevelType w:val="hybridMultilevel"/>
    <w:tmpl w:val="E2662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4133E1"/>
    <w:multiLevelType w:val="hybridMultilevel"/>
    <w:tmpl w:val="E8BC3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61DC2"/>
    <w:multiLevelType w:val="hybridMultilevel"/>
    <w:tmpl w:val="099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0B48FC"/>
    <w:multiLevelType w:val="hybridMultilevel"/>
    <w:tmpl w:val="396A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E7175"/>
    <w:multiLevelType w:val="hybridMultilevel"/>
    <w:tmpl w:val="E5E4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EB11CF"/>
    <w:multiLevelType w:val="hybridMultilevel"/>
    <w:tmpl w:val="C120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5"/>
  </w:num>
  <w:num w:numId="16">
    <w:abstractNumId w:val="18"/>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8"/>
  </w:num>
  <w:num w:numId="28">
    <w:abstractNumId w:val="24"/>
  </w:num>
  <w:num w:numId="29">
    <w:abstractNumId w:val="14"/>
  </w:num>
  <w:num w:numId="30">
    <w:abstractNumId w:val="31"/>
  </w:num>
  <w:num w:numId="31">
    <w:abstractNumId w:val="22"/>
  </w:num>
  <w:num w:numId="32">
    <w:abstractNumId w:val="26"/>
  </w:num>
  <w:num w:numId="33">
    <w:abstractNumId w:val="27"/>
  </w:num>
  <w:num w:numId="34">
    <w:abstractNumId w:val="30"/>
  </w:num>
  <w:num w:numId="35">
    <w:abstractNumId w:val="21"/>
  </w:num>
  <w:num w:numId="36">
    <w:abstractNumId w:val="29"/>
  </w:num>
  <w:num w:numId="37">
    <w:abstractNumId w:val="32"/>
  </w:num>
  <w:num w:numId="38">
    <w:abstractNumId w:val="13"/>
  </w:num>
  <w:num w:numId="39">
    <w:abstractNumId w:val="1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D3"/>
    <w:rsid w:val="00001899"/>
    <w:rsid w:val="000049AD"/>
    <w:rsid w:val="0000681B"/>
    <w:rsid w:val="00010A03"/>
    <w:rsid w:val="00012B97"/>
    <w:rsid w:val="000133C0"/>
    <w:rsid w:val="00014C4E"/>
    <w:rsid w:val="00017107"/>
    <w:rsid w:val="000202E2"/>
    <w:rsid w:val="00022441"/>
    <w:rsid w:val="0002261E"/>
    <w:rsid w:val="00022FD4"/>
    <w:rsid w:val="0002350E"/>
    <w:rsid w:val="0002430B"/>
    <w:rsid w:val="00024839"/>
    <w:rsid w:val="00026871"/>
    <w:rsid w:val="0003096B"/>
    <w:rsid w:val="0003197B"/>
    <w:rsid w:val="00035271"/>
    <w:rsid w:val="00037A98"/>
    <w:rsid w:val="000420F9"/>
    <w:rsid w:val="000427FB"/>
    <w:rsid w:val="0004455E"/>
    <w:rsid w:val="00047CB5"/>
    <w:rsid w:val="00051FAA"/>
    <w:rsid w:val="000520DD"/>
    <w:rsid w:val="00052585"/>
    <w:rsid w:val="000572A9"/>
    <w:rsid w:val="00061325"/>
    <w:rsid w:val="000660EC"/>
    <w:rsid w:val="00071A14"/>
    <w:rsid w:val="00071D5C"/>
    <w:rsid w:val="00072163"/>
    <w:rsid w:val="000733AC"/>
    <w:rsid w:val="00074B81"/>
    <w:rsid w:val="00074D22"/>
    <w:rsid w:val="00075081"/>
    <w:rsid w:val="0007528A"/>
    <w:rsid w:val="00075730"/>
    <w:rsid w:val="000811AB"/>
    <w:rsid w:val="00083C5F"/>
    <w:rsid w:val="000862C2"/>
    <w:rsid w:val="000866C4"/>
    <w:rsid w:val="00090257"/>
    <w:rsid w:val="0009172C"/>
    <w:rsid w:val="00091BF8"/>
    <w:rsid w:val="000930EC"/>
    <w:rsid w:val="00095E61"/>
    <w:rsid w:val="000966C1"/>
    <w:rsid w:val="000970AC"/>
    <w:rsid w:val="000A1167"/>
    <w:rsid w:val="000A1B06"/>
    <w:rsid w:val="000A4428"/>
    <w:rsid w:val="000A5611"/>
    <w:rsid w:val="000A6D40"/>
    <w:rsid w:val="000A7BC3"/>
    <w:rsid w:val="000B1661"/>
    <w:rsid w:val="000B1F0B"/>
    <w:rsid w:val="000B2E88"/>
    <w:rsid w:val="000B3BD3"/>
    <w:rsid w:val="000B3F38"/>
    <w:rsid w:val="000B4603"/>
    <w:rsid w:val="000C09BE"/>
    <w:rsid w:val="000C1380"/>
    <w:rsid w:val="000C554F"/>
    <w:rsid w:val="000C5ED3"/>
    <w:rsid w:val="000C7FCD"/>
    <w:rsid w:val="000D0DC5"/>
    <w:rsid w:val="000D15FF"/>
    <w:rsid w:val="000D28DF"/>
    <w:rsid w:val="000D488B"/>
    <w:rsid w:val="000D68DF"/>
    <w:rsid w:val="000D6CD2"/>
    <w:rsid w:val="000E138D"/>
    <w:rsid w:val="000E187A"/>
    <w:rsid w:val="000E2D61"/>
    <w:rsid w:val="000E450E"/>
    <w:rsid w:val="000E6259"/>
    <w:rsid w:val="000E70D9"/>
    <w:rsid w:val="000F0674"/>
    <w:rsid w:val="000F0A7E"/>
    <w:rsid w:val="000F3AE4"/>
    <w:rsid w:val="000F4677"/>
    <w:rsid w:val="000F57FE"/>
    <w:rsid w:val="000F5BE0"/>
    <w:rsid w:val="00100587"/>
    <w:rsid w:val="0010284E"/>
    <w:rsid w:val="00103122"/>
    <w:rsid w:val="0010336A"/>
    <w:rsid w:val="001050F1"/>
    <w:rsid w:val="00105AEA"/>
    <w:rsid w:val="00106DAF"/>
    <w:rsid w:val="00106E43"/>
    <w:rsid w:val="00110042"/>
    <w:rsid w:val="0011037C"/>
    <w:rsid w:val="00114ABE"/>
    <w:rsid w:val="00116023"/>
    <w:rsid w:val="00116F00"/>
    <w:rsid w:val="00134A51"/>
    <w:rsid w:val="00140727"/>
    <w:rsid w:val="00140D3D"/>
    <w:rsid w:val="0014335C"/>
    <w:rsid w:val="0014597A"/>
    <w:rsid w:val="00151EBE"/>
    <w:rsid w:val="001565EC"/>
    <w:rsid w:val="0015715F"/>
    <w:rsid w:val="00160628"/>
    <w:rsid w:val="00161344"/>
    <w:rsid w:val="00161E3A"/>
    <w:rsid w:val="00162195"/>
    <w:rsid w:val="0016322A"/>
    <w:rsid w:val="00163B28"/>
    <w:rsid w:val="001654D9"/>
    <w:rsid w:val="00165A21"/>
    <w:rsid w:val="001705CE"/>
    <w:rsid w:val="00174FFA"/>
    <w:rsid w:val="0017714B"/>
    <w:rsid w:val="001804DF"/>
    <w:rsid w:val="00180E24"/>
    <w:rsid w:val="00181BDC"/>
    <w:rsid w:val="00181DB0"/>
    <w:rsid w:val="00182859"/>
    <w:rsid w:val="001829E3"/>
    <w:rsid w:val="00183805"/>
    <w:rsid w:val="00183AC7"/>
    <w:rsid w:val="00190674"/>
    <w:rsid w:val="001924C0"/>
    <w:rsid w:val="00195F87"/>
    <w:rsid w:val="0019731E"/>
    <w:rsid w:val="001A09FE"/>
    <w:rsid w:val="001A4D85"/>
    <w:rsid w:val="001A67C9"/>
    <w:rsid w:val="001A69DE"/>
    <w:rsid w:val="001A713C"/>
    <w:rsid w:val="001B01BF"/>
    <w:rsid w:val="001B1C7C"/>
    <w:rsid w:val="001B3478"/>
    <w:rsid w:val="001B398F"/>
    <w:rsid w:val="001B46C6"/>
    <w:rsid w:val="001B48D0"/>
    <w:rsid w:val="001B4B48"/>
    <w:rsid w:val="001B4D1F"/>
    <w:rsid w:val="001B7681"/>
    <w:rsid w:val="001B7CAE"/>
    <w:rsid w:val="001C0772"/>
    <w:rsid w:val="001C0D4F"/>
    <w:rsid w:val="001C1BA3"/>
    <w:rsid w:val="001C1DEC"/>
    <w:rsid w:val="001C3331"/>
    <w:rsid w:val="001C5736"/>
    <w:rsid w:val="001C6BB7"/>
    <w:rsid w:val="001D647F"/>
    <w:rsid w:val="001D6857"/>
    <w:rsid w:val="001D76BC"/>
    <w:rsid w:val="001D7FBE"/>
    <w:rsid w:val="001E0572"/>
    <w:rsid w:val="001E0A67"/>
    <w:rsid w:val="001E1028"/>
    <w:rsid w:val="001E14E2"/>
    <w:rsid w:val="001E4D0D"/>
    <w:rsid w:val="001E5D78"/>
    <w:rsid w:val="001E6302"/>
    <w:rsid w:val="001E7CEC"/>
    <w:rsid w:val="001E7DCB"/>
    <w:rsid w:val="001F3411"/>
    <w:rsid w:val="001F4287"/>
    <w:rsid w:val="001F4DBA"/>
    <w:rsid w:val="0020415E"/>
    <w:rsid w:val="00204FF4"/>
    <w:rsid w:val="0020685C"/>
    <w:rsid w:val="0021056E"/>
    <w:rsid w:val="0021075D"/>
    <w:rsid w:val="0021138D"/>
    <w:rsid w:val="0021165A"/>
    <w:rsid w:val="00211BC9"/>
    <w:rsid w:val="002145B8"/>
    <w:rsid w:val="00215718"/>
    <w:rsid w:val="0021620C"/>
    <w:rsid w:val="00216E78"/>
    <w:rsid w:val="00217275"/>
    <w:rsid w:val="002211DD"/>
    <w:rsid w:val="00222C1D"/>
    <w:rsid w:val="00225742"/>
    <w:rsid w:val="00227C16"/>
    <w:rsid w:val="00235F77"/>
    <w:rsid w:val="00236F4B"/>
    <w:rsid w:val="00241998"/>
    <w:rsid w:val="00242B0D"/>
    <w:rsid w:val="002467C6"/>
    <w:rsid w:val="0024692A"/>
    <w:rsid w:val="002469CB"/>
    <w:rsid w:val="002474E0"/>
    <w:rsid w:val="00250781"/>
    <w:rsid w:val="00252816"/>
    <w:rsid w:val="00252BBA"/>
    <w:rsid w:val="00253123"/>
    <w:rsid w:val="00253B04"/>
    <w:rsid w:val="002554C8"/>
    <w:rsid w:val="00263D25"/>
    <w:rsid w:val="00264001"/>
    <w:rsid w:val="00266354"/>
    <w:rsid w:val="00267A18"/>
    <w:rsid w:val="00273462"/>
    <w:rsid w:val="0027395B"/>
    <w:rsid w:val="00275854"/>
    <w:rsid w:val="00283B41"/>
    <w:rsid w:val="00285F28"/>
    <w:rsid w:val="00286398"/>
    <w:rsid w:val="00293D05"/>
    <w:rsid w:val="002A13CD"/>
    <w:rsid w:val="002A3C42"/>
    <w:rsid w:val="002A3DDA"/>
    <w:rsid w:val="002A5D75"/>
    <w:rsid w:val="002B1B1A"/>
    <w:rsid w:val="002B7228"/>
    <w:rsid w:val="002C06E6"/>
    <w:rsid w:val="002C53EE"/>
    <w:rsid w:val="002C7A11"/>
    <w:rsid w:val="002D24F7"/>
    <w:rsid w:val="002D2799"/>
    <w:rsid w:val="002D2CD7"/>
    <w:rsid w:val="002D3BF5"/>
    <w:rsid w:val="002D46A8"/>
    <w:rsid w:val="002D4DDC"/>
    <w:rsid w:val="002D4F75"/>
    <w:rsid w:val="002D5308"/>
    <w:rsid w:val="002D6493"/>
    <w:rsid w:val="002D7AB6"/>
    <w:rsid w:val="002E06D0"/>
    <w:rsid w:val="002E13F3"/>
    <w:rsid w:val="002E3C27"/>
    <w:rsid w:val="002E403A"/>
    <w:rsid w:val="002E7F3A"/>
    <w:rsid w:val="002F2B9E"/>
    <w:rsid w:val="002F31E7"/>
    <w:rsid w:val="002F3A57"/>
    <w:rsid w:val="002F4EDB"/>
    <w:rsid w:val="002F6054"/>
    <w:rsid w:val="00301645"/>
    <w:rsid w:val="00310E13"/>
    <w:rsid w:val="003115A4"/>
    <w:rsid w:val="00315713"/>
    <w:rsid w:val="0031686C"/>
    <w:rsid w:val="00316AD8"/>
    <w:rsid w:val="00316FE0"/>
    <w:rsid w:val="003204D2"/>
    <w:rsid w:val="00323118"/>
    <w:rsid w:val="003231D4"/>
    <w:rsid w:val="00325173"/>
    <w:rsid w:val="0032605E"/>
    <w:rsid w:val="003275D1"/>
    <w:rsid w:val="00330B2A"/>
    <w:rsid w:val="00331143"/>
    <w:rsid w:val="003317D3"/>
    <w:rsid w:val="00331E17"/>
    <w:rsid w:val="00333063"/>
    <w:rsid w:val="00334E94"/>
    <w:rsid w:val="00335989"/>
    <w:rsid w:val="003408E3"/>
    <w:rsid w:val="00343480"/>
    <w:rsid w:val="003452A4"/>
    <w:rsid w:val="00345E89"/>
    <w:rsid w:val="003522A1"/>
    <w:rsid w:val="0035254B"/>
    <w:rsid w:val="00353555"/>
    <w:rsid w:val="003565D4"/>
    <w:rsid w:val="003607FB"/>
    <w:rsid w:val="00360FD5"/>
    <w:rsid w:val="0036340D"/>
    <w:rsid w:val="003634A5"/>
    <w:rsid w:val="00364B92"/>
    <w:rsid w:val="00366868"/>
    <w:rsid w:val="00367506"/>
    <w:rsid w:val="00370085"/>
    <w:rsid w:val="00373BFE"/>
    <w:rsid w:val="003744A7"/>
    <w:rsid w:val="00376235"/>
    <w:rsid w:val="003762A2"/>
    <w:rsid w:val="00380C0F"/>
    <w:rsid w:val="00381FB6"/>
    <w:rsid w:val="003836D3"/>
    <w:rsid w:val="00383A52"/>
    <w:rsid w:val="0038569B"/>
    <w:rsid w:val="00385EB8"/>
    <w:rsid w:val="00391652"/>
    <w:rsid w:val="003942B2"/>
    <w:rsid w:val="0039507F"/>
    <w:rsid w:val="003A1260"/>
    <w:rsid w:val="003A295F"/>
    <w:rsid w:val="003A2C4A"/>
    <w:rsid w:val="003A41DD"/>
    <w:rsid w:val="003A4DF5"/>
    <w:rsid w:val="003A7033"/>
    <w:rsid w:val="003B04F5"/>
    <w:rsid w:val="003B1458"/>
    <w:rsid w:val="003B47FE"/>
    <w:rsid w:val="003B5673"/>
    <w:rsid w:val="003B6287"/>
    <w:rsid w:val="003B62C9"/>
    <w:rsid w:val="003C5BCE"/>
    <w:rsid w:val="003C7176"/>
    <w:rsid w:val="003C7554"/>
    <w:rsid w:val="003D038D"/>
    <w:rsid w:val="003D0929"/>
    <w:rsid w:val="003D4729"/>
    <w:rsid w:val="003D6BFD"/>
    <w:rsid w:val="003D6E91"/>
    <w:rsid w:val="003D7DD6"/>
    <w:rsid w:val="003E5AAF"/>
    <w:rsid w:val="003E600D"/>
    <w:rsid w:val="003E64DF"/>
    <w:rsid w:val="003E6A5D"/>
    <w:rsid w:val="003E77D1"/>
    <w:rsid w:val="003F193A"/>
    <w:rsid w:val="003F2D18"/>
    <w:rsid w:val="003F4207"/>
    <w:rsid w:val="003F5C46"/>
    <w:rsid w:val="003F7CBB"/>
    <w:rsid w:val="003F7D34"/>
    <w:rsid w:val="00412C8E"/>
    <w:rsid w:val="0041518D"/>
    <w:rsid w:val="0042221D"/>
    <w:rsid w:val="00423010"/>
    <w:rsid w:val="00424DD3"/>
    <w:rsid w:val="004269C5"/>
    <w:rsid w:val="00435939"/>
    <w:rsid w:val="00435FC3"/>
    <w:rsid w:val="00436E85"/>
    <w:rsid w:val="00437CC7"/>
    <w:rsid w:val="00442B9C"/>
    <w:rsid w:val="00445EFA"/>
    <w:rsid w:val="0044738A"/>
    <w:rsid w:val="004473D3"/>
    <w:rsid w:val="00450144"/>
    <w:rsid w:val="00452231"/>
    <w:rsid w:val="00457E96"/>
    <w:rsid w:val="00460C13"/>
    <w:rsid w:val="004613E0"/>
    <w:rsid w:val="00462C6A"/>
    <w:rsid w:val="00463228"/>
    <w:rsid w:val="00463782"/>
    <w:rsid w:val="00464766"/>
    <w:rsid w:val="004667E0"/>
    <w:rsid w:val="0046760E"/>
    <w:rsid w:val="00470E10"/>
    <w:rsid w:val="004748AE"/>
    <w:rsid w:val="00477A97"/>
    <w:rsid w:val="00481343"/>
    <w:rsid w:val="004848B8"/>
    <w:rsid w:val="00484FDF"/>
    <w:rsid w:val="0048549E"/>
    <w:rsid w:val="004877C8"/>
    <w:rsid w:val="004930C6"/>
    <w:rsid w:val="00493347"/>
    <w:rsid w:val="00496092"/>
    <w:rsid w:val="00497E17"/>
    <w:rsid w:val="004A08DB"/>
    <w:rsid w:val="004A25D0"/>
    <w:rsid w:val="004A37E8"/>
    <w:rsid w:val="004A7549"/>
    <w:rsid w:val="004A7DD5"/>
    <w:rsid w:val="004B09D4"/>
    <w:rsid w:val="004B2CE7"/>
    <w:rsid w:val="004B309D"/>
    <w:rsid w:val="004B330A"/>
    <w:rsid w:val="004B7054"/>
    <w:rsid w:val="004B7C8E"/>
    <w:rsid w:val="004C3D3C"/>
    <w:rsid w:val="004C5A04"/>
    <w:rsid w:val="004D0EDC"/>
    <w:rsid w:val="004D10D8"/>
    <w:rsid w:val="004D11D0"/>
    <w:rsid w:val="004D1220"/>
    <w:rsid w:val="004D14B3"/>
    <w:rsid w:val="004D1529"/>
    <w:rsid w:val="004D2253"/>
    <w:rsid w:val="004D5514"/>
    <w:rsid w:val="004D56C3"/>
    <w:rsid w:val="004D6E22"/>
    <w:rsid w:val="004E0338"/>
    <w:rsid w:val="004E4FF3"/>
    <w:rsid w:val="004E56A8"/>
    <w:rsid w:val="004E6317"/>
    <w:rsid w:val="004F3B55"/>
    <w:rsid w:val="004F428E"/>
    <w:rsid w:val="004F4CA5"/>
    <w:rsid w:val="004F4E46"/>
    <w:rsid w:val="004F6B7D"/>
    <w:rsid w:val="005015F6"/>
    <w:rsid w:val="005030C4"/>
    <w:rsid w:val="005031C5"/>
    <w:rsid w:val="00504FDC"/>
    <w:rsid w:val="00507095"/>
    <w:rsid w:val="00510502"/>
    <w:rsid w:val="005120CC"/>
    <w:rsid w:val="00512B7B"/>
    <w:rsid w:val="00514EA1"/>
    <w:rsid w:val="00515300"/>
    <w:rsid w:val="0051798B"/>
    <w:rsid w:val="00521F5A"/>
    <w:rsid w:val="00523D44"/>
    <w:rsid w:val="00525E06"/>
    <w:rsid w:val="00526454"/>
    <w:rsid w:val="00526562"/>
    <w:rsid w:val="00526F67"/>
    <w:rsid w:val="00531823"/>
    <w:rsid w:val="00531B0F"/>
    <w:rsid w:val="00534ECC"/>
    <w:rsid w:val="00535C89"/>
    <w:rsid w:val="005366D7"/>
    <w:rsid w:val="0053720D"/>
    <w:rsid w:val="00537A6A"/>
    <w:rsid w:val="00540EF5"/>
    <w:rsid w:val="00541BF3"/>
    <w:rsid w:val="00541CD3"/>
    <w:rsid w:val="005469C6"/>
    <w:rsid w:val="005476FA"/>
    <w:rsid w:val="00550D14"/>
    <w:rsid w:val="0055595E"/>
    <w:rsid w:val="00557988"/>
    <w:rsid w:val="00560FBE"/>
    <w:rsid w:val="00562C49"/>
    <w:rsid w:val="00562DEF"/>
    <w:rsid w:val="0056321A"/>
    <w:rsid w:val="00563A35"/>
    <w:rsid w:val="005641BC"/>
    <w:rsid w:val="00566596"/>
    <w:rsid w:val="00567A12"/>
    <w:rsid w:val="00572453"/>
    <w:rsid w:val="005741E9"/>
    <w:rsid w:val="005748CF"/>
    <w:rsid w:val="00584270"/>
    <w:rsid w:val="00584738"/>
    <w:rsid w:val="005862D6"/>
    <w:rsid w:val="00590486"/>
    <w:rsid w:val="005920B0"/>
    <w:rsid w:val="0059380D"/>
    <w:rsid w:val="00595A8F"/>
    <w:rsid w:val="005977C2"/>
    <w:rsid w:val="00597BF2"/>
    <w:rsid w:val="005A08C8"/>
    <w:rsid w:val="005A1F54"/>
    <w:rsid w:val="005A26CC"/>
    <w:rsid w:val="005A3020"/>
    <w:rsid w:val="005A4642"/>
    <w:rsid w:val="005A50E7"/>
    <w:rsid w:val="005A6548"/>
    <w:rsid w:val="005A6DBF"/>
    <w:rsid w:val="005B134E"/>
    <w:rsid w:val="005B2039"/>
    <w:rsid w:val="005B2529"/>
    <w:rsid w:val="005B344F"/>
    <w:rsid w:val="005B3497"/>
    <w:rsid w:val="005B3EC5"/>
    <w:rsid w:val="005B3FBA"/>
    <w:rsid w:val="005B4A1D"/>
    <w:rsid w:val="005B6020"/>
    <w:rsid w:val="005B674D"/>
    <w:rsid w:val="005C009A"/>
    <w:rsid w:val="005C00A6"/>
    <w:rsid w:val="005C056D"/>
    <w:rsid w:val="005C0C1A"/>
    <w:rsid w:val="005C0CBE"/>
    <w:rsid w:val="005C1FCF"/>
    <w:rsid w:val="005C214F"/>
    <w:rsid w:val="005C3F41"/>
    <w:rsid w:val="005D1885"/>
    <w:rsid w:val="005D1CD2"/>
    <w:rsid w:val="005D4A38"/>
    <w:rsid w:val="005E2EEA"/>
    <w:rsid w:val="005E3708"/>
    <w:rsid w:val="005E39B3"/>
    <w:rsid w:val="005E3CCD"/>
    <w:rsid w:val="005E3D6B"/>
    <w:rsid w:val="005E5B55"/>
    <w:rsid w:val="005E5E4A"/>
    <w:rsid w:val="005E693D"/>
    <w:rsid w:val="005E75BF"/>
    <w:rsid w:val="005E7FAC"/>
    <w:rsid w:val="005F0442"/>
    <w:rsid w:val="005F38C5"/>
    <w:rsid w:val="005F57BA"/>
    <w:rsid w:val="005F61E6"/>
    <w:rsid w:val="005F6C45"/>
    <w:rsid w:val="00600565"/>
    <w:rsid w:val="0060093A"/>
    <w:rsid w:val="00602E9B"/>
    <w:rsid w:val="00605776"/>
    <w:rsid w:val="00605A69"/>
    <w:rsid w:val="00606C54"/>
    <w:rsid w:val="00610FF1"/>
    <w:rsid w:val="00613708"/>
    <w:rsid w:val="00614375"/>
    <w:rsid w:val="00615B0A"/>
    <w:rsid w:val="006168CF"/>
    <w:rsid w:val="00616946"/>
    <w:rsid w:val="0062011B"/>
    <w:rsid w:val="006245BC"/>
    <w:rsid w:val="00626DE0"/>
    <w:rsid w:val="00627358"/>
    <w:rsid w:val="00627367"/>
    <w:rsid w:val="006274D5"/>
    <w:rsid w:val="00627E4B"/>
    <w:rsid w:val="006304B5"/>
    <w:rsid w:val="00630901"/>
    <w:rsid w:val="00631F8E"/>
    <w:rsid w:val="00636EE9"/>
    <w:rsid w:val="00640950"/>
    <w:rsid w:val="00641002"/>
    <w:rsid w:val="00641AE7"/>
    <w:rsid w:val="00642629"/>
    <w:rsid w:val="00646090"/>
    <w:rsid w:val="0064782B"/>
    <w:rsid w:val="0065293D"/>
    <w:rsid w:val="00653AB6"/>
    <w:rsid w:val="00653EFC"/>
    <w:rsid w:val="00654021"/>
    <w:rsid w:val="00660A56"/>
    <w:rsid w:val="00661045"/>
    <w:rsid w:val="00666DA8"/>
    <w:rsid w:val="00667540"/>
    <w:rsid w:val="00671057"/>
    <w:rsid w:val="00675AAF"/>
    <w:rsid w:val="00675ED4"/>
    <w:rsid w:val="0068031A"/>
    <w:rsid w:val="00681B2F"/>
    <w:rsid w:val="0068335F"/>
    <w:rsid w:val="00683EFC"/>
    <w:rsid w:val="00687217"/>
    <w:rsid w:val="006873BB"/>
    <w:rsid w:val="00687414"/>
    <w:rsid w:val="006877E0"/>
    <w:rsid w:val="00692B6F"/>
    <w:rsid w:val="00693302"/>
    <w:rsid w:val="00695512"/>
    <w:rsid w:val="0069640B"/>
    <w:rsid w:val="006A1B83"/>
    <w:rsid w:val="006A21CD"/>
    <w:rsid w:val="006A5918"/>
    <w:rsid w:val="006B1030"/>
    <w:rsid w:val="006B17D3"/>
    <w:rsid w:val="006B21B2"/>
    <w:rsid w:val="006B3888"/>
    <w:rsid w:val="006B4A4A"/>
    <w:rsid w:val="006C19B2"/>
    <w:rsid w:val="006C2DC9"/>
    <w:rsid w:val="006C3E89"/>
    <w:rsid w:val="006C406D"/>
    <w:rsid w:val="006C4409"/>
    <w:rsid w:val="006C5BB8"/>
    <w:rsid w:val="006C68ED"/>
    <w:rsid w:val="006C6936"/>
    <w:rsid w:val="006C7B01"/>
    <w:rsid w:val="006D0FE8"/>
    <w:rsid w:val="006D4B2B"/>
    <w:rsid w:val="006D4C20"/>
    <w:rsid w:val="006D4F3C"/>
    <w:rsid w:val="006D5C66"/>
    <w:rsid w:val="006D62C6"/>
    <w:rsid w:val="006D7002"/>
    <w:rsid w:val="006E1B3C"/>
    <w:rsid w:val="006E2236"/>
    <w:rsid w:val="006E23FB"/>
    <w:rsid w:val="006E325A"/>
    <w:rsid w:val="006E33EC"/>
    <w:rsid w:val="006E3802"/>
    <w:rsid w:val="006E6C02"/>
    <w:rsid w:val="006F231A"/>
    <w:rsid w:val="006F4187"/>
    <w:rsid w:val="006F44D6"/>
    <w:rsid w:val="006F6B55"/>
    <w:rsid w:val="006F788D"/>
    <w:rsid w:val="006F78E1"/>
    <w:rsid w:val="00700E65"/>
    <w:rsid w:val="00701072"/>
    <w:rsid w:val="00702054"/>
    <w:rsid w:val="0070301A"/>
    <w:rsid w:val="007035A4"/>
    <w:rsid w:val="00711799"/>
    <w:rsid w:val="007119B9"/>
    <w:rsid w:val="00712B78"/>
    <w:rsid w:val="00713865"/>
    <w:rsid w:val="0071393B"/>
    <w:rsid w:val="00713EE2"/>
    <w:rsid w:val="007177FC"/>
    <w:rsid w:val="00720064"/>
    <w:rsid w:val="00720C5E"/>
    <w:rsid w:val="00721701"/>
    <w:rsid w:val="00731835"/>
    <w:rsid w:val="007341F8"/>
    <w:rsid w:val="00734372"/>
    <w:rsid w:val="00734EB8"/>
    <w:rsid w:val="00735238"/>
    <w:rsid w:val="00735F8B"/>
    <w:rsid w:val="0074090B"/>
    <w:rsid w:val="00740A8C"/>
    <w:rsid w:val="00742796"/>
    <w:rsid w:val="00742D1F"/>
    <w:rsid w:val="00743BD4"/>
    <w:rsid w:val="00743EBA"/>
    <w:rsid w:val="00744C8E"/>
    <w:rsid w:val="0074707E"/>
    <w:rsid w:val="00750361"/>
    <w:rsid w:val="007516DC"/>
    <w:rsid w:val="00752E58"/>
    <w:rsid w:val="00754B80"/>
    <w:rsid w:val="00761918"/>
    <w:rsid w:val="00761D23"/>
    <w:rsid w:val="00762F03"/>
    <w:rsid w:val="0076413B"/>
    <w:rsid w:val="007648AE"/>
    <w:rsid w:val="00764BF8"/>
    <w:rsid w:val="0076514D"/>
    <w:rsid w:val="0077380C"/>
    <w:rsid w:val="00773D59"/>
    <w:rsid w:val="00774D7F"/>
    <w:rsid w:val="007777C7"/>
    <w:rsid w:val="00781003"/>
    <w:rsid w:val="0078543B"/>
    <w:rsid w:val="007904FA"/>
    <w:rsid w:val="007911FD"/>
    <w:rsid w:val="00793930"/>
    <w:rsid w:val="00793DD1"/>
    <w:rsid w:val="00794FEC"/>
    <w:rsid w:val="007953CB"/>
    <w:rsid w:val="00797978"/>
    <w:rsid w:val="007A003E"/>
    <w:rsid w:val="007A1965"/>
    <w:rsid w:val="007A2ED1"/>
    <w:rsid w:val="007A4BE6"/>
    <w:rsid w:val="007A5F9F"/>
    <w:rsid w:val="007B0360"/>
    <w:rsid w:val="007B0DC6"/>
    <w:rsid w:val="007B1094"/>
    <w:rsid w:val="007B1762"/>
    <w:rsid w:val="007B3320"/>
    <w:rsid w:val="007B4237"/>
    <w:rsid w:val="007B4FF4"/>
    <w:rsid w:val="007B648F"/>
    <w:rsid w:val="007C301F"/>
    <w:rsid w:val="007C33D3"/>
    <w:rsid w:val="007C3625"/>
    <w:rsid w:val="007C4540"/>
    <w:rsid w:val="007C65AF"/>
    <w:rsid w:val="007C68BE"/>
    <w:rsid w:val="007D135D"/>
    <w:rsid w:val="007D730F"/>
    <w:rsid w:val="007D7CD8"/>
    <w:rsid w:val="007E001E"/>
    <w:rsid w:val="007E3AA7"/>
    <w:rsid w:val="007E6D70"/>
    <w:rsid w:val="007F41B8"/>
    <w:rsid w:val="007F737D"/>
    <w:rsid w:val="0080308E"/>
    <w:rsid w:val="00803985"/>
    <w:rsid w:val="00805303"/>
    <w:rsid w:val="00806705"/>
    <w:rsid w:val="00806738"/>
    <w:rsid w:val="00806D9A"/>
    <w:rsid w:val="008070BF"/>
    <w:rsid w:val="008216D5"/>
    <w:rsid w:val="008249CE"/>
    <w:rsid w:val="00831A50"/>
    <w:rsid w:val="00831B3C"/>
    <w:rsid w:val="00831C89"/>
    <w:rsid w:val="00832114"/>
    <w:rsid w:val="00832C45"/>
    <w:rsid w:val="00834C46"/>
    <w:rsid w:val="0084093E"/>
    <w:rsid w:val="00841CE1"/>
    <w:rsid w:val="008473D8"/>
    <w:rsid w:val="00852216"/>
    <w:rsid w:val="008528DC"/>
    <w:rsid w:val="00852B8C"/>
    <w:rsid w:val="00854981"/>
    <w:rsid w:val="008639AC"/>
    <w:rsid w:val="00864B2E"/>
    <w:rsid w:val="00865963"/>
    <w:rsid w:val="00865FAE"/>
    <w:rsid w:val="00871C1D"/>
    <w:rsid w:val="008740A9"/>
    <w:rsid w:val="0087450E"/>
    <w:rsid w:val="00875A82"/>
    <w:rsid w:val="00876042"/>
    <w:rsid w:val="00876CA3"/>
    <w:rsid w:val="008772FE"/>
    <w:rsid w:val="008775F1"/>
    <w:rsid w:val="008821AE"/>
    <w:rsid w:val="00883D3A"/>
    <w:rsid w:val="008854F7"/>
    <w:rsid w:val="00885A9D"/>
    <w:rsid w:val="008929D2"/>
    <w:rsid w:val="00893636"/>
    <w:rsid w:val="00893B94"/>
    <w:rsid w:val="00895E31"/>
    <w:rsid w:val="00896D06"/>
    <w:rsid w:val="00896E9D"/>
    <w:rsid w:val="00896F11"/>
    <w:rsid w:val="0089728A"/>
    <w:rsid w:val="00897C03"/>
    <w:rsid w:val="008A0271"/>
    <w:rsid w:val="008A1049"/>
    <w:rsid w:val="008A1C45"/>
    <w:rsid w:val="008A1C98"/>
    <w:rsid w:val="008A322D"/>
    <w:rsid w:val="008A4C58"/>
    <w:rsid w:val="008A4D72"/>
    <w:rsid w:val="008A6285"/>
    <w:rsid w:val="008A63B2"/>
    <w:rsid w:val="008A7CC7"/>
    <w:rsid w:val="008B0A8E"/>
    <w:rsid w:val="008B345D"/>
    <w:rsid w:val="008B57A2"/>
    <w:rsid w:val="008B5E3B"/>
    <w:rsid w:val="008C1FC2"/>
    <w:rsid w:val="008C2980"/>
    <w:rsid w:val="008C4DD6"/>
    <w:rsid w:val="008C5AFB"/>
    <w:rsid w:val="008D06B4"/>
    <w:rsid w:val="008D07FB"/>
    <w:rsid w:val="008D0C02"/>
    <w:rsid w:val="008D357D"/>
    <w:rsid w:val="008D435A"/>
    <w:rsid w:val="008E387B"/>
    <w:rsid w:val="008E6087"/>
    <w:rsid w:val="008E758D"/>
    <w:rsid w:val="008F10A7"/>
    <w:rsid w:val="008F1553"/>
    <w:rsid w:val="008F755D"/>
    <w:rsid w:val="008F7A39"/>
    <w:rsid w:val="009002B1"/>
    <w:rsid w:val="00900434"/>
    <w:rsid w:val="009021E8"/>
    <w:rsid w:val="0090401C"/>
    <w:rsid w:val="00904677"/>
    <w:rsid w:val="00905EE2"/>
    <w:rsid w:val="00906912"/>
    <w:rsid w:val="00911440"/>
    <w:rsid w:val="00911712"/>
    <w:rsid w:val="00911B27"/>
    <w:rsid w:val="009170BE"/>
    <w:rsid w:val="00920B55"/>
    <w:rsid w:val="009262C9"/>
    <w:rsid w:val="00927F54"/>
    <w:rsid w:val="00930EB9"/>
    <w:rsid w:val="00933DC7"/>
    <w:rsid w:val="009418F4"/>
    <w:rsid w:val="00941D77"/>
    <w:rsid w:val="00942BBC"/>
    <w:rsid w:val="00944180"/>
    <w:rsid w:val="00944AA0"/>
    <w:rsid w:val="00947DA2"/>
    <w:rsid w:val="00951177"/>
    <w:rsid w:val="00957CA9"/>
    <w:rsid w:val="009665DE"/>
    <w:rsid w:val="009673E8"/>
    <w:rsid w:val="009709C4"/>
    <w:rsid w:val="00974DB8"/>
    <w:rsid w:val="00980661"/>
    <w:rsid w:val="0098093B"/>
    <w:rsid w:val="0098120E"/>
    <w:rsid w:val="0098293F"/>
    <w:rsid w:val="009861F5"/>
    <w:rsid w:val="009876D4"/>
    <w:rsid w:val="00990AF4"/>
    <w:rsid w:val="009914A5"/>
    <w:rsid w:val="0099548E"/>
    <w:rsid w:val="00996456"/>
    <w:rsid w:val="00996A12"/>
    <w:rsid w:val="00997B0F"/>
    <w:rsid w:val="009A0CC3"/>
    <w:rsid w:val="009A1591"/>
    <w:rsid w:val="009A1CAD"/>
    <w:rsid w:val="009A3440"/>
    <w:rsid w:val="009A426E"/>
    <w:rsid w:val="009A5832"/>
    <w:rsid w:val="009A6838"/>
    <w:rsid w:val="009B24B5"/>
    <w:rsid w:val="009B4EBC"/>
    <w:rsid w:val="009B5ABB"/>
    <w:rsid w:val="009B73CE"/>
    <w:rsid w:val="009C2461"/>
    <w:rsid w:val="009C3C3F"/>
    <w:rsid w:val="009C3DA6"/>
    <w:rsid w:val="009C5A15"/>
    <w:rsid w:val="009C674C"/>
    <w:rsid w:val="009C6FE2"/>
    <w:rsid w:val="009C7674"/>
    <w:rsid w:val="009D004A"/>
    <w:rsid w:val="009D4A9C"/>
    <w:rsid w:val="009D565F"/>
    <w:rsid w:val="009D5880"/>
    <w:rsid w:val="009E1FD4"/>
    <w:rsid w:val="009E3B07"/>
    <w:rsid w:val="009E4F12"/>
    <w:rsid w:val="009E51D1"/>
    <w:rsid w:val="009E5531"/>
    <w:rsid w:val="009F11B9"/>
    <w:rsid w:val="009F171E"/>
    <w:rsid w:val="009F33A4"/>
    <w:rsid w:val="009F3D2F"/>
    <w:rsid w:val="009F7052"/>
    <w:rsid w:val="009F7AE7"/>
    <w:rsid w:val="00A02248"/>
    <w:rsid w:val="00A02668"/>
    <w:rsid w:val="00A02801"/>
    <w:rsid w:val="00A02ABB"/>
    <w:rsid w:val="00A0330F"/>
    <w:rsid w:val="00A06A39"/>
    <w:rsid w:val="00A07F58"/>
    <w:rsid w:val="00A1074D"/>
    <w:rsid w:val="00A131CB"/>
    <w:rsid w:val="00A14847"/>
    <w:rsid w:val="00A16D6D"/>
    <w:rsid w:val="00A16F17"/>
    <w:rsid w:val="00A17F46"/>
    <w:rsid w:val="00A21383"/>
    <w:rsid w:val="00A2199F"/>
    <w:rsid w:val="00A21B31"/>
    <w:rsid w:val="00A2360E"/>
    <w:rsid w:val="00A2457C"/>
    <w:rsid w:val="00A24C55"/>
    <w:rsid w:val="00A26E0C"/>
    <w:rsid w:val="00A32FCB"/>
    <w:rsid w:val="00A34C25"/>
    <w:rsid w:val="00A3507D"/>
    <w:rsid w:val="00A3695D"/>
    <w:rsid w:val="00A3717A"/>
    <w:rsid w:val="00A4088C"/>
    <w:rsid w:val="00A4456B"/>
    <w:rsid w:val="00A448D4"/>
    <w:rsid w:val="00A452E0"/>
    <w:rsid w:val="00A47B68"/>
    <w:rsid w:val="00A506DF"/>
    <w:rsid w:val="00A51EA5"/>
    <w:rsid w:val="00A53742"/>
    <w:rsid w:val="00A557A1"/>
    <w:rsid w:val="00A564A9"/>
    <w:rsid w:val="00A57FEB"/>
    <w:rsid w:val="00A63059"/>
    <w:rsid w:val="00A63AE3"/>
    <w:rsid w:val="00A651A4"/>
    <w:rsid w:val="00A660B9"/>
    <w:rsid w:val="00A71361"/>
    <w:rsid w:val="00A721C2"/>
    <w:rsid w:val="00A746E2"/>
    <w:rsid w:val="00A748A6"/>
    <w:rsid w:val="00A752FD"/>
    <w:rsid w:val="00A81FF2"/>
    <w:rsid w:val="00A83904"/>
    <w:rsid w:val="00A85833"/>
    <w:rsid w:val="00A90A79"/>
    <w:rsid w:val="00A96B30"/>
    <w:rsid w:val="00AA442D"/>
    <w:rsid w:val="00AA59B5"/>
    <w:rsid w:val="00AA605F"/>
    <w:rsid w:val="00AA75FD"/>
    <w:rsid w:val="00AA7777"/>
    <w:rsid w:val="00AA7B84"/>
    <w:rsid w:val="00AB090C"/>
    <w:rsid w:val="00AC013F"/>
    <w:rsid w:val="00AC0B4C"/>
    <w:rsid w:val="00AC1113"/>
    <w:rsid w:val="00AC1164"/>
    <w:rsid w:val="00AC13CE"/>
    <w:rsid w:val="00AC16CC"/>
    <w:rsid w:val="00AC2296"/>
    <w:rsid w:val="00AC2754"/>
    <w:rsid w:val="00AC3429"/>
    <w:rsid w:val="00AC39B5"/>
    <w:rsid w:val="00AC478C"/>
    <w:rsid w:val="00AC48B0"/>
    <w:rsid w:val="00AC4ACD"/>
    <w:rsid w:val="00AC5DFB"/>
    <w:rsid w:val="00AD13DC"/>
    <w:rsid w:val="00AD46BA"/>
    <w:rsid w:val="00AD48E2"/>
    <w:rsid w:val="00AD6DE2"/>
    <w:rsid w:val="00AD7259"/>
    <w:rsid w:val="00AD7553"/>
    <w:rsid w:val="00AE0A40"/>
    <w:rsid w:val="00AE0F91"/>
    <w:rsid w:val="00AE1E1E"/>
    <w:rsid w:val="00AE1ED4"/>
    <w:rsid w:val="00AE21E1"/>
    <w:rsid w:val="00AE2F8D"/>
    <w:rsid w:val="00AE3BAE"/>
    <w:rsid w:val="00AE6A21"/>
    <w:rsid w:val="00AF074B"/>
    <w:rsid w:val="00AF0D02"/>
    <w:rsid w:val="00AF1C8F"/>
    <w:rsid w:val="00AF2B68"/>
    <w:rsid w:val="00AF2C92"/>
    <w:rsid w:val="00AF3EC1"/>
    <w:rsid w:val="00AF5025"/>
    <w:rsid w:val="00AF519F"/>
    <w:rsid w:val="00AF5217"/>
    <w:rsid w:val="00AF5387"/>
    <w:rsid w:val="00AF55F5"/>
    <w:rsid w:val="00AF7E86"/>
    <w:rsid w:val="00B024B9"/>
    <w:rsid w:val="00B0279A"/>
    <w:rsid w:val="00B054ED"/>
    <w:rsid w:val="00B067DB"/>
    <w:rsid w:val="00B077FA"/>
    <w:rsid w:val="00B127D7"/>
    <w:rsid w:val="00B13B0C"/>
    <w:rsid w:val="00B14408"/>
    <w:rsid w:val="00B1453A"/>
    <w:rsid w:val="00B16E9D"/>
    <w:rsid w:val="00B20F82"/>
    <w:rsid w:val="00B215C4"/>
    <w:rsid w:val="00B23204"/>
    <w:rsid w:val="00B25BD5"/>
    <w:rsid w:val="00B27E00"/>
    <w:rsid w:val="00B34079"/>
    <w:rsid w:val="00B3793A"/>
    <w:rsid w:val="00B401BA"/>
    <w:rsid w:val="00B4059F"/>
    <w:rsid w:val="00B407E4"/>
    <w:rsid w:val="00B425B6"/>
    <w:rsid w:val="00B42A72"/>
    <w:rsid w:val="00B440B4"/>
    <w:rsid w:val="00B441AE"/>
    <w:rsid w:val="00B45A65"/>
    <w:rsid w:val="00B45F33"/>
    <w:rsid w:val="00B46D50"/>
    <w:rsid w:val="00B53170"/>
    <w:rsid w:val="00B548B9"/>
    <w:rsid w:val="00B56DBE"/>
    <w:rsid w:val="00B62999"/>
    <w:rsid w:val="00B63BE3"/>
    <w:rsid w:val="00B64885"/>
    <w:rsid w:val="00B64FA3"/>
    <w:rsid w:val="00B65FD2"/>
    <w:rsid w:val="00B66810"/>
    <w:rsid w:val="00B72BE3"/>
    <w:rsid w:val="00B72F52"/>
    <w:rsid w:val="00B73B80"/>
    <w:rsid w:val="00B767FD"/>
    <w:rsid w:val="00B770C7"/>
    <w:rsid w:val="00B80CAF"/>
    <w:rsid w:val="00B80F26"/>
    <w:rsid w:val="00B818E4"/>
    <w:rsid w:val="00B822BD"/>
    <w:rsid w:val="00B825B5"/>
    <w:rsid w:val="00B82E07"/>
    <w:rsid w:val="00B842F4"/>
    <w:rsid w:val="00B84F4D"/>
    <w:rsid w:val="00B875A4"/>
    <w:rsid w:val="00B91804"/>
    <w:rsid w:val="00B91A7B"/>
    <w:rsid w:val="00B929DD"/>
    <w:rsid w:val="00B93AF6"/>
    <w:rsid w:val="00B942EF"/>
    <w:rsid w:val="00B95405"/>
    <w:rsid w:val="00B963F1"/>
    <w:rsid w:val="00B97B2F"/>
    <w:rsid w:val="00BA020A"/>
    <w:rsid w:val="00BA2043"/>
    <w:rsid w:val="00BA28CF"/>
    <w:rsid w:val="00BA41B4"/>
    <w:rsid w:val="00BB025A"/>
    <w:rsid w:val="00BB02A4"/>
    <w:rsid w:val="00BB08E7"/>
    <w:rsid w:val="00BB1270"/>
    <w:rsid w:val="00BB1E44"/>
    <w:rsid w:val="00BB5267"/>
    <w:rsid w:val="00BB52B8"/>
    <w:rsid w:val="00BB59D8"/>
    <w:rsid w:val="00BB7E69"/>
    <w:rsid w:val="00BC0E51"/>
    <w:rsid w:val="00BC1F11"/>
    <w:rsid w:val="00BC2CF2"/>
    <w:rsid w:val="00BC3C1F"/>
    <w:rsid w:val="00BC7CE7"/>
    <w:rsid w:val="00BD1EF0"/>
    <w:rsid w:val="00BD295E"/>
    <w:rsid w:val="00BD341E"/>
    <w:rsid w:val="00BD4664"/>
    <w:rsid w:val="00BD4C1B"/>
    <w:rsid w:val="00BE1193"/>
    <w:rsid w:val="00BF4849"/>
    <w:rsid w:val="00BF4EA7"/>
    <w:rsid w:val="00BF6525"/>
    <w:rsid w:val="00C00EDB"/>
    <w:rsid w:val="00C02863"/>
    <w:rsid w:val="00C0383A"/>
    <w:rsid w:val="00C067FF"/>
    <w:rsid w:val="00C06D84"/>
    <w:rsid w:val="00C10805"/>
    <w:rsid w:val="00C12862"/>
    <w:rsid w:val="00C13D28"/>
    <w:rsid w:val="00C14328"/>
    <w:rsid w:val="00C14585"/>
    <w:rsid w:val="00C165A0"/>
    <w:rsid w:val="00C16AC7"/>
    <w:rsid w:val="00C17768"/>
    <w:rsid w:val="00C214D0"/>
    <w:rsid w:val="00C216CE"/>
    <w:rsid w:val="00C2184F"/>
    <w:rsid w:val="00C22A78"/>
    <w:rsid w:val="00C23C7E"/>
    <w:rsid w:val="00C246C5"/>
    <w:rsid w:val="00C25A82"/>
    <w:rsid w:val="00C27CFD"/>
    <w:rsid w:val="00C30A2A"/>
    <w:rsid w:val="00C33970"/>
    <w:rsid w:val="00C33993"/>
    <w:rsid w:val="00C35BD5"/>
    <w:rsid w:val="00C37975"/>
    <w:rsid w:val="00C4069E"/>
    <w:rsid w:val="00C41ADC"/>
    <w:rsid w:val="00C44149"/>
    <w:rsid w:val="00C44410"/>
    <w:rsid w:val="00C44A15"/>
    <w:rsid w:val="00C459D9"/>
    <w:rsid w:val="00C4630A"/>
    <w:rsid w:val="00C51C74"/>
    <w:rsid w:val="00C523F0"/>
    <w:rsid w:val="00C526D2"/>
    <w:rsid w:val="00C53A91"/>
    <w:rsid w:val="00C56734"/>
    <w:rsid w:val="00C5794E"/>
    <w:rsid w:val="00C60968"/>
    <w:rsid w:val="00C6341E"/>
    <w:rsid w:val="00C63C0B"/>
    <w:rsid w:val="00C63D39"/>
    <w:rsid w:val="00C63EDD"/>
    <w:rsid w:val="00C65B36"/>
    <w:rsid w:val="00C711E4"/>
    <w:rsid w:val="00C7292E"/>
    <w:rsid w:val="00C74E88"/>
    <w:rsid w:val="00C75427"/>
    <w:rsid w:val="00C80924"/>
    <w:rsid w:val="00C8286B"/>
    <w:rsid w:val="00C83297"/>
    <w:rsid w:val="00C9290F"/>
    <w:rsid w:val="00C947F8"/>
    <w:rsid w:val="00C948FF"/>
    <w:rsid w:val="00C9515F"/>
    <w:rsid w:val="00C963C5"/>
    <w:rsid w:val="00CA030C"/>
    <w:rsid w:val="00CA1CC3"/>
    <w:rsid w:val="00CA1D80"/>
    <w:rsid w:val="00CA1F41"/>
    <w:rsid w:val="00CA32EE"/>
    <w:rsid w:val="00CA44C8"/>
    <w:rsid w:val="00CA525C"/>
    <w:rsid w:val="00CA5771"/>
    <w:rsid w:val="00CA6A1A"/>
    <w:rsid w:val="00CB3412"/>
    <w:rsid w:val="00CB4AE1"/>
    <w:rsid w:val="00CB6923"/>
    <w:rsid w:val="00CC001D"/>
    <w:rsid w:val="00CC1E75"/>
    <w:rsid w:val="00CC266E"/>
    <w:rsid w:val="00CC2E0E"/>
    <w:rsid w:val="00CC361C"/>
    <w:rsid w:val="00CC474B"/>
    <w:rsid w:val="00CC658C"/>
    <w:rsid w:val="00CC67BF"/>
    <w:rsid w:val="00CD0843"/>
    <w:rsid w:val="00CD1C97"/>
    <w:rsid w:val="00CD276A"/>
    <w:rsid w:val="00CD2C3C"/>
    <w:rsid w:val="00CD33BF"/>
    <w:rsid w:val="00CD3DB9"/>
    <w:rsid w:val="00CD4E31"/>
    <w:rsid w:val="00CD5A78"/>
    <w:rsid w:val="00CD7345"/>
    <w:rsid w:val="00CD7DD8"/>
    <w:rsid w:val="00CE372E"/>
    <w:rsid w:val="00CF0A1B"/>
    <w:rsid w:val="00CF174C"/>
    <w:rsid w:val="00CF19F6"/>
    <w:rsid w:val="00CF2F4F"/>
    <w:rsid w:val="00CF536D"/>
    <w:rsid w:val="00D02E9D"/>
    <w:rsid w:val="00D07FC7"/>
    <w:rsid w:val="00D10CB8"/>
    <w:rsid w:val="00D12806"/>
    <w:rsid w:val="00D12D44"/>
    <w:rsid w:val="00D13115"/>
    <w:rsid w:val="00D15018"/>
    <w:rsid w:val="00D158AC"/>
    <w:rsid w:val="00D1694C"/>
    <w:rsid w:val="00D16E5F"/>
    <w:rsid w:val="00D20F5E"/>
    <w:rsid w:val="00D23196"/>
    <w:rsid w:val="00D23B76"/>
    <w:rsid w:val="00D24B4A"/>
    <w:rsid w:val="00D30C79"/>
    <w:rsid w:val="00D379A3"/>
    <w:rsid w:val="00D40207"/>
    <w:rsid w:val="00D45FF3"/>
    <w:rsid w:val="00D46A55"/>
    <w:rsid w:val="00D5048B"/>
    <w:rsid w:val="00D512CF"/>
    <w:rsid w:val="00D528B9"/>
    <w:rsid w:val="00D52A7D"/>
    <w:rsid w:val="00D52DBD"/>
    <w:rsid w:val="00D53186"/>
    <w:rsid w:val="00D5487D"/>
    <w:rsid w:val="00D60140"/>
    <w:rsid w:val="00D6024A"/>
    <w:rsid w:val="00D608B5"/>
    <w:rsid w:val="00D6096A"/>
    <w:rsid w:val="00D64739"/>
    <w:rsid w:val="00D71F99"/>
    <w:rsid w:val="00D73CA4"/>
    <w:rsid w:val="00D73D71"/>
    <w:rsid w:val="00D74396"/>
    <w:rsid w:val="00D80284"/>
    <w:rsid w:val="00D81F71"/>
    <w:rsid w:val="00D83A50"/>
    <w:rsid w:val="00D8642D"/>
    <w:rsid w:val="00D90A5E"/>
    <w:rsid w:val="00D91A68"/>
    <w:rsid w:val="00D95A68"/>
    <w:rsid w:val="00DA17C7"/>
    <w:rsid w:val="00DA6A9A"/>
    <w:rsid w:val="00DB1EFD"/>
    <w:rsid w:val="00DB3EAF"/>
    <w:rsid w:val="00DB46C6"/>
    <w:rsid w:val="00DB4942"/>
    <w:rsid w:val="00DB58A5"/>
    <w:rsid w:val="00DC3203"/>
    <w:rsid w:val="00DC3C99"/>
    <w:rsid w:val="00DC52F5"/>
    <w:rsid w:val="00DC5FD0"/>
    <w:rsid w:val="00DC631F"/>
    <w:rsid w:val="00DC6BDC"/>
    <w:rsid w:val="00DD0354"/>
    <w:rsid w:val="00DD07A0"/>
    <w:rsid w:val="00DD27D7"/>
    <w:rsid w:val="00DD396C"/>
    <w:rsid w:val="00DD3B26"/>
    <w:rsid w:val="00DD458C"/>
    <w:rsid w:val="00DD45FF"/>
    <w:rsid w:val="00DD72E9"/>
    <w:rsid w:val="00DD7605"/>
    <w:rsid w:val="00DE022F"/>
    <w:rsid w:val="00DE2020"/>
    <w:rsid w:val="00DE33B7"/>
    <w:rsid w:val="00DE3476"/>
    <w:rsid w:val="00DE7BC0"/>
    <w:rsid w:val="00DE7BEA"/>
    <w:rsid w:val="00DF4677"/>
    <w:rsid w:val="00DF5B84"/>
    <w:rsid w:val="00DF66A9"/>
    <w:rsid w:val="00DF6D5B"/>
    <w:rsid w:val="00DF771B"/>
    <w:rsid w:val="00DF7EE2"/>
    <w:rsid w:val="00E01BAA"/>
    <w:rsid w:val="00E0282A"/>
    <w:rsid w:val="00E02F9B"/>
    <w:rsid w:val="00E04ACB"/>
    <w:rsid w:val="00E07DC3"/>
    <w:rsid w:val="00E07E14"/>
    <w:rsid w:val="00E07E9F"/>
    <w:rsid w:val="00E14F94"/>
    <w:rsid w:val="00E151EA"/>
    <w:rsid w:val="00E1682B"/>
    <w:rsid w:val="00E17336"/>
    <w:rsid w:val="00E17D15"/>
    <w:rsid w:val="00E22B95"/>
    <w:rsid w:val="00E2789C"/>
    <w:rsid w:val="00E30331"/>
    <w:rsid w:val="00E30BB8"/>
    <w:rsid w:val="00E31F9C"/>
    <w:rsid w:val="00E331A5"/>
    <w:rsid w:val="00E34BC0"/>
    <w:rsid w:val="00E36B62"/>
    <w:rsid w:val="00E40488"/>
    <w:rsid w:val="00E40EAB"/>
    <w:rsid w:val="00E420C5"/>
    <w:rsid w:val="00E50367"/>
    <w:rsid w:val="00E51ABA"/>
    <w:rsid w:val="00E524CB"/>
    <w:rsid w:val="00E52C24"/>
    <w:rsid w:val="00E542AB"/>
    <w:rsid w:val="00E546F5"/>
    <w:rsid w:val="00E609EF"/>
    <w:rsid w:val="00E65456"/>
    <w:rsid w:val="00E65A91"/>
    <w:rsid w:val="00E66188"/>
    <w:rsid w:val="00E664FB"/>
    <w:rsid w:val="00E672F0"/>
    <w:rsid w:val="00E70373"/>
    <w:rsid w:val="00E72E40"/>
    <w:rsid w:val="00E73665"/>
    <w:rsid w:val="00E73999"/>
    <w:rsid w:val="00E73BDC"/>
    <w:rsid w:val="00E73E9E"/>
    <w:rsid w:val="00E7407C"/>
    <w:rsid w:val="00E81660"/>
    <w:rsid w:val="00E854FE"/>
    <w:rsid w:val="00E906CC"/>
    <w:rsid w:val="00E90D77"/>
    <w:rsid w:val="00E939A0"/>
    <w:rsid w:val="00E97114"/>
    <w:rsid w:val="00E97C72"/>
    <w:rsid w:val="00E97E4E"/>
    <w:rsid w:val="00EA1CC2"/>
    <w:rsid w:val="00EA2D76"/>
    <w:rsid w:val="00EA3E98"/>
    <w:rsid w:val="00EA4644"/>
    <w:rsid w:val="00EA758A"/>
    <w:rsid w:val="00EB096F"/>
    <w:rsid w:val="00EB16AA"/>
    <w:rsid w:val="00EB199F"/>
    <w:rsid w:val="00EB1BC2"/>
    <w:rsid w:val="00EB21A4"/>
    <w:rsid w:val="00EB27C4"/>
    <w:rsid w:val="00EB5387"/>
    <w:rsid w:val="00EB5C10"/>
    <w:rsid w:val="00EB7322"/>
    <w:rsid w:val="00EC0FE9"/>
    <w:rsid w:val="00EC198B"/>
    <w:rsid w:val="00EC426D"/>
    <w:rsid w:val="00EC571B"/>
    <w:rsid w:val="00EC57D7"/>
    <w:rsid w:val="00EC6385"/>
    <w:rsid w:val="00EC7231"/>
    <w:rsid w:val="00ED1DE9"/>
    <w:rsid w:val="00ED23D4"/>
    <w:rsid w:val="00ED5E0B"/>
    <w:rsid w:val="00EE1B94"/>
    <w:rsid w:val="00EE37B6"/>
    <w:rsid w:val="00EE4010"/>
    <w:rsid w:val="00EE6AE6"/>
    <w:rsid w:val="00EF061D"/>
    <w:rsid w:val="00EF0F45"/>
    <w:rsid w:val="00EF6F04"/>
    <w:rsid w:val="00EF7463"/>
    <w:rsid w:val="00EF7971"/>
    <w:rsid w:val="00F002EF"/>
    <w:rsid w:val="00F01EE9"/>
    <w:rsid w:val="00F035C0"/>
    <w:rsid w:val="00F04900"/>
    <w:rsid w:val="00F065A4"/>
    <w:rsid w:val="00F118D7"/>
    <w:rsid w:val="00F126B9"/>
    <w:rsid w:val="00F12715"/>
    <w:rsid w:val="00F144D5"/>
    <w:rsid w:val="00F146F0"/>
    <w:rsid w:val="00F15039"/>
    <w:rsid w:val="00F20FF3"/>
    <w:rsid w:val="00F2190B"/>
    <w:rsid w:val="00F21D74"/>
    <w:rsid w:val="00F228B5"/>
    <w:rsid w:val="00F2389C"/>
    <w:rsid w:val="00F25C67"/>
    <w:rsid w:val="00F30DFF"/>
    <w:rsid w:val="00F32B80"/>
    <w:rsid w:val="00F340EB"/>
    <w:rsid w:val="00F35285"/>
    <w:rsid w:val="00F3590D"/>
    <w:rsid w:val="00F41FC8"/>
    <w:rsid w:val="00F43B9D"/>
    <w:rsid w:val="00F44D5E"/>
    <w:rsid w:val="00F46893"/>
    <w:rsid w:val="00F477AC"/>
    <w:rsid w:val="00F50538"/>
    <w:rsid w:val="00F53A35"/>
    <w:rsid w:val="00F54826"/>
    <w:rsid w:val="00F55A3D"/>
    <w:rsid w:val="00F5744B"/>
    <w:rsid w:val="00F61209"/>
    <w:rsid w:val="00F6259E"/>
    <w:rsid w:val="00F6285C"/>
    <w:rsid w:val="00F64413"/>
    <w:rsid w:val="00F65DD4"/>
    <w:rsid w:val="00F672B2"/>
    <w:rsid w:val="00F83973"/>
    <w:rsid w:val="00F87FA3"/>
    <w:rsid w:val="00F908BE"/>
    <w:rsid w:val="00F90DDC"/>
    <w:rsid w:val="00F931D6"/>
    <w:rsid w:val="00F93D8C"/>
    <w:rsid w:val="00F95267"/>
    <w:rsid w:val="00F96317"/>
    <w:rsid w:val="00F9634D"/>
    <w:rsid w:val="00F971D7"/>
    <w:rsid w:val="00FA16A2"/>
    <w:rsid w:val="00FA3102"/>
    <w:rsid w:val="00FA48D4"/>
    <w:rsid w:val="00FA54FA"/>
    <w:rsid w:val="00FA6CC0"/>
    <w:rsid w:val="00FA6D39"/>
    <w:rsid w:val="00FA7087"/>
    <w:rsid w:val="00FB225C"/>
    <w:rsid w:val="00FB227E"/>
    <w:rsid w:val="00FB3D61"/>
    <w:rsid w:val="00FB44CE"/>
    <w:rsid w:val="00FB5009"/>
    <w:rsid w:val="00FB56EF"/>
    <w:rsid w:val="00FB76AB"/>
    <w:rsid w:val="00FB798E"/>
    <w:rsid w:val="00FC3A5D"/>
    <w:rsid w:val="00FD03FE"/>
    <w:rsid w:val="00FD126E"/>
    <w:rsid w:val="00FD25D9"/>
    <w:rsid w:val="00FD3C36"/>
    <w:rsid w:val="00FD4D81"/>
    <w:rsid w:val="00FD64A5"/>
    <w:rsid w:val="00FD7498"/>
    <w:rsid w:val="00FD7FB3"/>
    <w:rsid w:val="00FE1CF0"/>
    <w:rsid w:val="00FE4713"/>
    <w:rsid w:val="00FE6B32"/>
    <w:rsid w:val="00FE7BC0"/>
    <w:rsid w:val="00FF070D"/>
    <w:rsid w:val="00FF1F44"/>
    <w:rsid w:val="00FF225E"/>
    <w:rsid w:val="00FF3EB8"/>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797D"/>
  <w14:defaultImageDpi w14:val="330"/>
  <w15:docId w15:val="{7022DC64-556F-4E81-B88A-611CA38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AC1113"/>
    <w:rPr>
      <w:color w:val="0000FF" w:themeColor="hyperlink"/>
      <w:u w:val="single"/>
    </w:rPr>
  </w:style>
  <w:style w:type="character" w:styleId="CommentReference">
    <w:name w:val="annotation reference"/>
    <w:basedOn w:val="DefaultParagraphFont"/>
    <w:uiPriority w:val="99"/>
    <w:semiHidden/>
    <w:unhideWhenUsed/>
    <w:rsid w:val="00AC13CE"/>
    <w:rPr>
      <w:sz w:val="16"/>
      <w:szCs w:val="16"/>
    </w:rPr>
  </w:style>
  <w:style w:type="paragraph" w:styleId="CommentText">
    <w:name w:val="annotation text"/>
    <w:basedOn w:val="Normal"/>
    <w:link w:val="CommentTextChar"/>
    <w:uiPriority w:val="99"/>
    <w:semiHidden/>
    <w:unhideWhenUsed/>
    <w:rsid w:val="00AC13CE"/>
    <w:pPr>
      <w:spacing w:line="240" w:lineRule="auto"/>
    </w:pPr>
    <w:rPr>
      <w:sz w:val="20"/>
      <w:szCs w:val="20"/>
    </w:rPr>
  </w:style>
  <w:style w:type="character" w:customStyle="1" w:styleId="CommentTextChar">
    <w:name w:val="Comment Text Char"/>
    <w:basedOn w:val="DefaultParagraphFont"/>
    <w:link w:val="CommentText"/>
    <w:uiPriority w:val="99"/>
    <w:semiHidden/>
    <w:rsid w:val="00AC13CE"/>
  </w:style>
  <w:style w:type="paragraph" w:styleId="CommentSubject">
    <w:name w:val="annotation subject"/>
    <w:basedOn w:val="CommentText"/>
    <w:next w:val="CommentText"/>
    <w:link w:val="CommentSubjectChar"/>
    <w:semiHidden/>
    <w:unhideWhenUsed/>
    <w:rsid w:val="00AC13CE"/>
    <w:rPr>
      <w:b/>
      <w:bCs/>
    </w:rPr>
  </w:style>
  <w:style w:type="character" w:customStyle="1" w:styleId="CommentSubjectChar">
    <w:name w:val="Comment Subject Char"/>
    <w:basedOn w:val="CommentTextChar"/>
    <w:link w:val="CommentSubject"/>
    <w:semiHidden/>
    <w:rsid w:val="00AC13CE"/>
    <w:rPr>
      <w:b/>
      <w:bCs/>
    </w:rPr>
  </w:style>
  <w:style w:type="paragraph" w:styleId="BalloonText">
    <w:name w:val="Balloon Text"/>
    <w:basedOn w:val="Normal"/>
    <w:link w:val="BalloonTextChar"/>
    <w:semiHidden/>
    <w:unhideWhenUsed/>
    <w:rsid w:val="00AC13CE"/>
    <w:pPr>
      <w:spacing w:line="240" w:lineRule="auto"/>
    </w:pPr>
    <w:rPr>
      <w:sz w:val="26"/>
      <w:szCs w:val="26"/>
    </w:rPr>
  </w:style>
  <w:style w:type="character" w:customStyle="1" w:styleId="BalloonTextChar">
    <w:name w:val="Balloon Text Char"/>
    <w:basedOn w:val="DefaultParagraphFont"/>
    <w:link w:val="BalloonText"/>
    <w:semiHidden/>
    <w:rsid w:val="00AC13CE"/>
    <w:rPr>
      <w:sz w:val="26"/>
      <w:szCs w:val="26"/>
    </w:rPr>
  </w:style>
  <w:style w:type="character" w:styleId="Strong">
    <w:name w:val="Strong"/>
    <w:uiPriority w:val="22"/>
    <w:qFormat/>
    <w:rsid w:val="004877C8"/>
    <w:rPr>
      <w:b/>
      <w:bCs/>
    </w:rPr>
  </w:style>
  <w:style w:type="paragraph" w:customStyle="1" w:styleId="bullet">
    <w:name w:val="bullet"/>
    <w:rsid w:val="00CC001D"/>
    <w:pPr>
      <w:widowControl w:val="0"/>
      <w:tabs>
        <w:tab w:val="left" w:pos="360"/>
      </w:tabs>
      <w:suppressAutoHyphens/>
    </w:pPr>
    <w:rPr>
      <w:rFonts w:ascii="Tahoma" w:eastAsia="ヒラギノ角ゴ Pro W3" w:hAnsi="Tahoma"/>
      <w:b/>
      <w:color w:val="000000"/>
      <w:lang w:eastAsia="en-US"/>
    </w:rPr>
  </w:style>
  <w:style w:type="table" w:styleId="TableGrid">
    <w:name w:val="Table Grid"/>
    <w:basedOn w:val="TableNormal"/>
    <w:rsid w:val="00E0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DC3"/>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64766"/>
    <w:rPr>
      <w:color w:val="605E5C"/>
      <w:shd w:val="clear" w:color="auto" w:fill="E1DFDD"/>
    </w:rPr>
  </w:style>
  <w:style w:type="character" w:styleId="PageNumber">
    <w:name w:val="page number"/>
    <w:basedOn w:val="DefaultParagraphFont"/>
    <w:semiHidden/>
    <w:unhideWhenUsed/>
    <w:rsid w:val="008F1553"/>
  </w:style>
  <w:style w:type="paragraph" w:styleId="Revision">
    <w:name w:val="Revision"/>
    <w:hidden/>
    <w:semiHidden/>
    <w:rsid w:val="00331143"/>
    <w:rPr>
      <w:sz w:val="24"/>
      <w:szCs w:val="24"/>
    </w:rPr>
  </w:style>
  <w:style w:type="character" w:customStyle="1" w:styleId="authors">
    <w:name w:val="authors"/>
    <w:basedOn w:val="DefaultParagraphFont"/>
    <w:rsid w:val="00F931D6"/>
  </w:style>
  <w:style w:type="character" w:customStyle="1" w:styleId="Date1">
    <w:name w:val="Date1"/>
    <w:basedOn w:val="DefaultParagraphFont"/>
    <w:rsid w:val="00F931D6"/>
  </w:style>
  <w:style w:type="character" w:customStyle="1" w:styleId="arttitle">
    <w:name w:val="art_title"/>
    <w:basedOn w:val="DefaultParagraphFont"/>
    <w:rsid w:val="00F931D6"/>
  </w:style>
  <w:style w:type="character" w:customStyle="1" w:styleId="serialtitle">
    <w:name w:val="serial_title"/>
    <w:basedOn w:val="DefaultParagraphFont"/>
    <w:rsid w:val="00F931D6"/>
  </w:style>
  <w:style w:type="character" w:customStyle="1" w:styleId="volumeissue">
    <w:name w:val="volume_issue"/>
    <w:basedOn w:val="DefaultParagraphFont"/>
    <w:rsid w:val="00F931D6"/>
  </w:style>
  <w:style w:type="character" w:customStyle="1" w:styleId="pagerange">
    <w:name w:val="page_range"/>
    <w:basedOn w:val="DefaultParagraphFont"/>
    <w:rsid w:val="00F931D6"/>
  </w:style>
  <w:style w:type="character" w:customStyle="1" w:styleId="contribdegrees">
    <w:name w:val="contribdegrees"/>
    <w:basedOn w:val="DefaultParagraphFont"/>
    <w:rsid w:val="008A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98703">
      <w:bodyDiv w:val="1"/>
      <w:marLeft w:val="0"/>
      <w:marRight w:val="0"/>
      <w:marTop w:val="0"/>
      <w:marBottom w:val="0"/>
      <w:divBdr>
        <w:top w:val="none" w:sz="0" w:space="0" w:color="auto"/>
        <w:left w:val="none" w:sz="0" w:space="0" w:color="auto"/>
        <w:bottom w:val="none" w:sz="0" w:space="0" w:color="auto"/>
        <w:right w:val="none" w:sz="0" w:space="0" w:color="auto"/>
      </w:divBdr>
    </w:div>
    <w:div w:id="54506463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06359011">
      <w:bodyDiv w:val="1"/>
      <w:marLeft w:val="0"/>
      <w:marRight w:val="0"/>
      <w:marTop w:val="0"/>
      <w:marBottom w:val="0"/>
      <w:divBdr>
        <w:top w:val="none" w:sz="0" w:space="0" w:color="auto"/>
        <w:left w:val="none" w:sz="0" w:space="0" w:color="auto"/>
        <w:bottom w:val="none" w:sz="0" w:space="0" w:color="auto"/>
        <w:right w:val="none" w:sz="0" w:space="0" w:color="auto"/>
      </w:divBdr>
    </w:div>
    <w:div w:id="1653371818">
      <w:bodyDiv w:val="1"/>
      <w:marLeft w:val="0"/>
      <w:marRight w:val="0"/>
      <w:marTop w:val="0"/>
      <w:marBottom w:val="0"/>
      <w:divBdr>
        <w:top w:val="none" w:sz="0" w:space="0" w:color="auto"/>
        <w:left w:val="none" w:sz="0" w:space="0" w:color="auto"/>
        <w:bottom w:val="none" w:sz="0" w:space="0" w:color="auto"/>
        <w:right w:val="none" w:sz="0" w:space="0" w:color="auto"/>
      </w:divBdr>
    </w:div>
    <w:div w:id="20655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unningham@yorksj.ac.uk" TargetMode="External"/><Relationship Id="rId13" Type="http://schemas.openxmlformats.org/officeDocument/2006/relationships/hyperlink" Target="URL:https://assets.publishing.service.gov.uk/government/uploads/system/uploads/attachment_data/file/738037/NQT_2017_survey.pdf" TargetMode="External"/><Relationship Id="rId18" Type="http://schemas.openxmlformats.org/officeDocument/2006/relationships/hyperlink" Target="https://ealjournal.org/2018/04/23/how-well-prepared-to-teachers-feel-to-teach-eal-learne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heguardian.com/teacher-network/2011/nov/07/eal-students-classroom-teaching-resources" TargetMode="External"/><Relationship Id="rId17" Type="http://schemas.openxmlformats.org/officeDocument/2006/relationships/hyperlink" Target="https://journals.sagepub.com/doi/abs/10.1177/0022487114535266?journalCode=jtea" TargetMode="External"/><Relationship Id="rId2" Type="http://schemas.openxmlformats.org/officeDocument/2006/relationships/numbering" Target="numbering.xml"/><Relationship Id="rId16" Type="http://schemas.openxmlformats.org/officeDocument/2006/relationships/hyperlink" Target="https://journals.sagepub.com/doi/abs/10.1177/0022487114535266?journalCode=jte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a.ac.uk/researchers-resources/publications/ethical-guidelines-for-educational-research-2011" TargetMode="External"/><Relationship Id="rId5" Type="http://schemas.openxmlformats.org/officeDocument/2006/relationships/webSettings" Target="webSettings.xml"/><Relationship Id="rId15" Type="http://schemas.openxmlformats.org/officeDocument/2006/relationships/hyperlink" Target="https://journals.sagepub.com/doi/abs/10.1177/0022487114535266?journalCode=jtea" TargetMode="External"/><Relationship Id="rId23" Type="http://schemas.openxmlformats.org/officeDocument/2006/relationships/theme" Target="theme/theme1.xml"/><Relationship Id="rId10" Type="http://schemas.openxmlformats.org/officeDocument/2006/relationships/hyperlink" Target="https://www.educ.cam.ac.uk/research/projects/ealead/Fullreport.pdf" TargetMode="External"/><Relationship Id="rId19" Type="http://schemas.openxmlformats.org/officeDocument/2006/relationships/hyperlink" Target="http://englishagenda.britishcouncil.org/sites/ec/files/B387%20ELTRP%20Report%20-%20Wardman_v6.pdf" TargetMode="External"/><Relationship Id="rId4" Type="http://schemas.openxmlformats.org/officeDocument/2006/relationships/settings" Target="settings.xml"/><Relationship Id="rId9" Type="http://schemas.openxmlformats.org/officeDocument/2006/relationships/hyperlink" Target="https://orcid.org/0000-0003-3767-7624" TargetMode="External"/><Relationship Id="rId14" Type="http://schemas.openxmlformats.org/officeDocument/2006/relationships/hyperlink" Target="https://journals.sagepub.com/doi/abs/10.1177/0022487114535266?journalCode=jte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D572-3D44-4ED4-BAF8-4B6C475C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11636</Words>
  <Characters>66329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77810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Ruth Mardall (R.Mardall)</cp:lastModifiedBy>
  <cp:revision>2</cp:revision>
  <cp:lastPrinted>2020-12-02T10:12:00Z</cp:lastPrinted>
  <dcterms:created xsi:type="dcterms:W3CDTF">2020-12-02T10:48:00Z</dcterms:created>
  <dcterms:modified xsi:type="dcterms:W3CDTF">2020-12-02T10:48:00Z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8c8c074e-712d-3905-8957-862c47d37665</vt:lpwstr>
  </property>
  <property fmtid="{D5CDD505-2E9C-101B-9397-08002B2CF9AE}" pid="24" name="Mendeley Citation Style_1">
    <vt:lpwstr>http://www.zotero.org/styles/harvard1</vt:lpwstr>
  </property>
</Properties>
</file>