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1C326" w14:textId="6EE2BEC2" w:rsidR="00225E56" w:rsidRPr="008C7198" w:rsidRDefault="00A84165" w:rsidP="0054535E">
      <w:pPr>
        <w:rPr>
          <w:rFonts w:cs="Times New Roman"/>
          <w:b/>
          <w:color w:val="002060"/>
          <w:lang w:val="en-US"/>
        </w:rPr>
      </w:pPr>
      <w:r>
        <w:rPr>
          <w:rFonts w:cs="Times New Roman"/>
          <w:b/>
          <w:color w:val="002060"/>
          <w:lang w:val="en-US"/>
        </w:rPr>
        <w:t xml:space="preserve">Editorial: </w:t>
      </w:r>
      <w:r w:rsidR="007F5EE5" w:rsidRPr="008C7198">
        <w:rPr>
          <w:rFonts w:cs="Times New Roman"/>
          <w:b/>
          <w:color w:val="002060"/>
          <w:lang w:val="en-US"/>
        </w:rPr>
        <w:t>What is the ‘public’ in public education?</w:t>
      </w:r>
      <w:r w:rsidR="006920A0" w:rsidRPr="008C7198">
        <w:rPr>
          <w:rFonts w:cs="Times New Roman"/>
          <w:b/>
          <w:color w:val="002060"/>
          <w:lang w:val="en-US"/>
        </w:rPr>
        <w:t xml:space="preserve"> Mapping past, present and future educational imaginaries</w:t>
      </w:r>
      <w:r w:rsidR="00B0387A" w:rsidRPr="008C7198">
        <w:rPr>
          <w:rFonts w:cs="Times New Roman"/>
          <w:b/>
          <w:color w:val="002060"/>
          <w:lang w:val="en-US"/>
        </w:rPr>
        <w:t xml:space="preserve"> of Europe (and beyond)</w:t>
      </w:r>
    </w:p>
    <w:p w14:paraId="1404A57E" w14:textId="114D9F94" w:rsidR="007F5EE5" w:rsidRPr="008C7198" w:rsidRDefault="007F5EE5">
      <w:pPr>
        <w:rPr>
          <w:rFonts w:cs="Times New Roman"/>
          <w:color w:val="002060"/>
          <w:lang w:val="en-US"/>
        </w:rPr>
      </w:pPr>
    </w:p>
    <w:p w14:paraId="1B61EAFF" w14:textId="77777777" w:rsidR="00B036CB" w:rsidRPr="008C7198" w:rsidRDefault="006368BD">
      <w:pPr>
        <w:rPr>
          <w:rFonts w:cs="Times New Roman"/>
          <w:b/>
          <w:color w:val="002060"/>
          <w:lang w:val="en-US"/>
        </w:rPr>
      </w:pPr>
      <w:r w:rsidRPr="008C7198">
        <w:rPr>
          <w:rFonts w:cs="Times New Roman"/>
          <w:b/>
          <w:color w:val="002060"/>
          <w:lang w:val="en-US"/>
        </w:rPr>
        <w:t xml:space="preserve">Key Words: </w:t>
      </w:r>
    </w:p>
    <w:p w14:paraId="0425E868" w14:textId="466B3F23" w:rsidR="006368BD" w:rsidRPr="008C7198" w:rsidRDefault="006368BD">
      <w:pPr>
        <w:rPr>
          <w:rFonts w:cs="Times New Roman"/>
          <w:b/>
          <w:color w:val="002060"/>
          <w:lang w:val="en-US"/>
        </w:rPr>
      </w:pPr>
      <w:r w:rsidRPr="008C7198">
        <w:rPr>
          <w:rFonts w:cs="Times New Roman"/>
          <w:color w:val="002060"/>
          <w:lang w:val="en-US"/>
        </w:rPr>
        <w:t xml:space="preserve">Public education; </w:t>
      </w:r>
      <w:r w:rsidR="008F79CE" w:rsidRPr="008C7198">
        <w:rPr>
          <w:rFonts w:cs="Times New Roman"/>
          <w:color w:val="002060"/>
          <w:lang w:val="en-US"/>
        </w:rPr>
        <w:t xml:space="preserve">State education; </w:t>
      </w:r>
      <w:r w:rsidRPr="008C7198">
        <w:rPr>
          <w:rFonts w:cs="Times New Roman"/>
          <w:color w:val="002060"/>
          <w:lang w:val="en-US"/>
        </w:rPr>
        <w:t>Democracy; Neoliberalism;</w:t>
      </w:r>
      <w:r w:rsidR="008F79CE" w:rsidRPr="008C7198">
        <w:rPr>
          <w:rFonts w:cs="Times New Roman"/>
          <w:color w:val="002060"/>
          <w:lang w:val="en-US"/>
        </w:rPr>
        <w:t xml:space="preserve"> Equality</w:t>
      </w:r>
      <w:r w:rsidR="00B0387A" w:rsidRPr="008C7198">
        <w:rPr>
          <w:rFonts w:cs="Times New Roman"/>
          <w:color w:val="002060"/>
          <w:lang w:val="en-US"/>
        </w:rPr>
        <w:t>; Social justice</w:t>
      </w:r>
    </w:p>
    <w:p w14:paraId="4381EE01" w14:textId="6A94705B" w:rsidR="00E206C8" w:rsidRPr="008C7198" w:rsidRDefault="00E206C8">
      <w:pPr>
        <w:rPr>
          <w:rFonts w:cs="Times New Roman"/>
          <w:b/>
          <w:color w:val="002060"/>
          <w:lang w:val="en-US"/>
        </w:rPr>
      </w:pPr>
    </w:p>
    <w:p w14:paraId="0AA180BB" w14:textId="45229E90" w:rsidR="00B036CB" w:rsidRPr="008C7198" w:rsidRDefault="0040119E" w:rsidP="006B1FC5">
      <w:pPr>
        <w:rPr>
          <w:rFonts w:cs="Times New Roman"/>
          <w:b/>
          <w:color w:val="002060"/>
          <w:lang w:val="en-US"/>
        </w:rPr>
      </w:pPr>
      <w:r w:rsidRPr="008C7198">
        <w:rPr>
          <w:rFonts w:cs="Times New Roman"/>
          <w:b/>
          <w:color w:val="002060"/>
          <w:lang w:val="en-US"/>
        </w:rPr>
        <w:t>Authors</w:t>
      </w:r>
      <w:r w:rsidR="00255EF1" w:rsidRPr="008C7198">
        <w:rPr>
          <w:rFonts w:cs="Times New Roman"/>
          <w:b/>
          <w:color w:val="002060"/>
          <w:lang w:val="en-US"/>
        </w:rPr>
        <w:t xml:space="preserve"> (in alphabetical order)</w:t>
      </w:r>
      <w:r w:rsidR="00E206C8" w:rsidRPr="008C7198">
        <w:rPr>
          <w:rFonts w:cs="Times New Roman"/>
          <w:b/>
          <w:color w:val="002060"/>
          <w:lang w:val="en-US"/>
        </w:rPr>
        <w:t xml:space="preserve">: </w:t>
      </w:r>
    </w:p>
    <w:p w14:paraId="22488683" w14:textId="77777777" w:rsidR="00B036CB" w:rsidRPr="008C7198" w:rsidRDefault="006B1FC5" w:rsidP="00B036CB">
      <w:pPr>
        <w:rPr>
          <w:color w:val="002060"/>
        </w:rPr>
      </w:pPr>
      <w:r w:rsidRPr="008C7198">
        <w:rPr>
          <w:color w:val="002060"/>
        </w:rPr>
        <w:t xml:space="preserve">Matthew Clarke, York St John University, UK, </w:t>
      </w:r>
      <w:hyperlink r:id="rId8" w:history="1">
        <w:r w:rsidRPr="008C7198">
          <w:rPr>
            <w:rStyle w:val="Hyperlink"/>
            <w:color w:val="002060"/>
          </w:rPr>
          <w:t>m.clarke@yorksj.ac.uk</w:t>
        </w:r>
      </w:hyperlink>
    </w:p>
    <w:p w14:paraId="0723CA3A" w14:textId="51848F7E" w:rsidR="00B036CB" w:rsidRPr="008C7198" w:rsidRDefault="006B1FC5" w:rsidP="006B1FC5">
      <w:pPr>
        <w:rPr>
          <w:color w:val="002060"/>
        </w:rPr>
      </w:pPr>
      <w:r w:rsidRPr="008C7198">
        <w:rPr>
          <w:color w:val="002060"/>
        </w:rPr>
        <w:t xml:space="preserve">Martin Mills, UCL Institute of Education, UK, </w:t>
      </w:r>
      <w:hyperlink r:id="rId9" w:history="1">
        <w:r w:rsidRPr="008C7198">
          <w:rPr>
            <w:rStyle w:val="Hyperlink"/>
            <w:color w:val="002060"/>
          </w:rPr>
          <w:t>m.mills@ucl.ac.uk</w:t>
        </w:r>
      </w:hyperlink>
    </w:p>
    <w:p w14:paraId="17092014" w14:textId="41CE3DDE" w:rsidR="00E44455" w:rsidRPr="008C7198" w:rsidRDefault="00E44455" w:rsidP="006B1FC5">
      <w:pPr>
        <w:rPr>
          <w:color w:val="002060"/>
        </w:rPr>
      </w:pPr>
      <w:r w:rsidRPr="008C7198">
        <w:rPr>
          <w:rFonts w:cs="Times New Roman"/>
          <w:bCs/>
          <w:color w:val="002060"/>
          <w:lang w:val="en-US"/>
        </w:rPr>
        <w:t>Nicole Mockler, University of Sydney, Australia</w:t>
      </w:r>
      <w:r w:rsidR="00CE014C" w:rsidRPr="008C7198">
        <w:rPr>
          <w:rFonts w:cs="Times New Roman"/>
          <w:bCs/>
          <w:color w:val="002060"/>
          <w:lang w:val="en-US"/>
        </w:rPr>
        <w:t xml:space="preserve">, </w:t>
      </w:r>
      <w:hyperlink r:id="rId10" w:history="1">
        <w:r w:rsidR="00CE014C" w:rsidRPr="008C7198">
          <w:rPr>
            <w:rStyle w:val="Hyperlink"/>
            <w:rFonts w:cs="Times New Roman"/>
            <w:bCs/>
            <w:color w:val="002060"/>
            <w:lang w:val="en-US"/>
          </w:rPr>
          <w:t>nicole.mockler@sydney.edu.au</w:t>
        </w:r>
      </w:hyperlink>
      <w:r w:rsidR="00CE014C" w:rsidRPr="008C7198">
        <w:rPr>
          <w:rFonts w:cs="Times New Roman"/>
          <w:bCs/>
          <w:color w:val="002060"/>
          <w:lang w:val="en-US"/>
        </w:rPr>
        <w:t xml:space="preserve"> </w:t>
      </w:r>
    </w:p>
    <w:p w14:paraId="0D7E07E1" w14:textId="3E686CE7" w:rsidR="006368BD" w:rsidRPr="008C7198" w:rsidRDefault="004A70E6" w:rsidP="00B036CB">
      <w:pPr>
        <w:rPr>
          <w:rFonts w:cs="Times New Roman"/>
          <w:bCs/>
          <w:color w:val="002060"/>
          <w:lang w:val="en-US"/>
        </w:rPr>
      </w:pPr>
      <w:r w:rsidRPr="008C7198">
        <w:rPr>
          <w:rFonts w:cs="Times New Roman"/>
          <w:bCs/>
          <w:color w:val="002060"/>
          <w:lang w:val="en-US"/>
        </w:rPr>
        <w:t>Parlo Singh</w:t>
      </w:r>
      <w:r w:rsidR="00E44455" w:rsidRPr="008C7198">
        <w:rPr>
          <w:rFonts w:cs="Times New Roman"/>
          <w:bCs/>
          <w:color w:val="002060"/>
          <w:lang w:val="en-US"/>
        </w:rPr>
        <w:t>, Griffiths University, Australia</w:t>
      </w:r>
      <w:r w:rsidR="00CE014C" w:rsidRPr="008C7198">
        <w:rPr>
          <w:rFonts w:cs="Times New Roman"/>
          <w:bCs/>
          <w:color w:val="002060"/>
          <w:lang w:val="en-US"/>
        </w:rPr>
        <w:t xml:space="preserve">, </w:t>
      </w:r>
      <w:hyperlink r:id="rId11" w:history="1">
        <w:r w:rsidR="00CE014C" w:rsidRPr="008C7198">
          <w:rPr>
            <w:rStyle w:val="Hyperlink"/>
            <w:rFonts w:cs="Times New Roman"/>
            <w:bCs/>
            <w:color w:val="002060"/>
            <w:lang w:val="en-US"/>
          </w:rPr>
          <w:t>parlo.singh@griffith.edu.au</w:t>
        </w:r>
      </w:hyperlink>
      <w:r w:rsidR="00CE014C" w:rsidRPr="008C7198">
        <w:rPr>
          <w:rFonts w:cs="Times New Roman"/>
          <w:bCs/>
          <w:color w:val="002060"/>
          <w:lang w:val="en-US"/>
        </w:rPr>
        <w:t xml:space="preserve"> </w:t>
      </w:r>
    </w:p>
    <w:p w14:paraId="59787358" w14:textId="65F4AB16" w:rsidR="004A70E6" w:rsidRPr="008C7198" w:rsidRDefault="004A70E6" w:rsidP="006B1FC5">
      <w:pPr>
        <w:rPr>
          <w:rFonts w:cs="Times New Roman"/>
          <w:bCs/>
          <w:color w:val="002060"/>
          <w:lang w:val="en-US"/>
        </w:rPr>
      </w:pPr>
      <w:r w:rsidRPr="008C7198">
        <w:rPr>
          <w:rFonts w:cs="Times New Roman"/>
          <w:bCs/>
          <w:color w:val="002060"/>
          <w:lang w:val="en-US"/>
        </w:rPr>
        <w:tab/>
        <w:t xml:space="preserve"> </w:t>
      </w:r>
    </w:p>
    <w:p w14:paraId="48459928" w14:textId="6532D08F" w:rsidR="00CE014C" w:rsidRPr="008C7198" w:rsidRDefault="00CE014C">
      <w:pPr>
        <w:rPr>
          <w:rFonts w:cs="Times New Roman"/>
          <w:b/>
          <w:smallCaps/>
          <w:color w:val="002060"/>
          <w:lang w:val="en-US"/>
        </w:rPr>
      </w:pPr>
    </w:p>
    <w:p w14:paraId="37DB4E67" w14:textId="1B68AE67" w:rsidR="00FC316E" w:rsidRPr="008C7198" w:rsidRDefault="006368BD">
      <w:pPr>
        <w:rPr>
          <w:rFonts w:cs="Times New Roman"/>
          <w:color w:val="002060"/>
          <w:lang w:val="en-US"/>
        </w:rPr>
      </w:pPr>
      <w:r w:rsidRPr="008C7198">
        <w:rPr>
          <w:rFonts w:cs="Times New Roman"/>
          <w:color w:val="002060"/>
          <w:lang w:val="en-US"/>
        </w:rPr>
        <w:t xml:space="preserve">This </w:t>
      </w:r>
      <w:r w:rsidR="006B1FC5" w:rsidRPr="008C7198">
        <w:rPr>
          <w:rFonts w:cs="Times New Roman"/>
          <w:color w:val="002060"/>
          <w:lang w:val="en-US"/>
        </w:rPr>
        <w:t>special issue</w:t>
      </w:r>
      <w:r w:rsidR="007F5EE5" w:rsidRPr="008C7198">
        <w:rPr>
          <w:rFonts w:cs="Times New Roman"/>
          <w:color w:val="002060"/>
          <w:lang w:val="en-US"/>
        </w:rPr>
        <w:t xml:space="preserve"> </w:t>
      </w:r>
      <w:r w:rsidRPr="008C7198">
        <w:rPr>
          <w:rFonts w:cs="Times New Roman"/>
          <w:color w:val="002060"/>
          <w:lang w:val="en-US"/>
        </w:rPr>
        <w:t xml:space="preserve">explores past, </w:t>
      </w:r>
      <w:proofErr w:type="gramStart"/>
      <w:r w:rsidRPr="008C7198">
        <w:rPr>
          <w:rFonts w:cs="Times New Roman"/>
          <w:color w:val="002060"/>
          <w:lang w:val="en-US"/>
        </w:rPr>
        <w:t>present</w:t>
      </w:r>
      <w:proofErr w:type="gramEnd"/>
      <w:r w:rsidRPr="008C7198">
        <w:rPr>
          <w:rFonts w:cs="Times New Roman"/>
          <w:color w:val="002060"/>
          <w:lang w:val="en-US"/>
        </w:rPr>
        <w:t xml:space="preserve"> and potential future imaginaries of ‘public’ education in Europe</w:t>
      </w:r>
      <w:r w:rsidR="0040119E" w:rsidRPr="008C7198">
        <w:rPr>
          <w:rFonts w:cs="Times New Roman"/>
          <w:color w:val="002060"/>
          <w:lang w:val="en-US"/>
        </w:rPr>
        <w:t xml:space="preserve"> and beyond</w:t>
      </w:r>
      <w:r w:rsidRPr="008C7198">
        <w:rPr>
          <w:rFonts w:cs="Times New Roman"/>
          <w:color w:val="002060"/>
          <w:lang w:val="en-US"/>
        </w:rPr>
        <w:t xml:space="preserve">. The </w:t>
      </w:r>
      <w:r w:rsidR="006B1FC5" w:rsidRPr="008C7198">
        <w:rPr>
          <w:rFonts w:cs="Times New Roman"/>
          <w:color w:val="002060"/>
          <w:lang w:val="en-US"/>
        </w:rPr>
        <w:t>special issue</w:t>
      </w:r>
      <w:r w:rsidRPr="008C7198">
        <w:rPr>
          <w:rFonts w:cs="Times New Roman"/>
          <w:color w:val="002060"/>
          <w:lang w:val="en-US"/>
        </w:rPr>
        <w:t xml:space="preserve"> is located in a</w:t>
      </w:r>
      <w:r w:rsidR="00FC316E" w:rsidRPr="008C7198">
        <w:rPr>
          <w:rFonts w:cs="Times New Roman"/>
          <w:color w:val="002060"/>
          <w:lang w:val="en-US"/>
        </w:rPr>
        <w:t xml:space="preserve"> contemporary</w:t>
      </w:r>
      <w:r w:rsidRPr="008C7198">
        <w:rPr>
          <w:rFonts w:cs="Times New Roman"/>
          <w:color w:val="002060"/>
          <w:lang w:val="en-US"/>
        </w:rPr>
        <w:t xml:space="preserve"> context of political turmoil</w:t>
      </w:r>
      <w:r w:rsidR="00FC316E" w:rsidRPr="008C7198">
        <w:rPr>
          <w:rFonts w:cs="Times New Roman"/>
          <w:color w:val="002060"/>
          <w:lang w:val="en-US"/>
        </w:rPr>
        <w:t>, in which one in four European voters allegedly supports populist political parties</w:t>
      </w:r>
      <w:r w:rsidR="00FC316E" w:rsidRPr="008C7198">
        <w:rPr>
          <w:rStyle w:val="FootnoteReference"/>
          <w:rFonts w:cs="Times New Roman"/>
          <w:color w:val="002060"/>
          <w:lang w:val="en-US"/>
        </w:rPr>
        <w:footnoteReference w:id="1"/>
      </w:r>
      <w:r w:rsidR="00CA2761" w:rsidRPr="008C7198">
        <w:rPr>
          <w:rFonts w:cs="Times New Roman"/>
          <w:color w:val="002060"/>
          <w:lang w:val="en-US"/>
        </w:rPr>
        <w:t>, with the largest support for far-right forms of populism</w:t>
      </w:r>
      <w:r w:rsidR="00FC316E" w:rsidRPr="008C7198">
        <w:rPr>
          <w:rFonts w:cs="Times New Roman"/>
          <w:color w:val="002060"/>
          <w:lang w:val="en-US"/>
        </w:rPr>
        <w:t xml:space="preserve">; it is also </w:t>
      </w:r>
      <w:r w:rsidRPr="008C7198">
        <w:rPr>
          <w:rFonts w:cs="Times New Roman"/>
          <w:color w:val="002060"/>
          <w:lang w:val="en-US"/>
        </w:rPr>
        <w:t xml:space="preserve">set against a </w:t>
      </w:r>
      <w:r w:rsidR="00FC316E" w:rsidRPr="008C7198">
        <w:rPr>
          <w:rFonts w:cs="Times New Roman"/>
          <w:color w:val="002060"/>
          <w:lang w:val="en-US"/>
        </w:rPr>
        <w:t xml:space="preserve">historical </w:t>
      </w:r>
      <w:r w:rsidRPr="008C7198">
        <w:rPr>
          <w:rFonts w:cs="Times New Roman"/>
          <w:color w:val="002060"/>
          <w:lang w:val="en-US"/>
        </w:rPr>
        <w:t>background</w:t>
      </w:r>
      <w:r w:rsidR="007F5EE5" w:rsidRPr="008C7198">
        <w:rPr>
          <w:rFonts w:cs="Times New Roman"/>
          <w:color w:val="002060"/>
          <w:lang w:val="en-US"/>
        </w:rPr>
        <w:t xml:space="preserve"> of several decades of significant change in the social, political and economic contexts of education</w:t>
      </w:r>
      <w:r w:rsidR="00874FF2" w:rsidRPr="008C7198">
        <w:rPr>
          <w:rFonts w:cs="Times New Roman"/>
          <w:color w:val="002060"/>
          <w:lang w:val="en-US"/>
        </w:rPr>
        <w:t>, whereby schools and universities have been reimagined and reorganized so as to conform to the marketized and managerialist contours of the neoliberal imaginary</w:t>
      </w:r>
      <w:r w:rsidR="0040119E" w:rsidRPr="008C7198">
        <w:rPr>
          <w:rFonts w:cs="Times New Roman"/>
          <w:color w:val="002060"/>
          <w:lang w:val="en-US"/>
        </w:rPr>
        <w:t>; and it is set against the background of the Covid-19 pandemic, which has led to lockdowns and school closures in many countries and prompted many to question supposedly ‘normal’ ways of doing school and education in less turbulent times</w:t>
      </w:r>
      <w:r w:rsidR="007F5EE5" w:rsidRPr="008C7198">
        <w:rPr>
          <w:rFonts w:cs="Times New Roman"/>
          <w:color w:val="002060"/>
          <w:lang w:val="en-US"/>
        </w:rPr>
        <w:t>.</w:t>
      </w:r>
      <w:r w:rsidR="00B01C6E" w:rsidRPr="008C7198">
        <w:rPr>
          <w:rFonts w:cs="Times New Roman"/>
          <w:color w:val="002060"/>
          <w:lang w:val="en-US"/>
        </w:rPr>
        <w:t xml:space="preserve"> </w:t>
      </w:r>
      <w:r w:rsidR="00F96ECB" w:rsidRPr="008C7198">
        <w:rPr>
          <w:rFonts w:cs="Times New Roman"/>
          <w:color w:val="002060"/>
          <w:lang w:val="en-US"/>
        </w:rPr>
        <w:t xml:space="preserve">The term, unprecedented, has been used frequently to talk about </w:t>
      </w:r>
      <w:r w:rsidR="00BB2AC6" w:rsidRPr="008C7198">
        <w:rPr>
          <w:rFonts w:cs="Times New Roman"/>
          <w:color w:val="002060"/>
          <w:lang w:val="en-US"/>
        </w:rPr>
        <w:t>current times</w:t>
      </w:r>
      <w:r w:rsidR="00F96ECB" w:rsidRPr="008C7198">
        <w:rPr>
          <w:rFonts w:cs="Times New Roman"/>
          <w:color w:val="002060"/>
          <w:lang w:val="en-US"/>
        </w:rPr>
        <w:t>. This is a</w:t>
      </w:r>
      <w:r w:rsidR="00BB2AC6" w:rsidRPr="008C7198">
        <w:rPr>
          <w:rFonts w:cs="Times New Roman"/>
          <w:color w:val="002060"/>
          <w:lang w:val="en-US"/>
        </w:rPr>
        <w:t xml:space="preserve"> time</w:t>
      </w:r>
      <w:r w:rsidR="00F96ECB" w:rsidRPr="008C7198">
        <w:rPr>
          <w:rFonts w:cs="Times New Roman"/>
          <w:color w:val="002060"/>
          <w:lang w:val="en-US"/>
        </w:rPr>
        <w:t xml:space="preserve"> marked not only by </w:t>
      </w:r>
      <w:r w:rsidR="00F3423A" w:rsidRPr="008C7198">
        <w:rPr>
          <w:rFonts w:cs="Times New Roman"/>
          <w:color w:val="002060"/>
          <w:lang w:val="en-US"/>
        </w:rPr>
        <w:t>a</w:t>
      </w:r>
      <w:r w:rsidR="00F96ECB" w:rsidRPr="008C7198">
        <w:rPr>
          <w:rFonts w:cs="Times New Roman"/>
          <w:color w:val="002060"/>
          <w:lang w:val="en-US"/>
        </w:rPr>
        <w:t xml:space="preserve"> turn to right-wing </w:t>
      </w:r>
      <w:proofErr w:type="spellStart"/>
      <w:r w:rsidR="00F96ECB" w:rsidRPr="008C7198">
        <w:rPr>
          <w:rFonts w:cs="Times New Roman"/>
          <w:color w:val="002060"/>
          <w:lang w:val="en-US"/>
        </w:rPr>
        <w:t>popularisms</w:t>
      </w:r>
      <w:proofErr w:type="spellEnd"/>
      <w:r w:rsidR="00F3423A" w:rsidRPr="008C7198">
        <w:rPr>
          <w:rFonts w:cs="Times New Roman"/>
          <w:color w:val="002060"/>
          <w:lang w:val="en-US"/>
        </w:rPr>
        <w:t xml:space="preserve">, often harking to </w:t>
      </w:r>
      <w:r w:rsidR="000C4602" w:rsidRPr="008C7198">
        <w:rPr>
          <w:rFonts w:cs="Times New Roman"/>
          <w:color w:val="002060"/>
          <w:lang w:val="en-US"/>
        </w:rPr>
        <w:t xml:space="preserve">neo-conservative, </w:t>
      </w:r>
      <w:r w:rsidR="00F3423A" w:rsidRPr="008C7198">
        <w:rPr>
          <w:rFonts w:cs="Times New Roman"/>
          <w:color w:val="002060"/>
          <w:lang w:val="en-US"/>
        </w:rPr>
        <w:t>nostalgic notions of a glorious past</w:t>
      </w:r>
      <w:r w:rsidR="00C85AD6" w:rsidRPr="008C7198">
        <w:rPr>
          <w:rFonts w:cs="Times New Roman"/>
          <w:color w:val="002060"/>
          <w:lang w:val="en-US"/>
        </w:rPr>
        <w:t xml:space="preserve"> and captured in slogans such</w:t>
      </w:r>
      <w:r w:rsidR="00F3423A" w:rsidRPr="008C7198">
        <w:rPr>
          <w:rFonts w:cs="Times New Roman"/>
          <w:color w:val="002060"/>
          <w:lang w:val="en-US"/>
        </w:rPr>
        <w:t xml:space="preserve"> as #MakeAmericaGreatAgain; #MakeChinaGreatAgain; #MakeBritainGreatAgain. </w:t>
      </w:r>
      <w:r w:rsidR="00F96ECB" w:rsidRPr="008C7198">
        <w:rPr>
          <w:rFonts w:cs="Times New Roman"/>
          <w:color w:val="002060"/>
          <w:lang w:val="en-US"/>
        </w:rPr>
        <w:t xml:space="preserve"> It is also a time of collective </w:t>
      </w:r>
      <w:r w:rsidR="00816E65" w:rsidRPr="008C7198">
        <w:rPr>
          <w:rFonts w:cs="Times New Roman"/>
          <w:color w:val="002060"/>
          <w:lang w:val="en-US"/>
        </w:rPr>
        <w:t xml:space="preserve">left-wing rage and </w:t>
      </w:r>
      <w:r w:rsidR="00F96ECB" w:rsidRPr="008C7198">
        <w:rPr>
          <w:rFonts w:cs="Times New Roman"/>
          <w:color w:val="002060"/>
          <w:lang w:val="en-US"/>
        </w:rPr>
        <w:t xml:space="preserve">resistance movements </w:t>
      </w:r>
      <w:r w:rsidR="00F645EC" w:rsidRPr="008C7198">
        <w:rPr>
          <w:rFonts w:cs="Times New Roman"/>
          <w:color w:val="002060"/>
          <w:lang w:val="en-US"/>
        </w:rPr>
        <w:t xml:space="preserve">such as, </w:t>
      </w:r>
      <w:r w:rsidR="00F96ECB" w:rsidRPr="008C7198">
        <w:rPr>
          <w:rFonts w:cs="Times New Roman"/>
          <w:color w:val="002060"/>
          <w:lang w:val="en-US"/>
        </w:rPr>
        <w:t>#decolonising education</w:t>
      </w:r>
      <w:r w:rsidR="00F645EC" w:rsidRPr="008C7198">
        <w:rPr>
          <w:rFonts w:cs="Times New Roman"/>
          <w:color w:val="002060"/>
          <w:lang w:val="en-US"/>
        </w:rPr>
        <w:t>,</w:t>
      </w:r>
      <w:r w:rsidR="00F96ECB" w:rsidRPr="008C7198">
        <w:rPr>
          <w:rFonts w:cs="Times New Roman"/>
          <w:color w:val="002060"/>
          <w:lang w:val="en-US"/>
        </w:rPr>
        <w:t xml:space="preserve"> #blacklivesmatter</w:t>
      </w:r>
      <w:r w:rsidR="00990F69" w:rsidRPr="008C7198">
        <w:rPr>
          <w:rFonts w:cs="Times New Roman"/>
          <w:color w:val="002060"/>
          <w:lang w:val="en-US"/>
        </w:rPr>
        <w:t>,</w:t>
      </w:r>
      <w:r w:rsidR="00F96ECB" w:rsidRPr="008C7198">
        <w:rPr>
          <w:rFonts w:cs="Times New Roman"/>
          <w:color w:val="002060"/>
          <w:lang w:val="en-US"/>
        </w:rPr>
        <w:t xml:space="preserve"> #metoo, </w:t>
      </w:r>
      <w:r w:rsidR="00F645EC" w:rsidRPr="008C7198">
        <w:rPr>
          <w:rFonts w:cs="Times New Roman"/>
          <w:color w:val="002060"/>
          <w:lang w:val="en-US"/>
        </w:rPr>
        <w:t>#democracy4HK</w:t>
      </w:r>
      <w:r w:rsidR="00990F69" w:rsidRPr="008C7198">
        <w:rPr>
          <w:rFonts w:cs="Times New Roman"/>
          <w:color w:val="002060"/>
          <w:lang w:val="en-US"/>
        </w:rPr>
        <w:t>, #precaritystories, and #occupy. T</w:t>
      </w:r>
      <w:r w:rsidR="00F96ECB" w:rsidRPr="008C7198">
        <w:rPr>
          <w:rFonts w:cs="Times New Roman"/>
          <w:color w:val="002060"/>
          <w:lang w:val="en-US"/>
        </w:rPr>
        <w:t xml:space="preserve">echnological </w:t>
      </w:r>
      <w:r w:rsidR="00990F69" w:rsidRPr="008C7198">
        <w:rPr>
          <w:rFonts w:cs="Times New Roman"/>
          <w:color w:val="002060"/>
          <w:lang w:val="en-US"/>
        </w:rPr>
        <w:t xml:space="preserve">inventions and </w:t>
      </w:r>
      <w:r w:rsidR="00CD689B" w:rsidRPr="008C7198">
        <w:rPr>
          <w:rFonts w:cs="Times New Roman"/>
          <w:color w:val="002060"/>
          <w:lang w:val="en-US"/>
        </w:rPr>
        <w:t>innovations</w:t>
      </w:r>
      <w:r w:rsidR="00990F69" w:rsidRPr="008C7198">
        <w:rPr>
          <w:rFonts w:cs="Times New Roman"/>
          <w:color w:val="002060"/>
          <w:lang w:val="en-US"/>
        </w:rPr>
        <w:t xml:space="preserve">, as well as extreme weather events brought about by climate change, such as the massive 2019 Australian bushfires, </w:t>
      </w:r>
      <w:r w:rsidR="00F96ECB" w:rsidRPr="008C7198">
        <w:rPr>
          <w:rFonts w:cs="Times New Roman"/>
          <w:color w:val="002060"/>
          <w:lang w:val="en-US"/>
        </w:rPr>
        <w:t xml:space="preserve">are </w:t>
      </w:r>
      <w:r w:rsidR="00BB2AC6" w:rsidRPr="008C7198">
        <w:rPr>
          <w:rFonts w:cs="Times New Roman"/>
          <w:color w:val="002060"/>
          <w:lang w:val="en-US"/>
        </w:rPr>
        <w:t>challenging</w:t>
      </w:r>
      <w:r w:rsidR="00F96ECB" w:rsidRPr="008C7198">
        <w:rPr>
          <w:rFonts w:cs="Times New Roman"/>
          <w:color w:val="002060"/>
          <w:lang w:val="en-US"/>
        </w:rPr>
        <w:t xml:space="preserve"> the very existence</w:t>
      </w:r>
      <w:r w:rsidR="00F645EC" w:rsidRPr="008C7198">
        <w:rPr>
          <w:rFonts w:cs="Times New Roman"/>
          <w:color w:val="002060"/>
          <w:lang w:val="en-US"/>
        </w:rPr>
        <w:t xml:space="preserve">, </w:t>
      </w:r>
      <w:proofErr w:type="gramStart"/>
      <w:r w:rsidR="00F645EC" w:rsidRPr="008C7198">
        <w:rPr>
          <w:rFonts w:cs="Times New Roman"/>
          <w:color w:val="002060"/>
          <w:lang w:val="en-US"/>
        </w:rPr>
        <w:t>form</w:t>
      </w:r>
      <w:proofErr w:type="gramEnd"/>
      <w:r w:rsidR="00F96ECB" w:rsidRPr="008C7198">
        <w:rPr>
          <w:rFonts w:cs="Times New Roman"/>
          <w:color w:val="002060"/>
          <w:lang w:val="en-US"/>
        </w:rPr>
        <w:t xml:space="preserve"> and future of h</w:t>
      </w:r>
      <w:r w:rsidR="00F645EC" w:rsidRPr="008C7198">
        <w:rPr>
          <w:rFonts w:cs="Times New Roman"/>
          <w:color w:val="002060"/>
          <w:lang w:val="en-US"/>
        </w:rPr>
        <w:t xml:space="preserve">omo sapiens, </w:t>
      </w:r>
      <w:r w:rsidR="00F96ECB" w:rsidRPr="008C7198">
        <w:rPr>
          <w:rFonts w:cs="Times New Roman"/>
          <w:color w:val="002060"/>
          <w:lang w:val="en-US"/>
        </w:rPr>
        <w:t xml:space="preserve">and other species on planet Earth. </w:t>
      </w:r>
      <w:r w:rsidR="0040119E" w:rsidRPr="008C7198">
        <w:rPr>
          <w:rFonts w:cs="Times New Roman"/>
          <w:color w:val="002060"/>
          <w:lang w:val="en-US"/>
        </w:rPr>
        <w:t>For all these reasons, the special issue is topical and timely.</w:t>
      </w:r>
    </w:p>
    <w:p w14:paraId="192B047E" w14:textId="77777777" w:rsidR="00FC316E" w:rsidRPr="008C7198" w:rsidRDefault="00FC316E">
      <w:pPr>
        <w:rPr>
          <w:rFonts w:cs="Times New Roman"/>
          <w:color w:val="002060"/>
          <w:lang w:val="en-US"/>
        </w:rPr>
      </w:pPr>
    </w:p>
    <w:p w14:paraId="1444A466" w14:textId="438315F9" w:rsidR="001353C6" w:rsidRPr="008C7198" w:rsidRDefault="00F96ECB" w:rsidP="007A6261">
      <w:pPr>
        <w:tabs>
          <w:tab w:val="left" w:pos="6804"/>
          <w:tab w:val="left" w:pos="8931"/>
        </w:tabs>
        <w:ind w:right="-52"/>
        <w:rPr>
          <w:rFonts w:cs="Times New Roman"/>
          <w:color w:val="002060"/>
          <w:lang w:val="en-US"/>
        </w:rPr>
      </w:pPr>
      <w:r w:rsidRPr="008C7198">
        <w:rPr>
          <w:rFonts w:cs="Times New Roman"/>
          <w:color w:val="002060"/>
          <w:lang w:val="en-US"/>
        </w:rPr>
        <w:t>T</w:t>
      </w:r>
      <w:r w:rsidR="00B01C6E" w:rsidRPr="008C7198">
        <w:rPr>
          <w:rFonts w:cs="Times New Roman"/>
          <w:color w:val="002060"/>
          <w:lang w:val="en-US"/>
        </w:rPr>
        <w:t xml:space="preserve">he roots of the issues we explore pre-date contemporary </w:t>
      </w:r>
      <w:r w:rsidR="0040119E" w:rsidRPr="008C7198">
        <w:rPr>
          <w:rFonts w:cs="Times New Roman"/>
          <w:color w:val="002060"/>
          <w:lang w:val="en-US"/>
        </w:rPr>
        <w:t>crises</w:t>
      </w:r>
      <w:r w:rsidR="00874FF2" w:rsidRPr="008C7198">
        <w:rPr>
          <w:rFonts w:cs="Times New Roman"/>
          <w:color w:val="002060"/>
          <w:lang w:val="en-US"/>
        </w:rPr>
        <w:t xml:space="preserve">. Indeed, </w:t>
      </w:r>
      <w:r w:rsidRPr="008C7198">
        <w:rPr>
          <w:rFonts w:cs="Times New Roman"/>
          <w:color w:val="002060"/>
          <w:lang w:val="en-US"/>
        </w:rPr>
        <w:t xml:space="preserve">in the last century, at least in the ‘West’, </w:t>
      </w:r>
      <w:r w:rsidR="00874FF2" w:rsidRPr="008C7198">
        <w:rPr>
          <w:rFonts w:cs="Times New Roman"/>
          <w:color w:val="002060"/>
          <w:lang w:val="en-US"/>
        </w:rPr>
        <w:t>they</w:t>
      </w:r>
      <w:r w:rsidR="00B01C6E" w:rsidRPr="008C7198">
        <w:rPr>
          <w:rFonts w:cs="Times New Roman"/>
          <w:color w:val="002060"/>
          <w:lang w:val="en-US"/>
        </w:rPr>
        <w:t xml:space="preserve"> reach </w:t>
      </w:r>
      <w:r w:rsidR="00CA7BD9" w:rsidRPr="008C7198">
        <w:rPr>
          <w:rFonts w:cs="Times New Roman"/>
          <w:color w:val="002060"/>
          <w:lang w:val="en-US"/>
        </w:rPr>
        <w:t xml:space="preserve">further afield to the USA, and thinkers such as Walter Lippmann and John Dewey, and </w:t>
      </w:r>
      <w:r w:rsidR="00B01C6E" w:rsidRPr="008C7198">
        <w:rPr>
          <w:rFonts w:cs="Times New Roman"/>
          <w:color w:val="002060"/>
          <w:lang w:val="en-US"/>
        </w:rPr>
        <w:t xml:space="preserve">further </w:t>
      </w:r>
      <w:r w:rsidR="00CA7BD9" w:rsidRPr="008C7198">
        <w:rPr>
          <w:rFonts w:cs="Times New Roman"/>
          <w:color w:val="002060"/>
          <w:lang w:val="en-US"/>
        </w:rPr>
        <w:t xml:space="preserve">back </w:t>
      </w:r>
      <w:r w:rsidR="00B01C6E" w:rsidRPr="008C7198">
        <w:rPr>
          <w:rFonts w:cs="Times New Roman"/>
          <w:color w:val="002060"/>
          <w:lang w:val="en-US"/>
        </w:rPr>
        <w:t>in time</w:t>
      </w:r>
      <w:r w:rsidR="007F5EE5" w:rsidRPr="008C7198">
        <w:rPr>
          <w:rFonts w:cs="Times New Roman"/>
          <w:color w:val="002060"/>
          <w:lang w:val="en-US"/>
        </w:rPr>
        <w:t xml:space="preserve"> </w:t>
      </w:r>
      <w:r w:rsidR="00B01C6E" w:rsidRPr="008C7198">
        <w:rPr>
          <w:rFonts w:cs="Times New Roman"/>
          <w:color w:val="002060"/>
          <w:lang w:val="en-US"/>
        </w:rPr>
        <w:t>to events such as the Colloque Walter Lippmann – an international congress held in Pa</w:t>
      </w:r>
      <w:r w:rsidR="00CA7BD9" w:rsidRPr="008C7198">
        <w:rPr>
          <w:rFonts w:cs="Times New Roman"/>
          <w:color w:val="002060"/>
          <w:lang w:val="en-US"/>
        </w:rPr>
        <w:t>ris in 1938</w:t>
      </w:r>
      <w:r w:rsidR="003C1314" w:rsidRPr="008C7198">
        <w:rPr>
          <w:rFonts w:cs="Times New Roman"/>
          <w:color w:val="002060"/>
          <w:lang w:val="en-US"/>
        </w:rPr>
        <w:t xml:space="preserve"> and the forerunner of the </w:t>
      </w:r>
      <w:r w:rsidR="00891083" w:rsidRPr="008C7198">
        <w:rPr>
          <w:rFonts w:cs="Times New Roman"/>
          <w:color w:val="002060"/>
          <w:lang w:val="en-US"/>
        </w:rPr>
        <w:t>p</w:t>
      </w:r>
      <w:r w:rsidR="003C1314" w:rsidRPr="008C7198">
        <w:rPr>
          <w:rFonts w:cs="Times New Roman"/>
          <w:color w:val="002060"/>
          <w:lang w:val="en-US"/>
        </w:rPr>
        <w:t>ost</w:t>
      </w:r>
      <w:r w:rsidR="00891083" w:rsidRPr="008C7198">
        <w:rPr>
          <w:rFonts w:cs="Times New Roman"/>
          <w:color w:val="002060"/>
          <w:lang w:val="en-US"/>
        </w:rPr>
        <w:t>-</w:t>
      </w:r>
      <w:r w:rsidR="003C1314" w:rsidRPr="008C7198">
        <w:rPr>
          <w:rFonts w:cs="Times New Roman"/>
          <w:color w:val="002060"/>
          <w:lang w:val="en-US"/>
        </w:rPr>
        <w:t xml:space="preserve">WWII Mont </w:t>
      </w:r>
      <w:proofErr w:type="spellStart"/>
      <w:r w:rsidR="003C1314" w:rsidRPr="008C7198">
        <w:rPr>
          <w:rFonts w:cs="Times New Roman"/>
          <w:color w:val="002060"/>
          <w:lang w:val="en-US"/>
        </w:rPr>
        <w:t>Pelerin</w:t>
      </w:r>
      <w:proofErr w:type="spellEnd"/>
      <w:r w:rsidR="003C1314" w:rsidRPr="008C7198">
        <w:rPr>
          <w:rFonts w:cs="Times New Roman"/>
          <w:color w:val="002060"/>
          <w:lang w:val="en-US"/>
        </w:rPr>
        <w:t xml:space="preserve"> Society – </w:t>
      </w:r>
      <w:r w:rsidR="00CA7BD9" w:rsidRPr="008C7198">
        <w:rPr>
          <w:rFonts w:cs="Times New Roman"/>
          <w:color w:val="002060"/>
          <w:lang w:val="en-US"/>
        </w:rPr>
        <w:t>at which intellectu</w:t>
      </w:r>
      <w:r w:rsidR="00B01C6E" w:rsidRPr="008C7198">
        <w:rPr>
          <w:rFonts w:cs="Times New Roman"/>
          <w:color w:val="002060"/>
          <w:lang w:val="en-US"/>
        </w:rPr>
        <w:t xml:space="preserve">als, civil servants and business </w:t>
      </w:r>
      <w:r w:rsidR="005640BF" w:rsidRPr="008C7198">
        <w:rPr>
          <w:rFonts w:cs="Times New Roman"/>
          <w:color w:val="002060"/>
          <w:lang w:val="en-US"/>
        </w:rPr>
        <w:t>leaders</w:t>
      </w:r>
      <w:r w:rsidR="00B01C6E" w:rsidRPr="008C7198">
        <w:rPr>
          <w:rFonts w:cs="Times New Roman"/>
          <w:color w:val="002060"/>
          <w:lang w:val="en-US"/>
        </w:rPr>
        <w:t xml:space="preserve"> met to debate the ideas outlined in </w:t>
      </w:r>
      <w:r w:rsidR="00CA7BD9" w:rsidRPr="008C7198">
        <w:rPr>
          <w:rFonts w:cs="Times New Roman"/>
          <w:color w:val="002060"/>
          <w:lang w:val="en-US"/>
        </w:rPr>
        <w:t>Lippmann’s various books, including,</w:t>
      </w:r>
      <w:r w:rsidR="005640BF" w:rsidRPr="008C7198">
        <w:rPr>
          <w:rFonts w:cs="Times New Roman"/>
          <w:color w:val="002060"/>
          <w:lang w:val="en-US"/>
        </w:rPr>
        <w:t xml:space="preserve"> </w:t>
      </w:r>
      <w:r w:rsidR="005640BF" w:rsidRPr="008C7198">
        <w:rPr>
          <w:rFonts w:cs="Times New Roman"/>
          <w:i/>
          <w:color w:val="002060"/>
          <w:lang w:val="en-US"/>
        </w:rPr>
        <w:t>Public Opinion</w:t>
      </w:r>
      <w:r w:rsidR="005640BF" w:rsidRPr="008C7198">
        <w:rPr>
          <w:rFonts w:cs="Times New Roman"/>
          <w:color w:val="002060"/>
          <w:lang w:val="en-US"/>
        </w:rPr>
        <w:t xml:space="preserve"> (1922),</w:t>
      </w:r>
      <w:r w:rsidR="00CA7BD9" w:rsidRPr="008C7198">
        <w:rPr>
          <w:rFonts w:cs="Times New Roman"/>
          <w:color w:val="002060"/>
          <w:lang w:val="en-US"/>
        </w:rPr>
        <w:t xml:space="preserve"> </w:t>
      </w:r>
      <w:r w:rsidR="00CA7BD9" w:rsidRPr="008C7198">
        <w:rPr>
          <w:rFonts w:cs="Times New Roman"/>
          <w:i/>
          <w:color w:val="002060"/>
          <w:lang w:val="en-US"/>
        </w:rPr>
        <w:t>The Phantom Public</w:t>
      </w:r>
      <w:r w:rsidR="005640BF" w:rsidRPr="008C7198">
        <w:rPr>
          <w:rFonts w:cs="Times New Roman"/>
          <w:i/>
          <w:color w:val="002060"/>
          <w:lang w:val="en-US"/>
        </w:rPr>
        <w:t xml:space="preserve"> </w:t>
      </w:r>
      <w:r w:rsidR="005640BF" w:rsidRPr="008C7198">
        <w:rPr>
          <w:rFonts w:cs="Times New Roman"/>
          <w:color w:val="002060"/>
          <w:lang w:val="en-US"/>
        </w:rPr>
        <w:t xml:space="preserve">(1925) and </w:t>
      </w:r>
      <w:r w:rsidR="005640BF" w:rsidRPr="008C7198">
        <w:rPr>
          <w:rFonts w:cs="Times New Roman"/>
          <w:i/>
          <w:color w:val="002060"/>
          <w:lang w:val="en-US"/>
        </w:rPr>
        <w:t xml:space="preserve">The Good Society </w:t>
      </w:r>
      <w:r w:rsidR="005640BF" w:rsidRPr="008C7198">
        <w:rPr>
          <w:rFonts w:cs="Times New Roman"/>
          <w:color w:val="002060"/>
          <w:lang w:val="en-US"/>
        </w:rPr>
        <w:t>(1937). I</w:t>
      </w:r>
      <w:r w:rsidR="00CA7BD9" w:rsidRPr="008C7198">
        <w:rPr>
          <w:rFonts w:cs="Times New Roman"/>
          <w:color w:val="002060"/>
          <w:lang w:val="en-US"/>
        </w:rPr>
        <w:t xml:space="preserve">n </w:t>
      </w:r>
      <w:r w:rsidR="005640BF" w:rsidRPr="008C7198">
        <w:rPr>
          <w:rFonts w:cs="Times New Roman"/>
          <w:color w:val="002060"/>
          <w:lang w:val="en-US"/>
        </w:rPr>
        <w:t>these works,</w:t>
      </w:r>
      <w:r w:rsidR="00CA7BD9" w:rsidRPr="008C7198">
        <w:rPr>
          <w:rFonts w:cs="Times New Roman"/>
          <w:color w:val="002060"/>
          <w:lang w:val="en-US"/>
        </w:rPr>
        <w:t xml:space="preserve"> Lippmann argued that the ‘public’ is an illusion</w:t>
      </w:r>
      <w:r w:rsidR="00874FF2" w:rsidRPr="008C7198">
        <w:rPr>
          <w:rFonts w:cs="Times New Roman"/>
          <w:color w:val="002060"/>
          <w:lang w:val="en-US"/>
        </w:rPr>
        <w:t>, a fantasy</w:t>
      </w:r>
      <w:r w:rsidR="00CA7BD9" w:rsidRPr="008C7198">
        <w:rPr>
          <w:rFonts w:cs="Times New Roman"/>
          <w:color w:val="002060"/>
          <w:lang w:val="en-US"/>
        </w:rPr>
        <w:t>, while government</w:t>
      </w:r>
      <w:r w:rsidR="00874FF2" w:rsidRPr="008C7198">
        <w:rPr>
          <w:rFonts w:cs="Times New Roman"/>
          <w:color w:val="002060"/>
          <w:lang w:val="en-US"/>
        </w:rPr>
        <w:t>, instead of seeking to embody this collective</w:t>
      </w:r>
      <w:r w:rsidR="00CA7BD9" w:rsidRPr="008C7198">
        <w:rPr>
          <w:rFonts w:cs="Times New Roman"/>
          <w:color w:val="002060"/>
          <w:lang w:val="en-US"/>
        </w:rPr>
        <w:t xml:space="preserve"> </w:t>
      </w:r>
      <w:r w:rsidR="00874FF2" w:rsidRPr="008C7198">
        <w:rPr>
          <w:rFonts w:cs="Times New Roman"/>
          <w:color w:val="002060"/>
          <w:lang w:val="en-US"/>
        </w:rPr>
        <w:t>myth, should</w:t>
      </w:r>
      <w:r w:rsidR="00CA7BD9" w:rsidRPr="008C7198">
        <w:rPr>
          <w:rFonts w:cs="Times New Roman"/>
          <w:color w:val="002060"/>
          <w:lang w:val="en-US"/>
        </w:rPr>
        <w:t xml:space="preserve"> primarily </w:t>
      </w:r>
      <w:r w:rsidR="00874FF2" w:rsidRPr="008C7198">
        <w:rPr>
          <w:rFonts w:cs="Times New Roman"/>
          <w:color w:val="002060"/>
          <w:lang w:val="en-US"/>
        </w:rPr>
        <w:t xml:space="preserve">be viewed as </w:t>
      </w:r>
      <w:r w:rsidR="00CA7BD9" w:rsidRPr="008C7198">
        <w:rPr>
          <w:rFonts w:cs="Times New Roman"/>
          <w:color w:val="002060"/>
          <w:lang w:val="en-US"/>
        </w:rPr>
        <w:t>an administrative problem to be solved as efficiently as possible, thereby enabling people to get on with</w:t>
      </w:r>
      <w:r w:rsidR="008F0628" w:rsidRPr="008C7198">
        <w:rPr>
          <w:rFonts w:cs="Times New Roman"/>
          <w:color w:val="002060"/>
          <w:lang w:val="en-US"/>
        </w:rPr>
        <w:t xml:space="preserve"> </w:t>
      </w:r>
      <w:r w:rsidR="00CA7BD9" w:rsidRPr="008C7198">
        <w:rPr>
          <w:rFonts w:cs="Times New Roman"/>
          <w:color w:val="002060"/>
          <w:lang w:val="en-US"/>
        </w:rPr>
        <w:t xml:space="preserve">their individualistic pursuits. </w:t>
      </w:r>
      <w:r w:rsidR="005640BF" w:rsidRPr="008C7198">
        <w:rPr>
          <w:rFonts w:cs="Times New Roman"/>
          <w:color w:val="002060"/>
          <w:lang w:val="en-US"/>
        </w:rPr>
        <w:t>Dewey</w:t>
      </w:r>
      <w:r w:rsidR="00030ECB" w:rsidRPr="008C7198">
        <w:rPr>
          <w:rFonts w:cs="Times New Roman"/>
          <w:color w:val="002060"/>
          <w:lang w:val="en-US"/>
        </w:rPr>
        <w:t xml:space="preserve">, in </w:t>
      </w:r>
      <w:r w:rsidR="00030ECB" w:rsidRPr="008C7198">
        <w:rPr>
          <w:rFonts w:cs="Times New Roman"/>
          <w:i/>
          <w:color w:val="002060"/>
          <w:lang w:val="en-US"/>
        </w:rPr>
        <w:t>The Public and its Problems</w:t>
      </w:r>
      <w:r w:rsidR="00030ECB" w:rsidRPr="008C7198">
        <w:rPr>
          <w:rFonts w:cs="Times New Roman"/>
          <w:color w:val="002060"/>
          <w:lang w:val="en-US"/>
        </w:rPr>
        <w:t xml:space="preserve"> (1927)</w:t>
      </w:r>
      <w:r w:rsidR="005640BF" w:rsidRPr="008C7198">
        <w:rPr>
          <w:rFonts w:cs="Times New Roman"/>
          <w:color w:val="002060"/>
          <w:lang w:val="en-US"/>
        </w:rPr>
        <w:t>, ironically, agreed with Lippmann’s view that the modern world was becoming too complex for any citizen to grasp all its aspects; but Dewey, unlike Lippmann, believed that the public (actually, a composite of many</w:t>
      </w:r>
      <w:r w:rsidR="00FC316E" w:rsidRPr="008C7198">
        <w:rPr>
          <w:rFonts w:cs="Times New Roman"/>
          <w:color w:val="002060"/>
          <w:lang w:val="en-US"/>
        </w:rPr>
        <w:t xml:space="preserve"> diverse</w:t>
      </w:r>
      <w:r w:rsidR="005640BF" w:rsidRPr="008C7198">
        <w:rPr>
          <w:rFonts w:cs="Times New Roman"/>
          <w:color w:val="002060"/>
          <w:lang w:val="en-US"/>
        </w:rPr>
        <w:t xml:space="preserve"> “publics” within </w:t>
      </w:r>
      <w:r w:rsidR="00FC316E" w:rsidRPr="008C7198">
        <w:rPr>
          <w:rFonts w:cs="Times New Roman"/>
          <w:color w:val="002060"/>
          <w:lang w:val="en-US"/>
        </w:rPr>
        <w:t xml:space="preserve">any given </w:t>
      </w:r>
      <w:r w:rsidR="005640BF" w:rsidRPr="008C7198">
        <w:rPr>
          <w:rFonts w:cs="Times New Roman"/>
          <w:color w:val="002060"/>
          <w:lang w:val="en-US"/>
        </w:rPr>
        <w:t>society) could form a “</w:t>
      </w:r>
      <w:hyperlink r:id="rId12" w:tooltip="Great Community (page does not exist)" w:history="1">
        <w:r w:rsidR="005640BF" w:rsidRPr="008C7198">
          <w:rPr>
            <w:rFonts w:cs="Times New Roman"/>
            <w:color w:val="002060"/>
            <w:lang w:val="en-US"/>
          </w:rPr>
          <w:t>Great Community</w:t>
        </w:r>
      </w:hyperlink>
      <w:r w:rsidR="005640BF" w:rsidRPr="008C7198">
        <w:rPr>
          <w:rFonts w:cs="Times New Roman"/>
          <w:color w:val="002060"/>
          <w:lang w:val="en-US"/>
        </w:rPr>
        <w:t>” and that the members comprising such a community, individually and collectively, could become educated about issues, come to judgments and arrive at solutions to the societal problems confronting them.</w:t>
      </w:r>
      <w:r w:rsidR="00030ECB" w:rsidRPr="008C7198">
        <w:rPr>
          <w:rFonts w:cs="Times New Roman"/>
          <w:color w:val="002060"/>
          <w:lang w:val="en-US"/>
        </w:rPr>
        <w:t xml:space="preserve"> Dewey vociferously rejected Lippmann’s idea that democratic life in </w:t>
      </w:r>
      <w:r w:rsidR="00030ECB" w:rsidRPr="008C7198">
        <w:rPr>
          <w:rFonts w:cs="Times New Roman"/>
          <w:color w:val="002060"/>
          <w:lang w:val="en-US"/>
        </w:rPr>
        <w:lastRenderedPageBreak/>
        <w:t>complex modern societies is best left to experts, arguing that democratic life requires local knowledge and communal vision beyond mere expertise.</w:t>
      </w:r>
      <w:r w:rsidR="001353C6" w:rsidRPr="008C7198">
        <w:rPr>
          <w:rFonts w:cs="Times New Roman"/>
          <w:color w:val="002060"/>
          <w:lang w:val="en-US"/>
        </w:rPr>
        <w:t xml:space="preserve"> Simplifying somewhat, it can be argued that Dewey’s vision was evident in the progressive directions taken by education until at least</w:t>
      </w:r>
      <w:r w:rsidR="00F645EC" w:rsidRPr="008C7198">
        <w:rPr>
          <w:rFonts w:cs="Times New Roman"/>
          <w:color w:val="002060"/>
          <w:lang w:val="en-US"/>
        </w:rPr>
        <w:t xml:space="preserve"> into</w:t>
      </w:r>
      <w:r w:rsidR="001353C6" w:rsidRPr="008C7198">
        <w:rPr>
          <w:rFonts w:cs="Times New Roman"/>
          <w:color w:val="002060"/>
          <w:lang w:val="en-US"/>
        </w:rPr>
        <w:t xml:space="preserve"> the </w:t>
      </w:r>
      <w:proofErr w:type="gramStart"/>
      <w:r w:rsidR="001353C6" w:rsidRPr="008C7198">
        <w:rPr>
          <w:rFonts w:cs="Times New Roman"/>
          <w:color w:val="002060"/>
          <w:lang w:val="en-US"/>
        </w:rPr>
        <w:t>1980s, and</w:t>
      </w:r>
      <w:proofErr w:type="gramEnd"/>
      <w:r w:rsidR="001353C6" w:rsidRPr="008C7198">
        <w:rPr>
          <w:rFonts w:cs="Times New Roman"/>
          <w:color w:val="002060"/>
          <w:lang w:val="en-US"/>
        </w:rPr>
        <w:t xml:space="preserve"> </w:t>
      </w:r>
      <w:r w:rsidR="00937C7C" w:rsidRPr="008C7198">
        <w:rPr>
          <w:rFonts w:cs="Times New Roman"/>
          <w:color w:val="002060"/>
          <w:lang w:val="en-US"/>
        </w:rPr>
        <w:t xml:space="preserve">remains </w:t>
      </w:r>
      <w:r w:rsidR="001353C6" w:rsidRPr="008C7198">
        <w:rPr>
          <w:rFonts w:cs="Times New Roman"/>
          <w:color w:val="002060"/>
          <w:lang w:val="en-US"/>
        </w:rPr>
        <w:t>alive in pockets of alternative education</w:t>
      </w:r>
      <w:r w:rsidR="003D41D9" w:rsidRPr="008C7198">
        <w:rPr>
          <w:rFonts w:cs="Times New Roman"/>
          <w:color w:val="002060"/>
          <w:lang w:val="en-US"/>
        </w:rPr>
        <w:t xml:space="preserve"> (Mills &amp; McGregor, 2014)</w:t>
      </w:r>
      <w:r w:rsidR="001353C6" w:rsidRPr="008C7198">
        <w:rPr>
          <w:rFonts w:cs="Times New Roman"/>
          <w:color w:val="002060"/>
          <w:lang w:val="en-US"/>
        </w:rPr>
        <w:t>. Meanwhile, Lippmann’s technocratic vision underpins the contemporary neoliberal educational imaginary</w:t>
      </w:r>
      <w:r w:rsidR="00D46B52" w:rsidRPr="008C7198">
        <w:rPr>
          <w:rFonts w:cs="Times New Roman"/>
          <w:color w:val="002060"/>
          <w:lang w:val="en-US"/>
        </w:rPr>
        <w:t xml:space="preserve"> that, with its logics of competition, instrumentalism and </w:t>
      </w:r>
      <w:proofErr w:type="spellStart"/>
      <w:r w:rsidR="00D46B52" w:rsidRPr="008C7198">
        <w:rPr>
          <w:rFonts w:cs="Times New Roman"/>
          <w:color w:val="002060"/>
          <w:lang w:val="en-US"/>
        </w:rPr>
        <w:t>atomisation</w:t>
      </w:r>
      <w:proofErr w:type="spellEnd"/>
      <w:r w:rsidR="00D46B52" w:rsidRPr="008C7198">
        <w:rPr>
          <w:rFonts w:cs="Times New Roman"/>
          <w:color w:val="002060"/>
          <w:lang w:val="en-US"/>
        </w:rPr>
        <w:t xml:space="preserve"> (</w:t>
      </w:r>
      <w:proofErr w:type="spellStart"/>
      <w:r w:rsidR="00D46B52" w:rsidRPr="008C7198">
        <w:rPr>
          <w:rFonts w:cs="Times New Roman"/>
          <w:color w:val="002060"/>
          <w:lang w:val="en-US"/>
        </w:rPr>
        <w:t>Glynos</w:t>
      </w:r>
      <w:proofErr w:type="spellEnd"/>
      <w:r w:rsidR="00D46B52" w:rsidRPr="008C7198">
        <w:rPr>
          <w:rFonts w:cs="Times New Roman"/>
          <w:color w:val="002060"/>
          <w:lang w:val="en-US"/>
        </w:rPr>
        <w:t xml:space="preserve"> &amp; Howarth, 2007; Clarke, 2012),</w:t>
      </w:r>
      <w:r w:rsidR="001353C6" w:rsidRPr="008C7198">
        <w:rPr>
          <w:rFonts w:cs="Times New Roman"/>
          <w:color w:val="002060"/>
          <w:lang w:val="en-US"/>
        </w:rPr>
        <w:t xml:space="preserve"> </w:t>
      </w:r>
      <w:r w:rsidR="00D46B52" w:rsidRPr="008C7198">
        <w:rPr>
          <w:rFonts w:cs="Times New Roman"/>
          <w:color w:val="002060"/>
          <w:lang w:val="en-US"/>
        </w:rPr>
        <w:t>and</w:t>
      </w:r>
      <w:r w:rsidR="001353C6" w:rsidRPr="008C7198">
        <w:rPr>
          <w:rFonts w:cs="Times New Roman"/>
          <w:color w:val="002060"/>
          <w:lang w:val="en-US"/>
        </w:rPr>
        <w:t xml:space="preserve"> its faith in outcomes</w:t>
      </w:r>
      <w:r w:rsidR="00D46B52" w:rsidRPr="008C7198">
        <w:rPr>
          <w:rFonts w:cs="Times New Roman"/>
          <w:color w:val="002060"/>
          <w:lang w:val="en-US"/>
        </w:rPr>
        <w:t>,</w:t>
      </w:r>
      <w:r w:rsidR="001353C6" w:rsidRPr="008C7198">
        <w:rPr>
          <w:rFonts w:cs="Times New Roman"/>
          <w:color w:val="002060"/>
          <w:lang w:val="en-US"/>
        </w:rPr>
        <w:t xml:space="preserve"> measurement</w:t>
      </w:r>
      <w:r w:rsidR="00D46B52" w:rsidRPr="008C7198">
        <w:rPr>
          <w:rFonts w:cs="Times New Roman"/>
          <w:color w:val="002060"/>
          <w:lang w:val="en-US"/>
        </w:rPr>
        <w:t xml:space="preserve"> and impact,</w:t>
      </w:r>
      <w:r w:rsidR="001353C6" w:rsidRPr="008C7198">
        <w:rPr>
          <w:rFonts w:cs="Times New Roman"/>
          <w:color w:val="002060"/>
          <w:lang w:val="en-US"/>
        </w:rPr>
        <w:t xml:space="preserve"> </w:t>
      </w:r>
      <w:r w:rsidR="00D46B52" w:rsidRPr="008C7198">
        <w:rPr>
          <w:rFonts w:cs="Times New Roman"/>
          <w:color w:val="002060"/>
          <w:lang w:val="en-US"/>
        </w:rPr>
        <w:t>has come</w:t>
      </w:r>
      <w:r w:rsidR="001353C6" w:rsidRPr="008C7198">
        <w:rPr>
          <w:rFonts w:cs="Times New Roman"/>
          <w:color w:val="002060"/>
          <w:lang w:val="en-US"/>
        </w:rPr>
        <w:t xml:space="preserve"> to dominate education in the wake of progressivism.</w:t>
      </w:r>
      <w:r w:rsidR="00D46B52" w:rsidRPr="008C7198">
        <w:rPr>
          <w:rFonts w:cs="Times New Roman"/>
          <w:color w:val="002060"/>
          <w:lang w:val="en-US"/>
        </w:rPr>
        <w:t xml:space="preserve"> </w:t>
      </w:r>
    </w:p>
    <w:p w14:paraId="11DFBE39" w14:textId="77777777" w:rsidR="001353C6" w:rsidRPr="008C7198" w:rsidRDefault="001353C6">
      <w:pPr>
        <w:rPr>
          <w:rFonts w:cs="Times New Roman"/>
          <w:color w:val="002060"/>
          <w:lang w:val="en-US"/>
        </w:rPr>
      </w:pPr>
    </w:p>
    <w:p w14:paraId="15EE5D5A" w14:textId="08F0D1B8" w:rsidR="00A5548F" w:rsidRPr="008C7198" w:rsidRDefault="00D46B52">
      <w:pPr>
        <w:rPr>
          <w:rFonts w:cs="Times New Roman"/>
          <w:color w:val="002060"/>
          <w:lang w:val="en-US"/>
        </w:rPr>
      </w:pPr>
      <w:r w:rsidRPr="008C7198">
        <w:rPr>
          <w:rFonts w:cs="Times New Roman"/>
          <w:color w:val="002060"/>
          <w:lang w:val="en-US"/>
        </w:rPr>
        <w:t>As</w:t>
      </w:r>
      <w:r w:rsidR="00030ECB" w:rsidRPr="008C7198">
        <w:rPr>
          <w:rFonts w:cs="Times New Roman"/>
          <w:color w:val="002060"/>
          <w:lang w:val="en-US"/>
        </w:rPr>
        <w:t xml:space="preserve"> th</w:t>
      </w:r>
      <w:r w:rsidRPr="008C7198">
        <w:rPr>
          <w:rFonts w:cs="Times New Roman"/>
          <w:color w:val="002060"/>
          <w:lang w:val="en-US"/>
        </w:rPr>
        <w:t>is</w:t>
      </w:r>
      <w:r w:rsidR="00030ECB" w:rsidRPr="008C7198">
        <w:rPr>
          <w:rFonts w:cs="Times New Roman"/>
          <w:color w:val="002060"/>
          <w:lang w:val="en-US"/>
        </w:rPr>
        <w:t xml:space="preserve"> brief historical discussion makes clear, </w:t>
      </w:r>
      <w:r w:rsidRPr="008C7198">
        <w:rPr>
          <w:rFonts w:cs="Times New Roman"/>
          <w:color w:val="002060"/>
          <w:lang w:val="en-US"/>
        </w:rPr>
        <w:t xml:space="preserve">developing </w:t>
      </w:r>
      <w:r w:rsidR="00030ECB" w:rsidRPr="008C7198">
        <w:rPr>
          <w:rFonts w:cs="Times New Roman"/>
          <w:color w:val="002060"/>
          <w:lang w:val="en-US"/>
        </w:rPr>
        <w:t>an adequate notion of the ‘public’ must reach beyond</w:t>
      </w:r>
      <w:r w:rsidR="007F5EE5" w:rsidRPr="008C7198">
        <w:rPr>
          <w:rFonts w:cs="Times New Roman"/>
          <w:color w:val="002060"/>
          <w:lang w:val="en-US"/>
        </w:rPr>
        <w:t xml:space="preserve"> </w:t>
      </w:r>
      <w:r w:rsidR="00F645EC" w:rsidRPr="008C7198">
        <w:rPr>
          <w:rFonts w:cs="Times New Roman"/>
          <w:color w:val="002060"/>
          <w:lang w:val="en-US"/>
        </w:rPr>
        <w:t xml:space="preserve">a </w:t>
      </w:r>
      <w:r w:rsidR="007F5EE5" w:rsidRPr="008C7198">
        <w:rPr>
          <w:rFonts w:cs="Times New Roman"/>
          <w:color w:val="002060"/>
          <w:lang w:val="en-US"/>
        </w:rPr>
        <w:t xml:space="preserve">hard and fast distinction between </w:t>
      </w:r>
      <w:r w:rsidRPr="008C7198">
        <w:rPr>
          <w:rFonts w:cs="Times New Roman"/>
          <w:color w:val="002060"/>
          <w:lang w:val="en-US"/>
        </w:rPr>
        <w:t>‘</w:t>
      </w:r>
      <w:r w:rsidR="007F5EE5" w:rsidRPr="008C7198">
        <w:rPr>
          <w:rFonts w:cs="Times New Roman"/>
          <w:color w:val="002060"/>
          <w:lang w:val="en-US"/>
        </w:rPr>
        <w:t>public</w:t>
      </w:r>
      <w:r w:rsidRPr="008C7198">
        <w:rPr>
          <w:rFonts w:cs="Times New Roman"/>
          <w:color w:val="002060"/>
          <w:lang w:val="en-US"/>
        </w:rPr>
        <w:t>’</w:t>
      </w:r>
      <w:r w:rsidR="007F5EE5" w:rsidRPr="008C7198">
        <w:rPr>
          <w:rFonts w:cs="Times New Roman"/>
          <w:color w:val="002060"/>
          <w:lang w:val="en-US"/>
        </w:rPr>
        <w:t xml:space="preserve"> and </w:t>
      </w:r>
      <w:r w:rsidRPr="008C7198">
        <w:rPr>
          <w:rFonts w:cs="Times New Roman"/>
          <w:color w:val="002060"/>
          <w:lang w:val="en-US"/>
        </w:rPr>
        <w:t>‘</w:t>
      </w:r>
      <w:r w:rsidR="007F5EE5" w:rsidRPr="008C7198">
        <w:rPr>
          <w:rFonts w:cs="Times New Roman"/>
          <w:color w:val="002060"/>
          <w:lang w:val="en-US"/>
        </w:rPr>
        <w:t>private</w:t>
      </w:r>
      <w:r w:rsidRPr="008C7198">
        <w:rPr>
          <w:rFonts w:cs="Times New Roman"/>
          <w:color w:val="002060"/>
          <w:lang w:val="en-US"/>
        </w:rPr>
        <w:t>’</w:t>
      </w:r>
      <w:r w:rsidR="007F5EE5" w:rsidRPr="008C7198">
        <w:rPr>
          <w:rFonts w:cs="Times New Roman"/>
          <w:color w:val="002060"/>
          <w:lang w:val="en-US"/>
        </w:rPr>
        <w:t xml:space="preserve"> education based on funding source</w:t>
      </w:r>
      <w:r w:rsidR="00030ECB" w:rsidRPr="008C7198">
        <w:rPr>
          <w:rFonts w:cs="Times New Roman"/>
          <w:color w:val="002060"/>
          <w:lang w:val="en-US"/>
        </w:rPr>
        <w:t xml:space="preserve"> that ha</w:t>
      </w:r>
      <w:r w:rsidRPr="008C7198">
        <w:rPr>
          <w:rFonts w:cs="Times New Roman"/>
          <w:color w:val="002060"/>
          <w:lang w:val="en-US"/>
        </w:rPr>
        <w:t>s</w:t>
      </w:r>
      <w:r w:rsidR="00030ECB" w:rsidRPr="008C7198">
        <w:rPr>
          <w:rFonts w:cs="Times New Roman"/>
          <w:color w:val="002060"/>
          <w:lang w:val="en-US"/>
        </w:rPr>
        <w:t xml:space="preserve"> come to dominate </w:t>
      </w:r>
      <w:r w:rsidR="001353C6" w:rsidRPr="008C7198">
        <w:rPr>
          <w:rFonts w:cs="Times New Roman"/>
          <w:color w:val="002060"/>
          <w:lang w:val="en-US"/>
        </w:rPr>
        <w:t xml:space="preserve">contemporary </w:t>
      </w:r>
      <w:r w:rsidR="00030ECB" w:rsidRPr="008C7198">
        <w:rPr>
          <w:rFonts w:cs="Times New Roman"/>
          <w:color w:val="002060"/>
          <w:lang w:val="en-US"/>
        </w:rPr>
        <w:t>debates</w:t>
      </w:r>
      <w:r w:rsidR="001353C6" w:rsidRPr="008C7198">
        <w:rPr>
          <w:rFonts w:cs="Times New Roman"/>
          <w:color w:val="002060"/>
          <w:lang w:val="en-US"/>
        </w:rPr>
        <w:t xml:space="preserve"> around educational provision</w:t>
      </w:r>
      <w:r w:rsidRPr="008C7198">
        <w:rPr>
          <w:rFonts w:cs="Times New Roman"/>
          <w:color w:val="002060"/>
          <w:lang w:val="en-US"/>
        </w:rPr>
        <w:t xml:space="preserve">. </w:t>
      </w:r>
      <w:r w:rsidR="00602FE1" w:rsidRPr="008C7198">
        <w:rPr>
          <w:rFonts w:cs="Times New Roman"/>
          <w:color w:val="002060"/>
          <w:lang w:val="en-US"/>
        </w:rPr>
        <w:t>In particular, we need to consider the nature of the public today against a febrile and dynamic political context in Europe, with developments including the rise of new nationalisms, the growing popularity of the extreme right, and concerns around migration and movements of people into and within the European Union. These developments – simultaneously symptoms of and influences upon the changing nature of the ‘public’ – are crystalized in the decision of the U</w:t>
      </w:r>
      <w:r w:rsidR="00937C7C" w:rsidRPr="008C7198">
        <w:rPr>
          <w:rFonts w:cs="Times New Roman"/>
          <w:color w:val="002060"/>
          <w:lang w:val="en-US"/>
        </w:rPr>
        <w:t xml:space="preserve">nited </w:t>
      </w:r>
      <w:r w:rsidR="00602FE1" w:rsidRPr="008C7198">
        <w:rPr>
          <w:rFonts w:cs="Times New Roman"/>
          <w:color w:val="002060"/>
          <w:lang w:val="en-US"/>
        </w:rPr>
        <w:t>K</w:t>
      </w:r>
      <w:r w:rsidR="00937C7C" w:rsidRPr="008C7198">
        <w:rPr>
          <w:rFonts w:cs="Times New Roman"/>
          <w:color w:val="002060"/>
          <w:lang w:val="en-US"/>
        </w:rPr>
        <w:t>ingdom</w:t>
      </w:r>
      <w:r w:rsidR="00602FE1" w:rsidRPr="008C7198">
        <w:rPr>
          <w:rFonts w:cs="Times New Roman"/>
          <w:color w:val="002060"/>
          <w:lang w:val="en-US"/>
        </w:rPr>
        <w:t xml:space="preserve"> to depart from the European Union; but they are by no means limited to the UK. Like other nationalist and populist developments in Europe (and elsewhere), the frustrations and desires expressed in the UK in relation to Brexit, to ‘take back control’ and ‘regain sovereignty’, are symptomatic of a loss of identification with globalization and Europe and a resurgence of demands for local and national identification on the part of the ‘public’ or ‘demos’. This volatile and dynamic background</w:t>
      </w:r>
      <w:r w:rsidR="00A5548F" w:rsidRPr="008C7198">
        <w:rPr>
          <w:rFonts w:cs="Times New Roman"/>
          <w:color w:val="002060"/>
          <w:lang w:val="en-US"/>
        </w:rPr>
        <w:t xml:space="preserve"> </w:t>
      </w:r>
      <w:r w:rsidR="00602FE1" w:rsidRPr="008C7198">
        <w:rPr>
          <w:rFonts w:cs="Times New Roman"/>
          <w:color w:val="002060"/>
          <w:lang w:val="en-US"/>
        </w:rPr>
        <w:t xml:space="preserve">raises </w:t>
      </w:r>
      <w:r w:rsidR="00A5548F" w:rsidRPr="008C7198">
        <w:rPr>
          <w:rFonts w:cs="Times New Roman"/>
          <w:color w:val="002060"/>
          <w:lang w:val="en-US"/>
        </w:rPr>
        <w:t>question</w:t>
      </w:r>
      <w:r w:rsidR="00602FE1" w:rsidRPr="008C7198">
        <w:rPr>
          <w:rFonts w:cs="Times New Roman"/>
          <w:color w:val="002060"/>
          <w:lang w:val="en-US"/>
        </w:rPr>
        <w:t>s regarding</w:t>
      </w:r>
      <w:r w:rsidR="00A5548F" w:rsidRPr="008C7198">
        <w:rPr>
          <w:rFonts w:cs="Times New Roman"/>
          <w:color w:val="002060"/>
          <w:lang w:val="en-US"/>
        </w:rPr>
        <w:t xml:space="preserve"> </w:t>
      </w:r>
      <w:r w:rsidR="00A5246B" w:rsidRPr="008C7198">
        <w:rPr>
          <w:rFonts w:cs="Times New Roman"/>
          <w:color w:val="002060"/>
          <w:lang w:val="en-US"/>
        </w:rPr>
        <w:t xml:space="preserve">how </w:t>
      </w:r>
      <w:r w:rsidR="00A5548F" w:rsidRPr="008C7198">
        <w:rPr>
          <w:rFonts w:cs="Times New Roman"/>
          <w:color w:val="002060"/>
          <w:lang w:val="en-US"/>
        </w:rPr>
        <w:t>understandings of, and visions for, public education</w:t>
      </w:r>
      <w:r w:rsidR="00A5246B" w:rsidRPr="008C7198">
        <w:rPr>
          <w:rFonts w:cs="Times New Roman"/>
          <w:color w:val="002060"/>
          <w:lang w:val="en-US"/>
        </w:rPr>
        <w:t xml:space="preserve"> </w:t>
      </w:r>
      <w:r w:rsidR="00A5548F" w:rsidRPr="008C7198">
        <w:rPr>
          <w:rFonts w:cs="Times New Roman"/>
          <w:color w:val="002060"/>
          <w:lang w:val="en-US"/>
        </w:rPr>
        <w:t xml:space="preserve">today </w:t>
      </w:r>
      <w:r w:rsidR="00A5246B" w:rsidRPr="008C7198">
        <w:rPr>
          <w:rFonts w:cs="Times New Roman"/>
          <w:color w:val="002060"/>
          <w:lang w:val="en-US"/>
        </w:rPr>
        <w:t>ha</w:t>
      </w:r>
      <w:r w:rsidR="00A5548F" w:rsidRPr="008C7198">
        <w:rPr>
          <w:rFonts w:cs="Times New Roman"/>
          <w:color w:val="002060"/>
          <w:lang w:val="en-US"/>
        </w:rPr>
        <w:t>ve</w:t>
      </w:r>
      <w:r w:rsidR="00A5246B" w:rsidRPr="008C7198">
        <w:rPr>
          <w:rFonts w:cs="Times New Roman"/>
          <w:color w:val="002060"/>
          <w:lang w:val="en-US"/>
        </w:rPr>
        <w:t xml:space="preserve"> changed from the past </w:t>
      </w:r>
      <w:r w:rsidR="00A5548F" w:rsidRPr="008C7198">
        <w:rPr>
          <w:rFonts w:cs="Times New Roman"/>
          <w:color w:val="002060"/>
          <w:lang w:val="en-US"/>
        </w:rPr>
        <w:t>and</w:t>
      </w:r>
      <w:r w:rsidR="00A5246B" w:rsidRPr="008C7198">
        <w:rPr>
          <w:rFonts w:cs="Times New Roman"/>
          <w:color w:val="002060"/>
          <w:lang w:val="en-US"/>
        </w:rPr>
        <w:t xml:space="preserve"> how </w:t>
      </w:r>
      <w:r w:rsidR="00A5548F" w:rsidRPr="008C7198">
        <w:rPr>
          <w:rFonts w:cs="Times New Roman"/>
          <w:color w:val="002060"/>
          <w:lang w:val="en-US"/>
        </w:rPr>
        <w:t>they</w:t>
      </w:r>
      <w:r w:rsidR="00A5246B" w:rsidRPr="008C7198">
        <w:rPr>
          <w:rFonts w:cs="Times New Roman"/>
          <w:color w:val="002060"/>
          <w:lang w:val="en-US"/>
        </w:rPr>
        <w:t xml:space="preserve"> could </w:t>
      </w:r>
      <w:r w:rsidR="00A5548F" w:rsidRPr="008C7198">
        <w:rPr>
          <w:rFonts w:cs="Times New Roman"/>
          <w:color w:val="002060"/>
          <w:lang w:val="en-US"/>
        </w:rPr>
        <w:t xml:space="preserve">potentially </w:t>
      </w:r>
      <w:r w:rsidR="00A5246B" w:rsidRPr="008C7198">
        <w:rPr>
          <w:rFonts w:cs="Times New Roman"/>
          <w:color w:val="002060"/>
          <w:lang w:val="en-US"/>
        </w:rPr>
        <w:t>develop in the future</w:t>
      </w:r>
      <w:r w:rsidR="007F5EE5" w:rsidRPr="008C7198">
        <w:rPr>
          <w:rFonts w:cs="Times New Roman"/>
          <w:color w:val="002060"/>
          <w:lang w:val="en-US"/>
        </w:rPr>
        <w:t xml:space="preserve">. </w:t>
      </w:r>
    </w:p>
    <w:p w14:paraId="1BB719DB" w14:textId="77777777" w:rsidR="00197C51" w:rsidRPr="008C7198" w:rsidRDefault="00197C51">
      <w:pPr>
        <w:rPr>
          <w:rFonts w:cs="Times New Roman"/>
          <w:color w:val="002060"/>
          <w:lang w:val="en-US"/>
        </w:rPr>
      </w:pPr>
    </w:p>
    <w:p w14:paraId="3DC0554E" w14:textId="43D7541D" w:rsidR="00A7180A" w:rsidRPr="008C7198" w:rsidRDefault="00BB72C9">
      <w:pPr>
        <w:rPr>
          <w:rFonts w:cs="Times New Roman"/>
          <w:color w:val="002060"/>
          <w:lang w:val="en-US"/>
        </w:rPr>
      </w:pPr>
      <w:r w:rsidRPr="008C7198">
        <w:rPr>
          <w:rFonts w:cs="Times New Roman"/>
          <w:color w:val="002060"/>
          <w:lang w:val="en-US"/>
        </w:rPr>
        <w:t xml:space="preserve">Of course, the quest to identify the </w:t>
      </w:r>
      <w:r w:rsidR="00AC5488" w:rsidRPr="008C7198">
        <w:rPr>
          <w:rFonts w:cs="Times New Roman"/>
          <w:color w:val="002060"/>
          <w:lang w:val="en-US"/>
        </w:rPr>
        <w:t xml:space="preserve">underlying </w:t>
      </w:r>
      <w:r w:rsidRPr="008C7198">
        <w:rPr>
          <w:rFonts w:cs="Times New Roman"/>
          <w:color w:val="002060"/>
          <w:lang w:val="en-US"/>
        </w:rPr>
        <w:t>core or essence of the public is something of a chimera</w:t>
      </w:r>
      <w:r w:rsidR="00AC5488" w:rsidRPr="008C7198">
        <w:rPr>
          <w:rFonts w:cs="Times New Roman"/>
          <w:color w:val="002060"/>
          <w:lang w:val="en-US"/>
        </w:rPr>
        <w:t>,</w:t>
      </w:r>
      <w:r w:rsidRPr="008C7198">
        <w:rPr>
          <w:rFonts w:cs="Times New Roman"/>
          <w:color w:val="002060"/>
          <w:lang w:val="en-US"/>
        </w:rPr>
        <w:t xml:space="preserve"> insofar as the public and notions of publicness are discursive constructs that are strategically mobilized in the service of various political and ideological projects. </w:t>
      </w:r>
      <w:r w:rsidR="00AC5488" w:rsidRPr="008C7198">
        <w:rPr>
          <w:rFonts w:cs="Times New Roman"/>
          <w:color w:val="002060"/>
          <w:lang w:val="en-US"/>
        </w:rPr>
        <w:t>At the same time, it is important to recognize that “discursive space is never completely independent of social space and the formation of new kinds of speech can be traced through the emergence of new public sites of discourse and the transformation of old ones” (</w:t>
      </w:r>
      <w:proofErr w:type="spellStart"/>
      <w:r w:rsidR="00AC5488" w:rsidRPr="008C7198">
        <w:rPr>
          <w:rFonts w:cs="Times New Roman"/>
          <w:color w:val="002060"/>
          <w:lang w:val="en-US"/>
        </w:rPr>
        <w:t>Stallybrass</w:t>
      </w:r>
      <w:proofErr w:type="spellEnd"/>
      <w:r w:rsidR="00AC5488" w:rsidRPr="008C7198">
        <w:rPr>
          <w:rFonts w:cs="Times New Roman"/>
          <w:color w:val="002060"/>
          <w:lang w:val="en-US"/>
        </w:rPr>
        <w:t xml:space="preserve"> &amp; White, 1986, p. 80). An acute awareness of the transformations being wrought on the notion of the human and its relations to economy and society led the young Marx</w:t>
      </w:r>
      <w:r w:rsidR="000700C6" w:rsidRPr="008C7198">
        <w:rPr>
          <w:rFonts w:cs="Times New Roman"/>
          <w:color w:val="002060"/>
          <w:lang w:val="en-US"/>
        </w:rPr>
        <w:t xml:space="preserve"> in 1843</w:t>
      </w:r>
      <w:r w:rsidR="00AC5488" w:rsidRPr="008C7198">
        <w:rPr>
          <w:rFonts w:cs="Times New Roman"/>
          <w:color w:val="002060"/>
          <w:lang w:val="en-US"/>
        </w:rPr>
        <w:t xml:space="preserve"> </w:t>
      </w:r>
      <w:r w:rsidR="000700C6" w:rsidRPr="008C7198">
        <w:rPr>
          <w:rFonts w:cs="Times New Roman"/>
          <w:color w:val="002060"/>
          <w:lang w:val="en-US"/>
        </w:rPr>
        <w:t xml:space="preserve">(2000, p. 222) </w:t>
      </w:r>
      <w:r w:rsidR="00AC5488" w:rsidRPr="008C7198">
        <w:rPr>
          <w:rFonts w:cs="Times New Roman"/>
          <w:color w:val="002060"/>
          <w:lang w:val="en-US"/>
        </w:rPr>
        <w:t xml:space="preserve">to lament “the splitting of man [sic] into his </w:t>
      </w:r>
      <w:r w:rsidR="00AC5488" w:rsidRPr="008C7198">
        <w:rPr>
          <w:rFonts w:cs="Times New Roman"/>
          <w:i/>
          <w:iCs/>
          <w:color w:val="002060"/>
          <w:lang w:val="en-US"/>
        </w:rPr>
        <w:t>public</w:t>
      </w:r>
      <w:r w:rsidR="00AC5488" w:rsidRPr="008C7198">
        <w:rPr>
          <w:rFonts w:cs="Times New Roman"/>
          <w:color w:val="002060"/>
          <w:lang w:val="en-US"/>
        </w:rPr>
        <w:t xml:space="preserve"> and his </w:t>
      </w:r>
      <w:r w:rsidR="00AC5488" w:rsidRPr="008C7198">
        <w:rPr>
          <w:rFonts w:cs="Times New Roman"/>
          <w:i/>
          <w:iCs/>
          <w:color w:val="002060"/>
          <w:lang w:val="en-US"/>
        </w:rPr>
        <w:t>private</w:t>
      </w:r>
      <w:r w:rsidR="00AC5488" w:rsidRPr="008C7198">
        <w:rPr>
          <w:rFonts w:cs="Times New Roman"/>
          <w:color w:val="002060"/>
          <w:lang w:val="en-US"/>
        </w:rPr>
        <w:t xml:space="preserve"> self”</w:t>
      </w:r>
      <w:r w:rsidR="000700C6" w:rsidRPr="008C7198">
        <w:rPr>
          <w:rFonts w:cs="Times New Roman"/>
          <w:color w:val="002060"/>
          <w:lang w:val="en-US"/>
        </w:rPr>
        <w:t>. Yet important as this distinction remains, it is our contention that, w</w:t>
      </w:r>
      <w:r w:rsidR="00F90658" w:rsidRPr="008C7198">
        <w:rPr>
          <w:rFonts w:cs="Times New Roman"/>
          <w:color w:val="002060"/>
          <w:lang w:val="en-US"/>
        </w:rPr>
        <w:t>hen considering the issue of publicness i</w:t>
      </w:r>
      <w:r w:rsidR="00197C51" w:rsidRPr="008C7198">
        <w:rPr>
          <w:rFonts w:cs="Times New Roman"/>
          <w:color w:val="002060"/>
          <w:lang w:val="en-US"/>
        </w:rPr>
        <w:t xml:space="preserve">n the context of education, it is important to recognize the multi-dimensional nature of the </w:t>
      </w:r>
      <w:r w:rsidR="00A7180A" w:rsidRPr="008C7198">
        <w:rPr>
          <w:rFonts w:cs="Times New Roman"/>
          <w:color w:val="002060"/>
          <w:lang w:val="en-US"/>
        </w:rPr>
        <w:t>notion of the public</w:t>
      </w:r>
      <w:r w:rsidR="00197C51" w:rsidRPr="008C7198">
        <w:rPr>
          <w:rFonts w:cs="Times New Roman"/>
          <w:color w:val="002060"/>
          <w:lang w:val="en-US"/>
        </w:rPr>
        <w:t xml:space="preserve">. </w:t>
      </w:r>
      <w:r w:rsidR="00AB363B" w:rsidRPr="008C7198">
        <w:rPr>
          <w:rFonts w:cs="Times New Roman"/>
          <w:color w:val="002060"/>
          <w:lang w:val="en-US"/>
        </w:rPr>
        <w:t xml:space="preserve">Our aim in this special issue is to </w:t>
      </w:r>
      <w:r w:rsidR="004E3B60" w:rsidRPr="008C7198">
        <w:rPr>
          <w:rFonts w:cs="Times New Roman"/>
          <w:color w:val="002060"/>
          <w:lang w:val="en-US"/>
        </w:rPr>
        <w:t>embody such multidimensionality in a number of ways – conceptually and contextually.</w:t>
      </w:r>
    </w:p>
    <w:p w14:paraId="7B210754" w14:textId="77777777" w:rsidR="00A7180A" w:rsidRPr="008C7198" w:rsidRDefault="00A7180A">
      <w:pPr>
        <w:rPr>
          <w:rFonts w:cs="Times New Roman"/>
          <w:color w:val="002060"/>
          <w:lang w:val="en-US"/>
        </w:rPr>
      </w:pPr>
    </w:p>
    <w:p w14:paraId="5A67A5F2" w14:textId="3E66A239" w:rsidR="00197C51" w:rsidRPr="008C7198" w:rsidRDefault="004E3B60">
      <w:pPr>
        <w:rPr>
          <w:rFonts w:cs="Times New Roman"/>
          <w:color w:val="002060"/>
          <w:lang w:val="en-US"/>
        </w:rPr>
      </w:pPr>
      <w:r w:rsidRPr="008C7198">
        <w:rPr>
          <w:rFonts w:cs="Times New Roman"/>
          <w:color w:val="002060"/>
          <w:lang w:val="en-US"/>
        </w:rPr>
        <w:t>First, rather than defaulting to a commonsense private-public binary</w:t>
      </w:r>
      <w:r w:rsidR="00197C51" w:rsidRPr="008C7198">
        <w:rPr>
          <w:rFonts w:cs="Times New Roman"/>
          <w:color w:val="002060"/>
          <w:lang w:val="en-US"/>
        </w:rPr>
        <w:t xml:space="preserve">, </w:t>
      </w:r>
      <w:r w:rsidRPr="008C7198">
        <w:rPr>
          <w:rFonts w:cs="Times New Roman"/>
          <w:color w:val="002060"/>
          <w:lang w:val="en-US"/>
        </w:rPr>
        <w:t xml:space="preserve">our multidimensional </w:t>
      </w:r>
      <w:r w:rsidR="00C62892" w:rsidRPr="008C7198">
        <w:rPr>
          <w:rFonts w:cs="Times New Roman"/>
          <w:color w:val="002060"/>
          <w:lang w:val="en-US"/>
        </w:rPr>
        <w:t>perspective encourages us to</w:t>
      </w:r>
      <w:r w:rsidR="00921E5F" w:rsidRPr="008C7198">
        <w:rPr>
          <w:rFonts w:cs="Times New Roman"/>
          <w:color w:val="002060"/>
          <w:lang w:val="en-US"/>
        </w:rPr>
        <w:t xml:space="preserve"> identify at least six</w:t>
      </w:r>
      <w:r w:rsidR="00197C51" w:rsidRPr="008C7198">
        <w:rPr>
          <w:rFonts w:cs="Times New Roman"/>
          <w:color w:val="002060"/>
          <w:lang w:val="en-US"/>
        </w:rPr>
        <w:t xml:space="preserve"> </w:t>
      </w:r>
      <w:r w:rsidR="00F90658" w:rsidRPr="008C7198">
        <w:rPr>
          <w:rFonts w:cs="Times New Roman"/>
          <w:color w:val="002060"/>
          <w:lang w:val="en-US"/>
        </w:rPr>
        <w:t xml:space="preserve">overlapping </w:t>
      </w:r>
      <w:r w:rsidR="00197C51" w:rsidRPr="008C7198">
        <w:rPr>
          <w:rFonts w:cs="Times New Roman"/>
          <w:color w:val="002060"/>
          <w:lang w:val="en-US"/>
        </w:rPr>
        <w:t xml:space="preserve">domains in relation to which school provision varies within and across </w:t>
      </w:r>
      <w:r w:rsidRPr="008C7198">
        <w:rPr>
          <w:rFonts w:cs="Times New Roman"/>
          <w:color w:val="002060"/>
          <w:lang w:val="en-US"/>
        </w:rPr>
        <w:t>time and space</w:t>
      </w:r>
      <w:r w:rsidR="00197C51" w:rsidRPr="008C7198">
        <w:rPr>
          <w:rFonts w:cs="Times New Roman"/>
          <w:color w:val="002060"/>
          <w:lang w:val="en-US"/>
        </w:rPr>
        <w:t xml:space="preserve">. These include: </w:t>
      </w:r>
      <w:r w:rsidR="00921E5F" w:rsidRPr="008C7198">
        <w:rPr>
          <w:rFonts w:cs="Times New Roman"/>
          <w:color w:val="002060"/>
          <w:lang w:val="en-US"/>
        </w:rPr>
        <w:t xml:space="preserve">1.) </w:t>
      </w:r>
      <w:r w:rsidR="00197C51" w:rsidRPr="008C7198">
        <w:rPr>
          <w:rFonts w:cs="Times New Roman"/>
          <w:color w:val="002060"/>
          <w:lang w:val="en-US"/>
        </w:rPr>
        <w:t xml:space="preserve">the </w:t>
      </w:r>
      <w:r w:rsidR="00197C51" w:rsidRPr="008C7198">
        <w:rPr>
          <w:rFonts w:cs="Times New Roman"/>
          <w:i/>
          <w:color w:val="002060"/>
          <w:lang w:val="en-US"/>
        </w:rPr>
        <w:t>purposes</w:t>
      </w:r>
      <w:r w:rsidR="00197C51" w:rsidRPr="008C7198">
        <w:rPr>
          <w:rFonts w:cs="Times New Roman"/>
          <w:color w:val="002060"/>
          <w:lang w:val="en-US"/>
        </w:rPr>
        <w:t xml:space="preserve"> of education and whether it is conceived as a societal or an individual good; </w:t>
      </w:r>
      <w:r w:rsidR="00921E5F" w:rsidRPr="008C7198">
        <w:rPr>
          <w:rFonts w:cs="Times New Roman"/>
          <w:color w:val="002060"/>
          <w:lang w:val="en-US"/>
        </w:rPr>
        <w:t xml:space="preserve">2.) </w:t>
      </w:r>
      <w:r w:rsidR="00F90658" w:rsidRPr="008C7198">
        <w:rPr>
          <w:rFonts w:cs="Times New Roman"/>
          <w:color w:val="002060"/>
          <w:lang w:val="en-US"/>
        </w:rPr>
        <w:t xml:space="preserve">questions of </w:t>
      </w:r>
      <w:r w:rsidR="00F90658" w:rsidRPr="008C7198">
        <w:rPr>
          <w:rFonts w:cs="Times New Roman"/>
          <w:i/>
          <w:color w:val="002060"/>
          <w:lang w:val="en-US"/>
        </w:rPr>
        <w:t>accountability</w:t>
      </w:r>
      <w:r w:rsidR="00F90658" w:rsidRPr="008C7198">
        <w:rPr>
          <w:rFonts w:cs="Times New Roman"/>
          <w:color w:val="002060"/>
          <w:lang w:val="en-US"/>
        </w:rPr>
        <w:t xml:space="preserve"> and the relative weight given to consumerist (e.g. to parents), regulatory (e.g. to inspection bodies) </w:t>
      </w:r>
      <w:r w:rsidR="00921E5F" w:rsidRPr="008C7198">
        <w:rPr>
          <w:rFonts w:cs="Times New Roman"/>
          <w:color w:val="002060"/>
          <w:lang w:val="en-US"/>
        </w:rPr>
        <w:t xml:space="preserve">and </w:t>
      </w:r>
      <w:r w:rsidR="00F90658" w:rsidRPr="008C7198">
        <w:rPr>
          <w:rFonts w:cs="Times New Roman"/>
          <w:color w:val="002060"/>
          <w:lang w:val="en-US"/>
        </w:rPr>
        <w:t xml:space="preserve">professional (e.g. to peers) considerations; </w:t>
      </w:r>
      <w:r w:rsidR="00921E5F" w:rsidRPr="008C7198">
        <w:rPr>
          <w:rFonts w:cs="Times New Roman"/>
          <w:color w:val="002060"/>
          <w:lang w:val="en-US"/>
        </w:rPr>
        <w:t xml:space="preserve">3.) </w:t>
      </w:r>
      <w:r w:rsidR="00197C51" w:rsidRPr="008C7198">
        <w:rPr>
          <w:rFonts w:cs="Times New Roman"/>
          <w:color w:val="002060"/>
          <w:lang w:val="en-US"/>
        </w:rPr>
        <w:t xml:space="preserve">issues of </w:t>
      </w:r>
      <w:r w:rsidR="00197C51" w:rsidRPr="008C7198">
        <w:rPr>
          <w:rFonts w:cs="Times New Roman"/>
          <w:i/>
          <w:color w:val="002060"/>
          <w:lang w:val="en-US"/>
        </w:rPr>
        <w:t>funding</w:t>
      </w:r>
      <w:r w:rsidR="00197C51" w:rsidRPr="008C7198">
        <w:rPr>
          <w:rFonts w:cs="Times New Roman"/>
          <w:color w:val="002060"/>
          <w:lang w:val="en-US"/>
        </w:rPr>
        <w:t>, including the so</w:t>
      </w:r>
      <w:r w:rsidR="00F90658" w:rsidRPr="008C7198">
        <w:rPr>
          <w:rFonts w:cs="Times New Roman"/>
          <w:color w:val="002060"/>
          <w:lang w:val="en-US"/>
        </w:rPr>
        <w:t xml:space="preserve">urce of funding and whether </w:t>
      </w:r>
      <w:r w:rsidR="00905348" w:rsidRPr="008C7198">
        <w:rPr>
          <w:rFonts w:cs="Times New Roman"/>
          <w:color w:val="002060"/>
          <w:lang w:val="en-US"/>
        </w:rPr>
        <w:t>this</w:t>
      </w:r>
      <w:r w:rsidR="00197C51" w:rsidRPr="008C7198">
        <w:rPr>
          <w:rFonts w:cs="Times New Roman"/>
          <w:color w:val="002060"/>
          <w:lang w:val="en-US"/>
        </w:rPr>
        <w:t xml:space="preserve"> involves </w:t>
      </w:r>
      <w:r w:rsidR="00905348" w:rsidRPr="008C7198">
        <w:rPr>
          <w:rFonts w:cs="Times New Roman"/>
          <w:color w:val="002060"/>
          <w:lang w:val="en-US"/>
        </w:rPr>
        <w:t xml:space="preserve">practices of </w:t>
      </w:r>
      <w:r w:rsidR="00197C51" w:rsidRPr="008C7198">
        <w:rPr>
          <w:rFonts w:cs="Times New Roman"/>
          <w:color w:val="002060"/>
          <w:lang w:val="en-US"/>
        </w:rPr>
        <w:t xml:space="preserve">competition and profit; </w:t>
      </w:r>
      <w:r w:rsidR="00921E5F" w:rsidRPr="008C7198">
        <w:rPr>
          <w:rFonts w:cs="Times New Roman"/>
          <w:color w:val="002060"/>
          <w:lang w:val="en-US"/>
        </w:rPr>
        <w:t xml:space="preserve">4.) </w:t>
      </w:r>
      <w:r w:rsidR="00197C51" w:rsidRPr="008C7198">
        <w:rPr>
          <w:rFonts w:cs="Times New Roman"/>
          <w:color w:val="002060"/>
          <w:lang w:val="en-US"/>
        </w:rPr>
        <w:t xml:space="preserve">matters of  </w:t>
      </w:r>
      <w:r w:rsidR="00197C51" w:rsidRPr="008C7198">
        <w:rPr>
          <w:rFonts w:cs="Times New Roman"/>
          <w:i/>
          <w:color w:val="002060"/>
          <w:lang w:val="en-US"/>
        </w:rPr>
        <w:t>governance</w:t>
      </w:r>
      <w:r w:rsidR="00197C51" w:rsidRPr="008C7198">
        <w:rPr>
          <w:rFonts w:cs="Times New Roman"/>
          <w:color w:val="002060"/>
          <w:lang w:val="en-US"/>
        </w:rPr>
        <w:t xml:space="preserve"> including questions of ownership, control</w:t>
      </w:r>
      <w:r w:rsidR="00F90658" w:rsidRPr="008C7198">
        <w:rPr>
          <w:rFonts w:cs="Times New Roman"/>
          <w:color w:val="002060"/>
          <w:lang w:val="en-US"/>
        </w:rPr>
        <w:t>, regulation</w:t>
      </w:r>
      <w:r w:rsidR="00197C51" w:rsidRPr="008C7198">
        <w:rPr>
          <w:rFonts w:cs="Times New Roman"/>
          <w:color w:val="002060"/>
          <w:lang w:val="en-US"/>
        </w:rPr>
        <w:t xml:space="preserve"> and </w:t>
      </w:r>
      <w:r w:rsidR="00F90658" w:rsidRPr="008C7198">
        <w:rPr>
          <w:rFonts w:cs="Times New Roman"/>
          <w:color w:val="002060"/>
          <w:lang w:val="en-US"/>
        </w:rPr>
        <w:t>legal status;</w:t>
      </w:r>
      <w:r w:rsidR="00921E5F" w:rsidRPr="008C7198">
        <w:rPr>
          <w:rFonts w:cs="Times New Roman"/>
          <w:color w:val="002060"/>
          <w:lang w:val="en-US"/>
        </w:rPr>
        <w:t xml:space="preserve"> 5.)</w:t>
      </w:r>
      <w:r w:rsidR="00F90658" w:rsidRPr="008C7198">
        <w:rPr>
          <w:rFonts w:cs="Times New Roman"/>
          <w:color w:val="002060"/>
          <w:lang w:val="en-US"/>
        </w:rPr>
        <w:t xml:space="preserve"> issues of </w:t>
      </w:r>
      <w:r w:rsidR="00F90658" w:rsidRPr="008C7198">
        <w:rPr>
          <w:rFonts w:cs="Times New Roman"/>
          <w:i/>
          <w:color w:val="002060"/>
          <w:lang w:val="en-US"/>
        </w:rPr>
        <w:t>professionalism</w:t>
      </w:r>
      <w:r w:rsidR="00F90658" w:rsidRPr="008C7198">
        <w:rPr>
          <w:rFonts w:cs="Times New Roman"/>
          <w:color w:val="002060"/>
          <w:lang w:val="en-US"/>
        </w:rPr>
        <w:t>, including questions around unionization, outsourcing and contracts</w:t>
      </w:r>
      <w:r w:rsidR="00905348" w:rsidRPr="008C7198">
        <w:rPr>
          <w:rFonts w:cs="Times New Roman"/>
          <w:color w:val="002060"/>
          <w:lang w:val="en-US"/>
        </w:rPr>
        <w:t>; and</w:t>
      </w:r>
      <w:r w:rsidR="00921E5F" w:rsidRPr="008C7198">
        <w:rPr>
          <w:rFonts w:cs="Times New Roman"/>
          <w:color w:val="002060"/>
          <w:lang w:val="en-US"/>
        </w:rPr>
        <w:t xml:space="preserve"> 6.)</w:t>
      </w:r>
      <w:r w:rsidR="00905348" w:rsidRPr="008C7198">
        <w:rPr>
          <w:rFonts w:cs="Times New Roman"/>
          <w:color w:val="002060"/>
          <w:lang w:val="en-US"/>
        </w:rPr>
        <w:t xml:space="preserve"> issues of </w:t>
      </w:r>
      <w:r w:rsidR="00905348" w:rsidRPr="008C7198">
        <w:rPr>
          <w:rFonts w:cs="Times New Roman"/>
          <w:i/>
          <w:color w:val="002060"/>
          <w:lang w:val="en-US"/>
        </w:rPr>
        <w:t>access</w:t>
      </w:r>
      <w:r w:rsidR="00905348" w:rsidRPr="008C7198">
        <w:rPr>
          <w:rFonts w:cs="Times New Roman"/>
          <w:color w:val="002060"/>
          <w:lang w:val="en-US"/>
        </w:rPr>
        <w:t>, including</w:t>
      </w:r>
      <w:r w:rsidR="00F90658" w:rsidRPr="008C7198">
        <w:rPr>
          <w:rFonts w:cs="Times New Roman"/>
          <w:color w:val="002060"/>
          <w:lang w:val="en-US"/>
        </w:rPr>
        <w:t xml:space="preserve"> whether provision is universal or selective (e.g. via fees, achievement, or curricular specialization)</w:t>
      </w:r>
      <w:r w:rsidR="00905348" w:rsidRPr="008C7198">
        <w:rPr>
          <w:rFonts w:cs="Times New Roman"/>
          <w:color w:val="002060"/>
          <w:lang w:val="en-US"/>
        </w:rPr>
        <w:t>.</w:t>
      </w:r>
    </w:p>
    <w:p w14:paraId="706988E9" w14:textId="77777777" w:rsidR="00A5548F" w:rsidRPr="008C7198" w:rsidRDefault="00A5548F">
      <w:pPr>
        <w:rPr>
          <w:rFonts w:cs="Times New Roman"/>
          <w:color w:val="002060"/>
          <w:lang w:val="en-US"/>
        </w:rPr>
      </w:pPr>
    </w:p>
    <w:p w14:paraId="4E7A55E3" w14:textId="1ED2D75A" w:rsidR="000700C6" w:rsidRPr="008C7198" w:rsidRDefault="004E3B60">
      <w:pPr>
        <w:rPr>
          <w:rFonts w:cs="Times New Roman"/>
          <w:color w:val="002060"/>
          <w:lang w:val="en-US"/>
        </w:rPr>
      </w:pPr>
      <w:r w:rsidRPr="008C7198">
        <w:rPr>
          <w:rFonts w:cs="Times New Roman"/>
          <w:color w:val="002060"/>
          <w:lang w:val="en-US"/>
        </w:rPr>
        <w:t>Second</w:t>
      </w:r>
      <w:r w:rsidR="00874FF2" w:rsidRPr="008C7198">
        <w:rPr>
          <w:rFonts w:cs="Times New Roman"/>
          <w:color w:val="002060"/>
          <w:lang w:val="en-US"/>
        </w:rPr>
        <w:t xml:space="preserve">, the </w:t>
      </w:r>
      <w:r w:rsidR="00A5548F" w:rsidRPr="008C7198">
        <w:rPr>
          <w:rFonts w:cs="Times New Roman"/>
          <w:color w:val="002060"/>
          <w:lang w:val="en-US"/>
        </w:rPr>
        <w:t>contributors to</w:t>
      </w:r>
      <w:r w:rsidR="006A22D6" w:rsidRPr="008C7198">
        <w:rPr>
          <w:rFonts w:cs="Times New Roman"/>
          <w:color w:val="002060"/>
          <w:lang w:val="en-US"/>
        </w:rPr>
        <w:t xml:space="preserve"> this </w:t>
      </w:r>
      <w:r w:rsidR="006B1FC5" w:rsidRPr="008C7198">
        <w:rPr>
          <w:rFonts w:cs="Times New Roman"/>
          <w:color w:val="002060"/>
          <w:lang w:val="en-US"/>
        </w:rPr>
        <w:t>special issue</w:t>
      </w:r>
      <w:r w:rsidR="00874FF2" w:rsidRPr="008C7198">
        <w:rPr>
          <w:rFonts w:cs="Times New Roman"/>
          <w:color w:val="002060"/>
          <w:lang w:val="en-US"/>
        </w:rPr>
        <w:t xml:space="preserve"> mobili</w:t>
      </w:r>
      <w:r w:rsidR="006A22D6" w:rsidRPr="008C7198">
        <w:rPr>
          <w:rFonts w:cs="Times New Roman"/>
          <w:color w:val="002060"/>
          <w:lang w:val="en-US"/>
        </w:rPr>
        <w:t>se</w:t>
      </w:r>
      <w:r w:rsidR="00874FF2" w:rsidRPr="008C7198">
        <w:rPr>
          <w:rFonts w:cs="Times New Roman"/>
          <w:color w:val="002060"/>
          <w:lang w:val="en-US"/>
        </w:rPr>
        <w:t xml:space="preserve"> a range of </w:t>
      </w:r>
      <w:proofErr w:type="spellStart"/>
      <w:r w:rsidR="00C62892" w:rsidRPr="008C7198">
        <w:rPr>
          <w:rFonts w:cs="Times New Roman"/>
          <w:color w:val="002060"/>
          <w:lang w:val="en-US"/>
        </w:rPr>
        <w:t>conceptualisations</w:t>
      </w:r>
      <w:proofErr w:type="spellEnd"/>
      <w:r w:rsidR="00C62892" w:rsidRPr="008C7198">
        <w:rPr>
          <w:rFonts w:cs="Times New Roman"/>
          <w:color w:val="002060"/>
          <w:lang w:val="en-US"/>
        </w:rPr>
        <w:t xml:space="preserve"> and </w:t>
      </w:r>
      <w:r w:rsidR="00874FF2" w:rsidRPr="008C7198">
        <w:rPr>
          <w:rFonts w:cs="Times New Roman"/>
          <w:color w:val="002060"/>
          <w:lang w:val="en-US"/>
        </w:rPr>
        <w:t xml:space="preserve">ideas from </w:t>
      </w:r>
      <w:r w:rsidR="00C62892" w:rsidRPr="008C7198">
        <w:rPr>
          <w:rFonts w:cs="Times New Roman"/>
          <w:color w:val="002060"/>
          <w:lang w:val="en-US"/>
        </w:rPr>
        <w:t xml:space="preserve">educational, </w:t>
      </w:r>
      <w:r w:rsidR="00874FF2" w:rsidRPr="008C7198">
        <w:rPr>
          <w:rFonts w:cs="Times New Roman"/>
          <w:color w:val="002060"/>
          <w:lang w:val="en-US"/>
        </w:rPr>
        <w:t>social and political theory. These include</w:t>
      </w:r>
      <w:r w:rsidR="00AD4919" w:rsidRPr="008C7198">
        <w:rPr>
          <w:rFonts w:cs="Times New Roman"/>
          <w:color w:val="002060"/>
          <w:lang w:val="en-US"/>
        </w:rPr>
        <w:t>, amongst others</w:t>
      </w:r>
      <w:r w:rsidR="00266C72" w:rsidRPr="008C7198">
        <w:rPr>
          <w:rFonts w:cs="Times New Roman"/>
          <w:color w:val="002060"/>
          <w:lang w:val="en-US"/>
        </w:rPr>
        <w:t>:</w:t>
      </w:r>
      <w:r w:rsidR="00874FF2" w:rsidRPr="008C7198">
        <w:rPr>
          <w:rFonts w:cs="Times New Roman"/>
          <w:color w:val="002060"/>
          <w:lang w:val="en-US"/>
        </w:rPr>
        <w:t xml:space="preserve"> </w:t>
      </w:r>
      <w:proofErr w:type="spellStart"/>
      <w:r w:rsidR="00874FF2" w:rsidRPr="008C7198">
        <w:rPr>
          <w:rFonts w:cs="Times New Roman"/>
          <w:color w:val="002060"/>
          <w:lang w:val="en-US"/>
        </w:rPr>
        <w:t>Ranci</w:t>
      </w:r>
      <w:r w:rsidR="00A5548F" w:rsidRPr="008C7198">
        <w:rPr>
          <w:rFonts w:cs="Times New Roman"/>
          <w:color w:val="002060"/>
          <w:lang w:val="en-US"/>
        </w:rPr>
        <w:t>è</w:t>
      </w:r>
      <w:r w:rsidR="00874FF2" w:rsidRPr="008C7198">
        <w:rPr>
          <w:rFonts w:cs="Times New Roman"/>
          <w:color w:val="002060"/>
          <w:lang w:val="en-US"/>
        </w:rPr>
        <w:t>re</w:t>
      </w:r>
      <w:proofErr w:type="spellEnd"/>
      <w:r w:rsidR="00874FF2" w:rsidRPr="008C7198">
        <w:rPr>
          <w:rFonts w:cs="Times New Roman"/>
          <w:color w:val="002060"/>
          <w:lang w:val="en-US"/>
        </w:rPr>
        <w:t xml:space="preserve"> </w:t>
      </w:r>
      <w:r w:rsidR="00AD4919" w:rsidRPr="008C7198">
        <w:rPr>
          <w:rFonts w:cs="Times New Roman"/>
          <w:color w:val="002060"/>
          <w:lang w:val="en-US"/>
        </w:rPr>
        <w:t xml:space="preserve">(1999, 2010) </w:t>
      </w:r>
      <w:r w:rsidR="000700C6" w:rsidRPr="008C7198">
        <w:rPr>
          <w:rFonts w:cs="Times New Roman"/>
          <w:color w:val="002060"/>
          <w:lang w:val="en-US"/>
        </w:rPr>
        <w:t xml:space="preserve">and his </w:t>
      </w:r>
      <w:r w:rsidR="00874FF2" w:rsidRPr="008C7198">
        <w:rPr>
          <w:rFonts w:cs="Times New Roman"/>
          <w:color w:val="002060"/>
          <w:lang w:val="en-US"/>
        </w:rPr>
        <w:t>i</w:t>
      </w:r>
      <w:r w:rsidR="000700C6" w:rsidRPr="008C7198">
        <w:rPr>
          <w:rFonts w:cs="Times New Roman"/>
          <w:color w:val="002060"/>
          <w:lang w:val="en-US"/>
        </w:rPr>
        <w:t>nsistence on</w:t>
      </w:r>
      <w:r w:rsidR="00874FF2" w:rsidRPr="008C7198">
        <w:rPr>
          <w:rFonts w:cs="Times New Roman"/>
          <w:color w:val="002060"/>
          <w:lang w:val="en-US"/>
        </w:rPr>
        <w:t xml:space="preserve"> disagreement and dissensus</w:t>
      </w:r>
      <w:r w:rsidR="006A22D6" w:rsidRPr="008C7198">
        <w:rPr>
          <w:rFonts w:cs="Times New Roman"/>
          <w:color w:val="002060"/>
          <w:lang w:val="en-US"/>
        </w:rPr>
        <w:t xml:space="preserve"> as necessary correctives to the enforced </w:t>
      </w:r>
      <w:proofErr w:type="spellStart"/>
      <w:r w:rsidR="006A22D6" w:rsidRPr="008C7198">
        <w:rPr>
          <w:rFonts w:cs="Times New Roman"/>
          <w:color w:val="002060"/>
          <w:lang w:val="en-US"/>
        </w:rPr>
        <w:t>consensualism</w:t>
      </w:r>
      <w:proofErr w:type="spellEnd"/>
      <w:r w:rsidR="006A22D6" w:rsidRPr="008C7198">
        <w:rPr>
          <w:rFonts w:cs="Times New Roman"/>
          <w:color w:val="002060"/>
          <w:lang w:val="en-US"/>
        </w:rPr>
        <w:t xml:space="preserve"> of the ‘police’ order</w:t>
      </w:r>
      <w:r w:rsidR="00266C72" w:rsidRPr="008C7198">
        <w:rPr>
          <w:rFonts w:cs="Times New Roman"/>
          <w:color w:val="002060"/>
          <w:lang w:val="en-US"/>
        </w:rPr>
        <w:t>;</w:t>
      </w:r>
      <w:r w:rsidR="00874FF2" w:rsidRPr="008C7198">
        <w:rPr>
          <w:rFonts w:cs="Times New Roman"/>
          <w:color w:val="002060"/>
          <w:lang w:val="en-US"/>
        </w:rPr>
        <w:t xml:space="preserve"> </w:t>
      </w:r>
      <w:proofErr w:type="spellStart"/>
      <w:r w:rsidR="006A22D6" w:rsidRPr="008C7198">
        <w:rPr>
          <w:rFonts w:cs="Times New Roman"/>
          <w:color w:val="002060"/>
          <w:lang w:val="en-US"/>
        </w:rPr>
        <w:t>Laclau</w:t>
      </w:r>
      <w:proofErr w:type="spellEnd"/>
      <w:r w:rsidR="006A22D6" w:rsidRPr="008C7198">
        <w:rPr>
          <w:rFonts w:cs="Times New Roman"/>
          <w:color w:val="002060"/>
          <w:lang w:val="en-US"/>
        </w:rPr>
        <w:t xml:space="preserve"> &amp; </w:t>
      </w:r>
      <w:proofErr w:type="spellStart"/>
      <w:r w:rsidR="00874FF2" w:rsidRPr="008C7198">
        <w:rPr>
          <w:rFonts w:cs="Times New Roman"/>
          <w:color w:val="002060"/>
          <w:lang w:val="en-US"/>
        </w:rPr>
        <w:t>Mouffe</w:t>
      </w:r>
      <w:r w:rsidR="006A22D6" w:rsidRPr="008C7198">
        <w:rPr>
          <w:rFonts w:cs="Times New Roman"/>
          <w:color w:val="002060"/>
          <w:lang w:val="en-US"/>
        </w:rPr>
        <w:t>’s</w:t>
      </w:r>
      <w:proofErr w:type="spellEnd"/>
      <w:r w:rsidR="006A22D6" w:rsidRPr="008C7198">
        <w:rPr>
          <w:rFonts w:cs="Times New Roman"/>
          <w:color w:val="002060"/>
          <w:lang w:val="en-US"/>
        </w:rPr>
        <w:t xml:space="preserve"> </w:t>
      </w:r>
      <w:r w:rsidR="00AD4919" w:rsidRPr="008C7198">
        <w:rPr>
          <w:rFonts w:cs="Times New Roman"/>
          <w:color w:val="002060"/>
          <w:lang w:val="en-US"/>
        </w:rPr>
        <w:t xml:space="preserve">(2001) </w:t>
      </w:r>
      <w:r w:rsidR="00A23F27" w:rsidRPr="008C7198">
        <w:rPr>
          <w:rFonts w:cs="Times New Roman"/>
          <w:color w:val="002060"/>
          <w:lang w:val="en-US"/>
        </w:rPr>
        <w:t xml:space="preserve">notions of hegemony and antagonism </w:t>
      </w:r>
      <w:r w:rsidR="006A22D6" w:rsidRPr="008C7198">
        <w:rPr>
          <w:rFonts w:cs="Times New Roman"/>
          <w:color w:val="002060"/>
          <w:lang w:val="en-US"/>
        </w:rPr>
        <w:t>as key to any meaningful notion of the political</w:t>
      </w:r>
      <w:r w:rsidR="00A23F27" w:rsidRPr="008C7198">
        <w:rPr>
          <w:rFonts w:cs="Times New Roman"/>
          <w:color w:val="002060"/>
          <w:lang w:val="en-US"/>
        </w:rPr>
        <w:t xml:space="preserve"> and to political action</w:t>
      </w:r>
      <w:r w:rsidR="00266C72" w:rsidRPr="008C7198">
        <w:rPr>
          <w:rFonts w:cs="Times New Roman"/>
          <w:color w:val="002060"/>
          <w:lang w:val="en-US"/>
        </w:rPr>
        <w:t>;</w:t>
      </w:r>
      <w:r w:rsidR="00A23F27" w:rsidRPr="008C7198">
        <w:rPr>
          <w:rFonts w:cs="Times New Roman"/>
          <w:color w:val="002060"/>
          <w:lang w:val="en-US"/>
        </w:rPr>
        <w:t xml:space="preserve"> </w:t>
      </w:r>
      <w:r w:rsidR="006A22D6" w:rsidRPr="008C7198">
        <w:rPr>
          <w:rFonts w:cs="Times New Roman"/>
          <w:color w:val="002060"/>
          <w:lang w:val="en-US"/>
        </w:rPr>
        <w:t xml:space="preserve">Hardt &amp; Negri’s </w:t>
      </w:r>
      <w:r w:rsidR="00AD4919" w:rsidRPr="008C7198">
        <w:rPr>
          <w:rFonts w:cs="Times New Roman"/>
          <w:color w:val="002060"/>
          <w:lang w:val="en-US"/>
        </w:rPr>
        <w:t xml:space="preserve">(2000) </w:t>
      </w:r>
      <w:r w:rsidR="006A22D6" w:rsidRPr="008C7198">
        <w:rPr>
          <w:rFonts w:cs="Times New Roman"/>
          <w:color w:val="002060"/>
          <w:lang w:val="en-US"/>
        </w:rPr>
        <w:t xml:space="preserve">and </w:t>
      </w:r>
      <w:proofErr w:type="spellStart"/>
      <w:r w:rsidR="006A22D6" w:rsidRPr="008C7198">
        <w:rPr>
          <w:rFonts w:cs="Times New Roman"/>
          <w:color w:val="002060"/>
          <w:lang w:val="en-US"/>
        </w:rPr>
        <w:t>Virno’s</w:t>
      </w:r>
      <w:proofErr w:type="spellEnd"/>
      <w:r w:rsidR="006A22D6" w:rsidRPr="008C7198">
        <w:rPr>
          <w:rFonts w:cs="Times New Roman"/>
          <w:color w:val="002060"/>
          <w:lang w:val="en-US"/>
        </w:rPr>
        <w:t xml:space="preserve"> </w:t>
      </w:r>
      <w:r w:rsidR="00AD4919" w:rsidRPr="008C7198">
        <w:rPr>
          <w:rFonts w:cs="Times New Roman"/>
          <w:color w:val="002060"/>
          <w:lang w:val="en-US"/>
        </w:rPr>
        <w:t xml:space="preserve">(2004) </w:t>
      </w:r>
      <w:r w:rsidR="006A22D6" w:rsidRPr="008C7198">
        <w:rPr>
          <w:rFonts w:cs="Times New Roman"/>
          <w:color w:val="002060"/>
          <w:lang w:val="en-US"/>
        </w:rPr>
        <w:t xml:space="preserve">view of the ‘multitude’ </w:t>
      </w:r>
      <w:r w:rsidR="00252870" w:rsidRPr="008C7198">
        <w:rPr>
          <w:rFonts w:cs="Times New Roman"/>
          <w:color w:val="002060"/>
          <w:lang w:val="en-US"/>
        </w:rPr>
        <w:t xml:space="preserve">and the ‘commons’ </w:t>
      </w:r>
      <w:r w:rsidR="006A22D6" w:rsidRPr="008C7198">
        <w:rPr>
          <w:rFonts w:cs="Times New Roman"/>
          <w:color w:val="002060"/>
          <w:lang w:val="en-US"/>
        </w:rPr>
        <w:t xml:space="preserve">as </w:t>
      </w:r>
      <w:r w:rsidR="00252870" w:rsidRPr="008C7198">
        <w:rPr>
          <w:rFonts w:cs="Times New Roman"/>
          <w:color w:val="002060"/>
          <w:lang w:val="en-US"/>
        </w:rPr>
        <w:t>vocabularies for communal organization and resource management that resist the unspoken assumptions and dominant assertions of the neoliberal settlement</w:t>
      </w:r>
      <w:r w:rsidR="00266C72" w:rsidRPr="008C7198">
        <w:rPr>
          <w:rFonts w:cs="Times New Roman"/>
          <w:color w:val="002060"/>
          <w:lang w:val="en-US"/>
        </w:rPr>
        <w:t xml:space="preserve">; </w:t>
      </w:r>
      <w:r w:rsidR="00C1524C" w:rsidRPr="008C7198">
        <w:rPr>
          <w:rFonts w:cs="Times New Roman"/>
          <w:color w:val="002060"/>
          <w:lang w:val="en-US"/>
        </w:rPr>
        <w:t xml:space="preserve">genealogy as critical narratives of the emergence and transformations of subjectivity and power, intended to induce skepticism in relation to hitherto accepted dominant readings of history; </w:t>
      </w:r>
      <w:r w:rsidR="00266C72" w:rsidRPr="008C7198">
        <w:rPr>
          <w:rFonts w:cs="Times New Roman"/>
          <w:color w:val="002060"/>
          <w:lang w:val="en-US"/>
        </w:rPr>
        <w:t xml:space="preserve">and </w:t>
      </w:r>
      <w:proofErr w:type="spellStart"/>
      <w:r w:rsidR="00266C72" w:rsidRPr="008C7198">
        <w:rPr>
          <w:rFonts w:cs="Times New Roman"/>
          <w:color w:val="002060"/>
          <w:lang w:val="en-US"/>
        </w:rPr>
        <w:t>Levitas’</w:t>
      </w:r>
      <w:r w:rsidR="002012BA" w:rsidRPr="008C7198">
        <w:rPr>
          <w:rFonts w:cs="Times New Roman"/>
          <w:color w:val="002060"/>
          <w:lang w:val="en-US"/>
        </w:rPr>
        <w:t>s</w:t>
      </w:r>
      <w:proofErr w:type="spellEnd"/>
      <w:r w:rsidR="002012BA" w:rsidRPr="008C7198">
        <w:rPr>
          <w:rFonts w:cs="Times New Roman"/>
          <w:color w:val="002060"/>
          <w:lang w:val="en-US"/>
        </w:rPr>
        <w:t xml:space="preserve"> (2013)</w:t>
      </w:r>
      <w:r w:rsidR="00266C72" w:rsidRPr="008C7198">
        <w:rPr>
          <w:rFonts w:cs="Times New Roman"/>
          <w:color w:val="002060"/>
          <w:lang w:val="en-US"/>
        </w:rPr>
        <w:t xml:space="preserve"> argument that there is a pressing need for the ‘Imaginary Reconstitution of Society’ given current global economic, ecological and humanitarian crises</w:t>
      </w:r>
      <w:r w:rsidR="00252870" w:rsidRPr="008C7198">
        <w:rPr>
          <w:rFonts w:cs="Times New Roman"/>
          <w:color w:val="002060"/>
          <w:lang w:val="en-US"/>
        </w:rPr>
        <w:t xml:space="preserve">. </w:t>
      </w:r>
    </w:p>
    <w:p w14:paraId="3913C9B1" w14:textId="77777777" w:rsidR="00A7180A" w:rsidRPr="008C7198" w:rsidRDefault="00A7180A">
      <w:pPr>
        <w:rPr>
          <w:rFonts w:cs="Times New Roman"/>
          <w:color w:val="002060"/>
          <w:lang w:val="en-US"/>
        </w:rPr>
      </w:pPr>
    </w:p>
    <w:p w14:paraId="5C91E7A1" w14:textId="6255F024" w:rsidR="00874FF2" w:rsidRPr="008C7198" w:rsidRDefault="00C62892">
      <w:pPr>
        <w:rPr>
          <w:rFonts w:cs="Times New Roman"/>
          <w:color w:val="002060"/>
          <w:lang w:val="en-US"/>
        </w:rPr>
      </w:pPr>
      <w:r w:rsidRPr="008C7198">
        <w:rPr>
          <w:rFonts w:cs="Times New Roman"/>
          <w:color w:val="002060"/>
          <w:lang w:val="en-US"/>
        </w:rPr>
        <w:t>Third</w:t>
      </w:r>
      <w:r w:rsidR="00846B13" w:rsidRPr="008C7198">
        <w:rPr>
          <w:rFonts w:cs="Times New Roman"/>
          <w:color w:val="002060"/>
          <w:lang w:val="en-US"/>
        </w:rPr>
        <w:t xml:space="preserve"> –</w:t>
      </w:r>
      <w:r w:rsidRPr="008C7198">
        <w:rPr>
          <w:rFonts w:cs="Times New Roman"/>
          <w:color w:val="002060"/>
          <w:lang w:val="en-US"/>
        </w:rPr>
        <w:t xml:space="preserve"> </w:t>
      </w:r>
      <w:r w:rsidR="00846B13" w:rsidRPr="008C7198">
        <w:rPr>
          <w:rFonts w:cs="Times New Roman"/>
          <w:color w:val="002060"/>
          <w:lang w:val="en-US"/>
        </w:rPr>
        <w:t xml:space="preserve">and perhaps most obviously – </w:t>
      </w:r>
      <w:r w:rsidRPr="008C7198">
        <w:rPr>
          <w:rFonts w:cs="Times New Roman"/>
          <w:color w:val="002060"/>
          <w:lang w:val="en-US"/>
        </w:rPr>
        <w:t>i</w:t>
      </w:r>
      <w:r w:rsidR="000700C6" w:rsidRPr="008C7198">
        <w:rPr>
          <w:rFonts w:cs="Times New Roman"/>
          <w:color w:val="002060"/>
          <w:lang w:val="en-US"/>
        </w:rPr>
        <w:t>n light of the point above regarding the intertwining and interdependence of discursive and social space, the papers in this issue highlight the range and diversity of social</w:t>
      </w:r>
      <w:r w:rsidRPr="008C7198">
        <w:rPr>
          <w:rFonts w:cs="Times New Roman"/>
          <w:color w:val="002060"/>
          <w:lang w:val="en-US"/>
        </w:rPr>
        <w:t xml:space="preserve"> and institutional</w:t>
      </w:r>
      <w:r w:rsidR="000700C6" w:rsidRPr="008C7198">
        <w:rPr>
          <w:rFonts w:cs="Times New Roman"/>
          <w:color w:val="002060"/>
          <w:lang w:val="en-US"/>
        </w:rPr>
        <w:t xml:space="preserve"> spaces comprising Europe and beyond</w:t>
      </w:r>
      <w:r w:rsidR="00A7180A" w:rsidRPr="008C7198">
        <w:rPr>
          <w:rFonts w:cs="Times New Roman"/>
          <w:color w:val="002060"/>
          <w:lang w:val="en-US"/>
        </w:rPr>
        <w:t>.</w:t>
      </w:r>
      <w:r w:rsidR="000700C6" w:rsidRPr="008C7198">
        <w:rPr>
          <w:rFonts w:cs="Times New Roman"/>
          <w:color w:val="002060"/>
          <w:lang w:val="en-US"/>
        </w:rPr>
        <w:t xml:space="preserve"> </w:t>
      </w:r>
      <w:r w:rsidR="00A7180A" w:rsidRPr="008C7198">
        <w:rPr>
          <w:rFonts w:cs="Times New Roman"/>
          <w:color w:val="002060"/>
          <w:lang w:val="en-US"/>
        </w:rPr>
        <w:t>As such, they</w:t>
      </w:r>
      <w:r w:rsidR="000700C6" w:rsidRPr="008C7198">
        <w:rPr>
          <w:rFonts w:cs="Times New Roman"/>
          <w:color w:val="002060"/>
          <w:lang w:val="en-US"/>
        </w:rPr>
        <w:t xml:space="preserve"> </w:t>
      </w:r>
      <w:r w:rsidR="00A7180A" w:rsidRPr="008C7198">
        <w:rPr>
          <w:rFonts w:cs="Times New Roman"/>
          <w:color w:val="002060"/>
          <w:lang w:val="en-US"/>
        </w:rPr>
        <w:t>caution against</w:t>
      </w:r>
      <w:r w:rsidR="000700C6" w:rsidRPr="008C7198">
        <w:rPr>
          <w:rFonts w:cs="Times New Roman"/>
          <w:color w:val="002060"/>
          <w:lang w:val="en-US"/>
        </w:rPr>
        <w:t xml:space="preserve"> easy or sweeping generalizations about global developments</w:t>
      </w:r>
      <w:r w:rsidR="00A7180A" w:rsidRPr="008C7198">
        <w:rPr>
          <w:rFonts w:cs="Times New Roman"/>
          <w:color w:val="002060"/>
          <w:lang w:val="en-US"/>
        </w:rPr>
        <w:t>,</w:t>
      </w:r>
      <w:r w:rsidR="000700C6" w:rsidRPr="008C7198">
        <w:rPr>
          <w:rFonts w:cs="Times New Roman"/>
          <w:color w:val="002060"/>
          <w:lang w:val="en-US"/>
        </w:rPr>
        <w:t xml:space="preserve"> such as neoliberalism</w:t>
      </w:r>
      <w:r w:rsidR="00A7180A" w:rsidRPr="008C7198">
        <w:rPr>
          <w:rFonts w:cs="Times New Roman"/>
          <w:color w:val="002060"/>
          <w:lang w:val="en-US"/>
        </w:rPr>
        <w:t>,</w:t>
      </w:r>
      <w:r w:rsidR="000700C6" w:rsidRPr="008C7198">
        <w:rPr>
          <w:rFonts w:cs="Times New Roman"/>
          <w:color w:val="002060"/>
          <w:lang w:val="en-US"/>
        </w:rPr>
        <w:t xml:space="preserve"> and encourage attend</w:t>
      </w:r>
      <w:r w:rsidR="00A7180A" w:rsidRPr="008C7198">
        <w:rPr>
          <w:rFonts w:cs="Times New Roman"/>
          <w:color w:val="002060"/>
          <w:lang w:val="en-US"/>
        </w:rPr>
        <w:t>ance</w:t>
      </w:r>
      <w:r w:rsidR="000700C6" w:rsidRPr="008C7198">
        <w:rPr>
          <w:rFonts w:cs="Times New Roman"/>
          <w:color w:val="002060"/>
          <w:lang w:val="en-US"/>
        </w:rPr>
        <w:t xml:space="preserve"> to the ways in which such developments always unfold within</w:t>
      </w:r>
      <w:r w:rsidR="00A7180A" w:rsidRPr="008C7198">
        <w:rPr>
          <w:rFonts w:cs="Times New Roman"/>
          <w:color w:val="002060"/>
          <w:lang w:val="en-US"/>
        </w:rPr>
        <w:t>,</w:t>
      </w:r>
      <w:r w:rsidR="000700C6" w:rsidRPr="008C7198">
        <w:rPr>
          <w:rFonts w:cs="Times New Roman"/>
          <w:color w:val="002060"/>
          <w:lang w:val="en-US"/>
        </w:rPr>
        <w:t xml:space="preserve"> and are inflected by</w:t>
      </w:r>
      <w:r w:rsidR="00A7180A" w:rsidRPr="008C7198">
        <w:rPr>
          <w:rFonts w:cs="Times New Roman"/>
          <w:color w:val="002060"/>
          <w:lang w:val="en-US"/>
        </w:rPr>
        <w:t>,</w:t>
      </w:r>
      <w:r w:rsidR="000700C6" w:rsidRPr="008C7198">
        <w:rPr>
          <w:rFonts w:cs="Times New Roman"/>
          <w:color w:val="002060"/>
          <w:lang w:val="en-US"/>
        </w:rPr>
        <w:t xml:space="preserve"> the particular contours and unique histories of specific contexts. </w:t>
      </w:r>
      <w:r w:rsidR="00846B13" w:rsidRPr="008C7198">
        <w:rPr>
          <w:rFonts w:cs="Times New Roman"/>
          <w:color w:val="002060"/>
          <w:lang w:val="en-US"/>
        </w:rPr>
        <w:t xml:space="preserve">The </w:t>
      </w:r>
      <w:r w:rsidR="00252870" w:rsidRPr="008C7198">
        <w:rPr>
          <w:rFonts w:cs="Times New Roman"/>
          <w:color w:val="002060"/>
          <w:lang w:val="en-US"/>
        </w:rPr>
        <w:t xml:space="preserve">European contexts </w:t>
      </w:r>
      <w:r w:rsidR="00846B13" w:rsidRPr="008C7198">
        <w:rPr>
          <w:rFonts w:cs="Times New Roman"/>
          <w:color w:val="002060"/>
          <w:lang w:val="en-US"/>
        </w:rPr>
        <w:t xml:space="preserve">that are the specific focus of papers in the collection </w:t>
      </w:r>
      <w:r w:rsidR="00252870" w:rsidRPr="008C7198">
        <w:rPr>
          <w:rFonts w:cs="Times New Roman"/>
          <w:color w:val="002060"/>
          <w:lang w:val="en-US"/>
        </w:rPr>
        <w:t>includ</w:t>
      </w:r>
      <w:r w:rsidR="00846B13" w:rsidRPr="008C7198">
        <w:rPr>
          <w:rFonts w:cs="Times New Roman"/>
          <w:color w:val="002060"/>
          <w:lang w:val="en-US"/>
        </w:rPr>
        <w:t>e</w:t>
      </w:r>
      <w:r w:rsidR="00252870" w:rsidRPr="008C7198">
        <w:rPr>
          <w:rFonts w:cs="Times New Roman"/>
          <w:color w:val="002060"/>
          <w:lang w:val="en-US"/>
        </w:rPr>
        <w:t xml:space="preserve"> </w:t>
      </w:r>
      <w:r w:rsidR="00846B13" w:rsidRPr="008C7198">
        <w:rPr>
          <w:rFonts w:cs="Times New Roman"/>
          <w:color w:val="002060"/>
          <w:lang w:val="en-US"/>
        </w:rPr>
        <w:t>formerly</w:t>
      </w:r>
      <w:r w:rsidR="00252870" w:rsidRPr="008C7198">
        <w:rPr>
          <w:rFonts w:cs="Times New Roman"/>
          <w:color w:val="002060"/>
          <w:lang w:val="en-US"/>
        </w:rPr>
        <w:t xml:space="preserve"> social</w:t>
      </w:r>
      <w:r w:rsidR="00846B13" w:rsidRPr="008C7198">
        <w:rPr>
          <w:rFonts w:cs="Times New Roman"/>
          <w:color w:val="002060"/>
          <w:lang w:val="en-US"/>
        </w:rPr>
        <w:t>-</w:t>
      </w:r>
      <w:r w:rsidR="00252870" w:rsidRPr="008C7198">
        <w:rPr>
          <w:rFonts w:cs="Times New Roman"/>
          <w:color w:val="002060"/>
          <w:lang w:val="en-US"/>
        </w:rPr>
        <w:t>democratic</w:t>
      </w:r>
      <w:r w:rsidR="00326663" w:rsidRPr="008C7198">
        <w:rPr>
          <w:rFonts w:cs="Times New Roman"/>
          <w:color w:val="002060"/>
          <w:lang w:val="en-US"/>
        </w:rPr>
        <w:t xml:space="preserve"> Sweden</w:t>
      </w:r>
      <w:r w:rsidR="00846B13" w:rsidRPr="008C7198">
        <w:rPr>
          <w:rFonts w:cs="Times New Roman"/>
          <w:color w:val="002060"/>
          <w:lang w:val="en-US"/>
        </w:rPr>
        <w:t xml:space="preserve"> (</w:t>
      </w:r>
      <w:proofErr w:type="spellStart"/>
      <w:r w:rsidR="00846B13" w:rsidRPr="008C7198">
        <w:rPr>
          <w:rFonts w:cs="Times New Roman"/>
          <w:color w:val="002060"/>
          <w:lang w:val="en-US"/>
        </w:rPr>
        <w:t>Säfström</w:t>
      </w:r>
      <w:proofErr w:type="spellEnd"/>
      <w:r w:rsidR="00846B13" w:rsidRPr="008C7198">
        <w:rPr>
          <w:rFonts w:cs="Times New Roman"/>
          <w:color w:val="002060"/>
          <w:lang w:val="en-US"/>
        </w:rPr>
        <w:t xml:space="preserve"> and </w:t>
      </w:r>
      <w:proofErr w:type="spellStart"/>
      <w:r w:rsidR="00846B13" w:rsidRPr="008C7198">
        <w:rPr>
          <w:rFonts w:cs="Times New Roman"/>
          <w:color w:val="002060"/>
          <w:lang w:val="en-US"/>
        </w:rPr>
        <w:t>Månsson</w:t>
      </w:r>
      <w:proofErr w:type="spellEnd"/>
      <w:r w:rsidR="00846B13" w:rsidRPr="008C7198">
        <w:rPr>
          <w:rFonts w:cs="Times New Roman"/>
          <w:color w:val="002060"/>
          <w:lang w:val="en-US"/>
        </w:rPr>
        <w:t>)</w:t>
      </w:r>
      <w:r w:rsidR="00252870" w:rsidRPr="008C7198">
        <w:rPr>
          <w:rFonts w:cs="Times New Roman"/>
          <w:color w:val="002060"/>
          <w:lang w:val="en-US"/>
        </w:rPr>
        <w:t>, post-communist Poland</w:t>
      </w:r>
      <w:r w:rsidR="00846B13" w:rsidRPr="008C7198">
        <w:rPr>
          <w:rFonts w:cs="Times New Roman"/>
          <w:color w:val="002060"/>
          <w:lang w:val="en-US"/>
        </w:rPr>
        <w:t xml:space="preserve"> (Mendel)</w:t>
      </w:r>
      <w:r w:rsidR="00252870" w:rsidRPr="008C7198">
        <w:rPr>
          <w:rFonts w:cs="Times New Roman"/>
          <w:color w:val="002060"/>
          <w:lang w:val="en-US"/>
        </w:rPr>
        <w:t xml:space="preserve">, </w:t>
      </w:r>
      <w:r w:rsidR="00846B13" w:rsidRPr="008C7198">
        <w:rPr>
          <w:rFonts w:cs="Times New Roman"/>
          <w:color w:val="002060"/>
          <w:lang w:val="en-US"/>
        </w:rPr>
        <w:t>and the deeply neoliberal-neoconservative policy-laboratory of England (Clarke and Mills), while England and Germany provide the contexts for another paper (Wrigley)</w:t>
      </w:r>
      <w:r w:rsidR="00252870" w:rsidRPr="008C7198">
        <w:rPr>
          <w:rFonts w:cs="Times New Roman"/>
          <w:color w:val="002060"/>
          <w:lang w:val="en-US"/>
        </w:rPr>
        <w:t xml:space="preserve">. </w:t>
      </w:r>
      <w:r w:rsidR="00846B13" w:rsidRPr="008C7198">
        <w:rPr>
          <w:rFonts w:cs="Times New Roman"/>
          <w:color w:val="002060"/>
          <w:lang w:val="en-US"/>
        </w:rPr>
        <w:t xml:space="preserve">Looking beyond Europe, </w:t>
      </w:r>
      <w:r w:rsidR="00C20B05" w:rsidRPr="008C7198">
        <w:rPr>
          <w:rFonts w:cs="Times New Roman"/>
          <w:color w:val="002060"/>
          <w:lang w:val="en-US"/>
        </w:rPr>
        <w:t xml:space="preserve">the UK, Canada, Australia and New Zealand are the focus of the paper by Thompson, Mockler and Hogan, while </w:t>
      </w:r>
      <w:r w:rsidR="00846B13" w:rsidRPr="008C7198">
        <w:rPr>
          <w:rFonts w:cs="Times New Roman"/>
          <w:color w:val="002060"/>
          <w:lang w:val="en-US"/>
        </w:rPr>
        <w:t xml:space="preserve">the paper by Verger and </w:t>
      </w:r>
      <w:r w:rsidR="00C20B05" w:rsidRPr="008C7198">
        <w:rPr>
          <w:rFonts w:cs="Times New Roman"/>
          <w:color w:val="002060"/>
          <w:lang w:val="en-US"/>
        </w:rPr>
        <w:t xml:space="preserve">Zancajo casts its eye across the OECD countries. Transcending any specific context, the paper by </w:t>
      </w:r>
      <w:proofErr w:type="spellStart"/>
      <w:proofErr w:type="gramStart"/>
      <w:r w:rsidR="00C20B05" w:rsidRPr="008C7198">
        <w:rPr>
          <w:rFonts w:cs="Times New Roman"/>
          <w:color w:val="002060"/>
          <w:lang w:val="en-US"/>
        </w:rPr>
        <w:t>Heimans</w:t>
      </w:r>
      <w:r w:rsidR="005E63F3" w:rsidRPr="008C7198">
        <w:rPr>
          <w:rFonts w:cs="Times New Roman"/>
          <w:color w:val="002060"/>
          <w:lang w:val="en-US"/>
        </w:rPr>
        <w:t>,</w:t>
      </w:r>
      <w:r w:rsidR="00C20B05" w:rsidRPr="008C7198">
        <w:rPr>
          <w:rFonts w:cs="Times New Roman"/>
          <w:color w:val="002060"/>
          <w:lang w:val="en-US"/>
        </w:rPr>
        <w:t>Singh</w:t>
      </w:r>
      <w:proofErr w:type="spellEnd"/>
      <w:proofErr w:type="gramEnd"/>
      <w:r w:rsidR="005E63F3" w:rsidRPr="008C7198">
        <w:rPr>
          <w:rFonts w:cs="Times New Roman"/>
          <w:color w:val="002060"/>
          <w:lang w:val="en-US"/>
        </w:rPr>
        <w:t xml:space="preserve"> and Kwok</w:t>
      </w:r>
      <w:r w:rsidR="00C20B05" w:rsidRPr="008C7198">
        <w:rPr>
          <w:rFonts w:cs="Times New Roman"/>
          <w:color w:val="002060"/>
          <w:lang w:val="en-US"/>
        </w:rPr>
        <w:t xml:space="preserve"> considers the thorny issue of the relationship between education and democracy and the implications of different modalities of this relationship for public education in theory and practice.</w:t>
      </w:r>
    </w:p>
    <w:p w14:paraId="456FEBCD" w14:textId="71B5FA87" w:rsidR="00787084" w:rsidRPr="008C7198" w:rsidRDefault="00787084">
      <w:pPr>
        <w:rPr>
          <w:rFonts w:cs="Times New Roman"/>
          <w:color w:val="002060"/>
          <w:lang w:val="en-US"/>
        </w:rPr>
      </w:pPr>
    </w:p>
    <w:p w14:paraId="54ACE2BF" w14:textId="2EA9FA52" w:rsidR="007056D9" w:rsidRPr="008C7198" w:rsidRDefault="00787084" w:rsidP="007056D9">
      <w:pPr>
        <w:rPr>
          <w:color w:val="002060"/>
        </w:rPr>
      </w:pPr>
      <w:r w:rsidRPr="008C7198">
        <w:rPr>
          <w:rFonts w:cs="Times New Roman"/>
          <w:color w:val="002060"/>
          <w:lang w:val="en-US"/>
        </w:rPr>
        <w:t xml:space="preserve">Looking at the papers in more detail, </w:t>
      </w:r>
      <w:r w:rsidR="007056D9" w:rsidRPr="008C7198">
        <w:rPr>
          <w:color w:val="002060"/>
        </w:rPr>
        <w:t xml:space="preserve">the first two contributions, </w:t>
      </w:r>
      <w:r w:rsidR="007056D9" w:rsidRPr="008C7198">
        <w:rPr>
          <w:i/>
          <w:iCs/>
          <w:color w:val="002060"/>
        </w:rPr>
        <w:t xml:space="preserve">Pedagogic Rights, Public Education and Democracy </w:t>
      </w:r>
      <w:r w:rsidR="007056D9" w:rsidRPr="008C7198">
        <w:rPr>
          <w:color w:val="002060"/>
        </w:rPr>
        <w:t>(Heimans, Singh, Kwok)</w:t>
      </w:r>
      <w:r w:rsidR="007056D9" w:rsidRPr="008C7198">
        <w:rPr>
          <w:i/>
          <w:iCs/>
          <w:color w:val="002060"/>
        </w:rPr>
        <w:t xml:space="preserve"> </w:t>
      </w:r>
      <w:r w:rsidR="007056D9" w:rsidRPr="008C7198">
        <w:rPr>
          <w:color w:val="002060"/>
        </w:rPr>
        <w:t xml:space="preserve">and </w:t>
      </w:r>
      <w:proofErr w:type="gramStart"/>
      <w:r w:rsidR="007056D9" w:rsidRPr="008C7198">
        <w:rPr>
          <w:i/>
          <w:iCs/>
          <w:color w:val="002060"/>
        </w:rPr>
        <w:t>The</w:t>
      </w:r>
      <w:proofErr w:type="gramEnd"/>
      <w:r w:rsidR="007056D9" w:rsidRPr="008C7198">
        <w:rPr>
          <w:i/>
          <w:iCs/>
          <w:color w:val="002060"/>
        </w:rPr>
        <w:t xml:space="preserve"> marketization of education and the democratic deficit</w:t>
      </w:r>
      <w:r w:rsidR="007056D9" w:rsidRPr="008C7198">
        <w:rPr>
          <w:color w:val="002060"/>
        </w:rPr>
        <w:t xml:space="preserve"> (</w:t>
      </w:r>
      <w:proofErr w:type="spellStart"/>
      <w:r w:rsidR="007056D9" w:rsidRPr="008C7198">
        <w:rPr>
          <w:color w:val="002060"/>
        </w:rPr>
        <w:t>Säfström</w:t>
      </w:r>
      <w:proofErr w:type="spellEnd"/>
      <w:r w:rsidR="007056D9" w:rsidRPr="008C7198">
        <w:rPr>
          <w:color w:val="002060"/>
        </w:rPr>
        <w:t xml:space="preserve"> and </w:t>
      </w:r>
      <w:proofErr w:type="spellStart"/>
      <w:r w:rsidR="007056D9" w:rsidRPr="008C7198">
        <w:rPr>
          <w:color w:val="002060"/>
        </w:rPr>
        <w:t>Månsson</w:t>
      </w:r>
      <w:proofErr w:type="spellEnd"/>
      <w:r w:rsidR="007056D9" w:rsidRPr="008C7198">
        <w:rPr>
          <w:color w:val="002060"/>
        </w:rPr>
        <w:t xml:space="preserve">) draw on French philosopher </w:t>
      </w:r>
      <w:bookmarkStart w:id="0" w:name="_Hlk70071525"/>
      <w:proofErr w:type="spellStart"/>
      <w:r w:rsidR="007056D9" w:rsidRPr="008C7198">
        <w:rPr>
          <w:color w:val="002060"/>
        </w:rPr>
        <w:t>Rancière’s</w:t>
      </w:r>
      <w:bookmarkEnd w:id="0"/>
      <w:proofErr w:type="spellEnd"/>
      <w:r w:rsidR="007056D9" w:rsidRPr="008C7198">
        <w:rPr>
          <w:color w:val="002060"/>
        </w:rPr>
        <w:t xml:space="preserve"> work on democracy to think with and about the ideas of ‘the public’, ‘publics’ and ‘emergent publics’. By drawing on </w:t>
      </w:r>
      <w:proofErr w:type="spellStart"/>
      <w:r w:rsidR="007056D9" w:rsidRPr="008C7198">
        <w:rPr>
          <w:color w:val="002060"/>
        </w:rPr>
        <w:t>Rancière’s</w:t>
      </w:r>
      <w:proofErr w:type="spellEnd"/>
      <w:r w:rsidR="007056D9" w:rsidRPr="008C7198">
        <w:rPr>
          <w:color w:val="002060"/>
        </w:rPr>
        <w:t xml:space="preserve"> work both papers distance themselves from the now </w:t>
      </w:r>
      <w:proofErr w:type="spellStart"/>
      <w:r w:rsidR="007056D9" w:rsidRPr="008C7198">
        <w:rPr>
          <w:color w:val="002060"/>
        </w:rPr>
        <w:t>everyday</w:t>
      </w:r>
      <w:proofErr w:type="spellEnd"/>
      <w:r w:rsidR="007056D9" w:rsidRPr="008C7198">
        <w:rPr>
          <w:color w:val="002060"/>
        </w:rPr>
        <w:t xml:space="preserve"> or </w:t>
      </w:r>
      <w:proofErr w:type="spellStart"/>
      <w:r w:rsidR="007056D9" w:rsidRPr="008C7198">
        <w:rPr>
          <w:color w:val="002060"/>
        </w:rPr>
        <w:t>commonse</w:t>
      </w:r>
      <w:proofErr w:type="spellEnd"/>
      <w:r w:rsidR="007056D9" w:rsidRPr="008C7198">
        <w:rPr>
          <w:color w:val="002060"/>
        </w:rPr>
        <w:t xml:space="preserve"> understanding of ‘the public’ </w:t>
      </w:r>
      <w:proofErr w:type="gramStart"/>
      <w:r w:rsidR="007056D9" w:rsidRPr="008C7198">
        <w:rPr>
          <w:color w:val="002060"/>
        </w:rPr>
        <w:t>in reference to</w:t>
      </w:r>
      <w:proofErr w:type="gramEnd"/>
      <w:r w:rsidR="007056D9" w:rsidRPr="008C7198">
        <w:rPr>
          <w:color w:val="002060"/>
        </w:rPr>
        <w:t xml:space="preserve"> schooling, that is, government funded vs private, fee-paying schools. In addition, both papers distinguish between democracy as a form of political governance and associated with the election of representatives by the people every few years. Instead, both papers go back through time to link the notion of emergent publics to the demos in ancient Greece. So, for example, Heimans et al., argue based on their reading of </w:t>
      </w:r>
      <w:bookmarkStart w:id="1" w:name="_Hlk70081414"/>
      <w:proofErr w:type="spellStart"/>
      <w:r w:rsidR="007056D9" w:rsidRPr="008C7198">
        <w:rPr>
          <w:color w:val="002060"/>
        </w:rPr>
        <w:t>Rancière</w:t>
      </w:r>
      <w:proofErr w:type="spellEnd"/>
      <w:r w:rsidR="007056D9" w:rsidRPr="008C7198">
        <w:rPr>
          <w:color w:val="002060"/>
        </w:rPr>
        <w:t xml:space="preserve">, </w:t>
      </w:r>
      <w:bookmarkEnd w:id="1"/>
      <w:r w:rsidR="007056D9" w:rsidRPr="008C7198">
        <w:rPr>
          <w:color w:val="002060"/>
        </w:rPr>
        <w:t xml:space="preserve">that the term demos appears in the writing of Homer and refers to speech acts by those people ‘who were beyond the count’, who took the liberty of speaking, even when they didn’t have the authority or power to speak. In taking up such speaking positions, those beyond the count, disrupted the sensible – who could speak, when, where, about what and how. Democracy then is about disrupting </w:t>
      </w:r>
      <w:r w:rsidR="005E63F3" w:rsidRPr="008C7198">
        <w:rPr>
          <w:color w:val="002060"/>
        </w:rPr>
        <w:t xml:space="preserve">the </w:t>
      </w:r>
      <w:r w:rsidR="007056D9" w:rsidRPr="008C7198">
        <w:rPr>
          <w:color w:val="002060"/>
        </w:rPr>
        <w:t xml:space="preserve">sensible ordering of what is thinkable, doable, sayable, by those who act </w:t>
      </w:r>
      <w:proofErr w:type="gramStart"/>
      <w:r w:rsidR="007056D9" w:rsidRPr="008C7198">
        <w:rPr>
          <w:color w:val="002060"/>
        </w:rPr>
        <w:t>on the basis of</w:t>
      </w:r>
      <w:proofErr w:type="gramEnd"/>
      <w:r w:rsidR="007056D9" w:rsidRPr="008C7198">
        <w:rPr>
          <w:color w:val="002060"/>
        </w:rPr>
        <w:t xml:space="preserve"> their inherent equality. But about the term public?  Public education is enacted through and in bounded public space and time ‘in formation’, so wherever people are free to play with ideas and objects unconstrained by the demands of work and household pressures within the protected confines of education institutions. Such freedom of creative play is sorely missing in the institutionalisation of much contemporary education- though the bounds often remain. </w:t>
      </w:r>
    </w:p>
    <w:p w14:paraId="2661F27B" w14:textId="77777777" w:rsidR="007056D9" w:rsidRPr="008C7198" w:rsidRDefault="007056D9" w:rsidP="007056D9">
      <w:pPr>
        <w:rPr>
          <w:color w:val="002060"/>
        </w:rPr>
      </w:pPr>
    </w:p>
    <w:p w14:paraId="078397BA" w14:textId="50BC0CC4" w:rsidR="007056D9" w:rsidRPr="008C7198" w:rsidRDefault="007056D9" w:rsidP="007056D9">
      <w:pPr>
        <w:rPr>
          <w:color w:val="002060"/>
        </w:rPr>
      </w:pPr>
      <w:r w:rsidRPr="008C7198">
        <w:rPr>
          <w:color w:val="002060"/>
        </w:rPr>
        <w:t xml:space="preserve">The central purpose of the paper by Heimans et al., is to flesh out an argument about democracy and public education </w:t>
      </w:r>
      <w:r w:rsidR="005E63F3" w:rsidRPr="008C7198">
        <w:rPr>
          <w:color w:val="002060"/>
        </w:rPr>
        <w:t>by elaborating on the concept of pedagogic rights.</w:t>
      </w:r>
      <w:r w:rsidRPr="008C7198">
        <w:rPr>
          <w:color w:val="002060"/>
        </w:rPr>
        <w:t xml:space="preserve"> </w:t>
      </w:r>
      <w:proofErr w:type="gramStart"/>
      <w:r w:rsidRPr="008C7198">
        <w:rPr>
          <w:color w:val="002060"/>
        </w:rPr>
        <w:t>Th</w:t>
      </w:r>
      <w:r w:rsidR="005E63F3" w:rsidRPr="008C7198">
        <w:rPr>
          <w:color w:val="002060"/>
        </w:rPr>
        <w:t>is concept</w:t>
      </w:r>
      <w:r w:rsidRPr="008C7198">
        <w:rPr>
          <w:color w:val="002060"/>
        </w:rPr>
        <w:t>s</w:t>
      </w:r>
      <w:proofErr w:type="gramEnd"/>
      <w:r w:rsidRPr="008C7198">
        <w:rPr>
          <w:color w:val="002060"/>
        </w:rPr>
        <w:t xml:space="preserve"> was developed by </w:t>
      </w:r>
      <w:r w:rsidR="005E63F3" w:rsidRPr="008C7198">
        <w:rPr>
          <w:color w:val="002060"/>
        </w:rPr>
        <w:t xml:space="preserve">Basil </w:t>
      </w:r>
      <w:r w:rsidRPr="008C7198">
        <w:rPr>
          <w:color w:val="002060"/>
        </w:rPr>
        <w:t xml:space="preserve">Bernstein and presented at a conference in Santiago de Chile in 1986 where he shared the platform with </w:t>
      </w:r>
      <w:proofErr w:type="spellStart"/>
      <w:r w:rsidRPr="008C7198">
        <w:rPr>
          <w:color w:val="002060"/>
        </w:rPr>
        <w:t>Rancière</w:t>
      </w:r>
      <w:proofErr w:type="spellEnd"/>
      <w:r w:rsidRPr="008C7198">
        <w:rPr>
          <w:color w:val="002060"/>
        </w:rPr>
        <w:t xml:space="preserve">. Chile was still governed under a military dictatorship (September 1973-March 1990) at the time of the </w:t>
      </w:r>
      <w:proofErr w:type="gramStart"/>
      <w:r w:rsidRPr="008C7198">
        <w:rPr>
          <w:color w:val="002060"/>
        </w:rPr>
        <w:t>conference, but</w:t>
      </w:r>
      <w:proofErr w:type="gramEnd"/>
      <w:r w:rsidRPr="008C7198">
        <w:rPr>
          <w:color w:val="002060"/>
        </w:rPr>
        <w:t xml:space="preserve"> moving towards a democratic constitution. Bernstein’s work on pedagogic rights attempted to explicitly link his early work on the evolution of education systems to broader political questions about democracy. The three rights proposed by Bernstein, </w:t>
      </w:r>
      <w:r w:rsidRPr="008C7198">
        <w:rPr>
          <w:i/>
          <w:iCs/>
          <w:color w:val="002060"/>
        </w:rPr>
        <w:t xml:space="preserve">enhancement, </w:t>
      </w:r>
      <w:proofErr w:type="gramStart"/>
      <w:r w:rsidRPr="008C7198">
        <w:rPr>
          <w:i/>
          <w:iCs/>
          <w:color w:val="002060"/>
        </w:rPr>
        <w:t>inclusion</w:t>
      </w:r>
      <w:proofErr w:type="gramEnd"/>
      <w:r w:rsidRPr="008C7198">
        <w:rPr>
          <w:i/>
          <w:iCs/>
          <w:color w:val="002060"/>
        </w:rPr>
        <w:t xml:space="preserve"> and participation</w:t>
      </w:r>
      <w:r w:rsidRPr="008C7198">
        <w:rPr>
          <w:color w:val="002060"/>
        </w:rPr>
        <w:t xml:space="preserve">, are now familiar concepts in education policy documents. For Bernstein, </w:t>
      </w:r>
      <w:r w:rsidR="005E63F3" w:rsidRPr="008C7198">
        <w:rPr>
          <w:color w:val="002060"/>
        </w:rPr>
        <w:t xml:space="preserve">however, </w:t>
      </w:r>
      <w:r w:rsidRPr="008C7198">
        <w:rPr>
          <w:color w:val="002060"/>
        </w:rPr>
        <w:t xml:space="preserve">each right is linked to a ‘level’, for example, the level of the </w:t>
      </w:r>
      <w:r w:rsidRPr="008C7198">
        <w:rPr>
          <w:i/>
          <w:iCs/>
          <w:color w:val="002060"/>
        </w:rPr>
        <w:t>individual, social and political</w:t>
      </w:r>
      <w:r w:rsidRPr="008C7198">
        <w:rPr>
          <w:color w:val="002060"/>
        </w:rPr>
        <w:t xml:space="preserve">. This is important as current neoliberal policy discourses assume that each pedagogic right is operationalised at the level of the atomistic, possessive individual. Moreover, Bernstein outlines conditions, </w:t>
      </w:r>
      <w:r w:rsidRPr="008C7198">
        <w:rPr>
          <w:i/>
          <w:iCs/>
          <w:color w:val="002060"/>
        </w:rPr>
        <w:t xml:space="preserve">confidence, </w:t>
      </w:r>
      <w:proofErr w:type="spellStart"/>
      <w:r w:rsidRPr="008C7198">
        <w:rPr>
          <w:i/>
          <w:iCs/>
          <w:color w:val="002060"/>
        </w:rPr>
        <w:t>communitas</w:t>
      </w:r>
      <w:proofErr w:type="spellEnd"/>
      <w:r w:rsidRPr="008C7198">
        <w:rPr>
          <w:i/>
          <w:iCs/>
          <w:color w:val="002060"/>
        </w:rPr>
        <w:t xml:space="preserve"> and civic discourse</w:t>
      </w:r>
      <w:r w:rsidRPr="008C7198">
        <w:rPr>
          <w:color w:val="002060"/>
        </w:rPr>
        <w:t xml:space="preserve">, by which each right is operationalised. Thus, the individual level is understood from a relational perspective, where without </w:t>
      </w:r>
      <w:r w:rsidRPr="008C7198">
        <w:rPr>
          <w:i/>
          <w:iCs/>
          <w:color w:val="002060"/>
        </w:rPr>
        <w:t>confidence and trust</w:t>
      </w:r>
      <w:r w:rsidRPr="008C7198">
        <w:rPr>
          <w:color w:val="002060"/>
        </w:rPr>
        <w:t xml:space="preserve">, students and teachers cannot enter and engage in pedagogic relations. Enhancement is about confidence in the system of pedagogic relations and the education system, for individuals to be able to push against boundaries, and in so doing, experience and explore with confidence tension points and be open to alternative possibilities. This also means being able to recognise material and discursive boundaries and modify and change these boundaries, and in so doing challenge what is sensible, sayable, doable and thinkable.  </w:t>
      </w:r>
      <w:proofErr w:type="spellStart"/>
      <w:r w:rsidRPr="008C7198">
        <w:rPr>
          <w:color w:val="002060"/>
        </w:rPr>
        <w:t>Heimans</w:t>
      </w:r>
      <w:proofErr w:type="spellEnd"/>
      <w:r w:rsidRPr="008C7198">
        <w:rPr>
          <w:color w:val="002060"/>
        </w:rPr>
        <w:t xml:space="preserve"> et al., argue that Bernstein’s theory of pedagogic rights, along </w:t>
      </w:r>
      <w:proofErr w:type="gramStart"/>
      <w:r w:rsidRPr="008C7198">
        <w:rPr>
          <w:color w:val="002060"/>
        </w:rPr>
        <w:t xml:space="preserve">with  </w:t>
      </w:r>
      <w:proofErr w:type="spellStart"/>
      <w:r w:rsidRPr="008C7198">
        <w:rPr>
          <w:color w:val="002060"/>
        </w:rPr>
        <w:t>Rancière’s</w:t>
      </w:r>
      <w:proofErr w:type="spellEnd"/>
      <w:proofErr w:type="gramEnd"/>
      <w:r w:rsidRPr="008C7198">
        <w:rPr>
          <w:color w:val="002060"/>
        </w:rPr>
        <w:t xml:space="preserve"> work,</w:t>
      </w:r>
      <w:r w:rsidR="005E63F3" w:rsidRPr="008C7198">
        <w:rPr>
          <w:color w:val="002060"/>
        </w:rPr>
        <w:t xml:space="preserve"> on </w:t>
      </w:r>
      <w:proofErr w:type="spellStart"/>
      <w:r w:rsidR="005E63F3" w:rsidRPr="008C7198">
        <w:rPr>
          <w:color w:val="002060"/>
        </w:rPr>
        <w:t>the</w:t>
      </w:r>
      <w:r w:rsidRPr="008C7198">
        <w:rPr>
          <w:color w:val="002060"/>
        </w:rPr>
        <w:t>assumption</w:t>
      </w:r>
      <w:proofErr w:type="spellEnd"/>
      <w:r w:rsidRPr="008C7198">
        <w:rPr>
          <w:color w:val="002060"/>
        </w:rPr>
        <w:t xml:space="preserve"> of equality and the right of those with ‘no part’  to take a part by dissenting against current classifications and orderings, offers ways to think about democracy in action. The will of the people or the demos, to assert their rights, </w:t>
      </w:r>
      <w:proofErr w:type="gramStart"/>
      <w:r w:rsidRPr="008C7198">
        <w:rPr>
          <w:color w:val="002060"/>
        </w:rPr>
        <w:t>on the basis of</w:t>
      </w:r>
      <w:proofErr w:type="gramEnd"/>
      <w:r w:rsidRPr="008C7198">
        <w:rPr>
          <w:color w:val="002060"/>
        </w:rPr>
        <w:t xml:space="preserve"> the assumption of equality </w:t>
      </w:r>
      <w:r w:rsidR="005E63F3" w:rsidRPr="008C7198">
        <w:rPr>
          <w:color w:val="002060"/>
        </w:rPr>
        <w:t xml:space="preserve">and to engage in acts of dissensus rather than consensus, is core to the publicness of public education. </w:t>
      </w:r>
      <w:r w:rsidRPr="008C7198">
        <w:rPr>
          <w:color w:val="002060"/>
        </w:rPr>
        <w:t xml:space="preserve"> </w:t>
      </w:r>
    </w:p>
    <w:p w14:paraId="3268BCDB" w14:textId="77777777" w:rsidR="007056D9" w:rsidRPr="008C7198" w:rsidRDefault="007056D9" w:rsidP="007056D9">
      <w:pPr>
        <w:rPr>
          <w:color w:val="002060"/>
        </w:rPr>
      </w:pPr>
      <w:bookmarkStart w:id="2" w:name="_Hlk70349012"/>
    </w:p>
    <w:p w14:paraId="5E6061FB" w14:textId="1891F4CB" w:rsidR="007056D9" w:rsidRPr="008C7198" w:rsidRDefault="007056D9" w:rsidP="007056D9">
      <w:pPr>
        <w:rPr>
          <w:color w:val="002060"/>
        </w:rPr>
      </w:pPr>
      <w:proofErr w:type="spellStart"/>
      <w:r w:rsidRPr="008C7198">
        <w:rPr>
          <w:color w:val="002060"/>
        </w:rPr>
        <w:t>Säfström</w:t>
      </w:r>
      <w:proofErr w:type="spellEnd"/>
      <w:r w:rsidRPr="008C7198">
        <w:rPr>
          <w:color w:val="002060"/>
        </w:rPr>
        <w:t xml:space="preserve"> and </w:t>
      </w:r>
      <w:proofErr w:type="spellStart"/>
      <w:r w:rsidRPr="008C7198">
        <w:rPr>
          <w:color w:val="002060"/>
        </w:rPr>
        <w:t>Månsson</w:t>
      </w:r>
      <w:proofErr w:type="spellEnd"/>
      <w:r w:rsidRPr="008C7198">
        <w:rPr>
          <w:color w:val="002060"/>
        </w:rPr>
        <w:t xml:space="preserve"> </w:t>
      </w:r>
      <w:bookmarkEnd w:id="2"/>
      <w:r w:rsidRPr="008C7198">
        <w:rPr>
          <w:color w:val="002060"/>
        </w:rPr>
        <w:t xml:space="preserve">also draw on the work of </w:t>
      </w:r>
      <w:proofErr w:type="spellStart"/>
      <w:r w:rsidRPr="008C7198">
        <w:rPr>
          <w:color w:val="002060"/>
        </w:rPr>
        <w:t>Rancière</w:t>
      </w:r>
      <w:proofErr w:type="spellEnd"/>
      <w:r w:rsidRPr="008C7198">
        <w:rPr>
          <w:color w:val="002060"/>
        </w:rPr>
        <w:t xml:space="preserve">, but they do so, to demonstrate how the marketisation of schooling in Sweden has produced a democratic deficit. They propose that the Swedish education system was based on a democratic principle with educational equality at its </w:t>
      </w:r>
      <w:proofErr w:type="gramStart"/>
      <w:r w:rsidRPr="008C7198">
        <w:rPr>
          <w:color w:val="002060"/>
        </w:rPr>
        <w:t>core, but</w:t>
      </w:r>
      <w:proofErr w:type="gramEnd"/>
      <w:r w:rsidRPr="008C7198">
        <w:rPr>
          <w:color w:val="002060"/>
        </w:rPr>
        <w:t xml:space="preserve"> has moved increasingly to being based on an aristocratic principle where existing inequalities are reproduced and sedimented. In addition, they propose that teacher education is now expected to follow schooling practices rather than the other way around, with both neo-conservatives and neo-liberals advocating similar policies for schooling and teacher education geared to the dictates of the market. The language of learning, or </w:t>
      </w:r>
      <w:proofErr w:type="spellStart"/>
      <w:r w:rsidRPr="008C7198">
        <w:rPr>
          <w:color w:val="002060"/>
        </w:rPr>
        <w:t>learnification</w:t>
      </w:r>
      <w:proofErr w:type="spellEnd"/>
      <w:r w:rsidRPr="008C7198">
        <w:rPr>
          <w:color w:val="002060"/>
        </w:rPr>
        <w:t>, means that education is narrowed to learning and teaching is narrowed to learning outcomes or attainment. Not only does the language of learning now dominate education, but all aspects of life. Such a totalising ideology of individualisation and learning is a problem for society as it removes the ‘public’ from public education and lays the ground for non-democratic and divided societies.</w:t>
      </w:r>
    </w:p>
    <w:p w14:paraId="1D7537E7" w14:textId="4D2827F6" w:rsidR="007056D9" w:rsidRPr="008C7198" w:rsidRDefault="007056D9" w:rsidP="007056D9">
      <w:pPr>
        <w:rPr>
          <w:color w:val="002060"/>
        </w:rPr>
      </w:pPr>
      <w:r w:rsidRPr="008C7198">
        <w:rPr>
          <w:color w:val="002060"/>
        </w:rPr>
        <w:t xml:space="preserve">Drawing on </w:t>
      </w:r>
      <w:proofErr w:type="spellStart"/>
      <w:r w:rsidRPr="008C7198">
        <w:rPr>
          <w:color w:val="002060"/>
        </w:rPr>
        <w:t>Rancière’s</w:t>
      </w:r>
      <w:proofErr w:type="spellEnd"/>
      <w:r w:rsidRPr="008C7198">
        <w:rPr>
          <w:color w:val="002060"/>
        </w:rPr>
        <w:t xml:space="preserve"> work, specifically his notion of the assumption of equality not only in social life, but also in nature, the authors argue that this assumption underpins democracy and the public of public education. The shocking insight of this assumption about democracy is that power has no other justification except for power itself, there is no natural inequality that justifies the distribution of power, or that one group should dominate all others.  </w:t>
      </w:r>
      <w:proofErr w:type="spellStart"/>
      <w:r w:rsidRPr="008C7198">
        <w:rPr>
          <w:color w:val="002060"/>
        </w:rPr>
        <w:t>Säfström</w:t>
      </w:r>
      <w:proofErr w:type="spellEnd"/>
      <w:r w:rsidRPr="008C7198">
        <w:rPr>
          <w:color w:val="002060"/>
        </w:rPr>
        <w:t xml:space="preserve"> and </w:t>
      </w:r>
      <w:proofErr w:type="spellStart"/>
      <w:r w:rsidRPr="008C7198">
        <w:rPr>
          <w:color w:val="002060"/>
        </w:rPr>
        <w:t>Månsson</w:t>
      </w:r>
      <w:proofErr w:type="spellEnd"/>
      <w:r w:rsidRPr="008C7198">
        <w:rPr>
          <w:color w:val="002060"/>
        </w:rPr>
        <w:t xml:space="preserve"> (page xxx) argue that the democratic principle in education is characterised by understanding teaching in three ways: </w:t>
      </w:r>
      <w:r w:rsidRPr="008C7198">
        <w:rPr>
          <w:i/>
          <w:iCs/>
          <w:color w:val="002060"/>
        </w:rPr>
        <w:t xml:space="preserve">firstly, as the form through which the publicness of the public take place; secondly, by the insight that </w:t>
      </w:r>
      <w:proofErr w:type="spellStart"/>
      <w:r w:rsidRPr="008C7198">
        <w:rPr>
          <w:i/>
          <w:iCs/>
          <w:color w:val="002060"/>
        </w:rPr>
        <w:t>areté</w:t>
      </w:r>
      <w:proofErr w:type="spellEnd"/>
      <w:r w:rsidRPr="008C7198">
        <w:rPr>
          <w:i/>
          <w:iCs/>
          <w:color w:val="002060"/>
        </w:rPr>
        <w:t>, or how culture is embodied, is not ‘inherited’ but taught; and thirdly, that equality is an assumption to be verified within the practice of teaching.</w:t>
      </w:r>
    </w:p>
    <w:p w14:paraId="5E7AD7C5" w14:textId="77777777" w:rsidR="007056D9" w:rsidRPr="008C7198" w:rsidRDefault="007056D9" w:rsidP="007056D9">
      <w:pPr>
        <w:rPr>
          <w:color w:val="002060"/>
        </w:rPr>
      </w:pPr>
    </w:p>
    <w:p w14:paraId="35AD8816" w14:textId="5942A4DA" w:rsidR="007056D9" w:rsidRPr="008C7198" w:rsidRDefault="007056D9" w:rsidP="007056D9">
      <w:pPr>
        <w:rPr>
          <w:color w:val="002060"/>
        </w:rPr>
      </w:pPr>
      <w:r w:rsidRPr="008C7198">
        <w:rPr>
          <w:color w:val="002060"/>
        </w:rPr>
        <w:t xml:space="preserve">Inequality is not only rising in Sweden at a fast pace, but this inequality is inextricably linked to new popularist racisms, and so tearing apart the vary ‘publicness of the public’ and unravelling </w:t>
      </w:r>
      <w:r w:rsidRPr="008C7198">
        <w:rPr>
          <w:color w:val="002060"/>
        </w:rPr>
        <w:lastRenderedPageBreak/>
        <w:t xml:space="preserve">the social fabric of democracy. What then is core to the social fabric of democracy? The ethical or moral core of democracy is the ability to perceive the other as equal, that is, the premise of the assumption of equality. Given equality is so inextricably connected to democracy and the publicness of public education, what is equality? According to </w:t>
      </w:r>
      <w:proofErr w:type="spellStart"/>
      <w:r w:rsidRPr="008C7198">
        <w:rPr>
          <w:color w:val="002060"/>
        </w:rPr>
        <w:t>Säfström</w:t>
      </w:r>
      <w:proofErr w:type="spellEnd"/>
      <w:r w:rsidRPr="008C7198">
        <w:rPr>
          <w:color w:val="002060"/>
        </w:rPr>
        <w:t xml:space="preserve"> and </w:t>
      </w:r>
      <w:proofErr w:type="spellStart"/>
      <w:r w:rsidRPr="008C7198">
        <w:rPr>
          <w:color w:val="002060"/>
        </w:rPr>
        <w:t>Månsson</w:t>
      </w:r>
      <w:proofErr w:type="spellEnd"/>
      <w:r w:rsidRPr="008C7198">
        <w:rPr>
          <w:color w:val="002060"/>
        </w:rPr>
        <w:t xml:space="preserve"> (page xxx) equality </w:t>
      </w:r>
      <w:r w:rsidRPr="008C7198">
        <w:rPr>
          <w:i/>
          <w:iCs/>
          <w:color w:val="002060"/>
        </w:rPr>
        <w:t>…is essentially about each and everyone’s ability and capacity to live a life here and now, to speak, and live together with others, to share meaning with those others; it is through enacting this capacity that equality show</w:t>
      </w:r>
      <w:r w:rsidR="00B2459F" w:rsidRPr="008C7198">
        <w:rPr>
          <w:i/>
          <w:iCs/>
          <w:color w:val="002060"/>
        </w:rPr>
        <w:t>s</w:t>
      </w:r>
      <w:r w:rsidRPr="008C7198">
        <w:rPr>
          <w:i/>
          <w:iCs/>
          <w:color w:val="002060"/>
        </w:rPr>
        <w:t xml:space="preserve"> itself in practice, ... If democracy is the very possibility of a liveable life, to be able to claim one’s equality with everyone else’s in an expanding public; if it is the ability, possibility and right to divide that which present itself as an undividable mono-culture excluding a large part of the populations, then education and teaching are the very praxis of such democracy. </w:t>
      </w:r>
    </w:p>
    <w:p w14:paraId="5D4A922D" w14:textId="77777777" w:rsidR="007056D9" w:rsidRPr="008C7198" w:rsidRDefault="007056D9" w:rsidP="007056D9">
      <w:pPr>
        <w:rPr>
          <w:i/>
          <w:iCs/>
          <w:color w:val="002060"/>
        </w:rPr>
      </w:pPr>
    </w:p>
    <w:p w14:paraId="50A955DE" w14:textId="0AAC6DB1" w:rsidR="003C0E9E" w:rsidRPr="008C7198" w:rsidRDefault="003C0E9E" w:rsidP="003C0E9E">
      <w:pPr>
        <w:rPr>
          <w:rFonts w:cs="Times New Roman"/>
          <w:color w:val="002060"/>
          <w:lang w:val="en-US"/>
        </w:rPr>
      </w:pPr>
      <w:r w:rsidRPr="008C7198">
        <w:rPr>
          <w:rFonts w:cs="Times New Roman"/>
          <w:color w:val="002060"/>
          <w:lang w:val="en-US"/>
        </w:rPr>
        <w:t xml:space="preserve">Mendel’s </w:t>
      </w:r>
      <w:proofErr w:type="gramStart"/>
      <w:r w:rsidRPr="008C7198">
        <w:rPr>
          <w:rFonts w:cs="Times New Roman"/>
          <w:i/>
          <w:iCs/>
          <w:color w:val="002060"/>
          <w:lang w:val="en-US"/>
        </w:rPr>
        <w:t>On</w:t>
      </w:r>
      <w:proofErr w:type="gramEnd"/>
      <w:r w:rsidRPr="008C7198">
        <w:rPr>
          <w:rFonts w:cs="Times New Roman"/>
          <w:i/>
          <w:iCs/>
          <w:color w:val="002060"/>
          <w:lang w:val="en-US"/>
        </w:rPr>
        <w:t xml:space="preserve"> the haunted “public” in public education in Poland</w:t>
      </w:r>
      <w:r w:rsidRPr="008C7198">
        <w:rPr>
          <w:rFonts w:cs="Times New Roman"/>
          <w:color w:val="002060"/>
          <w:lang w:val="en-US"/>
        </w:rPr>
        <w:t xml:space="preserve"> draws on Derrida’s notion of ‘hauntology’ to identify the traces of the ‘public’ in Poland that are from a different historical period, are strange to the present, but nevertheless still impact upon it. A particular example is the growing elitism evident in school reforms </w:t>
      </w:r>
      <w:r w:rsidR="00897472" w:rsidRPr="008C7198">
        <w:rPr>
          <w:rFonts w:cs="Times New Roman"/>
          <w:color w:val="002060"/>
          <w:lang w:val="en-US"/>
        </w:rPr>
        <w:t xml:space="preserve">(or deforms) </w:t>
      </w:r>
      <w:r w:rsidRPr="008C7198">
        <w:rPr>
          <w:rFonts w:cs="Times New Roman"/>
          <w:color w:val="002060"/>
          <w:lang w:val="en-US"/>
        </w:rPr>
        <w:t>supposedly designed to democratize schooling</w:t>
      </w:r>
      <w:r w:rsidR="00550EC7" w:rsidRPr="008C7198">
        <w:rPr>
          <w:rFonts w:cs="Times New Roman"/>
          <w:color w:val="002060"/>
          <w:lang w:val="en-US"/>
        </w:rPr>
        <w:t xml:space="preserve"> in that country</w:t>
      </w:r>
      <w:r w:rsidRPr="008C7198">
        <w:rPr>
          <w:rFonts w:cs="Times New Roman"/>
          <w:color w:val="002060"/>
          <w:lang w:val="en-US"/>
        </w:rPr>
        <w:t xml:space="preserve">. </w:t>
      </w:r>
      <w:r w:rsidR="00D04B38" w:rsidRPr="008C7198">
        <w:rPr>
          <w:rFonts w:cs="Times New Roman"/>
          <w:color w:val="002060"/>
          <w:lang w:val="en-US"/>
        </w:rPr>
        <w:t xml:space="preserve">Poland’s pre-1989 history is one where </w:t>
      </w:r>
      <w:r w:rsidR="00B91B72" w:rsidRPr="008C7198">
        <w:rPr>
          <w:rFonts w:cs="Times New Roman"/>
          <w:color w:val="002060"/>
          <w:lang w:val="en-US"/>
        </w:rPr>
        <w:t xml:space="preserve">‘equality’ was a dominant theme </w:t>
      </w:r>
      <w:r w:rsidR="00FB70CA" w:rsidRPr="008C7198">
        <w:rPr>
          <w:rFonts w:cs="Times New Roman"/>
          <w:color w:val="002060"/>
          <w:lang w:val="en-US"/>
        </w:rPr>
        <w:t xml:space="preserve">of the </w:t>
      </w:r>
      <w:r w:rsidR="00787FC5" w:rsidRPr="008C7198">
        <w:rPr>
          <w:rFonts w:cs="Times New Roman"/>
          <w:color w:val="002060"/>
          <w:lang w:val="en-US"/>
        </w:rPr>
        <w:t>one-party</w:t>
      </w:r>
      <w:r w:rsidR="00FB70CA" w:rsidRPr="008C7198">
        <w:rPr>
          <w:rFonts w:cs="Times New Roman"/>
          <w:color w:val="002060"/>
          <w:lang w:val="en-US"/>
        </w:rPr>
        <w:t xml:space="preserve"> government </w:t>
      </w:r>
      <w:r w:rsidR="00B91B72" w:rsidRPr="008C7198">
        <w:rPr>
          <w:rFonts w:cs="Times New Roman"/>
          <w:color w:val="002060"/>
          <w:lang w:val="en-US"/>
        </w:rPr>
        <w:t xml:space="preserve">in </w:t>
      </w:r>
      <w:r w:rsidR="005558F8" w:rsidRPr="008C7198">
        <w:rPr>
          <w:rFonts w:cs="Times New Roman"/>
          <w:color w:val="002060"/>
          <w:lang w:val="en-US"/>
        </w:rPr>
        <w:t xml:space="preserve">relation to </w:t>
      </w:r>
      <w:r w:rsidR="00B91B72" w:rsidRPr="008C7198">
        <w:rPr>
          <w:rFonts w:cs="Times New Roman"/>
          <w:color w:val="002060"/>
          <w:lang w:val="en-US"/>
        </w:rPr>
        <w:t xml:space="preserve">education as elsewhere in society. </w:t>
      </w:r>
      <w:r w:rsidR="0043400E" w:rsidRPr="008C7198">
        <w:rPr>
          <w:rFonts w:cs="Times New Roman"/>
          <w:color w:val="002060"/>
          <w:lang w:val="en-US"/>
        </w:rPr>
        <w:t>Equality</w:t>
      </w:r>
      <w:r w:rsidR="00787FC5" w:rsidRPr="008C7198">
        <w:rPr>
          <w:rFonts w:cs="Times New Roman"/>
          <w:color w:val="002060"/>
          <w:lang w:val="en-US"/>
        </w:rPr>
        <w:t xml:space="preserve"> though </w:t>
      </w:r>
      <w:r w:rsidR="00BE4F79" w:rsidRPr="008C7198">
        <w:rPr>
          <w:rFonts w:cs="Times New Roman"/>
          <w:color w:val="002060"/>
          <w:lang w:val="en-US"/>
        </w:rPr>
        <w:t>did</w:t>
      </w:r>
      <w:r w:rsidR="00787FC5" w:rsidRPr="008C7198">
        <w:rPr>
          <w:rFonts w:cs="Times New Roman"/>
          <w:color w:val="002060"/>
          <w:lang w:val="en-US"/>
        </w:rPr>
        <w:t xml:space="preserve"> </w:t>
      </w:r>
      <w:r w:rsidR="00BE4F79" w:rsidRPr="008C7198">
        <w:rPr>
          <w:rFonts w:cs="Times New Roman"/>
          <w:color w:val="002060"/>
          <w:lang w:val="en-US"/>
        </w:rPr>
        <w:t>not</w:t>
      </w:r>
      <w:r w:rsidR="00787FC5" w:rsidRPr="008C7198">
        <w:rPr>
          <w:rFonts w:cs="Times New Roman"/>
          <w:color w:val="002060"/>
          <w:lang w:val="en-US"/>
        </w:rPr>
        <w:t xml:space="preserve"> </w:t>
      </w:r>
      <w:r w:rsidR="0043400E" w:rsidRPr="008C7198">
        <w:rPr>
          <w:rFonts w:cs="Times New Roman"/>
          <w:color w:val="002060"/>
          <w:lang w:val="en-US"/>
        </w:rPr>
        <w:t xml:space="preserve">cause </w:t>
      </w:r>
      <w:r w:rsidR="003768F6" w:rsidRPr="008C7198">
        <w:rPr>
          <w:rFonts w:cs="Times New Roman"/>
          <w:color w:val="002060"/>
          <w:lang w:val="en-US"/>
        </w:rPr>
        <w:t xml:space="preserve">elites </w:t>
      </w:r>
      <w:r w:rsidR="0043400E" w:rsidRPr="008C7198">
        <w:rPr>
          <w:rFonts w:cs="Times New Roman"/>
          <w:color w:val="002060"/>
          <w:lang w:val="en-US"/>
        </w:rPr>
        <w:t xml:space="preserve">to disappear </w:t>
      </w:r>
      <w:r w:rsidR="003768F6" w:rsidRPr="008C7198">
        <w:rPr>
          <w:rFonts w:cs="Times New Roman"/>
          <w:color w:val="002060"/>
          <w:lang w:val="en-US"/>
        </w:rPr>
        <w:t>– they still existed</w:t>
      </w:r>
      <w:r w:rsidR="0031568C" w:rsidRPr="008C7198">
        <w:rPr>
          <w:rFonts w:cs="Times New Roman"/>
          <w:color w:val="002060"/>
          <w:lang w:val="en-US"/>
        </w:rPr>
        <w:t>,</w:t>
      </w:r>
      <w:r w:rsidR="003768F6" w:rsidRPr="008C7198">
        <w:rPr>
          <w:rFonts w:cs="Times New Roman"/>
          <w:color w:val="002060"/>
          <w:lang w:val="en-US"/>
        </w:rPr>
        <w:t xml:space="preserve"> albeit </w:t>
      </w:r>
      <w:r w:rsidR="009268B8" w:rsidRPr="008C7198">
        <w:rPr>
          <w:rFonts w:cs="Times New Roman"/>
          <w:color w:val="002060"/>
          <w:lang w:val="en-US"/>
        </w:rPr>
        <w:t xml:space="preserve">based upon demonstrations of party loyalty. </w:t>
      </w:r>
      <w:r w:rsidR="00FB70CA" w:rsidRPr="008C7198">
        <w:rPr>
          <w:rFonts w:cs="Times New Roman"/>
          <w:color w:val="002060"/>
          <w:lang w:val="en-US"/>
        </w:rPr>
        <w:t xml:space="preserve">With the </w:t>
      </w:r>
      <w:r w:rsidR="004D738A" w:rsidRPr="008C7198">
        <w:rPr>
          <w:rFonts w:cs="Times New Roman"/>
          <w:color w:val="002060"/>
          <w:lang w:val="en-US"/>
        </w:rPr>
        <w:t>advent of ‘democracy’</w:t>
      </w:r>
      <w:r w:rsidR="0043400E" w:rsidRPr="008C7198">
        <w:rPr>
          <w:rFonts w:cs="Times New Roman"/>
          <w:color w:val="002060"/>
          <w:lang w:val="en-US"/>
        </w:rPr>
        <w:t xml:space="preserve">, </w:t>
      </w:r>
      <w:r w:rsidR="00F25F03" w:rsidRPr="008C7198">
        <w:rPr>
          <w:rFonts w:cs="Times New Roman"/>
          <w:color w:val="002060"/>
          <w:lang w:val="en-US"/>
        </w:rPr>
        <w:t>equality</w:t>
      </w:r>
      <w:r w:rsidR="004D738A" w:rsidRPr="008C7198">
        <w:rPr>
          <w:rFonts w:cs="Times New Roman"/>
          <w:color w:val="002060"/>
          <w:lang w:val="en-US"/>
        </w:rPr>
        <w:t xml:space="preserve"> was </w:t>
      </w:r>
      <w:r w:rsidR="00F25F03" w:rsidRPr="008C7198">
        <w:rPr>
          <w:rFonts w:cs="Times New Roman"/>
          <w:color w:val="002060"/>
          <w:lang w:val="en-US"/>
        </w:rPr>
        <w:t>replaced</w:t>
      </w:r>
      <w:r w:rsidR="004D738A" w:rsidRPr="008C7198">
        <w:rPr>
          <w:rFonts w:cs="Times New Roman"/>
          <w:color w:val="002060"/>
          <w:lang w:val="en-US"/>
        </w:rPr>
        <w:t xml:space="preserve"> </w:t>
      </w:r>
      <w:r w:rsidR="00EF0394" w:rsidRPr="008C7198">
        <w:rPr>
          <w:rFonts w:cs="Times New Roman"/>
          <w:color w:val="002060"/>
          <w:lang w:val="en-US"/>
        </w:rPr>
        <w:t xml:space="preserve">by ‘freedom’ </w:t>
      </w:r>
      <w:r w:rsidR="004D738A" w:rsidRPr="008C7198">
        <w:rPr>
          <w:rFonts w:cs="Times New Roman"/>
          <w:color w:val="002060"/>
          <w:lang w:val="en-US"/>
        </w:rPr>
        <w:t xml:space="preserve">as </w:t>
      </w:r>
      <w:r w:rsidR="0031568C" w:rsidRPr="008C7198">
        <w:rPr>
          <w:rFonts w:cs="Times New Roman"/>
          <w:color w:val="002060"/>
          <w:lang w:val="en-US"/>
        </w:rPr>
        <w:t xml:space="preserve">the dominant theme shaping public </w:t>
      </w:r>
      <w:r w:rsidR="006C0DA1" w:rsidRPr="008C7198">
        <w:rPr>
          <w:rFonts w:cs="Times New Roman"/>
          <w:color w:val="002060"/>
          <w:lang w:val="en-US"/>
        </w:rPr>
        <w:t>discourse</w:t>
      </w:r>
      <w:r w:rsidR="0031568C" w:rsidRPr="008C7198">
        <w:rPr>
          <w:rFonts w:cs="Times New Roman"/>
          <w:color w:val="002060"/>
          <w:lang w:val="en-US"/>
        </w:rPr>
        <w:t xml:space="preserve">. </w:t>
      </w:r>
      <w:r w:rsidR="00834D3F" w:rsidRPr="008C7198">
        <w:rPr>
          <w:rFonts w:cs="Times New Roman"/>
          <w:color w:val="002060"/>
          <w:lang w:val="en-US"/>
        </w:rPr>
        <w:t>Freedom</w:t>
      </w:r>
      <w:r w:rsidR="006C0DA1" w:rsidRPr="008C7198">
        <w:rPr>
          <w:rFonts w:cs="Times New Roman"/>
          <w:color w:val="002060"/>
          <w:lang w:val="en-US"/>
        </w:rPr>
        <w:t xml:space="preserve"> here </w:t>
      </w:r>
      <w:r w:rsidR="00834D3F" w:rsidRPr="008C7198">
        <w:rPr>
          <w:rFonts w:cs="Times New Roman"/>
          <w:color w:val="002060"/>
          <w:lang w:val="en-US"/>
        </w:rPr>
        <w:t xml:space="preserve">has been </w:t>
      </w:r>
      <w:r w:rsidR="006C0DA1" w:rsidRPr="008C7198">
        <w:rPr>
          <w:rFonts w:cs="Times New Roman"/>
          <w:color w:val="002060"/>
          <w:lang w:val="en-US"/>
        </w:rPr>
        <w:t>used</w:t>
      </w:r>
      <w:r w:rsidR="004D738A" w:rsidRPr="008C7198">
        <w:rPr>
          <w:rFonts w:cs="Times New Roman"/>
          <w:color w:val="002060"/>
          <w:lang w:val="en-US"/>
        </w:rPr>
        <w:t xml:space="preserve"> </w:t>
      </w:r>
      <w:r w:rsidR="00834D3F" w:rsidRPr="008C7198">
        <w:rPr>
          <w:rFonts w:cs="Times New Roman"/>
          <w:color w:val="002060"/>
          <w:lang w:val="en-US"/>
        </w:rPr>
        <w:t xml:space="preserve">in (neo)liberal ways that focus on the </w:t>
      </w:r>
      <w:r w:rsidR="004F2E0A" w:rsidRPr="008C7198">
        <w:rPr>
          <w:rFonts w:cs="Times New Roman"/>
          <w:color w:val="002060"/>
          <w:lang w:val="en-US"/>
        </w:rPr>
        <w:t>individual.</w:t>
      </w:r>
      <w:r w:rsidR="00440F02" w:rsidRPr="008C7198">
        <w:rPr>
          <w:rFonts w:cs="Times New Roman"/>
          <w:color w:val="002060"/>
          <w:lang w:val="en-US"/>
        </w:rPr>
        <w:t xml:space="preserve"> T</w:t>
      </w:r>
      <w:r w:rsidR="002701F8" w:rsidRPr="008C7198">
        <w:rPr>
          <w:rFonts w:cs="Times New Roman"/>
          <w:color w:val="002060"/>
          <w:lang w:val="en-US"/>
        </w:rPr>
        <w:t>h</w:t>
      </w:r>
      <w:r w:rsidR="00440F02" w:rsidRPr="008C7198">
        <w:rPr>
          <w:rFonts w:cs="Times New Roman"/>
          <w:color w:val="002060"/>
          <w:lang w:val="en-US"/>
        </w:rPr>
        <w:t>is has led to the development of private schools</w:t>
      </w:r>
      <w:r w:rsidR="00F1561A" w:rsidRPr="008C7198">
        <w:rPr>
          <w:rFonts w:cs="Times New Roman"/>
          <w:color w:val="002060"/>
          <w:lang w:val="en-US"/>
        </w:rPr>
        <w:t xml:space="preserve"> and the differentiation of state schooling based on academic criteria</w:t>
      </w:r>
      <w:r w:rsidR="002701F8" w:rsidRPr="008C7198">
        <w:rPr>
          <w:rFonts w:cs="Times New Roman"/>
          <w:color w:val="002060"/>
          <w:lang w:val="en-US"/>
        </w:rPr>
        <w:t xml:space="preserve">. Populism, as with other jurisdictions covered in this special issue, has also had a major impact </w:t>
      </w:r>
      <w:r w:rsidR="00101393" w:rsidRPr="008C7198">
        <w:rPr>
          <w:rFonts w:cs="Times New Roman"/>
          <w:color w:val="002060"/>
          <w:lang w:val="en-US"/>
        </w:rPr>
        <w:t>o</w:t>
      </w:r>
      <w:r w:rsidR="002701F8" w:rsidRPr="008C7198">
        <w:rPr>
          <w:rFonts w:cs="Times New Roman"/>
          <w:color w:val="002060"/>
          <w:lang w:val="en-US"/>
        </w:rPr>
        <w:t>n Pol</w:t>
      </w:r>
      <w:r w:rsidR="00101393" w:rsidRPr="008C7198">
        <w:rPr>
          <w:rFonts w:cs="Times New Roman"/>
          <w:color w:val="002060"/>
          <w:lang w:val="en-US"/>
        </w:rPr>
        <w:t>ish politics</w:t>
      </w:r>
      <w:r w:rsidR="002701F8" w:rsidRPr="008C7198">
        <w:rPr>
          <w:rFonts w:cs="Times New Roman"/>
          <w:color w:val="002060"/>
          <w:lang w:val="en-US"/>
        </w:rPr>
        <w:t xml:space="preserve">. </w:t>
      </w:r>
      <w:r w:rsidR="00167986" w:rsidRPr="008C7198">
        <w:rPr>
          <w:rFonts w:cs="Times New Roman"/>
          <w:color w:val="002060"/>
          <w:lang w:val="en-US"/>
        </w:rPr>
        <w:t xml:space="preserve">This populism is evident in the de-professionalization of teachers (through a negation of their expert knowledge) and a mandated </w:t>
      </w:r>
      <w:r w:rsidR="000B4B75" w:rsidRPr="008C7198">
        <w:rPr>
          <w:rFonts w:cs="Times New Roman"/>
          <w:color w:val="002060"/>
          <w:lang w:val="en-US"/>
        </w:rPr>
        <w:t xml:space="preserve">nationalist curriculum. </w:t>
      </w:r>
      <w:r w:rsidR="00A8395A" w:rsidRPr="008C7198">
        <w:rPr>
          <w:rFonts w:cs="Times New Roman"/>
          <w:color w:val="002060"/>
          <w:lang w:val="en-US"/>
        </w:rPr>
        <w:t xml:space="preserve">Throughout the paper </w:t>
      </w:r>
      <w:r w:rsidR="00B92C74" w:rsidRPr="008C7198">
        <w:rPr>
          <w:rFonts w:cs="Times New Roman"/>
          <w:color w:val="002060"/>
          <w:lang w:val="en-US"/>
        </w:rPr>
        <w:t xml:space="preserve">there are references to the </w:t>
      </w:r>
      <w:r w:rsidR="00725244" w:rsidRPr="008C7198">
        <w:rPr>
          <w:rFonts w:cs="Times New Roman"/>
          <w:color w:val="002060"/>
          <w:lang w:val="en-US"/>
        </w:rPr>
        <w:t xml:space="preserve">specters </w:t>
      </w:r>
      <w:r w:rsidR="00B92C74" w:rsidRPr="008C7198">
        <w:rPr>
          <w:rFonts w:cs="Times New Roman"/>
          <w:color w:val="002060"/>
          <w:lang w:val="en-US"/>
        </w:rPr>
        <w:t>that haunt public education in Po</w:t>
      </w:r>
      <w:r w:rsidR="00514D16" w:rsidRPr="008C7198">
        <w:rPr>
          <w:rFonts w:cs="Times New Roman"/>
          <w:color w:val="002060"/>
          <w:lang w:val="en-US"/>
        </w:rPr>
        <w:t>land</w:t>
      </w:r>
      <w:r w:rsidR="00053ED7" w:rsidRPr="008C7198">
        <w:rPr>
          <w:rFonts w:cs="Times New Roman"/>
          <w:color w:val="002060"/>
          <w:lang w:val="en-US"/>
        </w:rPr>
        <w:t xml:space="preserve"> – these include the </w:t>
      </w:r>
      <w:r w:rsidR="00725244" w:rsidRPr="008C7198">
        <w:rPr>
          <w:rFonts w:cs="Times New Roman"/>
          <w:color w:val="002060"/>
          <w:lang w:val="en-US"/>
        </w:rPr>
        <w:t>ghosts</w:t>
      </w:r>
      <w:r w:rsidR="00053ED7" w:rsidRPr="008C7198">
        <w:rPr>
          <w:rFonts w:cs="Times New Roman"/>
          <w:color w:val="002060"/>
          <w:lang w:val="en-US"/>
        </w:rPr>
        <w:t xml:space="preserve"> of </w:t>
      </w:r>
      <w:r w:rsidR="009F2D9D" w:rsidRPr="008C7198">
        <w:rPr>
          <w:rFonts w:cs="Times New Roman"/>
          <w:color w:val="002060"/>
          <w:lang w:val="en-US"/>
        </w:rPr>
        <w:t xml:space="preserve">Enlightenment versions of </w:t>
      </w:r>
      <w:r w:rsidR="00053ED7" w:rsidRPr="008C7198">
        <w:rPr>
          <w:rFonts w:cs="Times New Roman"/>
          <w:color w:val="002060"/>
          <w:lang w:val="en-US"/>
        </w:rPr>
        <w:t>humanis</w:t>
      </w:r>
      <w:r w:rsidR="00725244" w:rsidRPr="008C7198">
        <w:rPr>
          <w:rFonts w:cs="Times New Roman"/>
          <w:color w:val="002060"/>
          <w:lang w:val="en-US"/>
        </w:rPr>
        <w:t>m.</w:t>
      </w:r>
      <w:r w:rsidR="00514D16" w:rsidRPr="008C7198">
        <w:rPr>
          <w:rFonts w:cs="Times New Roman"/>
          <w:color w:val="002060"/>
          <w:lang w:val="en-US"/>
        </w:rPr>
        <w:t xml:space="preserve"> </w:t>
      </w:r>
      <w:r w:rsidRPr="008C7198">
        <w:rPr>
          <w:rFonts w:cs="Times New Roman"/>
          <w:color w:val="002060"/>
          <w:lang w:val="en-US"/>
        </w:rPr>
        <w:t>Aligned with other papers in this special issue there is a concern in Mendel’s paper with justice and with how things could be other than they are</w:t>
      </w:r>
      <w:r w:rsidR="00725244" w:rsidRPr="008C7198">
        <w:rPr>
          <w:rFonts w:cs="Times New Roman"/>
          <w:color w:val="002060"/>
          <w:lang w:val="en-US"/>
        </w:rPr>
        <w:t xml:space="preserve"> – she </w:t>
      </w:r>
      <w:r w:rsidR="00D5299E" w:rsidRPr="008C7198">
        <w:rPr>
          <w:rFonts w:cs="Times New Roman"/>
          <w:color w:val="002060"/>
          <w:lang w:val="en-US"/>
        </w:rPr>
        <w:t xml:space="preserve">suggests that an </w:t>
      </w:r>
      <w:r w:rsidR="00E83BA4" w:rsidRPr="008C7198">
        <w:rPr>
          <w:rFonts w:cs="Times New Roman"/>
          <w:color w:val="002060"/>
          <w:lang w:val="en-US"/>
        </w:rPr>
        <w:t>engagement</w:t>
      </w:r>
      <w:r w:rsidR="00D5299E" w:rsidRPr="008C7198">
        <w:rPr>
          <w:rFonts w:cs="Times New Roman"/>
          <w:color w:val="002060"/>
          <w:lang w:val="en-US"/>
        </w:rPr>
        <w:t xml:space="preserve"> with </w:t>
      </w:r>
      <w:r w:rsidR="00E83BA4" w:rsidRPr="008C7198">
        <w:rPr>
          <w:rFonts w:cs="Times New Roman"/>
          <w:color w:val="002060"/>
          <w:lang w:val="en-US"/>
        </w:rPr>
        <w:t>‘cosmopolitan learning grounded in posthuman</w:t>
      </w:r>
      <w:r w:rsidR="00846B9D" w:rsidRPr="008C7198">
        <w:rPr>
          <w:rFonts w:cs="Times New Roman"/>
          <w:color w:val="002060"/>
          <w:lang w:val="en-US"/>
        </w:rPr>
        <w:t xml:space="preserve"> </w:t>
      </w:r>
      <w:proofErr w:type="gramStart"/>
      <w:r w:rsidR="00E83BA4" w:rsidRPr="008C7198">
        <w:rPr>
          <w:rFonts w:cs="Times New Roman"/>
          <w:color w:val="002060"/>
          <w:lang w:val="en-US"/>
        </w:rPr>
        <w:t>ethics’</w:t>
      </w:r>
      <w:proofErr w:type="gramEnd"/>
      <w:r w:rsidR="00E83BA4" w:rsidRPr="008C7198">
        <w:rPr>
          <w:rFonts w:cs="Times New Roman"/>
          <w:color w:val="002060"/>
          <w:lang w:val="en-US"/>
        </w:rPr>
        <w:t xml:space="preserve"> might </w:t>
      </w:r>
      <w:r w:rsidR="00846B9D" w:rsidRPr="008C7198">
        <w:rPr>
          <w:rFonts w:cs="Times New Roman"/>
          <w:color w:val="002060"/>
          <w:lang w:val="en-US"/>
        </w:rPr>
        <w:t xml:space="preserve">help to </w:t>
      </w:r>
      <w:r w:rsidR="001A723C" w:rsidRPr="008C7198">
        <w:rPr>
          <w:rFonts w:cs="Times New Roman"/>
          <w:color w:val="002060"/>
          <w:lang w:val="en-US"/>
        </w:rPr>
        <w:t xml:space="preserve">envisage what that </w:t>
      </w:r>
      <w:r w:rsidR="00BB29D5" w:rsidRPr="008C7198">
        <w:rPr>
          <w:rFonts w:cs="Times New Roman"/>
          <w:color w:val="002060"/>
          <w:lang w:val="en-US"/>
        </w:rPr>
        <w:t>could be.</w:t>
      </w:r>
      <w:r w:rsidRPr="008C7198">
        <w:rPr>
          <w:rFonts w:cs="Times New Roman"/>
          <w:color w:val="002060"/>
          <w:lang w:val="en-US"/>
        </w:rPr>
        <w:t xml:space="preserve"> </w:t>
      </w:r>
    </w:p>
    <w:p w14:paraId="065A9708" w14:textId="77777777" w:rsidR="007056D9" w:rsidRPr="008C7198" w:rsidRDefault="007056D9" w:rsidP="00787084">
      <w:pPr>
        <w:rPr>
          <w:rFonts w:cs="Times New Roman"/>
          <w:color w:val="002060"/>
          <w:lang w:val="en-US"/>
        </w:rPr>
      </w:pPr>
    </w:p>
    <w:p w14:paraId="6D58F74A" w14:textId="67569993" w:rsidR="00787084" w:rsidRPr="008C7198" w:rsidRDefault="002E2390">
      <w:pPr>
        <w:rPr>
          <w:rFonts w:cs="Times New Roman"/>
          <w:color w:val="002060"/>
          <w:lang w:val="en-US"/>
        </w:rPr>
      </w:pPr>
      <w:r w:rsidRPr="008C7198">
        <w:rPr>
          <w:rFonts w:cs="Times New Roman"/>
          <w:color w:val="002060"/>
          <w:lang w:val="en-US"/>
        </w:rPr>
        <w:t xml:space="preserve">The contribution by </w:t>
      </w:r>
      <w:r w:rsidR="00787084" w:rsidRPr="008C7198">
        <w:rPr>
          <w:rFonts w:cs="Times New Roman"/>
          <w:color w:val="002060"/>
          <w:lang w:val="en-US"/>
        </w:rPr>
        <w:t xml:space="preserve">Clarke </w:t>
      </w:r>
      <w:r w:rsidRPr="008C7198">
        <w:rPr>
          <w:rFonts w:cs="Times New Roman"/>
          <w:color w:val="002060"/>
          <w:lang w:val="en-US"/>
        </w:rPr>
        <w:t>and</w:t>
      </w:r>
      <w:r w:rsidR="00787084" w:rsidRPr="008C7198">
        <w:rPr>
          <w:rFonts w:cs="Times New Roman"/>
          <w:color w:val="002060"/>
          <w:lang w:val="en-US"/>
        </w:rPr>
        <w:t xml:space="preserve"> Mills, </w:t>
      </w:r>
      <w:r w:rsidR="00787084" w:rsidRPr="008C7198">
        <w:rPr>
          <w:rFonts w:cs="Times New Roman"/>
          <w:i/>
          <w:iCs/>
          <w:color w:val="002060"/>
          <w:lang w:val="en-US"/>
        </w:rPr>
        <w:t xml:space="preserve">“We have never been public”: Continuity and change in the policy production of ‘the public’ in education in England, </w:t>
      </w:r>
      <w:r w:rsidR="00787084" w:rsidRPr="008C7198">
        <w:rPr>
          <w:rFonts w:cs="Times New Roman"/>
          <w:color w:val="002060"/>
          <w:lang w:val="en-US"/>
        </w:rPr>
        <w:t>offers a historic perspective on</w:t>
      </w:r>
      <w:r w:rsidR="00C1524C" w:rsidRPr="008C7198">
        <w:rPr>
          <w:rFonts w:cs="Times New Roman"/>
          <w:color w:val="002060"/>
          <w:lang w:val="en-US"/>
        </w:rPr>
        <w:t xml:space="preserve"> the notion of the public</w:t>
      </w:r>
      <w:r w:rsidR="00F9577B" w:rsidRPr="008C7198">
        <w:rPr>
          <w:rFonts w:cs="Times New Roman"/>
          <w:color w:val="002060"/>
          <w:lang w:val="en-US"/>
        </w:rPr>
        <w:t xml:space="preserve"> and its deployment</w:t>
      </w:r>
      <w:r w:rsidR="00C1524C" w:rsidRPr="008C7198">
        <w:rPr>
          <w:rFonts w:cs="Times New Roman"/>
          <w:color w:val="002060"/>
          <w:lang w:val="en-US"/>
        </w:rPr>
        <w:t xml:space="preserve">, highlighting the shifting discourses and practices within which the idea of ‘the public’ </w:t>
      </w:r>
      <w:r w:rsidR="00F9577B" w:rsidRPr="008C7198">
        <w:rPr>
          <w:rFonts w:cs="Times New Roman"/>
          <w:color w:val="002060"/>
          <w:lang w:val="en-US"/>
        </w:rPr>
        <w:t>has been</w:t>
      </w:r>
      <w:r w:rsidR="00C1524C" w:rsidRPr="008C7198">
        <w:rPr>
          <w:rFonts w:cs="Times New Roman"/>
          <w:color w:val="002060"/>
          <w:lang w:val="en-US"/>
        </w:rPr>
        <w:t xml:space="preserve"> mobilized and made meaningful</w:t>
      </w:r>
      <w:r w:rsidR="00F9577B" w:rsidRPr="008C7198">
        <w:rPr>
          <w:rFonts w:cs="Times New Roman"/>
          <w:color w:val="002060"/>
          <w:lang w:val="en-US"/>
        </w:rPr>
        <w:t xml:space="preserve"> over several centuries</w:t>
      </w:r>
      <w:r w:rsidR="00C1524C" w:rsidRPr="008C7198">
        <w:rPr>
          <w:rFonts w:cs="Times New Roman"/>
          <w:color w:val="002060"/>
          <w:lang w:val="en-US"/>
        </w:rPr>
        <w:t>. As part of this genealogical reading, the paper notes how rhetoric of the public in 18</w:t>
      </w:r>
      <w:r w:rsidR="00C1524C" w:rsidRPr="008C7198">
        <w:rPr>
          <w:rFonts w:cs="Times New Roman"/>
          <w:color w:val="002060"/>
          <w:vertAlign w:val="superscript"/>
          <w:lang w:val="en-US"/>
        </w:rPr>
        <w:t>th</w:t>
      </w:r>
      <w:r w:rsidR="00C1524C" w:rsidRPr="008C7198">
        <w:rPr>
          <w:rFonts w:cs="Times New Roman"/>
          <w:color w:val="002060"/>
          <w:lang w:val="en-US"/>
        </w:rPr>
        <w:t xml:space="preserve"> century </w:t>
      </w:r>
      <w:r w:rsidR="00F9577B" w:rsidRPr="008C7198">
        <w:rPr>
          <w:rFonts w:cs="Times New Roman"/>
          <w:color w:val="002060"/>
          <w:lang w:val="en-US"/>
        </w:rPr>
        <w:t xml:space="preserve">England </w:t>
      </w:r>
      <w:r w:rsidR="00C1524C" w:rsidRPr="008C7198">
        <w:rPr>
          <w:rFonts w:cs="Times New Roman"/>
          <w:color w:val="002060"/>
          <w:lang w:val="en-US"/>
        </w:rPr>
        <w:t>was linked to the ideas of progress and civilization as requiring the creation and maintenance of property from ‘nature’ – themes reflected in the establishment of two key public bodies: the East India Company as the state’s resource requisition operation and the Bank of England as the overseer of its credit regime. In this way, the notion of the public became entangled with notions of resources and credit. Looking at more recent times, the authors highlight how r</w:t>
      </w:r>
      <w:r w:rsidR="00787084" w:rsidRPr="008C7198">
        <w:rPr>
          <w:rFonts w:cs="Times New Roman"/>
          <w:color w:val="002060"/>
          <w:lang w:val="en-US"/>
        </w:rPr>
        <w:t>ecent educational reforms in England have sought to reshape public education in England by extending central government control of curriculum and assessment, while replacing local government control of schools with a quasi-private system of academies and multi academy trusts</w:t>
      </w:r>
      <w:r w:rsidR="00FB7862" w:rsidRPr="008C7198">
        <w:rPr>
          <w:rFonts w:cs="Times New Roman"/>
          <w:color w:val="002060"/>
          <w:lang w:val="en-US"/>
        </w:rPr>
        <w:t>. These developments have been</w:t>
      </w:r>
      <w:r w:rsidR="00C1524C" w:rsidRPr="008C7198">
        <w:rPr>
          <w:rFonts w:cs="Times New Roman"/>
          <w:color w:val="002060"/>
          <w:lang w:val="en-US"/>
        </w:rPr>
        <w:t xml:space="preserve"> legitimated in terms of neoliberal ideas of competition, choice and autonomy</w:t>
      </w:r>
      <w:r w:rsidR="00FB7862" w:rsidRPr="008C7198">
        <w:rPr>
          <w:rFonts w:cs="Times New Roman"/>
          <w:color w:val="002060"/>
          <w:lang w:val="en-US"/>
        </w:rPr>
        <w:t xml:space="preserve"> while being enforced by a neoconservative reassertion of state authority. As such, these developments exemplify how “as an ideology of power that only ever acknowledges its reliance on market mechanisms and their homologues, neoliberalism can only realize its objectives by proxy, that is by outsourcing the imposition of contractual obligations to social conservatives" (Cooper, 2017, p. 63).</w:t>
      </w:r>
      <w:r w:rsidR="00FB7862" w:rsidRPr="008C7198">
        <w:rPr>
          <w:rFonts w:ascii="Times New Roman" w:eastAsia="Times New Roman" w:hAnsi="Times New Roman" w:cs="Times New Roman"/>
          <w:color w:val="002060"/>
          <w:lang w:val="en-AU" w:eastAsia="en-GB"/>
        </w:rPr>
        <w:t xml:space="preserve"> </w:t>
      </w:r>
      <w:r w:rsidR="00C1524C" w:rsidRPr="008C7198">
        <w:rPr>
          <w:color w:val="002060"/>
        </w:rPr>
        <w:t>By way of this genealogical reading, Clarke and Mills</w:t>
      </w:r>
      <w:r w:rsidR="00787084" w:rsidRPr="008C7198">
        <w:rPr>
          <w:color w:val="002060"/>
        </w:rPr>
        <w:t xml:space="preserve"> </w:t>
      </w:r>
      <w:r w:rsidR="00C1524C" w:rsidRPr="008C7198">
        <w:rPr>
          <w:color w:val="002060"/>
        </w:rPr>
        <w:t>suggest that</w:t>
      </w:r>
      <w:r w:rsidR="00787084" w:rsidRPr="008C7198">
        <w:rPr>
          <w:color w:val="002060"/>
        </w:rPr>
        <w:t xml:space="preserve"> ideas of British universalism – ‘the public’ – </w:t>
      </w:r>
      <w:r w:rsidR="00FE4B2C" w:rsidRPr="008C7198">
        <w:rPr>
          <w:color w:val="002060"/>
        </w:rPr>
        <w:t xml:space="preserve">are far more complex and contradictory </w:t>
      </w:r>
      <w:r w:rsidR="00FE4B2C" w:rsidRPr="008C7198">
        <w:rPr>
          <w:color w:val="002060"/>
        </w:rPr>
        <w:lastRenderedPageBreak/>
        <w:t>than they first appear. Specifically, the paper highlights how ideals of freedom, equality and inclusion,</w:t>
      </w:r>
      <w:r w:rsidR="00787084" w:rsidRPr="008C7198">
        <w:rPr>
          <w:color w:val="002060"/>
        </w:rPr>
        <w:t xml:space="preserve"> </w:t>
      </w:r>
      <w:r w:rsidR="00FE4B2C" w:rsidRPr="008C7198">
        <w:rPr>
          <w:color w:val="002060"/>
        </w:rPr>
        <w:t xml:space="preserve">rather than being opposed </w:t>
      </w:r>
      <w:r w:rsidR="00FE4B2C" w:rsidRPr="008C7198">
        <w:rPr>
          <w:i/>
          <w:iCs/>
          <w:color w:val="002060"/>
        </w:rPr>
        <w:t>to</w:t>
      </w:r>
      <w:r w:rsidR="00FE4B2C" w:rsidRPr="008C7198">
        <w:rPr>
          <w:color w:val="002060"/>
        </w:rPr>
        <w:t xml:space="preserve">, have gone hand-in-hand </w:t>
      </w:r>
      <w:proofErr w:type="gramStart"/>
      <w:r w:rsidR="00FE4B2C" w:rsidRPr="008C7198">
        <w:rPr>
          <w:i/>
          <w:iCs/>
          <w:color w:val="002060"/>
        </w:rPr>
        <w:t>with</w:t>
      </w:r>
      <w:r w:rsidR="00FE4B2C" w:rsidRPr="008C7198">
        <w:rPr>
          <w:color w:val="002060"/>
        </w:rPr>
        <w:t>,</w:t>
      </w:r>
      <w:proofErr w:type="gramEnd"/>
      <w:r w:rsidR="00FE4B2C" w:rsidRPr="008C7198">
        <w:rPr>
          <w:color w:val="002060"/>
        </w:rPr>
        <w:t xml:space="preserve"> realities of</w:t>
      </w:r>
      <w:r w:rsidR="00787084" w:rsidRPr="008C7198">
        <w:rPr>
          <w:color w:val="002060"/>
        </w:rPr>
        <w:t xml:space="preserve"> </w:t>
      </w:r>
      <w:r w:rsidR="00FE4B2C" w:rsidRPr="008C7198">
        <w:rPr>
          <w:color w:val="002060"/>
        </w:rPr>
        <w:t xml:space="preserve">authority, inequality and </w:t>
      </w:r>
      <w:r w:rsidR="00787084" w:rsidRPr="008C7198">
        <w:rPr>
          <w:color w:val="002060"/>
        </w:rPr>
        <w:t xml:space="preserve">exclusion in education and society. This </w:t>
      </w:r>
      <w:r w:rsidR="00C1524C" w:rsidRPr="008C7198">
        <w:rPr>
          <w:color w:val="002060"/>
        </w:rPr>
        <w:t xml:space="preserve">obviously </w:t>
      </w:r>
      <w:r w:rsidR="00787084" w:rsidRPr="008C7198">
        <w:rPr>
          <w:color w:val="002060"/>
        </w:rPr>
        <w:t>raises question</w:t>
      </w:r>
      <w:r w:rsidR="00C1524C" w:rsidRPr="008C7198">
        <w:rPr>
          <w:color w:val="002060"/>
        </w:rPr>
        <w:t>s</w:t>
      </w:r>
      <w:r w:rsidR="00787084" w:rsidRPr="008C7198">
        <w:rPr>
          <w:color w:val="002060"/>
        </w:rPr>
        <w:t xml:space="preserve"> </w:t>
      </w:r>
      <w:r w:rsidR="00C1524C" w:rsidRPr="008C7198">
        <w:rPr>
          <w:color w:val="002060"/>
        </w:rPr>
        <w:t>regarding</w:t>
      </w:r>
      <w:r w:rsidR="00787084" w:rsidRPr="008C7198">
        <w:rPr>
          <w:color w:val="002060"/>
        </w:rPr>
        <w:t xml:space="preserve"> possib</w:t>
      </w:r>
      <w:r w:rsidR="00C1524C" w:rsidRPr="008C7198">
        <w:rPr>
          <w:color w:val="002060"/>
        </w:rPr>
        <w:t>ilities</w:t>
      </w:r>
      <w:r w:rsidR="00787084" w:rsidRPr="008C7198">
        <w:rPr>
          <w:color w:val="002060"/>
        </w:rPr>
        <w:t xml:space="preserve"> </w:t>
      </w:r>
      <w:r w:rsidR="00C1524C" w:rsidRPr="008C7198">
        <w:rPr>
          <w:color w:val="002060"/>
        </w:rPr>
        <w:t>for creating</w:t>
      </w:r>
      <w:r w:rsidR="00787084" w:rsidRPr="008C7198">
        <w:rPr>
          <w:color w:val="002060"/>
        </w:rPr>
        <w:t xml:space="preserve"> another</w:t>
      </w:r>
      <w:r w:rsidR="00C1524C" w:rsidRPr="008C7198">
        <w:rPr>
          <w:color w:val="002060"/>
        </w:rPr>
        <w:t xml:space="preserve">, less authoritarian and patrician, more democratic and egalitarian, </w:t>
      </w:r>
      <w:r w:rsidR="00787084" w:rsidRPr="008C7198">
        <w:rPr>
          <w:color w:val="002060"/>
        </w:rPr>
        <w:t xml:space="preserve">form of collective. The final part of this paper </w:t>
      </w:r>
      <w:r w:rsidR="00C1524C" w:rsidRPr="008C7198">
        <w:rPr>
          <w:color w:val="002060"/>
        </w:rPr>
        <w:t>wrestles with the challenges of</w:t>
      </w:r>
      <w:r w:rsidR="00787084" w:rsidRPr="008C7198">
        <w:rPr>
          <w:color w:val="002060"/>
        </w:rPr>
        <w:t xml:space="preserve"> the imaginary reconstitution of public education in England in the twenty-first century</w:t>
      </w:r>
      <w:r w:rsidR="00642754" w:rsidRPr="008C7198">
        <w:rPr>
          <w:color w:val="002060"/>
        </w:rPr>
        <w:t xml:space="preserve"> during a period of </w:t>
      </w:r>
      <w:r w:rsidR="001D6818" w:rsidRPr="008C7198">
        <w:rPr>
          <w:color w:val="002060"/>
        </w:rPr>
        <w:t>rising attraction to populist politics (as also eviden</w:t>
      </w:r>
      <w:r w:rsidR="00964C06" w:rsidRPr="008C7198">
        <w:rPr>
          <w:color w:val="002060"/>
        </w:rPr>
        <w:t>t in Poland</w:t>
      </w:r>
      <w:r w:rsidR="00934717" w:rsidRPr="008C7198">
        <w:rPr>
          <w:color w:val="002060"/>
        </w:rPr>
        <w:t>)</w:t>
      </w:r>
      <w:r w:rsidR="005122FB" w:rsidRPr="008C7198">
        <w:rPr>
          <w:color w:val="002060"/>
        </w:rPr>
        <w:t>. They as Wrig</w:t>
      </w:r>
      <w:r w:rsidR="005C218A" w:rsidRPr="008C7198">
        <w:rPr>
          <w:color w:val="002060"/>
        </w:rPr>
        <w:t>l</w:t>
      </w:r>
      <w:r w:rsidR="005122FB" w:rsidRPr="008C7198">
        <w:rPr>
          <w:color w:val="002060"/>
        </w:rPr>
        <w:t xml:space="preserve">ey below, </w:t>
      </w:r>
      <w:r w:rsidR="005C218A" w:rsidRPr="008C7198">
        <w:rPr>
          <w:color w:val="002060"/>
        </w:rPr>
        <w:t>are drawn to the concept of the ‘common school’</w:t>
      </w:r>
      <w:r w:rsidR="00D7167E" w:rsidRPr="008C7198">
        <w:rPr>
          <w:color w:val="002060"/>
        </w:rPr>
        <w:t xml:space="preserve"> underpinned by concepts such as ‘care’ and ‘solidarity’. </w:t>
      </w:r>
    </w:p>
    <w:p w14:paraId="29F6531C" w14:textId="77777777" w:rsidR="008C7198" w:rsidRDefault="008C7198" w:rsidP="00B20C54">
      <w:pPr>
        <w:rPr>
          <w:rFonts w:cs="Times New Roman"/>
          <w:color w:val="002060"/>
        </w:rPr>
      </w:pPr>
    </w:p>
    <w:p w14:paraId="6C22997F" w14:textId="69DF1809" w:rsidR="00B40CE5" w:rsidRPr="008C7198" w:rsidRDefault="00697730" w:rsidP="00607263">
      <w:pPr>
        <w:rPr>
          <w:rFonts w:cs="Times New Roman"/>
          <w:color w:val="002060"/>
        </w:rPr>
      </w:pPr>
      <w:r w:rsidRPr="008C7198">
        <w:rPr>
          <w:rFonts w:cs="Times New Roman"/>
          <w:color w:val="002060"/>
        </w:rPr>
        <w:t xml:space="preserve">Wrigley </w:t>
      </w:r>
      <w:r w:rsidR="009D504E" w:rsidRPr="008C7198">
        <w:rPr>
          <w:rFonts w:cs="Times New Roman"/>
          <w:color w:val="002060"/>
        </w:rPr>
        <w:t xml:space="preserve">in his </w:t>
      </w:r>
      <w:r w:rsidR="00627202" w:rsidRPr="008C7198">
        <w:rPr>
          <w:rFonts w:cs="Times New Roman"/>
          <w:i/>
          <w:iCs/>
          <w:color w:val="002060"/>
        </w:rPr>
        <w:t>Learning</w:t>
      </w:r>
      <w:r w:rsidR="009D504E" w:rsidRPr="008C7198">
        <w:rPr>
          <w:rFonts w:cs="Times New Roman"/>
          <w:i/>
          <w:iCs/>
          <w:color w:val="002060"/>
        </w:rPr>
        <w:t xml:space="preserve"> </w:t>
      </w:r>
      <w:r w:rsidR="00627202" w:rsidRPr="008C7198">
        <w:rPr>
          <w:rFonts w:cs="Times New Roman"/>
          <w:i/>
          <w:iCs/>
          <w:color w:val="002060"/>
        </w:rPr>
        <w:t>i</w:t>
      </w:r>
      <w:r w:rsidR="009D504E" w:rsidRPr="008C7198">
        <w:rPr>
          <w:rFonts w:cs="Times New Roman"/>
          <w:i/>
          <w:iCs/>
          <w:color w:val="002060"/>
        </w:rPr>
        <w:t>n a time of cholera:</w:t>
      </w:r>
      <w:r w:rsidR="00627202" w:rsidRPr="008C7198">
        <w:rPr>
          <w:rFonts w:cs="Times New Roman"/>
          <w:i/>
          <w:iCs/>
          <w:color w:val="002060"/>
        </w:rPr>
        <w:t xml:space="preserve"> </w:t>
      </w:r>
      <w:r w:rsidR="009D504E" w:rsidRPr="008C7198">
        <w:rPr>
          <w:rFonts w:cs="Times New Roman"/>
          <w:i/>
          <w:iCs/>
          <w:color w:val="002060"/>
        </w:rPr>
        <w:t xml:space="preserve">Imagining a </w:t>
      </w:r>
      <w:r w:rsidR="00627202" w:rsidRPr="008C7198">
        <w:rPr>
          <w:rFonts w:cs="Times New Roman"/>
          <w:i/>
          <w:iCs/>
          <w:color w:val="002060"/>
        </w:rPr>
        <w:t>future for public education</w:t>
      </w:r>
      <w:r w:rsidR="00627202" w:rsidRPr="008C7198">
        <w:rPr>
          <w:rFonts w:cs="Times New Roman"/>
          <w:color w:val="002060"/>
        </w:rPr>
        <w:t xml:space="preserve"> </w:t>
      </w:r>
      <w:r w:rsidR="00F54025" w:rsidRPr="008C7198">
        <w:rPr>
          <w:rFonts w:cs="Times New Roman"/>
          <w:color w:val="002060"/>
        </w:rPr>
        <w:t xml:space="preserve">is also concerned with how public schools could be other than they currently are. </w:t>
      </w:r>
      <w:r w:rsidR="00332D1F" w:rsidRPr="008C7198">
        <w:rPr>
          <w:rFonts w:cs="Times New Roman"/>
          <w:color w:val="002060"/>
        </w:rPr>
        <w:t xml:space="preserve">Drawing on Marxist theory </w:t>
      </w:r>
      <w:r w:rsidR="00DD45A4" w:rsidRPr="008C7198">
        <w:rPr>
          <w:rFonts w:cs="Times New Roman"/>
          <w:color w:val="002060"/>
        </w:rPr>
        <w:t xml:space="preserve">and Wolfgang </w:t>
      </w:r>
      <w:proofErr w:type="spellStart"/>
      <w:r w:rsidR="00DD45A4" w:rsidRPr="008C7198">
        <w:rPr>
          <w:rFonts w:cs="Times New Roman"/>
          <w:color w:val="002060"/>
        </w:rPr>
        <w:t>Klafki’s</w:t>
      </w:r>
      <w:proofErr w:type="spellEnd"/>
      <w:r w:rsidR="00DD45A4" w:rsidRPr="008C7198">
        <w:rPr>
          <w:rFonts w:cs="Times New Roman"/>
          <w:color w:val="002060"/>
        </w:rPr>
        <w:t xml:space="preserve"> curriculum theory</w:t>
      </w:r>
      <w:r w:rsidR="00F65B94" w:rsidRPr="008C7198">
        <w:rPr>
          <w:rFonts w:cs="Times New Roman"/>
          <w:color w:val="002060"/>
        </w:rPr>
        <w:t>,</w:t>
      </w:r>
      <w:r w:rsidR="00DD45A4" w:rsidRPr="008C7198">
        <w:rPr>
          <w:rFonts w:cs="Times New Roman"/>
          <w:color w:val="002060"/>
        </w:rPr>
        <w:t xml:space="preserve"> </w:t>
      </w:r>
      <w:r w:rsidR="00332D1F" w:rsidRPr="008C7198">
        <w:rPr>
          <w:rFonts w:cs="Times New Roman"/>
          <w:color w:val="002060"/>
        </w:rPr>
        <w:t xml:space="preserve">he develops </w:t>
      </w:r>
      <w:r w:rsidR="00DF030A" w:rsidRPr="008C7198">
        <w:rPr>
          <w:rFonts w:cs="Times New Roman"/>
          <w:color w:val="002060"/>
        </w:rPr>
        <w:t xml:space="preserve">principles for constructing ‘the common school’. </w:t>
      </w:r>
      <w:r w:rsidR="004A5C26" w:rsidRPr="008C7198">
        <w:rPr>
          <w:rFonts w:cs="Times New Roman"/>
          <w:color w:val="002060"/>
        </w:rPr>
        <w:t xml:space="preserve">Concerned with the </w:t>
      </w:r>
      <w:r w:rsidR="00080744" w:rsidRPr="008C7198">
        <w:rPr>
          <w:rFonts w:cs="Times New Roman"/>
          <w:color w:val="002060"/>
        </w:rPr>
        <w:t>ways</w:t>
      </w:r>
      <w:r w:rsidR="004A5C26" w:rsidRPr="008C7198">
        <w:rPr>
          <w:rFonts w:cs="Times New Roman"/>
          <w:color w:val="002060"/>
        </w:rPr>
        <w:t xml:space="preserve"> in which </w:t>
      </w:r>
      <w:r w:rsidR="002E1812" w:rsidRPr="008C7198">
        <w:rPr>
          <w:rFonts w:cs="Times New Roman"/>
          <w:color w:val="002060"/>
        </w:rPr>
        <w:t>contemporary</w:t>
      </w:r>
      <w:r w:rsidR="00080744" w:rsidRPr="008C7198">
        <w:rPr>
          <w:rFonts w:cs="Times New Roman"/>
          <w:color w:val="002060"/>
        </w:rPr>
        <w:t xml:space="preserve"> </w:t>
      </w:r>
      <w:r w:rsidR="009E35FA" w:rsidRPr="008C7198">
        <w:rPr>
          <w:rFonts w:cs="Times New Roman"/>
          <w:color w:val="002060"/>
        </w:rPr>
        <w:t xml:space="preserve">neoliberal </w:t>
      </w:r>
      <w:r w:rsidR="00994252" w:rsidRPr="008C7198">
        <w:rPr>
          <w:rFonts w:cs="Times New Roman"/>
          <w:color w:val="002060"/>
        </w:rPr>
        <w:t xml:space="preserve">(and neoconservative) </w:t>
      </w:r>
      <w:r w:rsidR="00080744" w:rsidRPr="008C7198">
        <w:rPr>
          <w:rFonts w:cs="Times New Roman"/>
          <w:color w:val="002060"/>
        </w:rPr>
        <w:t xml:space="preserve">schooling is both </w:t>
      </w:r>
      <w:r w:rsidR="002E1812" w:rsidRPr="008C7198">
        <w:rPr>
          <w:rFonts w:cs="Times New Roman"/>
          <w:color w:val="002060"/>
        </w:rPr>
        <w:t>damaging</w:t>
      </w:r>
      <w:r w:rsidR="00080744" w:rsidRPr="008C7198">
        <w:rPr>
          <w:rFonts w:cs="Times New Roman"/>
          <w:color w:val="002060"/>
        </w:rPr>
        <w:t xml:space="preserve"> to students and </w:t>
      </w:r>
      <w:r w:rsidR="002E1812" w:rsidRPr="008C7198">
        <w:rPr>
          <w:rFonts w:cs="Times New Roman"/>
          <w:color w:val="002060"/>
        </w:rPr>
        <w:t>teachers</w:t>
      </w:r>
      <w:r w:rsidR="00C710AB" w:rsidRPr="008C7198">
        <w:rPr>
          <w:rFonts w:cs="Times New Roman"/>
          <w:color w:val="002060"/>
        </w:rPr>
        <w:t xml:space="preserve">, Wrigley </w:t>
      </w:r>
      <w:r w:rsidR="000F30BB" w:rsidRPr="008C7198">
        <w:rPr>
          <w:rFonts w:cs="Times New Roman"/>
          <w:color w:val="002060"/>
        </w:rPr>
        <w:t>suggest</w:t>
      </w:r>
      <w:r w:rsidR="00D6055D" w:rsidRPr="008C7198">
        <w:rPr>
          <w:rFonts w:cs="Times New Roman"/>
          <w:color w:val="002060"/>
        </w:rPr>
        <w:t>s</w:t>
      </w:r>
      <w:r w:rsidR="000F30BB" w:rsidRPr="008C7198">
        <w:rPr>
          <w:rFonts w:cs="Times New Roman"/>
          <w:color w:val="002060"/>
        </w:rPr>
        <w:t xml:space="preserve"> that </w:t>
      </w:r>
      <w:r w:rsidR="0033196D" w:rsidRPr="008C7198">
        <w:rPr>
          <w:rFonts w:cs="Times New Roman"/>
          <w:color w:val="002060"/>
        </w:rPr>
        <w:t xml:space="preserve">‘class’ has to be brought into the conversation. </w:t>
      </w:r>
      <w:r w:rsidR="00A5309A" w:rsidRPr="008C7198">
        <w:rPr>
          <w:rFonts w:cs="Times New Roman"/>
          <w:color w:val="002060"/>
        </w:rPr>
        <w:t>Recognizing</w:t>
      </w:r>
      <w:r w:rsidR="003E2E63" w:rsidRPr="008C7198">
        <w:rPr>
          <w:rFonts w:cs="Times New Roman"/>
          <w:color w:val="002060"/>
        </w:rPr>
        <w:t xml:space="preserve"> that class has at times been utilised problematically</w:t>
      </w:r>
      <w:r w:rsidR="00A5309A" w:rsidRPr="008C7198">
        <w:rPr>
          <w:rFonts w:cs="Times New Roman"/>
          <w:color w:val="002060"/>
        </w:rPr>
        <w:t xml:space="preserve">, he </w:t>
      </w:r>
      <w:r w:rsidR="0089715B" w:rsidRPr="008C7198">
        <w:rPr>
          <w:rFonts w:cs="Times New Roman"/>
          <w:color w:val="002060"/>
        </w:rPr>
        <w:t xml:space="preserve">argues that </w:t>
      </w:r>
      <w:r w:rsidR="00083901" w:rsidRPr="008C7198">
        <w:rPr>
          <w:rFonts w:cs="Times New Roman"/>
          <w:color w:val="002060"/>
        </w:rPr>
        <w:t xml:space="preserve">for </w:t>
      </w:r>
      <w:r w:rsidR="0089715B" w:rsidRPr="008C7198">
        <w:rPr>
          <w:rFonts w:cs="Times New Roman"/>
          <w:color w:val="002060"/>
        </w:rPr>
        <w:t xml:space="preserve">most young </w:t>
      </w:r>
      <w:r w:rsidR="00083901" w:rsidRPr="008C7198">
        <w:rPr>
          <w:rFonts w:cs="Times New Roman"/>
          <w:color w:val="002060"/>
        </w:rPr>
        <w:t>people</w:t>
      </w:r>
      <w:r w:rsidR="0089715B" w:rsidRPr="008C7198">
        <w:rPr>
          <w:rFonts w:cs="Times New Roman"/>
          <w:color w:val="002060"/>
        </w:rPr>
        <w:t xml:space="preserve"> in public </w:t>
      </w:r>
      <w:r w:rsidR="00083901" w:rsidRPr="008C7198">
        <w:rPr>
          <w:rFonts w:cs="Times New Roman"/>
          <w:color w:val="002060"/>
        </w:rPr>
        <w:t xml:space="preserve">schools the </w:t>
      </w:r>
      <w:r w:rsidR="0089715B" w:rsidRPr="008C7198">
        <w:rPr>
          <w:rFonts w:cs="Times New Roman"/>
          <w:color w:val="002060"/>
        </w:rPr>
        <w:t>education</w:t>
      </w:r>
      <w:r w:rsidR="00083901" w:rsidRPr="008C7198">
        <w:rPr>
          <w:rFonts w:cs="Times New Roman"/>
          <w:color w:val="002060"/>
        </w:rPr>
        <w:t xml:space="preserve"> they receive is not in their class interests. </w:t>
      </w:r>
      <w:r w:rsidR="00C4293F" w:rsidRPr="008C7198">
        <w:rPr>
          <w:rFonts w:cs="Times New Roman"/>
          <w:color w:val="002060"/>
        </w:rPr>
        <w:t>T</w:t>
      </w:r>
      <w:r w:rsidR="00CF6769" w:rsidRPr="008C7198">
        <w:rPr>
          <w:rFonts w:cs="Times New Roman"/>
          <w:color w:val="002060"/>
        </w:rPr>
        <w:t xml:space="preserve">hese young people, constructed as human capital, </w:t>
      </w:r>
      <w:r w:rsidR="002B7D3C" w:rsidRPr="008C7198">
        <w:rPr>
          <w:rFonts w:cs="Times New Roman"/>
          <w:color w:val="002060"/>
        </w:rPr>
        <w:t xml:space="preserve">experience </w:t>
      </w:r>
      <w:r w:rsidR="00BC6501" w:rsidRPr="008C7198">
        <w:rPr>
          <w:rFonts w:cs="Times New Roman"/>
          <w:color w:val="002060"/>
        </w:rPr>
        <w:t>school learning as ‘alienated labour’</w:t>
      </w:r>
      <w:r w:rsidR="00AF26E8" w:rsidRPr="008C7198">
        <w:rPr>
          <w:rFonts w:cs="Times New Roman"/>
          <w:color w:val="002060"/>
        </w:rPr>
        <w:t xml:space="preserve"> – and for many this can lead to </w:t>
      </w:r>
      <w:r w:rsidR="00CF6DAA" w:rsidRPr="008C7198">
        <w:rPr>
          <w:rFonts w:cs="Times New Roman"/>
          <w:color w:val="002060"/>
        </w:rPr>
        <w:t>disengagement</w:t>
      </w:r>
      <w:r w:rsidR="007D1D87" w:rsidRPr="008C7198">
        <w:rPr>
          <w:rFonts w:cs="Times New Roman"/>
          <w:color w:val="002060"/>
        </w:rPr>
        <w:t xml:space="preserve"> due to </w:t>
      </w:r>
      <w:r w:rsidR="005A6507" w:rsidRPr="008C7198">
        <w:rPr>
          <w:rFonts w:cs="Times New Roman"/>
          <w:color w:val="002060"/>
        </w:rPr>
        <w:t xml:space="preserve">the exclusion of their everyday realities from the curriculum. </w:t>
      </w:r>
      <w:r w:rsidR="0011536B" w:rsidRPr="008C7198">
        <w:rPr>
          <w:rFonts w:cs="Times New Roman"/>
          <w:color w:val="002060"/>
        </w:rPr>
        <w:t xml:space="preserve">In challenging the dominant curriculum discourses in England, </w:t>
      </w:r>
      <w:r w:rsidR="00B20C54" w:rsidRPr="008C7198">
        <w:rPr>
          <w:rFonts w:cs="Times New Roman"/>
          <w:color w:val="002060"/>
        </w:rPr>
        <w:t>he</w:t>
      </w:r>
      <w:r w:rsidR="00A64529" w:rsidRPr="008C7198">
        <w:rPr>
          <w:rFonts w:cs="Times New Roman"/>
          <w:color w:val="002060"/>
        </w:rPr>
        <w:t xml:space="preserve"> draws on the little used</w:t>
      </w:r>
      <w:r w:rsidR="00B20C54" w:rsidRPr="008C7198">
        <w:rPr>
          <w:rFonts w:cs="Times New Roman"/>
          <w:color w:val="002060"/>
        </w:rPr>
        <w:t>,</w:t>
      </w:r>
      <w:r w:rsidR="00A64529" w:rsidRPr="008C7198">
        <w:rPr>
          <w:rFonts w:cs="Times New Roman"/>
          <w:color w:val="002060"/>
        </w:rPr>
        <w:t xml:space="preserve"> </w:t>
      </w:r>
      <w:r w:rsidR="00280E0D" w:rsidRPr="008C7198">
        <w:rPr>
          <w:rFonts w:cs="Times New Roman"/>
          <w:color w:val="002060"/>
        </w:rPr>
        <w:t xml:space="preserve">in the </w:t>
      </w:r>
      <w:r w:rsidR="003A04B3" w:rsidRPr="008C7198">
        <w:rPr>
          <w:rFonts w:cs="Times New Roman"/>
          <w:color w:val="002060"/>
        </w:rPr>
        <w:t>English-speaking</w:t>
      </w:r>
      <w:r w:rsidR="00280E0D" w:rsidRPr="008C7198">
        <w:rPr>
          <w:rFonts w:cs="Times New Roman"/>
          <w:color w:val="002060"/>
        </w:rPr>
        <w:t xml:space="preserve"> world</w:t>
      </w:r>
      <w:r w:rsidR="00B20C54" w:rsidRPr="008C7198">
        <w:rPr>
          <w:rFonts w:cs="Times New Roman"/>
          <w:color w:val="002060"/>
        </w:rPr>
        <w:t>,</w:t>
      </w:r>
      <w:r w:rsidR="00280E0D" w:rsidRPr="008C7198">
        <w:rPr>
          <w:rFonts w:cs="Times New Roman"/>
          <w:color w:val="002060"/>
        </w:rPr>
        <w:t xml:space="preserve"> </w:t>
      </w:r>
      <w:r w:rsidR="00A64529" w:rsidRPr="008C7198">
        <w:rPr>
          <w:rFonts w:cs="Times New Roman"/>
          <w:color w:val="002060"/>
        </w:rPr>
        <w:t xml:space="preserve">German </w:t>
      </w:r>
      <w:r w:rsidR="00280E0D" w:rsidRPr="008C7198">
        <w:rPr>
          <w:rFonts w:cs="Times New Roman"/>
          <w:color w:val="002060"/>
        </w:rPr>
        <w:t>curriculum</w:t>
      </w:r>
      <w:r w:rsidR="00D55B5F" w:rsidRPr="008C7198">
        <w:rPr>
          <w:rFonts w:cs="Times New Roman"/>
          <w:color w:val="002060"/>
        </w:rPr>
        <w:t xml:space="preserve"> theorist</w:t>
      </w:r>
      <w:r w:rsidR="00A64529" w:rsidRPr="008C7198">
        <w:rPr>
          <w:rFonts w:cs="Times New Roman"/>
          <w:color w:val="002060"/>
        </w:rPr>
        <w:t xml:space="preserve"> </w:t>
      </w:r>
      <w:proofErr w:type="spellStart"/>
      <w:r w:rsidR="00A64529" w:rsidRPr="008C7198">
        <w:rPr>
          <w:rFonts w:cs="Times New Roman"/>
          <w:color w:val="002060"/>
        </w:rPr>
        <w:t>Klafki</w:t>
      </w:r>
      <w:proofErr w:type="spellEnd"/>
      <w:r w:rsidR="00B20C54" w:rsidRPr="008C7198">
        <w:rPr>
          <w:rFonts w:cs="Times New Roman"/>
          <w:color w:val="002060"/>
        </w:rPr>
        <w:t xml:space="preserve">. </w:t>
      </w:r>
      <w:r w:rsidR="00B40253" w:rsidRPr="008C7198">
        <w:rPr>
          <w:rFonts w:cs="Times New Roman"/>
          <w:color w:val="002060"/>
        </w:rPr>
        <w:t xml:space="preserve">For Wrigley, </w:t>
      </w:r>
      <w:r w:rsidR="008233B5" w:rsidRPr="008C7198">
        <w:rPr>
          <w:rFonts w:cs="Times New Roman"/>
          <w:color w:val="002060"/>
        </w:rPr>
        <w:t>imagining a different public education</w:t>
      </w:r>
      <w:r w:rsidR="00A64529" w:rsidRPr="008C7198">
        <w:rPr>
          <w:rFonts w:cs="Times New Roman"/>
          <w:color w:val="002060"/>
        </w:rPr>
        <w:t xml:space="preserve"> </w:t>
      </w:r>
      <w:r w:rsidR="00972278" w:rsidRPr="008C7198">
        <w:rPr>
          <w:rFonts w:cs="Times New Roman"/>
          <w:color w:val="002060"/>
        </w:rPr>
        <w:t>entails</w:t>
      </w:r>
      <w:r w:rsidR="000D5E37" w:rsidRPr="008C7198">
        <w:rPr>
          <w:rFonts w:cs="Times New Roman"/>
          <w:color w:val="002060"/>
        </w:rPr>
        <w:t xml:space="preserve"> </w:t>
      </w:r>
      <w:r w:rsidR="00972278" w:rsidRPr="008C7198">
        <w:rPr>
          <w:rFonts w:cs="Times New Roman"/>
          <w:color w:val="002060"/>
        </w:rPr>
        <w:t xml:space="preserve">the construction of ‘common schools’, these school’s shaped by </w:t>
      </w:r>
      <w:proofErr w:type="spellStart"/>
      <w:r w:rsidR="00972278" w:rsidRPr="008C7198">
        <w:rPr>
          <w:rFonts w:cs="Times New Roman"/>
          <w:color w:val="002060"/>
        </w:rPr>
        <w:t>Kalfki’s</w:t>
      </w:r>
      <w:proofErr w:type="spellEnd"/>
      <w:r w:rsidR="00972278" w:rsidRPr="008C7198">
        <w:rPr>
          <w:rFonts w:cs="Times New Roman"/>
          <w:color w:val="002060"/>
        </w:rPr>
        <w:t xml:space="preserve"> </w:t>
      </w:r>
      <w:r w:rsidR="00A228D4" w:rsidRPr="008C7198">
        <w:rPr>
          <w:rFonts w:cs="Times New Roman"/>
          <w:color w:val="002060"/>
        </w:rPr>
        <w:t xml:space="preserve">principles, would </w:t>
      </w:r>
      <w:r w:rsidR="001A3EFA" w:rsidRPr="008C7198">
        <w:rPr>
          <w:rFonts w:cs="Times New Roman"/>
          <w:color w:val="002060"/>
        </w:rPr>
        <w:t xml:space="preserve">not be differentiated, would </w:t>
      </w:r>
      <w:r w:rsidR="003A0BF5" w:rsidRPr="008C7198">
        <w:rPr>
          <w:rFonts w:cs="Times New Roman"/>
          <w:color w:val="002060"/>
        </w:rPr>
        <w:t xml:space="preserve">have a </w:t>
      </w:r>
      <w:r w:rsidR="009B5335" w:rsidRPr="008C7198">
        <w:rPr>
          <w:rFonts w:cs="Times New Roman"/>
          <w:color w:val="002060"/>
        </w:rPr>
        <w:t>curriculum</w:t>
      </w:r>
      <w:r w:rsidR="003A0BF5" w:rsidRPr="008C7198">
        <w:rPr>
          <w:rFonts w:cs="Times New Roman"/>
          <w:color w:val="002060"/>
        </w:rPr>
        <w:t xml:space="preserve"> that is </w:t>
      </w:r>
      <w:r w:rsidR="009B5335" w:rsidRPr="008C7198">
        <w:rPr>
          <w:rFonts w:cs="Times New Roman"/>
          <w:color w:val="002060"/>
        </w:rPr>
        <w:t>concerned</w:t>
      </w:r>
      <w:r w:rsidR="003A0BF5" w:rsidRPr="008C7198">
        <w:rPr>
          <w:rFonts w:cs="Times New Roman"/>
          <w:color w:val="002060"/>
        </w:rPr>
        <w:t xml:space="preserve"> with major </w:t>
      </w:r>
      <w:r w:rsidR="009B5335" w:rsidRPr="008C7198">
        <w:rPr>
          <w:rFonts w:cs="Times New Roman"/>
          <w:color w:val="002060"/>
        </w:rPr>
        <w:t>issues</w:t>
      </w:r>
      <w:r w:rsidR="003A0BF5" w:rsidRPr="008C7198">
        <w:rPr>
          <w:rFonts w:cs="Times New Roman"/>
          <w:color w:val="002060"/>
        </w:rPr>
        <w:t xml:space="preserve"> of the time, and </w:t>
      </w:r>
      <w:r w:rsidR="009B5335" w:rsidRPr="008C7198">
        <w:rPr>
          <w:rFonts w:cs="Times New Roman"/>
          <w:color w:val="002060"/>
        </w:rPr>
        <w:t xml:space="preserve">would be </w:t>
      </w:r>
      <w:r w:rsidR="00472FD4" w:rsidRPr="008C7198">
        <w:rPr>
          <w:rFonts w:cs="Times New Roman"/>
          <w:color w:val="002060"/>
        </w:rPr>
        <w:t>focused</w:t>
      </w:r>
      <w:r w:rsidR="009B5335" w:rsidRPr="008C7198">
        <w:rPr>
          <w:rFonts w:cs="Times New Roman"/>
          <w:color w:val="002060"/>
        </w:rPr>
        <w:t xml:space="preserve"> on improving young people’s </w:t>
      </w:r>
      <w:r w:rsidR="00E67968" w:rsidRPr="008C7198">
        <w:rPr>
          <w:rFonts w:cs="Times New Roman"/>
          <w:color w:val="002060"/>
        </w:rPr>
        <w:t>capacities</w:t>
      </w:r>
      <w:r w:rsidR="009B5335" w:rsidRPr="008C7198">
        <w:rPr>
          <w:rFonts w:cs="Times New Roman"/>
          <w:color w:val="002060"/>
        </w:rPr>
        <w:t xml:space="preserve"> </w:t>
      </w:r>
      <w:r w:rsidR="00472FD4" w:rsidRPr="008C7198">
        <w:rPr>
          <w:rFonts w:cs="Times New Roman"/>
          <w:color w:val="002060"/>
        </w:rPr>
        <w:t xml:space="preserve">(intellectual, ethical and technical). </w:t>
      </w:r>
      <w:r w:rsidR="00EB0248" w:rsidRPr="008C7198">
        <w:rPr>
          <w:rFonts w:cs="Times New Roman"/>
          <w:color w:val="002060"/>
        </w:rPr>
        <w:t xml:space="preserve">Wrigley’s essay </w:t>
      </w:r>
      <w:r w:rsidR="00A67372" w:rsidRPr="008C7198">
        <w:rPr>
          <w:rFonts w:cs="Times New Roman"/>
          <w:color w:val="002060"/>
        </w:rPr>
        <w:t>is a hopeful one and</w:t>
      </w:r>
      <w:r w:rsidR="007B3F19" w:rsidRPr="008C7198">
        <w:rPr>
          <w:rFonts w:cs="Times New Roman"/>
          <w:color w:val="002060"/>
        </w:rPr>
        <w:t xml:space="preserve">, like his earlier work, </w:t>
      </w:r>
      <w:r w:rsidR="00A306DF" w:rsidRPr="008C7198">
        <w:rPr>
          <w:rFonts w:cs="Times New Roman"/>
          <w:color w:val="002060"/>
        </w:rPr>
        <w:t xml:space="preserve">suggests that another type of school </w:t>
      </w:r>
      <w:r w:rsidR="0015707C" w:rsidRPr="008C7198">
        <w:rPr>
          <w:rFonts w:cs="Times New Roman"/>
          <w:color w:val="002060"/>
        </w:rPr>
        <w:t xml:space="preserve">other </w:t>
      </w:r>
      <w:r w:rsidR="00A306DF" w:rsidRPr="008C7198">
        <w:rPr>
          <w:rFonts w:cs="Times New Roman"/>
          <w:color w:val="002060"/>
        </w:rPr>
        <w:t xml:space="preserve">than those currently dominating the English landscape </w:t>
      </w:r>
      <w:r w:rsidR="0015707C" w:rsidRPr="008C7198">
        <w:rPr>
          <w:rFonts w:cs="Times New Roman"/>
          <w:color w:val="002060"/>
        </w:rPr>
        <w:t>is</w:t>
      </w:r>
      <w:r w:rsidR="00A306DF" w:rsidRPr="008C7198">
        <w:rPr>
          <w:rFonts w:cs="Times New Roman"/>
          <w:color w:val="002060"/>
        </w:rPr>
        <w:t xml:space="preserve"> possible. </w:t>
      </w:r>
    </w:p>
    <w:p w14:paraId="0C7F0456" w14:textId="77777777" w:rsidR="007056D9" w:rsidRPr="008C7198" w:rsidRDefault="007056D9" w:rsidP="00607263">
      <w:pPr>
        <w:rPr>
          <w:rFonts w:cs="Times New Roman"/>
          <w:color w:val="002060"/>
        </w:rPr>
      </w:pPr>
    </w:p>
    <w:p w14:paraId="390BC44F" w14:textId="3D8184E5" w:rsidR="001C7B9F" w:rsidRPr="008C7198" w:rsidRDefault="001C7B9F" w:rsidP="00607263">
      <w:pPr>
        <w:rPr>
          <w:rFonts w:cs="Times New Roman"/>
          <w:color w:val="002060"/>
        </w:rPr>
      </w:pPr>
      <w:r w:rsidRPr="008C7198">
        <w:rPr>
          <w:rFonts w:cs="Times New Roman"/>
          <w:color w:val="002060"/>
        </w:rPr>
        <w:t xml:space="preserve">Thompson, Mockler and Hogan’s contribution, </w:t>
      </w:r>
      <w:proofErr w:type="gramStart"/>
      <w:r w:rsidRPr="008C7198">
        <w:rPr>
          <w:rFonts w:cs="Times New Roman"/>
          <w:i/>
          <w:iCs/>
          <w:color w:val="002060"/>
        </w:rPr>
        <w:t>Making</w:t>
      </w:r>
      <w:proofErr w:type="gramEnd"/>
      <w:r w:rsidRPr="008C7198">
        <w:rPr>
          <w:rFonts w:cs="Times New Roman"/>
          <w:i/>
          <w:iCs/>
          <w:color w:val="002060"/>
        </w:rPr>
        <w:t xml:space="preserve"> work private: Autonomy, intensification and accountability</w:t>
      </w:r>
      <w:r w:rsidRPr="008C7198">
        <w:rPr>
          <w:rFonts w:cs="Times New Roman"/>
          <w:color w:val="002060"/>
        </w:rPr>
        <w:t xml:space="preserve">, reports on a </w:t>
      </w:r>
      <w:r w:rsidR="001E03BA" w:rsidRPr="008C7198">
        <w:rPr>
          <w:rFonts w:cs="Times New Roman"/>
          <w:color w:val="002060"/>
        </w:rPr>
        <w:t xml:space="preserve">multi-jurisdictional study conducted in Australia, New Zealand, Canada and England that involved interviews with 130 school and system leaders, policymakers and union officials. </w:t>
      </w:r>
      <w:r w:rsidR="002101C5" w:rsidRPr="008C7198">
        <w:rPr>
          <w:rFonts w:cs="Times New Roman"/>
          <w:color w:val="002060"/>
        </w:rPr>
        <w:t xml:space="preserve">Building on previous work out of the same research project which developed a complex typology of privatisation in the provision of schooling (Mockler, Hogan, Lingard, Rahimi &amp; Thompson, 2020), they argue that the intensification of teachers’ and school leaders’ work is </w:t>
      </w:r>
      <w:r w:rsidR="0072514A" w:rsidRPr="008C7198">
        <w:rPr>
          <w:rFonts w:cs="Times New Roman"/>
          <w:color w:val="002060"/>
        </w:rPr>
        <w:t xml:space="preserve">both a consequence of increasing school autonomy and competition and a micropolitical manifestation of privatisation in education. The paper explores the complex relationship between </w:t>
      </w:r>
      <w:r w:rsidR="00D94816" w:rsidRPr="008C7198">
        <w:rPr>
          <w:rFonts w:cs="Times New Roman"/>
          <w:color w:val="002060"/>
        </w:rPr>
        <w:t>regimes of school autonomy, accountability and audit, and the increase and intensification of teachers’ and school leaders’ work, investigating the ‘on the ground’ consequences of these large-scale policy reforms for these key players. The paper argues for an increasingly rich and nuanced understanding of the ‘publicness’ or otherwise of schooling as a multi-faceted phenomenon that extends well beyond issues of school funding, ownership, or governance, and provides a rationale for including a focus on the nature, quantity and intensity of work</w:t>
      </w:r>
      <w:r w:rsidR="00D3280B" w:rsidRPr="008C7198">
        <w:rPr>
          <w:rFonts w:cs="Times New Roman"/>
          <w:color w:val="002060"/>
        </w:rPr>
        <w:t xml:space="preserve"> in such assessments. </w:t>
      </w:r>
    </w:p>
    <w:p w14:paraId="519974CC" w14:textId="4349141A" w:rsidR="0034546F" w:rsidRPr="008C7198" w:rsidRDefault="0034546F">
      <w:pPr>
        <w:rPr>
          <w:rFonts w:cs="Times New Roman"/>
          <w:color w:val="002060"/>
          <w:lang w:val="en-US"/>
        </w:rPr>
      </w:pPr>
    </w:p>
    <w:p w14:paraId="490A9848" w14:textId="71BE7758" w:rsidR="007056D9" w:rsidRPr="008C7198" w:rsidRDefault="007056D9" w:rsidP="007056D9">
      <w:pPr>
        <w:rPr>
          <w:rFonts w:cs="Times New Roman"/>
          <w:color w:val="002060"/>
        </w:rPr>
      </w:pPr>
      <w:r w:rsidRPr="008C7198">
        <w:rPr>
          <w:rFonts w:cs="Times New Roman"/>
          <w:color w:val="002060"/>
          <w:lang w:val="en-US"/>
        </w:rPr>
        <w:t xml:space="preserve">Finally, Verger and </w:t>
      </w:r>
      <w:proofErr w:type="spellStart"/>
      <w:r w:rsidRPr="008C7198">
        <w:rPr>
          <w:rFonts w:cs="Times New Roman"/>
          <w:color w:val="002060"/>
          <w:lang w:val="en-US"/>
        </w:rPr>
        <w:t>Zancajo’s</w:t>
      </w:r>
      <w:proofErr w:type="spellEnd"/>
      <w:r w:rsidRPr="008C7198">
        <w:rPr>
          <w:rFonts w:cs="Times New Roman"/>
          <w:color w:val="002060"/>
          <w:lang w:val="en-US"/>
        </w:rPr>
        <w:t xml:space="preserve"> paper, </w:t>
      </w:r>
      <w:proofErr w:type="gramStart"/>
      <w:r w:rsidRPr="008C7198">
        <w:rPr>
          <w:rFonts w:cs="Times New Roman"/>
          <w:i/>
          <w:iCs/>
          <w:color w:val="002060"/>
        </w:rPr>
        <w:t>The</w:t>
      </w:r>
      <w:proofErr w:type="gramEnd"/>
      <w:r w:rsidRPr="008C7198">
        <w:rPr>
          <w:rFonts w:cs="Times New Roman"/>
          <w:i/>
          <w:iCs/>
          <w:color w:val="002060"/>
        </w:rPr>
        <w:t xml:space="preserve"> instrumentation of public subsidies for private schools: different regulatory models with concurrent</w:t>
      </w:r>
      <w:r w:rsidRPr="008C7198" w:rsidDel="00307859">
        <w:rPr>
          <w:rFonts w:cs="Times New Roman"/>
          <w:i/>
          <w:iCs/>
          <w:color w:val="002060"/>
        </w:rPr>
        <w:t xml:space="preserve"> </w:t>
      </w:r>
      <w:r w:rsidRPr="008C7198">
        <w:rPr>
          <w:rFonts w:cs="Times New Roman"/>
          <w:i/>
          <w:iCs/>
          <w:color w:val="002060"/>
        </w:rPr>
        <w:t xml:space="preserve">equity implications, </w:t>
      </w:r>
      <w:r w:rsidRPr="008C7198">
        <w:rPr>
          <w:rFonts w:cs="Times New Roman"/>
          <w:color w:val="002060"/>
        </w:rPr>
        <w:t xml:space="preserve">surveys the provision of education across OECD countries to explore the multi-faceted and vernacularised consequences of public funding for private education. It argues that publicly-subsidised private schooling impacts public schooling in a range of ways, including the expansion of school choice and consequently, competition between schools; the drawing away of middle class students from public schools, including ‘white flight’; the encouragement of corporate managerialism in public schools, associated with </w:t>
      </w:r>
      <w:r w:rsidRPr="008C7198">
        <w:rPr>
          <w:rFonts w:cs="Times New Roman"/>
          <w:color w:val="002060"/>
        </w:rPr>
        <w:lastRenderedPageBreak/>
        <w:t xml:space="preserve">the blurring of public and private education; the de-coupling of education funding from provision of schooling; and the growing threat to conceptualisations of education and schooling as public rather than private goods.  Taking a ‘policy instruments’ approach and based on a systematic literature review, they delineate four regulatory frameworks for publicly subsidised private education in operation across the OECD, motivated variously by the goal of freedom of instruction, a desire for equivalence between public and private education, the promotion of market competition between schools and school sectors, and the desire for greater school autonomy. While Verger and Zancajo observe that these frameworks give rise to different (and localised) forms of privatised schooling, they argue that all four models hold negative implications for equity of education provision, instead giving rise to school segregation and stratification which manifest and sustain disadvantage. They conclude with a survey of recent ‘pro-equity’ reforms, considering what it would take to reshape school systems around more equitable provision, and what stands in the way. </w:t>
      </w:r>
    </w:p>
    <w:p w14:paraId="4515B07B" w14:textId="3680CF7C" w:rsidR="00252870" w:rsidRPr="008C7198" w:rsidRDefault="00252870">
      <w:pPr>
        <w:rPr>
          <w:rFonts w:cs="Times New Roman"/>
          <w:color w:val="002060"/>
          <w:lang w:val="en-US"/>
        </w:rPr>
      </w:pPr>
    </w:p>
    <w:p w14:paraId="17A60BE1" w14:textId="5C7F04CA" w:rsidR="00A92704" w:rsidRPr="008C7198" w:rsidRDefault="00A92704" w:rsidP="00CA6E22">
      <w:pPr>
        <w:rPr>
          <w:rFonts w:cs="Times New Roman"/>
          <w:color w:val="002060"/>
          <w:lang w:val="en-US"/>
        </w:rPr>
      </w:pPr>
      <w:r w:rsidRPr="008C7198">
        <w:rPr>
          <w:rFonts w:cs="Times New Roman"/>
          <w:color w:val="002060"/>
          <w:lang w:val="en-US"/>
        </w:rPr>
        <w:t xml:space="preserve">Public education, inequality and democracy have been key themes picked up in all the papers in this special edition. Each of the papers challenges the discourses of the market, the language of individual responsibility, accountability, knowledge commodities and </w:t>
      </w:r>
      <w:proofErr w:type="spellStart"/>
      <w:r w:rsidRPr="008C7198">
        <w:rPr>
          <w:rFonts w:cs="Times New Roman"/>
          <w:color w:val="002060"/>
          <w:lang w:val="en-US"/>
        </w:rPr>
        <w:t>learnification</w:t>
      </w:r>
      <w:proofErr w:type="spellEnd"/>
      <w:r w:rsidRPr="008C7198">
        <w:rPr>
          <w:rFonts w:cs="Times New Roman"/>
          <w:color w:val="002060"/>
          <w:lang w:val="en-US"/>
        </w:rPr>
        <w:t xml:space="preserve">, now permeating all sectors of education. Central to our collective concerns has been the rise of extreme wealth inequalities across the globe since the 1980s with the rise of ‘global </w:t>
      </w:r>
      <w:proofErr w:type="spellStart"/>
      <w:r w:rsidRPr="008C7198">
        <w:rPr>
          <w:rFonts w:cs="Times New Roman"/>
          <w:color w:val="002060"/>
          <w:lang w:val="en-US"/>
        </w:rPr>
        <w:t>hypercapitalism</w:t>
      </w:r>
      <w:proofErr w:type="spellEnd"/>
      <w:r w:rsidRPr="008C7198">
        <w:rPr>
          <w:rFonts w:cs="Times New Roman"/>
          <w:color w:val="002060"/>
          <w:lang w:val="en-US"/>
        </w:rPr>
        <w:t>’ (</w:t>
      </w:r>
      <w:proofErr w:type="spellStart"/>
      <w:r w:rsidRPr="008C7198">
        <w:rPr>
          <w:rFonts w:cs="Times New Roman"/>
          <w:color w:val="002060"/>
          <w:lang w:val="en-US"/>
        </w:rPr>
        <w:t>Picketty</w:t>
      </w:r>
      <w:proofErr w:type="spellEnd"/>
      <w:r w:rsidRPr="008C7198">
        <w:rPr>
          <w:rFonts w:cs="Times New Roman"/>
          <w:color w:val="002060"/>
          <w:lang w:val="en-US"/>
        </w:rPr>
        <w:t xml:space="preserve">, 2020), and the increasing vulnerability of whole sectors of the population. Writing about the US, Case and Deaton (2020: 11) suggest that automation and globalization have not only reduced or stagnated wages for those without a college degree, but also produced an ‘epidemic of death’, what they describe as ‘deaths of despair’.  Deaths by suicide, drug abuse and alcoholism, they propose are on the rise in the US, and particularly so amongst middle-aged, white non-Hispanics, without a college degree. People in this category, formerly white working class, </w:t>
      </w:r>
      <w:r w:rsidR="001954CA" w:rsidRPr="008C7198">
        <w:rPr>
          <w:rFonts w:cs="Times New Roman"/>
          <w:color w:val="002060"/>
          <w:lang w:val="en-US"/>
        </w:rPr>
        <w:t xml:space="preserve">are </w:t>
      </w:r>
      <w:r w:rsidRPr="008C7198">
        <w:rPr>
          <w:rFonts w:cs="Times New Roman"/>
          <w:color w:val="002060"/>
          <w:lang w:val="en-US"/>
        </w:rPr>
        <w:t>now increasingly unemployed or underemployed in short-term casualized jobs. The</w:t>
      </w:r>
      <w:r w:rsidR="001954CA" w:rsidRPr="008C7198">
        <w:rPr>
          <w:rFonts w:cs="Times New Roman"/>
          <w:color w:val="002060"/>
          <w:lang w:val="en-US"/>
        </w:rPr>
        <w:t>se people are</w:t>
      </w:r>
      <w:r w:rsidRPr="008C7198">
        <w:rPr>
          <w:rFonts w:cs="Times New Roman"/>
          <w:color w:val="002060"/>
          <w:lang w:val="en-US"/>
        </w:rPr>
        <w:t xml:space="preserve"> likely to report being depressed, in pain, and on some form of medication, unable to enjoy life and work. Education has not been a way out of poverty for these people, while it has offered others more secure employment and better life opportunities.  The narrative of meritocracy, of studying hard at school to attain results that can be converted into wages in the workplace, and in turn a good life, is an unobtainable fantasy for whole sectors of the population.</w:t>
      </w:r>
      <w:r w:rsidRPr="008C7198">
        <w:rPr>
          <w:color w:val="002060"/>
        </w:rPr>
        <w:t xml:space="preserve"> </w:t>
      </w:r>
      <w:r w:rsidRPr="008C7198">
        <w:rPr>
          <w:rFonts w:cs="Times New Roman"/>
          <w:color w:val="002060"/>
          <w:lang w:val="en-US"/>
        </w:rPr>
        <w:t>Case and Deaton (2020) argue that whole sectors of the population in the US do not believe that a change in</w:t>
      </w:r>
      <w:r w:rsidR="00300334" w:rsidRPr="008C7198">
        <w:rPr>
          <w:rFonts w:cs="Times New Roman"/>
          <w:color w:val="002060"/>
          <w:lang w:val="en-US"/>
        </w:rPr>
        <w:t xml:space="preserve"> political parties and policies will make things better or hopeful. The rise of right-wing popularism, particularly Trump’s popularist politics, tapped into this</w:t>
      </w:r>
      <w:r w:rsidR="001954CA" w:rsidRPr="008C7198">
        <w:rPr>
          <w:rFonts w:cs="Times New Roman"/>
          <w:color w:val="002060"/>
          <w:lang w:val="en-US"/>
        </w:rPr>
        <w:t xml:space="preserve"> collective sense of</w:t>
      </w:r>
      <w:r w:rsidR="00300334" w:rsidRPr="008C7198">
        <w:rPr>
          <w:rFonts w:cs="Times New Roman"/>
          <w:color w:val="002060"/>
          <w:lang w:val="en-US"/>
        </w:rPr>
        <w:t xml:space="preserve"> despair</w:t>
      </w:r>
      <w:r w:rsidR="001954CA" w:rsidRPr="008C7198">
        <w:rPr>
          <w:rFonts w:cs="Times New Roman"/>
          <w:color w:val="002060"/>
          <w:lang w:val="en-US"/>
        </w:rPr>
        <w:t xml:space="preserve">, but offered more of the same, the increasing marketisation of education. </w:t>
      </w:r>
    </w:p>
    <w:p w14:paraId="3C2927F4" w14:textId="3803BCDF" w:rsidR="00A92704" w:rsidRPr="008C7198" w:rsidRDefault="00A92704" w:rsidP="00CA6E22">
      <w:pPr>
        <w:rPr>
          <w:rFonts w:cs="Times New Roman"/>
          <w:color w:val="002060"/>
          <w:lang w:val="en-US"/>
        </w:rPr>
      </w:pPr>
    </w:p>
    <w:p w14:paraId="6F02FAB8" w14:textId="49F4E897" w:rsidR="00892825" w:rsidRPr="008C7198" w:rsidRDefault="001954CA" w:rsidP="00CA6E22">
      <w:pPr>
        <w:rPr>
          <w:rFonts w:cs="Times New Roman"/>
          <w:color w:val="002060"/>
          <w:lang w:val="en-US"/>
        </w:rPr>
      </w:pPr>
      <w:r w:rsidRPr="008C7198">
        <w:rPr>
          <w:rFonts w:cs="Times New Roman"/>
          <w:color w:val="002060"/>
          <w:lang w:val="en-US"/>
        </w:rPr>
        <w:t xml:space="preserve">Alternative, dissenting voices to the dominant </w:t>
      </w:r>
      <w:r w:rsidR="00CF0DA6" w:rsidRPr="008C7198">
        <w:rPr>
          <w:rFonts w:cs="Times New Roman"/>
          <w:color w:val="002060"/>
          <w:lang w:val="en-US"/>
        </w:rPr>
        <w:t>neoliberal narratives around education</w:t>
      </w:r>
      <w:r w:rsidRPr="008C7198">
        <w:rPr>
          <w:rFonts w:cs="Times New Roman"/>
          <w:color w:val="002060"/>
          <w:lang w:val="en-US"/>
        </w:rPr>
        <w:t>, economics and social life are increasingly erupting across the globe. These v</w:t>
      </w:r>
      <w:r w:rsidR="004746E0" w:rsidRPr="008C7198">
        <w:rPr>
          <w:rFonts w:cs="Times New Roman"/>
          <w:color w:val="002060"/>
          <w:lang w:val="en-US"/>
        </w:rPr>
        <w:t xml:space="preserve">oices of dissent </w:t>
      </w:r>
      <w:r w:rsidR="00C040D2" w:rsidRPr="008C7198">
        <w:rPr>
          <w:rFonts w:cs="Times New Roman"/>
          <w:color w:val="002060"/>
          <w:lang w:val="en-US"/>
        </w:rPr>
        <w:t>often start at a local level</w:t>
      </w:r>
      <w:r w:rsidR="00300334" w:rsidRPr="008C7198">
        <w:rPr>
          <w:rFonts w:cs="Times New Roman"/>
          <w:color w:val="002060"/>
          <w:lang w:val="en-US"/>
        </w:rPr>
        <w:t xml:space="preserve">, </w:t>
      </w:r>
      <w:r w:rsidRPr="008C7198">
        <w:rPr>
          <w:rFonts w:cs="Times New Roman"/>
          <w:color w:val="002060"/>
          <w:lang w:val="en-US"/>
        </w:rPr>
        <w:t xml:space="preserve">sometimes </w:t>
      </w:r>
      <w:r w:rsidR="00300334" w:rsidRPr="008C7198">
        <w:rPr>
          <w:rFonts w:cs="Times New Roman"/>
          <w:color w:val="002060"/>
          <w:lang w:val="en-US"/>
        </w:rPr>
        <w:t>taking off and</w:t>
      </w:r>
      <w:r w:rsidR="00CF0DA6" w:rsidRPr="008C7198">
        <w:rPr>
          <w:rFonts w:cs="Times New Roman"/>
          <w:color w:val="002060"/>
          <w:lang w:val="en-US"/>
        </w:rPr>
        <w:t xml:space="preserve"> spread</w:t>
      </w:r>
      <w:r w:rsidR="00A92704" w:rsidRPr="008C7198">
        <w:rPr>
          <w:rFonts w:cs="Times New Roman"/>
          <w:color w:val="002060"/>
          <w:lang w:val="en-US"/>
        </w:rPr>
        <w:t>ing</w:t>
      </w:r>
      <w:r w:rsidR="00CF0DA6" w:rsidRPr="008C7198">
        <w:rPr>
          <w:rFonts w:cs="Times New Roman"/>
          <w:color w:val="002060"/>
          <w:lang w:val="en-US"/>
        </w:rPr>
        <w:t xml:space="preserve"> </w:t>
      </w:r>
      <w:r w:rsidR="00A83B2C" w:rsidRPr="008C7198">
        <w:rPr>
          <w:rFonts w:cs="Times New Roman"/>
          <w:color w:val="002060"/>
          <w:lang w:val="en-US"/>
        </w:rPr>
        <w:t>across the globe</w:t>
      </w:r>
      <w:r w:rsidR="00A92704" w:rsidRPr="008C7198">
        <w:rPr>
          <w:rFonts w:cs="Times New Roman"/>
          <w:color w:val="002060"/>
          <w:lang w:val="en-US"/>
        </w:rPr>
        <w:t xml:space="preserve"> </w:t>
      </w:r>
      <w:r w:rsidR="00CF0DA6" w:rsidRPr="008C7198">
        <w:rPr>
          <w:rFonts w:cs="Times New Roman"/>
          <w:color w:val="002060"/>
          <w:lang w:val="en-US"/>
        </w:rPr>
        <w:t xml:space="preserve">through </w:t>
      </w:r>
      <w:r w:rsidR="00300334" w:rsidRPr="008C7198">
        <w:rPr>
          <w:rFonts w:cs="Times New Roman"/>
          <w:color w:val="002060"/>
          <w:lang w:val="en-US"/>
        </w:rPr>
        <w:t xml:space="preserve">the aid of </w:t>
      </w:r>
      <w:r w:rsidR="00CF0DA6" w:rsidRPr="008C7198">
        <w:rPr>
          <w:rFonts w:cs="Times New Roman"/>
          <w:color w:val="002060"/>
          <w:lang w:val="en-US"/>
        </w:rPr>
        <w:t xml:space="preserve">mobile technologies and social media platforms. There are many examples of </w:t>
      </w:r>
      <w:r w:rsidR="00300334" w:rsidRPr="008C7198">
        <w:rPr>
          <w:rFonts w:cs="Times New Roman"/>
          <w:color w:val="002060"/>
          <w:lang w:val="en-US"/>
        </w:rPr>
        <w:t xml:space="preserve">such </w:t>
      </w:r>
      <w:r w:rsidR="00CF0DA6" w:rsidRPr="008C7198">
        <w:rPr>
          <w:rFonts w:cs="Times New Roman"/>
          <w:color w:val="002060"/>
          <w:lang w:val="en-US"/>
        </w:rPr>
        <w:t xml:space="preserve">resistance and </w:t>
      </w:r>
      <w:r w:rsidR="00A92704" w:rsidRPr="008C7198">
        <w:rPr>
          <w:rFonts w:cs="Times New Roman"/>
          <w:color w:val="002060"/>
          <w:lang w:val="en-US"/>
        </w:rPr>
        <w:t xml:space="preserve">activism. </w:t>
      </w:r>
      <w:r w:rsidR="00CF0DA6" w:rsidRPr="008C7198">
        <w:rPr>
          <w:rFonts w:cs="Times New Roman"/>
          <w:color w:val="002060"/>
          <w:lang w:val="en-US"/>
        </w:rPr>
        <w:t xml:space="preserve">A lone student holding a placard, </w:t>
      </w:r>
      <w:r w:rsidR="00DE5E22" w:rsidRPr="008C7198">
        <w:rPr>
          <w:rFonts w:cs="Times New Roman"/>
          <w:color w:val="002060"/>
          <w:lang w:val="en-US"/>
        </w:rPr>
        <w:t>#schoolstrike4climate</w:t>
      </w:r>
      <w:r w:rsidR="00CF0DA6" w:rsidRPr="008C7198">
        <w:rPr>
          <w:rFonts w:cs="Times New Roman"/>
          <w:color w:val="002060"/>
          <w:lang w:val="en-US"/>
        </w:rPr>
        <w:t>, refusing to attend school until there is change</w:t>
      </w:r>
      <w:r w:rsidR="00C040D2" w:rsidRPr="008C7198">
        <w:rPr>
          <w:rFonts w:cs="Times New Roman"/>
          <w:color w:val="002060"/>
          <w:lang w:val="en-US"/>
        </w:rPr>
        <w:t xml:space="preserve">. </w:t>
      </w:r>
      <w:r w:rsidR="00CF0DA6" w:rsidRPr="008C7198">
        <w:rPr>
          <w:rFonts w:cs="Times New Roman"/>
          <w:color w:val="002060"/>
          <w:lang w:val="en-US"/>
        </w:rPr>
        <w:t xml:space="preserve">Movements across Europe organized against </w:t>
      </w:r>
      <w:r w:rsidR="00892825" w:rsidRPr="008C7198">
        <w:rPr>
          <w:rFonts w:cs="Times New Roman"/>
          <w:color w:val="002060"/>
          <w:lang w:val="en-US"/>
        </w:rPr>
        <w:t>financial</w:t>
      </w:r>
      <w:r w:rsidR="00CF0DA6" w:rsidRPr="008C7198">
        <w:rPr>
          <w:rFonts w:cs="Times New Roman"/>
          <w:color w:val="002060"/>
          <w:lang w:val="en-US"/>
        </w:rPr>
        <w:t xml:space="preserve"> austerity measures</w:t>
      </w:r>
      <w:r w:rsidR="00892825" w:rsidRPr="008C7198">
        <w:rPr>
          <w:rFonts w:cs="Times New Roman"/>
          <w:color w:val="002060"/>
          <w:lang w:val="en-US"/>
        </w:rPr>
        <w:t xml:space="preserve">, job losses, </w:t>
      </w:r>
      <w:r w:rsidR="00E2045A" w:rsidRPr="008C7198">
        <w:rPr>
          <w:rFonts w:cs="Times New Roman"/>
          <w:color w:val="002060"/>
          <w:lang w:val="en-US"/>
        </w:rPr>
        <w:t>stagnant wage growth,</w:t>
      </w:r>
      <w:r w:rsidR="00A92704" w:rsidRPr="008C7198">
        <w:rPr>
          <w:rFonts w:cs="Times New Roman"/>
          <w:color w:val="002060"/>
          <w:lang w:val="en-US"/>
        </w:rPr>
        <w:t xml:space="preserve"> </w:t>
      </w:r>
      <w:r w:rsidR="00892825" w:rsidRPr="008C7198">
        <w:rPr>
          <w:rFonts w:cs="Times New Roman"/>
          <w:color w:val="002060"/>
          <w:lang w:val="en-US"/>
        </w:rPr>
        <w:t>casualization of work, and border restrictions against refugees and migrants</w:t>
      </w:r>
      <w:r w:rsidR="00CB09BA" w:rsidRPr="008C7198">
        <w:rPr>
          <w:rFonts w:cs="Times New Roman"/>
          <w:color w:val="002060"/>
          <w:lang w:val="en-US"/>
        </w:rPr>
        <w:t xml:space="preserve"> (</w:t>
      </w:r>
      <w:proofErr w:type="spellStart"/>
      <w:r w:rsidR="00CB09BA" w:rsidRPr="008C7198">
        <w:rPr>
          <w:rFonts w:cs="Times New Roman"/>
          <w:color w:val="002060"/>
          <w:lang w:val="en-US"/>
        </w:rPr>
        <w:t>Mumby</w:t>
      </w:r>
      <w:proofErr w:type="spellEnd"/>
      <w:r w:rsidR="00CB09BA" w:rsidRPr="008C7198">
        <w:rPr>
          <w:rFonts w:cs="Times New Roman"/>
          <w:color w:val="002060"/>
          <w:lang w:val="en-US"/>
        </w:rPr>
        <w:t xml:space="preserve"> et al., 2017). </w:t>
      </w:r>
      <w:r w:rsidR="00892825" w:rsidRPr="008C7198">
        <w:rPr>
          <w:rFonts w:cs="Times New Roman"/>
          <w:color w:val="002060"/>
          <w:lang w:val="en-US"/>
        </w:rPr>
        <w:t xml:space="preserve">Such </w:t>
      </w:r>
      <w:r w:rsidR="00E2045A" w:rsidRPr="008C7198">
        <w:rPr>
          <w:rFonts w:cs="Times New Roman"/>
          <w:color w:val="002060"/>
          <w:lang w:val="en-US"/>
        </w:rPr>
        <w:t xml:space="preserve">anti-austerity and </w:t>
      </w:r>
      <w:r w:rsidR="00892825" w:rsidRPr="008C7198">
        <w:rPr>
          <w:rFonts w:cs="Times New Roman"/>
          <w:color w:val="002060"/>
          <w:lang w:val="en-US"/>
        </w:rPr>
        <w:t xml:space="preserve">precarity </w:t>
      </w:r>
      <w:r w:rsidR="00E2045A" w:rsidRPr="008C7198">
        <w:rPr>
          <w:rFonts w:cs="Times New Roman"/>
          <w:color w:val="002060"/>
          <w:lang w:val="en-US"/>
        </w:rPr>
        <w:t>activism</w:t>
      </w:r>
      <w:r w:rsidR="00A92704" w:rsidRPr="008C7198">
        <w:rPr>
          <w:rFonts w:cs="Times New Roman"/>
          <w:color w:val="002060"/>
          <w:lang w:val="en-US"/>
        </w:rPr>
        <w:t>s</w:t>
      </w:r>
      <w:r w:rsidR="00892825" w:rsidRPr="008C7198">
        <w:rPr>
          <w:rFonts w:cs="Times New Roman"/>
          <w:color w:val="002060"/>
          <w:lang w:val="en-US"/>
        </w:rPr>
        <w:t>, particularly those informed by women’s movements and feminist politics, have not only challenged the dominant neo-liberal narrative of ‘trickle-down’ economics, but also formulated a new term around citizenship – ‘care-</w:t>
      </w:r>
      <w:proofErr w:type="spellStart"/>
      <w:r w:rsidR="00892825" w:rsidRPr="008C7198">
        <w:rPr>
          <w:rFonts w:cs="Times New Roman"/>
          <w:color w:val="002060"/>
          <w:lang w:val="en-US"/>
        </w:rPr>
        <w:t>tizenship</w:t>
      </w:r>
      <w:proofErr w:type="spellEnd"/>
      <w:r w:rsidR="00892825" w:rsidRPr="008C7198">
        <w:rPr>
          <w:rFonts w:cs="Times New Roman"/>
          <w:color w:val="002060"/>
          <w:lang w:val="en-US"/>
        </w:rPr>
        <w:t xml:space="preserve">’ (Casas-Cortes, 2019). </w:t>
      </w:r>
      <w:r w:rsidR="00E2045A" w:rsidRPr="008C7198">
        <w:rPr>
          <w:rFonts w:cs="Times New Roman"/>
          <w:color w:val="002060"/>
          <w:lang w:val="en-US"/>
        </w:rPr>
        <w:t>The term, ‘care-</w:t>
      </w:r>
      <w:proofErr w:type="spellStart"/>
      <w:r w:rsidR="00E2045A" w:rsidRPr="008C7198">
        <w:rPr>
          <w:rFonts w:cs="Times New Roman"/>
          <w:color w:val="002060"/>
          <w:lang w:val="en-US"/>
        </w:rPr>
        <w:t>tizenship</w:t>
      </w:r>
      <w:proofErr w:type="spellEnd"/>
      <w:r w:rsidR="00E2045A" w:rsidRPr="008C7198">
        <w:rPr>
          <w:rFonts w:cs="Times New Roman"/>
          <w:color w:val="002060"/>
          <w:lang w:val="en-US"/>
        </w:rPr>
        <w:t>’ attempts to redefine the dominant individualizing narrative of neoliberal education/economic policies. It suggests ‘a community of practice forged by ties of caring relationships, mutually attending to basic needs in a context of increasing vulnerability local, migrant and emigrant populations</w:t>
      </w:r>
      <w:proofErr w:type="gramStart"/>
      <w:r w:rsidR="00E2045A" w:rsidRPr="008C7198">
        <w:rPr>
          <w:rFonts w:cs="Times New Roman"/>
          <w:color w:val="002060"/>
          <w:lang w:val="en-US"/>
        </w:rPr>
        <w:t>’</w:t>
      </w:r>
      <w:r w:rsidR="00892825" w:rsidRPr="008C7198">
        <w:rPr>
          <w:rFonts w:cs="Times New Roman"/>
          <w:color w:val="002060"/>
          <w:lang w:val="en-US"/>
        </w:rPr>
        <w:t>(</w:t>
      </w:r>
      <w:bookmarkStart w:id="3" w:name="_Hlk70521560"/>
      <w:proofErr w:type="gramEnd"/>
      <w:r w:rsidR="00892825" w:rsidRPr="008C7198">
        <w:rPr>
          <w:rFonts w:cs="Times New Roman"/>
          <w:color w:val="002060"/>
          <w:lang w:val="en-US"/>
        </w:rPr>
        <w:t xml:space="preserve">Casas-Cortes, 2019: </w:t>
      </w:r>
      <w:r w:rsidR="00892825" w:rsidRPr="008C7198">
        <w:rPr>
          <w:rFonts w:cs="Times New Roman"/>
          <w:color w:val="002060"/>
          <w:lang w:val="en-US"/>
        </w:rPr>
        <w:lastRenderedPageBreak/>
        <w:t>19)</w:t>
      </w:r>
      <w:r w:rsidR="00E2045A" w:rsidRPr="008C7198">
        <w:rPr>
          <w:rFonts w:cs="Times New Roman"/>
          <w:color w:val="002060"/>
          <w:lang w:val="en-US"/>
        </w:rPr>
        <w:t xml:space="preserve">. </w:t>
      </w:r>
      <w:bookmarkEnd w:id="3"/>
      <w:r w:rsidR="00E2045A" w:rsidRPr="008C7198">
        <w:rPr>
          <w:rFonts w:cs="Times New Roman"/>
          <w:color w:val="002060"/>
          <w:lang w:val="en-US"/>
        </w:rPr>
        <w:t>The term, developed through grassroots activism, initially formulated in the activist movements in Spain as</w:t>
      </w:r>
      <w:r w:rsidR="00EF7064" w:rsidRPr="008C7198">
        <w:rPr>
          <w:rFonts w:cs="Times New Roman"/>
          <w:color w:val="002060"/>
          <w:lang w:val="en-US"/>
        </w:rPr>
        <w:t xml:space="preserve"> a placard message,</w:t>
      </w:r>
      <w:r w:rsidR="00E2045A" w:rsidRPr="008C7198">
        <w:rPr>
          <w:rFonts w:cs="Times New Roman"/>
          <w:color w:val="002060"/>
          <w:lang w:val="en-US"/>
        </w:rPr>
        <w:t xml:space="preserve"> ‘a citizenship otherwise’ morphed into the phrase ‘</w:t>
      </w:r>
      <w:r w:rsidR="00EF7064" w:rsidRPr="008C7198">
        <w:rPr>
          <w:rFonts w:cs="Times New Roman"/>
          <w:color w:val="002060"/>
          <w:lang w:val="en-US"/>
        </w:rPr>
        <w:t>care/</w:t>
      </w:r>
      <w:proofErr w:type="spellStart"/>
      <w:r w:rsidR="00EF7064" w:rsidRPr="008C7198">
        <w:rPr>
          <w:rFonts w:cs="Times New Roman"/>
          <w:color w:val="002060"/>
          <w:lang w:val="en-US"/>
        </w:rPr>
        <w:t>itzenship</w:t>
      </w:r>
      <w:proofErr w:type="spellEnd"/>
      <w:r w:rsidR="00EF7064" w:rsidRPr="008C7198">
        <w:rPr>
          <w:rFonts w:cs="Times New Roman"/>
          <w:color w:val="002060"/>
          <w:lang w:val="en-US"/>
        </w:rPr>
        <w:t xml:space="preserve">’. The ‘activist concept of </w:t>
      </w:r>
      <w:proofErr w:type="spellStart"/>
      <w:r w:rsidR="00EF7064" w:rsidRPr="008C7198">
        <w:rPr>
          <w:rFonts w:cs="Times New Roman"/>
          <w:color w:val="002060"/>
          <w:lang w:val="en-US"/>
        </w:rPr>
        <w:t>caretizenship</w:t>
      </w:r>
      <w:proofErr w:type="spellEnd"/>
      <w:r w:rsidR="00EF7064" w:rsidRPr="008C7198">
        <w:rPr>
          <w:rFonts w:cs="Times New Roman"/>
          <w:color w:val="002060"/>
          <w:lang w:val="en-US"/>
        </w:rPr>
        <w:t xml:space="preserve">’ can be interpreted as a creative ‘erasure’ and ‘democratic re-iteration’ of the conventional notion of citizenship (Casas-Cortes, 2019: 21). </w:t>
      </w:r>
      <w:r w:rsidR="00076AAD" w:rsidRPr="008C7198">
        <w:rPr>
          <w:rFonts w:cs="Times New Roman"/>
          <w:color w:val="002060"/>
          <w:lang w:val="en-US"/>
        </w:rPr>
        <w:t xml:space="preserve">Creative erasure implies deconstructing the ordering of the sensible </w:t>
      </w:r>
      <w:r w:rsidR="00F93207" w:rsidRPr="008C7198">
        <w:rPr>
          <w:rFonts w:cs="Times New Roman"/>
          <w:color w:val="002060"/>
          <w:lang w:val="en-US"/>
        </w:rPr>
        <w:t>generated through</w:t>
      </w:r>
      <w:r w:rsidR="00076AAD" w:rsidRPr="008C7198">
        <w:rPr>
          <w:rFonts w:cs="Times New Roman"/>
          <w:color w:val="002060"/>
          <w:lang w:val="en-US"/>
        </w:rPr>
        <w:t xml:space="preserve"> the concept ‘citizenship</w:t>
      </w:r>
      <w:r w:rsidR="00300334" w:rsidRPr="008C7198">
        <w:rPr>
          <w:rFonts w:cs="Times New Roman"/>
          <w:color w:val="002060"/>
          <w:lang w:val="en-US"/>
        </w:rPr>
        <w:t>’</w:t>
      </w:r>
      <w:r w:rsidR="00076AAD" w:rsidRPr="008C7198">
        <w:rPr>
          <w:rFonts w:cs="Times New Roman"/>
          <w:color w:val="002060"/>
          <w:lang w:val="en-US"/>
        </w:rPr>
        <w:t xml:space="preserve"> and creating a new concept ‘</w:t>
      </w:r>
      <w:proofErr w:type="spellStart"/>
      <w:r w:rsidR="00076AAD" w:rsidRPr="008C7198">
        <w:rPr>
          <w:rFonts w:cs="Times New Roman"/>
          <w:color w:val="002060"/>
          <w:lang w:val="en-US"/>
        </w:rPr>
        <w:t>caretizenship</w:t>
      </w:r>
      <w:proofErr w:type="spellEnd"/>
      <w:r w:rsidR="00076AAD" w:rsidRPr="008C7198">
        <w:rPr>
          <w:rFonts w:cs="Times New Roman"/>
          <w:color w:val="002060"/>
          <w:lang w:val="en-US"/>
        </w:rPr>
        <w:t xml:space="preserve">’ to posit something </w:t>
      </w:r>
      <w:proofErr w:type="gramStart"/>
      <w:r w:rsidR="00076AAD" w:rsidRPr="008C7198">
        <w:rPr>
          <w:rFonts w:cs="Times New Roman"/>
          <w:color w:val="002060"/>
          <w:lang w:val="en-US"/>
        </w:rPr>
        <w:t>affirming, yet</w:t>
      </w:r>
      <w:proofErr w:type="gramEnd"/>
      <w:r w:rsidR="00076AAD" w:rsidRPr="008C7198">
        <w:rPr>
          <w:rFonts w:cs="Times New Roman"/>
          <w:color w:val="002060"/>
          <w:lang w:val="en-US"/>
        </w:rPr>
        <w:t xml:space="preserve"> remain skeptical and questioning of the new</w:t>
      </w:r>
      <w:r w:rsidR="00F93207" w:rsidRPr="008C7198">
        <w:rPr>
          <w:rFonts w:cs="Times New Roman"/>
          <w:color w:val="002060"/>
          <w:lang w:val="en-US"/>
        </w:rPr>
        <w:t xml:space="preserve">. </w:t>
      </w:r>
    </w:p>
    <w:p w14:paraId="6BEC7498" w14:textId="6941E3C7" w:rsidR="00AE268B" w:rsidRPr="008C7198" w:rsidRDefault="00AE268B" w:rsidP="00CA6E22">
      <w:pPr>
        <w:rPr>
          <w:rFonts w:cs="Times New Roman"/>
          <w:color w:val="002060"/>
          <w:lang w:val="en-US"/>
        </w:rPr>
      </w:pPr>
    </w:p>
    <w:p w14:paraId="1FCC2D2D" w14:textId="59030C9D" w:rsidR="00AE268B" w:rsidRPr="008C7198" w:rsidRDefault="00AE268B" w:rsidP="00CA6E22">
      <w:pPr>
        <w:rPr>
          <w:rFonts w:cs="Times New Roman"/>
          <w:color w:val="002060"/>
          <w:lang w:val="en-US"/>
        </w:rPr>
      </w:pPr>
      <w:r w:rsidRPr="008C7198">
        <w:rPr>
          <w:rFonts w:cs="Times New Roman"/>
          <w:color w:val="002060"/>
          <w:lang w:val="en-US"/>
        </w:rPr>
        <w:t>Scholarly debates about the publicness of education, emergent publics, the voices of the people/demos, rising inequalities are core to imagining alternative</w:t>
      </w:r>
      <w:r w:rsidR="00300334" w:rsidRPr="008C7198">
        <w:rPr>
          <w:rFonts w:cs="Times New Roman"/>
          <w:color w:val="002060"/>
          <w:lang w:val="en-US"/>
        </w:rPr>
        <w:t xml:space="preserve"> education </w:t>
      </w:r>
      <w:r w:rsidRPr="008C7198">
        <w:rPr>
          <w:rFonts w:cs="Times New Roman"/>
          <w:color w:val="002060"/>
          <w:lang w:val="en-US"/>
        </w:rPr>
        <w:t xml:space="preserve">futures. The papers in this special edition offer alternative narratives to the dominant neoliberal education policy discourses and practices. They are activist in the sense of questioning and challenging the ordering of the sensible in dominant narratives of education across the globe. </w:t>
      </w:r>
    </w:p>
    <w:p w14:paraId="3029ED6F" w14:textId="67A7AE1A" w:rsidR="00076AAD" w:rsidRPr="008C7198" w:rsidRDefault="00076AAD" w:rsidP="00CA6E22">
      <w:pPr>
        <w:rPr>
          <w:rFonts w:cs="Times New Roman"/>
          <w:color w:val="002060"/>
          <w:lang w:val="en-US"/>
        </w:rPr>
      </w:pPr>
    </w:p>
    <w:p w14:paraId="028A8290" w14:textId="77777777" w:rsidR="0087271D" w:rsidRPr="008C7198" w:rsidRDefault="0087271D" w:rsidP="0087271D">
      <w:pPr>
        <w:rPr>
          <w:rFonts w:cs="Times New Roman"/>
          <w:color w:val="002060"/>
          <w:lang w:val="en-US"/>
        </w:rPr>
      </w:pPr>
    </w:p>
    <w:p w14:paraId="62C55E96" w14:textId="77777777" w:rsidR="008F0628" w:rsidRPr="008C7198" w:rsidRDefault="008F0628">
      <w:pPr>
        <w:rPr>
          <w:rFonts w:cs="Times New Roman"/>
          <w:color w:val="002060"/>
          <w:lang w:val="en-US"/>
        </w:rPr>
      </w:pPr>
    </w:p>
    <w:p w14:paraId="3F35F924" w14:textId="044280E7" w:rsidR="007F5EE5" w:rsidRPr="008C7198" w:rsidRDefault="00AD4919">
      <w:pPr>
        <w:rPr>
          <w:rFonts w:cs="Times New Roman"/>
          <w:b/>
          <w:color w:val="002060"/>
          <w:lang w:val="en-AU"/>
        </w:rPr>
      </w:pPr>
      <w:r w:rsidRPr="008C7198">
        <w:rPr>
          <w:rFonts w:cs="Times New Roman"/>
          <w:b/>
          <w:color w:val="002060"/>
          <w:lang w:val="en-US"/>
        </w:rPr>
        <w:t>References</w:t>
      </w:r>
    </w:p>
    <w:p w14:paraId="0C8D694F" w14:textId="77777777" w:rsidR="008C7198" w:rsidRPr="008C7198" w:rsidRDefault="008C7198" w:rsidP="008C7198">
      <w:pPr>
        <w:rPr>
          <w:rFonts w:cs="Times New Roman"/>
          <w:color w:val="002060"/>
          <w:lang w:val="en-US"/>
        </w:rPr>
      </w:pPr>
      <w:r w:rsidRPr="008C7198">
        <w:rPr>
          <w:rFonts w:cs="Times New Roman"/>
          <w:color w:val="002060"/>
          <w:lang w:val="en-US"/>
        </w:rPr>
        <w:t>Casas-Cortes, M. (2019). Care-</w:t>
      </w:r>
      <w:proofErr w:type="spellStart"/>
      <w:r w:rsidRPr="008C7198">
        <w:rPr>
          <w:rFonts w:cs="Times New Roman"/>
          <w:color w:val="002060"/>
          <w:lang w:val="en-US"/>
        </w:rPr>
        <w:t>tizenship</w:t>
      </w:r>
      <w:proofErr w:type="spellEnd"/>
      <w:r w:rsidRPr="008C7198">
        <w:rPr>
          <w:rFonts w:cs="Times New Roman"/>
          <w:color w:val="002060"/>
          <w:lang w:val="en-US"/>
        </w:rPr>
        <w:t>: precarity, social movements, and the deleting/re-writing</w:t>
      </w:r>
    </w:p>
    <w:p w14:paraId="1CD8CC49" w14:textId="619AD940" w:rsidR="008C7198" w:rsidRPr="008C7198" w:rsidRDefault="008C7198" w:rsidP="008C7198">
      <w:pPr>
        <w:ind w:firstLine="720"/>
        <w:rPr>
          <w:rFonts w:cs="Times New Roman"/>
          <w:color w:val="002060"/>
          <w:lang w:val="en-US"/>
        </w:rPr>
      </w:pPr>
      <w:r w:rsidRPr="008C7198">
        <w:rPr>
          <w:rFonts w:cs="Times New Roman"/>
          <w:color w:val="002060"/>
          <w:lang w:val="en-US"/>
        </w:rPr>
        <w:t xml:space="preserve">of citizenship. </w:t>
      </w:r>
      <w:r w:rsidRPr="00BD06FB">
        <w:rPr>
          <w:rFonts w:cs="Times New Roman"/>
          <w:i/>
          <w:iCs/>
          <w:color w:val="002060"/>
          <w:lang w:val="en-US"/>
        </w:rPr>
        <w:t>Citizenship Studies, 23</w:t>
      </w:r>
      <w:r w:rsidRPr="008C7198">
        <w:rPr>
          <w:rFonts w:cs="Times New Roman"/>
          <w:color w:val="002060"/>
          <w:lang w:val="en-US"/>
        </w:rPr>
        <w:t xml:space="preserve">(1), 19-42. </w:t>
      </w:r>
    </w:p>
    <w:p w14:paraId="5AC1D159" w14:textId="538BC9A9" w:rsidR="008C7198" w:rsidRPr="008C7198" w:rsidRDefault="008C7198" w:rsidP="008C7198">
      <w:pPr>
        <w:rPr>
          <w:rFonts w:cs="Times New Roman"/>
          <w:color w:val="002060"/>
          <w:lang w:val="en-US"/>
        </w:rPr>
      </w:pPr>
      <w:r w:rsidRPr="008C7198">
        <w:rPr>
          <w:rFonts w:cs="Times New Roman"/>
          <w:color w:val="002060"/>
          <w:lang w:val="en-US"/>
        </w:rPr>
        <w:t>Case, A., &amp; Deaton, A. (2020). Deaths of Despair and the Future of Capitalism. Princeton, NJ:</w:t>
      </w:r>
    </w:p>
    <w:p w14:paraId="4421D6D9" w14:textId="30EEF88C" w:rsidR="008C7198" w:rsidRPr="008C7198" w:rsidRDefault="008C7198" w:rsidP="008C7198">
      <w:pPr>
        <w:ind w:firstLine="720"/>
        <w:rPr>
          <w:rFonts w:cs="Times New Roman"/>
          <w:color w:val="002060"/>
          <w:lang w:val="en-US"/>
        </w:rPr>
      </w:pPr>
      <w:r w:rsidRPr="008C7198">
        <w:rPr>
          <w:rFonts w:cs="Times New Roman"/>
          <w:color w:val="002060"/>
          <w:lang w:val="en-US"/>
        </w:rPr>
        <w:t xml:space="preserve">Princeton University Press. </w:t>
      </w:r>
    </w:p>
    <w:p w14:paraId="2F5845DA" w14:textId="5FBFA02E" w:rsidR="00A5548F" w:rsidRPr="008C7198" w:rsidRDefault="00A5548F" w:rsidP="00A5548F">
      <w:pPr>
        <w:autoSpaceDE w:val="0"/>
        <w:autoSpaceDN w:val="0"/>
        <w:adjustRightInd w:val="0"/>
        <w:ind w:left="720" w:right="-720" w:hanging="720"/>
        <w:rPr>
          <w:rFonts w:cs="Times New Roman"/>
          <w:color w:val="002060"/>
          <w:lang w:val="en-US"/>
        </w:rPr>
      </w:pPr>
      <w:r w:rsidRPr="008C7198">
        <w:rPr>
          <w:rFonts w:cs="Times New Roman"/>
          <w:color w:val="002060"/>
          <w:lang w:val="en-US"/>
        </w:rPr>
        <w:t xml:space="preserve">Clarke, M. 2012. The (absent) politics of neo-liberal education policy.  </w:t>
      </w:r>
      <w:r w:rsidRPr="008C7198">
        <w:rPr>
          <w:rFonts w:cs="Times New Roman"/>
          <w:i/>
          <w:iCs/>
          <w:color w:val="002060"/>
          <w:lang w:val="en-US"/>
        </w:rPr>
        <w:t>Critical Studies in Education</w:t>
      </w:r>
      <w:r w:rsidRPr="008C7198">
        <w:rPr>
          <w:rFonts w:cs="Times New Roman"/>
          <w:color w:val="002060"/>
          <w:lang w:val="en-US"/>
        </w:rPr>
        <w:t xml:space="preserve"> 53 (3):297-310.</w:t>
      </w:r>
    </w:p>
    <w:p w14:paraId="53CA107D" w14:textId="22BC3315" w:rsidR="00FE4B2C" w:rsidRPr="008C7198" w:rsidRDefault="00FE4B2C" w:rsidP="00A5548F">
      <w:pPr>
        <w:autoSpaceDE w:val="0"/>
        <w:autoSpaceDN w:val="0"/>
        <w:adjustRightInd w:val="0"/>
        <w:ind w:left="720" w:right="-720" w:hanging="720"/>
        <w:rPr>
          <w:rFonts w:cs="Garamond"/>
          <w:color w:val="002060"/>
        </w:rPr>
      </w:pPr>
      <w:r w:rsidRPr="008C7198">
        <w:rPr>
          <w:rFonts w:cs="Garamond"/>
          <w:color w:val="002060"/>
        </w:rPr>
        <w:t xml:space="preserve">Cooper, M. (2017). </w:t>
      </w:r>
      <w:r w:rsidR="00BC5C8E" w:rsidRPr="008C7198">
        <w:rPr>
          <w:rFonts w:cs="Garamond"/>
          <w:i/>
          <w:iCs/>
          <w:color w:val="002060"/>
        </w:rPr>
        <w:t>Family values: Between neoliberalism and the new social conservatism</w:t>
      </w:r>
      <w:r w:rsidR="00BC5C8E" w:rsidRPr="008C7198">
        <w:rPr>
          <w:rFonts w:cs="Garamond"/>
          <w:color w:val="002060"/>
        </w:rPr>
        <w:t>. New York: Zone Books.</w:t>
      </w:r>
    </w:p>
    <w:p w14:paraId="7289C7E5" w14:textId="2C2CF545" w:rsidR="007A6261" w:rsidRPr="008C7198" w:rsidRDefault="007A6261" w:rsidP="00A5548F">
      <w:pPr>
        <w:autoSpaceDE w:val="0"/>
        <w:autoSpaceDN w:val="0"/>
        <w:adjustRightInd w:val="0"/>
        <w:ind w:left="720" w:right="-720" w:hanging="720"/>
        <w:rPr>
          <w:rFonts w:cs="Garamond"/>
          <w:color w:val="002060"/>
        </w:rPr>
      </w:pPr>
      <w:r w:rsidRPr="008C7198">
        <w:rPr>
          <w:rFonts w:cs="Garamond"/>
          <w:color w:val="002060"/>
        </w:rPr>
        <w:t xml:space="preserve">Dewey, J. (1927). </w:t>
      </w:r>
      <w:r w:rsidRPr="008C7198">
        <w:rPr>
          <w:rFonts w:cs="Garamond"/>
          <w:i/>
          <w:iCs/>
          <w:color w:val="002060"/>
        </w:rPr>
        <w:t>The public and Its problems: An essay in political inquiry</w:t>
      </w:r>
      <w:r w:rsidRPr="008C7198">
        <w:rPr>
          <w:rFonts w:cs="Garamond"/>
          <w:color w:val="002060"/>
        </w:rPr>
        <w:t>. New York: Henry Holt &amp; Co.</w:t>
      </w:r>
    </w:p>
    <w:p w14:paraId="439F1DCF" w14:textId="7D2D150B" w:rsidR="00A5548F" w:rsidRPr="008C7198" w:rsidRDefault="00A5548F" w:rsidP="00A5548F">
      <w:pPr>
        <w:autoSpaceDE w:val="0"/>
        <w:autoSpaceDN w:val="0"/>
        <w:adjustRightInd w:val="0"/>
        <w:ind w:left="720" w:right="-720" w:hanging="720"/>
        <w:rPr>
          <w:rFonts w:cs="Times New Roman"/>
          <w:color w:val="002060"/>
          <w:lang w:val="en-US"/>
        </w:rPr>
      </w:pPr>
      <w:proofErr w:type="spellStart"/>
      <w:r w:rsidRPr="008C7198">
        <w:rPr>
          <w:rFonts w:cs="Times New Roman"/>
          <w:color w:val="002060"/>
          <w:lang w:val="en-US"/>
        </w:rPr>
        <w:t>Glynos</w:t>
      </w:r>
      <w:proofErr w:type="spellEnd"/>
      <w:r w:rsidRPr="008C7198">
        <w:rPr>
          <w:rFonts w:cs="Times New Roman"/>
          <w:color w:val="002060"/>
          <w:lang w:val="en-US"/>
        </w:rPr>
        <w:t xml:space="preserve">, J, </w:t>
      </w:r>
      <w:r w:rsidR="00A7180A" w:rsidRPr="008C7198">
        <w:rPr>
          <w:rFonts w:cs="Times New Roman"/>
          <w:color w:val="002060"/>
          <w:lang w:val="en-US"/>
        </w:rPr>
        <w:t xml:space="preserve">&amp; </w:t>
      </w:r>
      <w:proofErr w:type="spellStart"/>
      <w:r w:rsidRPr="008C7198">
        <w:rPr>
          <w:rFonts w:cs="Times New Roman"/>
          <w:color w:val="002060"/>
          <w:lang w:val="en-US"/>
        </w:rPr>
        <w:t>Stavrakakis</w:t>
      </w:r>
      <w:proofErr w:type="spellEnd"/>
      <w:r w:rsidR="00A7180A" w:rsidRPr="008C7198">
        <w:rPr>
          <w:rFonts w:cs="Times New Roman"/>
          <w:color w:val="002060"/>
          <w:lang w:val="en-US"/>
        </w:rPr>
        <w:t>, Y.</w:t>
      </w:r>
      <w:r w:rsidRPr="008C7198">
        <w:rPr>
          <w:rFonts w:cs="Times New Roman"/>
          <w:color w:val="002060"/>
          <w:lang w:val="en-US"/>
        </w:rPr>
        <w:t xml:space="preserve"> 2008. Lacan and political subjectivity: Fantasy and enjoyment in psychoanalysis and political theory.  </w:t>
      </w:r>
      <w:r w:rsidRPr="008C7198">
        <w:rPr>
          <w:rFonts w:cs="Times New Roman"/>
          <w:i/>
          <w:iCs/>
          <w:color w:val="002060"/>
          <w:lang w:val="en-US"/>
        </w:rPr>
        <w:t>Subjectivity</w:t>
      </w:r>
      <w:r w:rsidRPr="008C7198">
        <w:rPr>
          <w:rFonts w:cs="Times New Roman"/>
          <w:color w:val="002060"/>
          <w:lang w:val="en-US"/>
        </w:rPr>
        <w:t xml:space="preserve"> </w:t>
      </w:r>
      <w:r w:rsidRPr="00BD06FB">
        <w:rPr>
          <w:rFonts w:cs="Times New Roman"/>
          <w:i/>
          <w:iCs/>
          <w:color w:val="002060"/>
          <w:lang w:val="en-US"/>
        </w:rPr>
        <w:t>24</w:t>
      </w:r>
      <w:r w:rsidRPr="008C7198">
        <w:rPr>
          <w:rFonts w:cs="Times New Roman"/>
          <w:color w:val="002060"/>
          <w:lang w:val="en-US"/>
        </w:rPr>
        <w:t>(1):256-274.</w:t>
      </w:r>
    </w:p>
    <w:p w14:paraId="5A023898" w14:textId="743BECF6" w:rsidR="00A5548F" w:rsidRPr="008C7198" w:rsidRDefault="00A5548F" w:rsidP="00A5548F">
      <w:pPr>
        <w:autoSpaceDE w:val="0"/>
        <w:autoSpaceDN w:val="0"/>
        <w:adjustRightInd w:val="0"/>
        <w:ind w:left="720" w:right="-720" w:hanging="720"/>
        <w:rPr>
          <w:rFonts w:cs="Times New Roman"/>
          <w:color w:val="002060"/>
          <w:lang w:val="en-US"/>
        </w:rPr>
      </w:pPr>
      <w:r w:rsidRPr="008C7198">
        <w:rPr>
          <w:rFonts w:cs="Times New Roman"/>
          <w:color w:val="002060"/>
          <w:lang w:val="en-US"/>
        </w:rPr>
        <w:t xml:space="preserve">Hardt, M., </w:t>
      </w:r>
      <w:r w:rsidR="00A7180A" w:rsidRPr="008C7198">
        <w:rPr>
          <w:rFonts w:cs="Times New Roman"/>
          <w:color w:val="002060"/>
          <w:lang w:val="en-US"/>
        </w:rPr>
        <w:t>&amp;</w:t>
      </w:r>
      <w:r w:rsidRPr="008C7198">
        <w:rPr>
          <w:rFonts w:cs="Times New Roman"/>
          <w:color w:val="002060"/>
          <w:lang w:val="en-US"/>
        </w:rPr>
        <w:t xml:space="preserve"> A. Negri. 2000. </w:t>
      </w:r>
      <w:r w:rsidRPr="008C7198">
        <w:rPr>
          <w:rFonts w:cs="Times New Roman"/>
          <w:i/>
          <w:iCs/>
          <w:color w:val="002060"/>
          <w:lang w:val="en-US"/>
        </w:rPr>
        <w:t>Empire</w:t>
      </w:r>
      <w:r w:rsidRPr="008C7198">
        <w:rPr>
          <w:rFonts w:cs="Times New Roman"/>
          <w:color w:val="002060"/>
          <w:lang w:val="en-US"/>
        </w:rPr>
        <w:t>. Cambridge, MA: Harvard University Press.</w:t>
      </w:r>
    </w:p>
    <w:p w14:paraId="0901ABE9" w14:textId="199C6759" w:rsidR="00A5548F" w:rsidRPr="008C7198" w:rsidRDefault="00A5548F" w:rsidP="00A5548F">
      <w:pPr>
        <w:autoSpaceDE w:val="0"/>
        <w:autoSpaceDN w:val="0"/>
        <w:adjustRightInd w:val="0"/>
        <w:ind w:left="720" w:right="-720" w:hanging="720"/>
        <w:rPr>
          <w:rFonts w:cs="Times New Roman"/>
          <w:color w:val="002060"/>
          <w:lang w:val="en-US"/>
        </w:rPr>
      </w:pPr>
      <w:proofErr w:type="spellStart"/>
      <w:r w:rsidRPr="008C7198">
        <w:rPr>
          <w:rFonts w:cs="Times New Roman"/>
          <w:color w:val="002060"/>
          <w:lang w:val="en-US"/>
        </w:rPr>
        <w:t>Laclau</w:t>
      </w:r>
      <w:proofErr w:type="spellEnd"/>
      <w:r w:rsidRPr="008C7198">
        <w:rPr>
          <w:rFonts w:cs="Times New Roman"/>
          <w:color w:val="002060"/>
          <w:lang w:val="en-US"/>
        </w:rPr>
        <w:t xml:space="preserve">, E, </w:t>
      </w:r>
      <w:r w:rsidR="00A7180A" w:rsidRPr="008C7198">
        <w:rPr>
          <w:rFonts w:cs="Times New Roman"/>
          <w:color w:val="002060"/>
          <w:lang w:val="en-US"/>
        </w:rPr>
        <w:t>&amp;</w:t>
      </w:r>
      <w:r w:rsidRPr="008C7198">
        <w:rPr>
          <w:rFonts w:cs="Times New Roman"/>
          <w:color w:val="002060"/>
          <w:lang w:val="en-US"/>
        </w:rPr>
        <w:t xml:space="preserve"> C </w:t>
      </w:r>
      <w:proofErr w:type="spellStart"/>
      <w:r w:rsidRPr="008C7198">
        <w:rPr>
          <w:rFonts w:cs="Times New Roman"/>
          <w:color w:val="002060"/>
          <w:lang w:val="en-US"/>
        </w:rPr>
        <w:t>Mouffe</w:t>
      </w:r>
      <w:proofErr w:type="spellEnd"/>
      <w:r w:rsidRPr="008C7198">
        <w:rPr>
          <w:rFonts w:cs="Times New Roman"/>
          <w:color w:val="002060"/>
          <w:lang w:val="en-US"/>
        </w:rPr>
        <w:t xml:space="preserve">. 2001. </w:t>
      </w:r>
      <w:r w:rsidRPr="008C7198">
        <w:rPr>
          <w:rFonts w:cs="Times New Roman"/>
          <w:i/>
          <w:iCs/>
          <w:color w:val="002060"/>
          <w:lang w:val="en-US"/>
        </w:rPr>
        <w:t>Hegemony and socialist strategy: Towards a radical democratic politics</w:t>
      </w:r>
      <w:r w:rsidRPr="008C7198">
        <w:rPr>
          <w:rFonts w:cs="Times New Roman"/>
          <w:color w:val="002060"/>
          <w:lang w:val="en-US"/>
        </w:rPr>
        <w:t xml:space="preserve">. </w:t>
      </w:r>
      <w:r w:rsidRPr="00BD06FB">
        <w:rPr>
          <w:rFonts w:cs="Times New Roman"/>
          <w:i/>
          <w:iCs/>
          <w:color w:val="002060"/>
          <w:lang w:val="en-US"/>
        </w:rPr>
        <w:t>2nd ed.</w:t>
      </w:r>
      <w:r w:rsidRPr="008C7198">
        <w:rPr>
          <w:rFonts w:cs="Times New Roman"/>
          <w:color w:val="002060"/>
          <w:lang w:val="en-US"/>
        </w:rPr>
        <w:t xml:space="preserve"> London: Verso.</w:t>
      </w:r>
    </w:p>
    <w:p w14:paraId="20357808" w14:textId="1E318609" w:rsidR="002012BA" w:rsidRPr="008C7198" w:rsidRDefault="002012BA" w:rsidP="002012BA">
      <w:pPr>
        <w:autoSpaceDE w:val="0"/>
        <w:autoSpaceDN w:val="0"/>
        <w:adjustRightInd w:val="0"/>
        <w:ind w:left="720" w:right="-720" w:hanging="720"/>
        <w:rPr>
          <w:rFonts w:cs="Times New Roman"/>
          <w:color w:val="002060"/>
          <w:lang w:val="en-US"/>
        </w:rPr>
      </w:pPr>
      <w:proofErr w:type="spellStart"/>
      <w:r w:rsidRPr="008C7198">
        <w:rPr>
          <w:rFonts w:cs="Times New Roman"/>
          <w:color w:val="002060"/>
          <w:lang w:val="en-US"/>
        </w:rPr>
        <w:t>Levitas</w:t>
      </w:r>
      <w:proofErr w:type="spellEnd"/>
      <w:r w:rsidRPr="008C7198">
        <w:rPr>
          <w:rFonts w:cs="Times New Roman"/>
          <w:color w:val="002060"/>
          <w:lang w:val="en-US"/>
        </w:rPr>
        <w:t xml:space="preserve">, R. (2013). </w:t>
      </w:r>
      <w:r w:rsidRPr="008C7198">
        <w:rPr>
          <w:rFonts w:cs="Times New Roman"/>
          <w:i/>
          <w:iCs/>
          <w:color w:val="002060"/>
          <w:lang w:val="en-US"/>
        </w:rPr>
        <w:t>Utopia as method: The imaginary reconstitution of society</w:t>
      </w:r>
      <w:r w:rsidRPr="008C7198">
        <w:rPr>
          <w:rFonts w:cs="Times New Roman"/>
          <w:color w:val="002060"/>
          <w:lang w:val="en-US"/>
        </w:rPr>
        <w:t>. New York: Palgrave Macmillan.</w:t>
      </w:r>
    </w:p>
    <w:p w14:paraId="1562641D" w14:textId="77777777" w:rsidR="007A6261" w:rsidRPr="008C7198" w:rsidRDefault="00BB72C9" w:rsidP="00A5548F">
      <w:pPr>
        <w:autoSpaceDE w:val="0"/>
        <w:autoSpaceDN w:val="0"/>
        <w:adjustRightInd w:val="0"/>
        <w:ind w:left="720" w:right="-720" w:hanging="720"/>
        <w:rPr>
          <w:rFonts w:cs="Garamond"/>
          <w:color w:val="002060"/>
        </w:rPr>
      </w:pPr>
      <w:r w:rsidRPr="008C7198">
        <w:rPr>
          <w:rFonts w:cs="Garamond"/>
          <w:color w:val="002060"/>
        </w:rPr>
        <w:t xml:space="preserve">Lippmann, W. (1922). </w:t>
      </w:r>
      <w:r w:rsidRPr="008C7198">
        <w:rPr>
          <w:rFonts w:cs="Garamond"/>
          <w:i/>
          <w:iCs/>
          <w:color w:val="002060"/>
        </w:rPr>
        <w:t>Public opinion</w:t>
      </w:r>
      <w:r w:rsidRPr="008C7198">
        <w:rPr>
          <w:rFonts w:cs="Garamond"/>
          <w:color w:val="002060"/>
        </w:rPr>
        <w:t>. New York: Harcourt, Brace and Co.</w:t>
      </w:r>
    </w:p>
    <w:p w14:paraId="4F996BE9" w14:textId="77777777" w:rsidR="00BB72C9" w:rsidRPr="008C7198" w:rsidRDefault="00BB72C9" w:rsidP="00A5548F">
      <w:pPr>
        <w:autoSpaceDE w:val="0"/>
        <w:autoSpaceDN w:val="0"/>
        <w:adjustRightInd w:val="0"/>
        <w:ind w:left="720" w:right="-720" w:hanging="720"/>
        <w:rPr>
          <w:rFonts w:cs="Garamond"/>
          <w:color w:val="002060"/>
        </w:rPr>
      </w:pPr>
      <w:r w:rsidRPr="008C7198">
        <w:rPr>
          <w:rFonts w:cs="Garamond"/>
          <w:color w:val="002060"/>
        </w:rPr>
        <w:t xml:space="preserve">Lippmann, W. (1925). </w:t>
      </w:r>
      <w:r w:rsidRPr="008C7198">
        <w:rPr>
          <w:rFonts w:cs="Garamond"/>
          <w:i/>
          <w:iCs/>
          <w:color w:val="002060"/>
        </w:rPr>
        <w:t>The phantom public</w:t>
      </w:r>
      <w:r w:rsidRPr="008C7198">
        <w:rPr>
          <w:rFonts w:cs="Garamond"/>
          <w:color w:val="002060"/>
        </w:rPr>
        <w:t>. New Brunswick, NJ: Transaction Publishers.</w:t>
      </w:r>
    </w:p>
    <w:p w14:paraId="48060583" w14:textId="77777777" w:rsidR="007A6261" w:rsidRPr="008C7198" w:rsidRDefault="007A6261" w:rsidP="007A6261">
      <w:pPr>
        <w:autoSpaceDE w:val="0"/>
        <w:autoSpaceDN w:val="0"/>
        <w:adjustRightInd w:val="0"/>
        <w:ind w:left="720" w:hanging="720"/>
        <w:rPr>
          <w:rFonts w:cs="Garamond"/>
          <w:color w:val="002060"/>
        </w:rPr>
      </w:pPr>
      <w:r w:rsidRPr="008C7198">
        <w:rPr>
          <w:rFonts w:cs="Garamond"/>
          <w:color w:val="002060"/>
        </w:rPr>
        <w:t xml:space="preserve">Lippmann, W. (1937). </w:t>
      </w:r>
      <w:r w:rsidRPr="008C7198">
        <w:rPr>
          <w:rFonts w:cs="Garamond"/>
          <w:i/>
          <w:iCs/>
          <w:color w:val="002060"/>
        </w:rPr>
        <w:t>The good society</w:t>
      </w:r>
      <w:r w:rsidRPr="008C7198">
        <w:rPr>
          <w:rFonts w:cs="Garamond"/>
          <w:color w:val="002060"/>
        </w:rPr>
        <w:t>. New York: Little Brown.</w:t>
      </w:r>
    </w:p>
    <w:p w14:paraId="007182BE" w14:textId="1789A4E7" w:rsidR="00A7180A" w:rsidRPr="008C7198" w:rsidRDefault="00A7180A" w:rsidP="007A6261">
      <w:pPr>
        <w:autoSpaceDE w:val="0"/>
        <w:autoSpaceDN w:val="0"/>
        <w:adjustRightInd w:val="0"/>
        <w:ind w:left="720" w:right="-720" w:hanging="720"/>
        <w:rPr>
          <w:rFonts w:cs="Garamond"/>
          <w:color w:val="002060"/>
        </w:rPr>
      </w:pPr>
      <w:r w:rsidRPr="008C7198">
        <w:rPr>
          <w:rFonts w:cs="Garamond"/>
          <w:color w:val="002060"/>
        </w:rPr>
        <w:t xml:space="preserve">Marx, K. (2000). </w:t>
      </w:r>
      <w:r w:rsidRPr="008C7198">
        <w:rPr>
          <w:rFonts w:cs="Garamond"/>
          <w:i/>
          <w:iCs/>
          <w:color w:val="002060"/>
        </w:rPr>
        <w:t>Early writings</w:t>
      </w:r>
      <w:r w:rsidRPr="008C7198">
        <w:rPr>
          <w:rFonts w:cs="Garamond"/>
          <w:color w:val="002060"/>
        </w:rPr>
        <w:t xml:space="preserve"> (New Left Review Ed.). London: Penguin.</w:t>
      </w:r>
    </w:p>
    <w:p w14:paraId="4DFEE422" w14:textId="1E1245AF" w:rsidR="002101C5" w:rsidRPr="008C7198" w:rsidRDefault="007B35E6" w:rsidP="007A6261">
      <w:pPr>
        <w:autoSpaceDE w:val="0"/>
        <w:autoSpaceDN w:val="0"/>
        <w:adjustRightInd w:val="0"/>
        <w:ind w:left="720" w:right="-720" w:hanging="720"/>
        <w:rPr>
          <w:rFonts w:cs="Times New Roman"/>
          <w:color w:val="002060"/>
          <w:lang w:val="en-US"/>
        </w:rPr>
      </w:pPr>
      <w:r w:rsidRPr="008C7198">
        <w:rPr>
          <w:rFonts w:cs="Garamond"/>
          <w:color w:val="002060"/>
          <w:lang w:val="en-AU"/>
        </w:rPr>
        <w:t xml:space="preserve">Mills, M. &amp; McGregor, G. (2014) </w:t>
      </w:r>
      <w:r w:rsidRPr="008C7198">
        <w:rPr>
          <w:rFonts w:cs="Garamond"/>
          <w:i/>
          <w:iCs/>
          <w:color w:val="002060"/>
          <w:lang w:val="en-AU"/>
        </w:rPr>
        <w:t>Re-engaging young people in education: learning from alternative schools</w:t>
      </w:r>
      <w:r w:rsidRPr="008C7198">
        <w:rPr>
          <w:rFonts w:cs="Garamond"/>
          <w:color w:val="002060"/>
          <w:lang w:val="en-AU"/>
        </w:rPr>
        <w:t>, Routledge, London.</w:t>
      </w:r>
      <w:proofErr w:type="spellStart"/>
      <w:r w:rsidR="002101C5" w:rsidRPr="008C7198">
        <w:rPr>
          <w:rFonts w:cs="Times New Roman"/>
          <w:color w:val="002060"/>
        </w:rPr>
        <w:t>Mockler</w:t>
      </w:r>
      <w:proofErr w:type="spellEnd"/>
      <w:r w:rsidR="002101C5" w:rsidRPr="008C7198">
        <w:rPr>
          <w:rFonts w:cs="Times New Roman"/>
          <w:color w:val="002060"/>
        </w:rPr>
        <w:t xml:space="preserve">, N., Hogan, A., Lingard, B., Rahimi, M., &amp; Thompson, G. (2020). Explaining Publicness:  A Typology for Understanding the Provision of Schooling in Contemporary Times. In A. Hogan &amp; G. Thompson (Eds.), </w:t>
      </w:r>
      <w:r w:rsidR="002101C5" w:rsidRPr="008C7198">
        <w:rPr>
          <w:rFonts w:cs="Times New Roman"/>
          <w:i/>
          <w:iCs/>
          <w:color w:val="002060"/>
        </w:rPr>
        <w:t>Privatisation and Commercialisation in Public Education: How the Public Nature of Schooling is Changing</w:t>
      </w:r>
      <w:r w:rsidR="002101C5" w:rsidRPr="008C7198">
        <w:rPr>
          <w:rFonts w:cs="Times New Roman"/>
          <w:color w:val="002060"/>
        </w:rPr>
        <w:t>. London: Routledge.</w:t>
      </w:r>
    </w:p>
    <w:p w14:paraId="649D5916" w14:textId="77777777" w:rsidR="008C7198" w:rsidRPr="00BD06FB" w:rsidRDefault="008C7198" w:rsidP="008C7198">
      <w:pPr>
        <w:rPr>
          <w:rFonts w:cs="Times New Roman"/>
          <w:i/>
          <w:iCs/>
          <w:color w:val="002060"/>
          <w:lang w:val="en-US"/>
        </w:rPr>
      </w:pPr>
      <w:proofErr w:type="spellStart"/>
      <w:r w:rsidRPr="008C7198">
        <w:rPr>
          <w:rFonts w:cs="Times New Roman"/>
          <w:color w:val="002060"/>
          <w:lang w:val="en-US"/>
        </w:rPr>
        <w:t>Mumby</w:t>
      </w:r>
      <w:proofErr w:type="spellEnd"/>
      <w:r w:rsidRPr="008C7198">
        <w:rPr>
          <w:rFonts w:cs="Times New Roman"/>
          <w:color w:val="002060"/>
          <w:lang w:val="en-US"/>
        </w:rPr>
        <w:t xml:space="preserve">, D. K., Thomas, R., Martí, I., &amp; </w:t>
      </w:r>
      <w:proofErr w:type="spellStart"/>
      <w:r w:rsidRPr="008C7198">
        <w:rPr>
          <w:rFonts w:cs="Times New Roman"/>
          <w:color w:val="002060"/>
          <w:lang w:val="en-US"/>
        </w:rPr>
        <w:t>Seidl</w:t>
      </w:r>
      <w:proofErr w:type="spellEnd"/>
      <w:r w:rsidRPr="008C7198">
        <w:rPr>
          <w:rFonts w:cs="Times New Roman"/>
          <w:color w:val="002060"/>
          <w:lang w:val="en-US"/>
        </w:rPr>
        <w:t xml:space="preserve">, D. (2017). </w:t>
      </w:r>
      <w:r w:rsidRPr="00BD06FB">
        <w:rPr>
          <w:rFonts w:cs="Times New Roman"/>
          <w:i/>
          <w:iCs/>
          <w:color w:val="002060"/>
          <w:lang w:val="en-US"/>
        </w:rPr>
        <w:t>Resistance Redux. Organization</w:t>
      </w:r>
    </w:p>
    <w:p w14:paraId="1A85359F" w14:textId="21FF9254" w:rsidR="008C7198" w:rsidRPr="008C7198" w:rsidRDefault="008C7198" w:rsidP="008C7198">
      <w:pPr>
        <w:ind w:firstLine="720"/>
        <w:rPr>
          <w:rFonts w:cs="Times New Roman"/>
          <w:color w:val="002060"/>
          <w:lang w:val="en-US"/>
        </w:rPr>
      </w:pPr>
      <w:r w:rsidRPr="00BD06FB">
        <w:rPr>
          <w:rFonts w:cs="Times New Roman"/>
          <w:i/>
          <w:iCs/>
          <w:color w:val="002060"/>
          <w:lang w:val="en-US"/>
        </w:rPr>
        <w:t>Studies, 38</w:t>
      </w:r>
      <w:r w:rsidRPr="008C7198">
        <w:rPr>
          <w:rFonts w:cs="Times New Roman"/>
          <w:color w:val="002060"/>
          <w:lang w:val="en-US"/>
        </w:rPr>
        <w:t xml:space="preserve">(9), 1157-1183. https://doi.org/10.1177/0170840617717554 </w:t>
      </w:r>
    </w:p>
    <w:p w14:paraId="017A2C02" w14:textId="266A1045" w:rsidR="007A6261" w:rsidRPr="008C7198" w:rsidRDefault="007A6261" w:rsidP="007A6261">
      <w:pPr>
        <w:autoSpaceDE w:val="0"/>
        <w:autoSpaceDN w:val="0"/>
        <w:adjustRightInd w:val="0"/>
        <w:ind w:left="720" w:right="-720" w:hanging="720"/>
        <w:rPr>
          <w:rFonts w:cs="Times New Roman"/>
          <w:color w:val="002060"/>
          <w:lang w:val="en-US"/>
        </w:rPr>
      </w:pPr>
      <w:r w:rsidRPr="008C7198">
        <w:rPr>
          <w:rFonts w:cs="Times New Roman"/>
          <w:color w:val="002060"/>
          <w:lang w:val="en-US"/>
        </w:rPr>
        <w:t xml:space="preserve">Negri, A, </w:t>
      </w:r>
      <w:r w:rsidR="00A7180A" w:rsidRPr="008C7198">
        <w:rPr>
          <w:rFonts w:cs="Times New Roman"/>
          <w:color w:val="002060"/>
          <w:lang w:val="en-US"/>
        </w:rPr>
        <w:t>&amp;</w:t>
      </w:r>
      <w:r w:rsidRPr="008C7198">
        <w:rPr>
          <w:rFonts w:cs="Times New Roman"/>
          <w:color w:val="002060"/>
          <w:lang w:val="en-US"/>
        </w:rPr>
        <w:t xml:space="preserve"> M Hardt. 2004. </w:t>
      </w:r>
      <w:r w:rsidRPr="008C7198">
        <w:rPr>
          <w:rFonts w:cs="Times New Roman"/>
          <w:i/>
          <w:iCs/>
          <w:color w:val="002060"/>
          <w:lang w:val="en-US"/>
        </w:rPr>
        <w:t>Multitude: War and democracy in the age of empire</w:t>
      </w:r>
      <w:r w:rsidRPr="008C7198">
        <w:rPr>
          <w:rFonts w:cs="Times New Roman"/>
          <w:color w:val="002060"/>
          <w:lang w:val="en-US"/>
        </w:rPr>
        <w:t>. London: Penguin.</w:t>
      </w:r>
    </w:p>
    <w:p w14:paraId="397D9D5A" w14:textId="34C44C4F" w:rsidR="008C7198" w:rsidRPr="008C7198" w:rsidRDefault="008C7198" w:rsidP="008C7198">
      <w:pPr>
        <w:rPr>
          <w:rFonts w:cs="Times New Roman"/>
          <w:color w:val="002060"/>
          <w:lang w:val="en-US"/>
        </w:rPr>
      </w:pPr>
      <w:r w:rsidRPr="008C7198">
        <w:rPr>
          <w:rFonts w:cs="Times New Roman"/>
          <w:color w:val="002060"/>
          <w:lang w:val="en-US"/>
        </w:rPr>
        <w:t xml:space="preserve">Piketty, T. (2020). Capital and Ideology (A. </w:t>
      </w:r>
      <w:proofErr w:type="spellStart"/>
      <w:r w:rsidRPr="008C7198">
        <w:rPr>
          <w:rFonts w:cs="Times New Roman"/>
          <w:color w:val="002060"/>
          <w:lang w:val="en-US"/>
        </w:rPr>
        <w:t>Goldhammer</w:t>
      </w:r>
      <w:proofErr w:type="spellEnd"/>
      <w:r w:rsidRPr="008C7198">
        <w:rPr>
          <w:rFonts w:cs="Times New Roman"/>
          <w:color w:val="002060"/>
          <w:lang w:val="en-US"/>
        </w:rPr>
        <w:t>, Trans.). Cambridge, MA:</w:t>
      </w:r>
      <w:r>
        <w:rPr>
          <w:rFonts w:cs="Times New Roman"/>
          <w:color w:val="002060"/>
          <w:lang w:val="en-US"/>
        </w:rPr>
        <w:t xml:space="preserve"> </w:t>
      </w:r>
      <w:r w:rsidRPr="008C7198">
        <w:rPr>
          <w:rFonts w:cs="Times New Roman"/>
          <w:color w:val="002060"/>
          <w:lang w:val="en-US"/>
        </w:rPr>
        <w:t>Harvard</w:t>
      </w:r>
    </w:p>
    <w:p w14:paraId="1DC13250" w14:textId="679425DE" w:rsidR="008C7198" w:rsidRPr="008C7198" w:rsidRDefault="008C7198" w:rsidP="008C7198">
      <w:pPr>
        <w:ind w:firstLine="720"/>
        <w:rPr>
          <w:rFonts w:cs="Times New Roman"/>
          <w:color w:val="002060"/>
          <w:lang w:val="en-US"/>
        </w:rPr>
      </w:pPr>
      <w:r w:rsidRPr="008C7198">
        <w:rPr>
          <w:rFonts w:cs="Times New Roman"/>
          <w:color w:val="002060"/>
          <w:lang w:val="en-US"/>
        </w:rPr>
        <w:t>University Press.</w:t>
      </w:r>
    </w:p>
    <w:p w14:paraId="386728DE" w14:textId="010FA0D3" w:rsidR="00A5548F" w:rsidRPr="008C7198" w:rsidRDefault="00A5548F" w:rsidP="00A5548F">
      <w:pPr>
        <w:autoSpaceDE w:val="0"/>
        <w:autoSpaceDN w:val="0"/>
        <w:adjustRightInd w:val="0"/>
        <w:ind w:left="720" w:right="-720" w:hanging="720"/>
        <w:rPr>
          <w:rFonts w:cs="Times New Roman"/>
          <w:color w:val="002060"/>
          <w:lang w:val="en-US"/>
        </w:rPr>
      </w:pPr>
      <w:proofErr w:type="spellStart"/>
      <w:r w:rsidRPr="008C7198">
        <w:rPr>
          <w:rFonts w:cs="Times New Roman"/>
          <w:color w:val="002060"/>
          <w:lang w:val="en-US"/>
        </w:rPr>
        <w:t>Rancière</w:t>
      </w:r>
      <w:proofErr w:type="spellEnd"/>
      <w:r w:rsidRPr="008C7198">
        <w:rPr>
          <w:rFonts w:cs="Times New Roman"/>
          <w:color w:val="002060"/>
          <w:lang w:val="en-US"/>
        </w:rPr>
        <w:t xml:space="preserve">, J. 1999. </w:t>
      </w:r>
      <w:r w:rsidRPr="008C7198">
        <w:rPr>
          <w:rFonts w:cs="Times New Roman"/>
          <w:i/>
          <w:iCs/>
          <w:color w:val="002060"/>
          <w:lang w:val="en-US"/>
        </w:rPr>
        <w:t>Disagreement: Politics and philosophy</w:t>
      </w:r>
      <w:r w:rsidRPr="008C7198">
        <w:rPr>
          <w:rFonts w:cs="Times New Roman"/>
          <w:color w:val="002060"/>
          <w:lang w:val="en-US"/>
        </w:rPr>
        <w:t>. Translated by J Rose. Minneapolis: University of Minnesota Press.</w:t>
      </w:r>
    </w:p>
    <w:p w14:paraId="6897AEF4" w14:textId="63186DAA" w:rsidR="00A5548F" w:rsidRPr="008C7198" w:rsidRDefault="00A5548F" w:rsidP="00A5548F">
      <w:pPr>
        <w:autoSpaceDE w:val="0"/>
        <w:autoSpaceDN w:val="0"/>
        <w:adjustRightInd w:val="0"/>
        <w:ind w:left="720" w:right="-720" w:hanging="720"/>
        <w:rPr>
          <w:rFonts w:cs="Times New Roman"/>
          <w:color w:val="002060"/>
          <w:lang w:val="en-US"/>
        </w:rPr>
      </w:pPr>
      <w:proofErr w:type="spellStart"/>
      <w:r w:rsidRPr="008C7198">
        <w:rPr>
          <w:rFonts w:cs="Times New Roman"/>
          <w:color w:val="002060"/>
          <w:lang w:val="en-US"/>
        </w:rPr>
        <w:t>Rancière</w:t>
      </w:r>
      <w:proofErr w:type="spellEnd"/>
      <w:r w:rsidRPr="008C7198">
        <w:rPr>
          <w:rFonts w:cs="Times New Roman"/>
          <w:color w:val="002060"/>
          <w:lang w:val="en-US"/>
        </w:rPr>
        <w:t xml:space="preserve">, J. 2010. </w:t>
      </w:r>
      <w:r w:rsidRPr="008C7198">
        <w:rPr>
          <w:rFonts w:cs="Times New Roman"/>
          <w:i/>
          <w:iCs/>
          <w:color w:val="002060"/>
          <w:lang w:val="en-US"/>
        </w:rPr>
        <w:t>Dissensus: On politics and aesthetics</w:t>
      </w:r>
      <w:r w:rsidRPr="008C7198">
        <w:rPr>
          <w:rFonts w:cs="Times New Roman"/>
          <w:color w:val="002060"/>
          <w:lang w:val="en-US"/>
        </w:rPr>
        <w:t>. London: Continuum.</w:t>
      </w:r>
    </w:p>
    <w:p w14:paraId="742672EE" w14:textId="77777777" w:rsidR="00AC5488" w:rsidRPr="008C7198" w:rsidRDefault="00AC5488" w:rsidP="00E038C3">
      <w:pPr>
        <w:autoSpaceDE w:val="0"/>
        <w:autoSpaceDN w:val="0"/>
        <w:adjustRightInd w:val="0"/>
        <w:ind w:left="720" w:right="-720" w:hanging="720"/>
        <w:rPr>
          <w:rFonts w:cs="Garamond"/>
          <w:color w:val="002060"/>
        </w:rPr>
      </w:pPr>
      <w:proofErr w:type="spellStart"/>
      <w:r w:rsidRPr="008C7198">
        <w:rPr>
          <w:rFonts w:cs="Garamond"/>
          <w:color w:val="002060"/>
        </w:rPr>
        <w:t>Stallybrass</w:t>
      </w:r>
      <w:proofErr w:type="spellEnd"/>
      <w:r w:rsidRPr="008C7198">
        <w:rPr>
          <w:rFonts w:cs="Garamond"/>
          <w:color w:val="002060"/>
        </w:rPr>
        <w:t xml:space="preserve">, P., &amp; White, A. (1986). </w:t>
      </w:r>
      <w:r w:rsidRPr="008C7198">
        <w:rPr>
          <w:rFonts w:cs="Garamond"/>
          <w:i/>
          <w:iCs/>
          <w:color w:val="002060"/>
        </w:rPr>
        <w:t>The politics and poetics of transgression</w:t>
      </w:r>
      <w:r w:rsidRPr="008C7198">
        <w:rPr>
          <w:rFonts w:cs="Garamond"/>
          <w:color w:val="002060"/>
        </w:rPr>
        <w:t>. Ithaca, NY: Cornell University Press.</w:t>
      </w:r>
    </w:p>
    <w:p w14:paraId="0D542A06" w14:textId="54F7839F" w:rsidR="00E9203B" w:rsidRPr="008C7198" w:rsidRDefault="00E038C3" w:rsidP="00BD06FB">
      <w:pPr>
        <w:autoSpaceDE w:val="0"/>
        <w:autoSpaceDN w:val="0"/>
        <w:adjustRightInd w:val="0"/>
        <w:ind w:left="720" w:right="-720" w:hanging="720"/>
        <w:rPr>
          <w:rFonts w:cs="Times New Roman"/>
          <w:color w:val="002060"/>
          <w:lang w:val="en-US"/>
        </w:rPr>
      </w:pPr>
      <w:proofErr w:type="spellStart"/>
      <w:r w:rsidRPr="008C7198">
        <w:rPr>
          <w:rFonts w:cs="Times New Roman"/>
          <w:color w:val="002060"/>
          <w:lang w:val="en-US"/>
        </w:rPr>
        <w:t>Virno</w:t>
      </w:r>
      <w:proofErr w:type="spellEnd"/>
      <w:r w:rsidRPr="008C7198">
        <w:rPr>
          <w:rFonts w:cs="Times New Roman"/>
          <w:color w:val="002060"/>
          <w:lang w:val="en-US"/>
        </w:rPr>
        <w:t xml:space="preserve">, P. 2003. </w:t>
      </w:r>
      <w:r w:rsidRPr="008C7198">
        <w:rPr>
          <w:rFonts w:cs="Times New Roman"/>
          <w:i/>
          <w:iCs/>
          <w:color w:val="002060"/>
          <w:lang w:val="en-US"/>
        </w:rPr>
        <w:t>A Grammar of the Multitude</w:t>
      </w:r>
      <w:r w:rsidRPr="008C7198">
        <w:rPr>
          <w:rFonts w:cs="Times New Roman"/>
          <w:color w:val="002060"/>
          <w:lang w:val="en-US"/>
        </w:rPr>
        <w:t xml:space="preserve">: </w:t>
      </w:r>
      <w:proofErr w:type="spellStart"/>
      <w:r w:rsidRPr="008C7198">
        <w:rPr>
          <w:rFonts w:cs="Times New Roman"/>
          <w:color w:val="002060"/>
          <w:lang w:val="en-US"/>
        </w:rPr>
        <w:t>Semiotext</w:t>
      </w:r>
      <w:proofErr w:type="spellEnd"/>
      <w:r w:rsidRPr="008C7198">
        <w:rPr>
          <w:rFonts w:cs="Times New Roman"/>
          <w:color w:val="002060"/>
          <w:lang w:val="en-US"/>
        </w:rPr>
        <w:t xml:space="preserve"> (e) London.</w:t>
      </w:r>
    </w:p>
    <w:sectPr w:rsidR="00E9203B" w:rsidRPr="008C7198" w:rsidSect="002E39DE">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4F300" w14:textId="77777777" w:rsidR="00D56456" w:rsidRDefault="00D56456" w:rsidP="00FC316E">
      <w:r>
        <w:separator/>
      </w:r>
    </w:p>
  </w:endnote>
  <w:endnote w:type="continuationSeparator" w:id="0">
    <w:p w14:paraId="463B4217" w14:textId="77777777" w:rsidR="00D56456" w:rsidRDefault="00D56456" w:rsidP="00FC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4493562"/>
      <w:docPartObj>
        <w:docPartGallery w:val="Page Numbers (Bottom of Page)"/>
        <w:docPartUnique/>
      </w:docPartObj>
    </w:sdtPr>
    <w:sdtEndPr>
      <w:rPr>
        <w:noProof/>
      </w:rPr>
    </w:sdtEndPr>
    <w:sdtContent>
      <w:p w14:paraId="5938098B" w14:textId="1A0A2DB1" w:rsidR="0054535E" w:rsidRDefault="0054535E">
        <w:pPr>
          <w:pStyle w:val="Footer"/>
          <w:jc w:val="right"/>
        </w:pPr>
        <w:r>
          <w:fldChar w:fldCharType="begin"/>
        </w:r>
        <w:r>
          <w:instrText xml:space="preserve"> PAGE   \* MERGEFORMAT </w:instrText>
        </w:r>
        <w:r>
          <w:fldChar w:fldCharType="separate"/>
        </w:r>
        <w:r w:rsidR="0030143B">
          <w:rPr>
            <w:noProof/>
          </w:rPr>
          <w:t>6</w:t>
        </w:r>
        <w:r>
          <w:rPr>
            <w:noProof/>
          </w:rPr>
          <w:fldChar w:fldCharType="end"/>
        </w:r>
      </w:p>
    </w:sdtContent>
  </w:sdt>
  <w:p w14:paraId="7276C5B3" w14:textId="77777777" w:rsidR="0054535E" w:rsidRDefault="0054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14AC4" w14:textId="77777777" w:rsidR="00D56456" w:rsidRDefault="00D56456" w:rsidP="00FC316E">
      <w:r>
        <w:separator/>
      </w:r>
    </w:p>
  </w:footnote>
  <w:footnote w:type="continuationSeparator" w:id="0">
    <w:p w14:paraId="527088E2" w14:textId="77777777" w:rsidR="00D56456" w:rsidRDefault="00D56456" w:rsidP="00FC316E">
      <w:r>
        <w:continuationSeparator/>
      </w:r>
    </w:p>
  </w:footnote>
  <w:footnote w:id="1">
    <w:p w14:paraId="398D1ABA" w14:textId="6E71E679" w:rsidR="00FC316E" w:rsidRDefault="00FC316E">
      <w:pPr>
        <w:pStyle w:val="FootnoteText"/>
      </w:pPr>
      <w:r>
        <w:rPr>
          <w:rStyle w:val="FootnoteReference"/>
        </w:rPr>
        <w:footnoteRef/>
      </w:r>
      <w:r>
        <w:t xml:space="preserve"> </w:t>
      </w:r>
      <w:hyperlink r:id="rId1" w:history="1">
        <w:r w:rsidRPr="001D3F20">
          <w:rPr>
            <w:rStyle w:val="Hyperlink"/>
          </w:rPr>
          <w:t>https://www.theguardian.com/world/ng-interactive/2018/nov/20/revealed-one-in-four-europeans-vote-populist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34480"/>
    <w:multiLevelType w:val="hybridMultilevel"/>
    <w:tmpl w:val="5370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03417"/>
    <w:multiLevelType w:val="hybridMultilevel"/>
    <w:tmpl w:val="3D28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E5"/>
    <w:rsid w:val="00000117"/>
    <w:rsid w:val="00006E2E"/>
    <w:rsid w:val="00014A04"/>
    <w:rsid w:val="00030ECB"/>
    <w:rsid w:val="000439CB"/>
    <w:rsid w:val="00053ED7"/>
    <w:rsid w:val="00063082"/>
    <w:rsid w:val="000700C6"/>
    <w:rsid w:val="00076AAD"/>
    <w:rsid w:val="00080744"/>
    <w:rsid w:val="00082754"/>
    <w:rsid w:val="00083901"/>
    <w:rsid w:val="00085C15"/>
    <w:rsid w:val="00092767"/>
    <w:rsid w:val="000B4B75"/>
    <w:rsid w:val="000B671F"/>
    <w:rsid w:val="000C1F07"/>
    <w:rsid w:val="000C22E3"/>
    <w:rsid w:val="000C4602"/>
    <w:rsid w:val="000D5E37"/>
    <w:rsid w:val="000D6407"/>
    <w:rsid w:val="000E15FA"/>
    <w:rsid w:val="000F30BB"/>
    <w:rsid w:val="000F67E7"/>
    <w:rsid w:val="00101393"/>
    <w:rsid w:val="001147F7"/>
    <w:rsid w:val="0011536B"/>
    <w:rsid w:val="00134804"/>
    <w:rsid w:val="00134F6C"/>
    <w:rsid w:val="001353C6"/>
    <w:rsid w:val="00146F9B"/>
    <w:rsid w:val="0015707C"/>
    <w:rsid w:val="00167986"/>
    <w:rsid w:val="001954CA"/>
    <w:rsid w:val="00197C51"/>
    <w:rsid w:val="001A3EFA"/>
    <w:rsid w:val="001A723C"/>
    <w:rsid w:val="001B06F4"/>
    <w:rsid w:val="001C2B22"/>
    <w:rsid w:val="001C3A8B"/>
    <w:rsid w:val="001C7B9F"/>
    <w:rsid w:val="001D6818"/>
    <w:rsid w:val="001E03BA"/>
    <w:rsid w:val="001F1EFD"/>
    <w:rsid w:val="001F2D02"/>
    <w:rsid w:val="002012BA"/>
    <w:rsid w:val="00202E12"/>
    <w:rsid w:val="002101C5"/>
    <w:rsid w:val="002128F4"/>
    <w:rsid w:val="00225E56"/>
    <w:rsid w:val="00227E43"/>
    <w:rsid w:val="00231540"/>
    <w:rsid w:val="00245B3F"/>
    <w:rsid w:val="00252870"/>
    <w:rsid w:val="00255EF1"/>
    <w:rsid w:val="002562D4"/>
    <w:rsid w:val="00266C72"/>
    <w:rsid w:val="002701F8"/>
    <w:rsid w:val="00276277"/>
    <w:rsid w:val="00280E0D"/>
    <w:rsid w:val="002940AA"/>
    <w:rsid w:val="00295FBF"/>
    <w:rsid w:val="00297772"/>
    <w:rsid w:val="002A38E0"/>
    <w:rsid w:val="002A7D98"/>
    <w:rsid w:val="002B7D3C"/>
    <w:rsid w:val="002E1812"/>
    <w:rsid w:val="002E2390"/>
    <w:rsid w:val="002E39DE"/>
    <w:rsid w:val="00300334"/>
    <w:rsid w:val="0030143B"/>
    <w:rsid w:val="0031568C"/>
    <w:rsid w:val="003214C4"/>
    <w:rsid w:val="00326663"/>
    <w:rsid w:val="0033196D"/>
    <w:rsid w:val="00332D1F"/>
    <w:rsid w:val="0034546F"/>
    <w:rsid w:val="00350571"/>
    <w:rsid w:val="003768F6"/>
    <w:rsid w:val="0037768A"/>
    <w:rsid w:val="00392BBD"/>
    <w:rsid w:val="003A04B3"/>
    <w:rsid w:val="003A0BF5"/>
    <w:rsid w:val="003A6D25"/>
    <w:rsid w:val="003C0E9E"/>
    <w:rsid w:val="003C1314"/>
    <w:rsid w:val="003D41D9"/>
    <w:rsid w:val="003D5081"/>
    <w:rsid w:val="003D5DF1"/>
    <w:rsid w:val="003D6672"/>
    <w:rsid w:val="003E276E"/>
    <w:rsid w:val="003E2E63"/>
    <w:rsid w:val="003F5FC6"/>
    <w:rsid w:val="0040119E"/>
    <w:rsid w:val="0040764D"/>
    <w:rsid w:val="004244C1"/>
    <w:rsid w:val="00432F9B"/>
    <w:rsid w:val="004330C5"/>
    <w:rsid w:val="0043400E"/>
    <w:rsid w:val="00440504"/>
    <w:rsid w:val="00440F02"/>
    <w:rsid w:val="0044666A"/>
    <w:rsid w:val="0044672C"/>
    <w:rsid w:val="00472FD4"/>
    <w:rsid w:val="004746E0"/>
    <w:rsid w:val="004749A0"/>
    <w:rsid w:val="00482EEE"/>
    <w:rsid w:val="00484C6E"/>
    <w:rsid w:val="004952FA"/>
    <w:rsid w:val="004A5C26"/>
    <w:rsid w:val="004A70E6"/>
    <w:rsid w:val="004B2F15"/>
    <w:rsid w:val="004D738A"/>
    <w:rsid w:val="004E3B60"/>
    <w:rsid w:val="004F2E0A"/>
    <w:rsid w:val="004F60D1"/>
    <w:rsid w:val="00506D9D"/>
    <w:rsid w:val="005122FB"/>
    <w:rsid w:val="00514D16"/>
    <w:rsid w:val="0053172D"/>
    <w:rsid w:val="0054258A"/>
    <w:rsid w:val="0054535E"/>
    <w:rsid w:val="00550EC7"/>
    <w:rsid w:val="00551EF5"/>
    <w:rsid w:val="00552F64"/>
    <w:rsid w:val="005558F8"/>
    <w:rsid w:val="005640BF"/>
    <w:rsid w:val="005741DA"/>
    <w:rsid w:val="005852AF"/>
    <w:rsid w:val="005A6507"/>
    <w:rsid w:val="005A7823"/>
    <w:rsid w:val="005C218A"/>
    <w:rsid w:val="005E63F3"/>
    <w:rsid w:val="005F71E7"/>
    <w:rsid w:val="00602FE1"/>
    <w:rsid w:val="006034E6"/>
    <w:rsid w:val="00606FC1"/>
    <w:rsid w:val="00607263"/>
    <w:rsid w:val="006236DE"/>
    <w:rsid w:val="00627202"/>
    <w:rsid w:val="006368BD"/>
    <w:rsid w:val="00642754"/>
    <w:rsid w:val="00647FCF"/>
    <w:rsid w:val="00664D93"/>
    <w:rsid w:val="00667ED8"/>
    <w:rsid w:val="00677B65"/>
    <w:rsid w:val="00680DB3"/>
    <w:rsid w:val="006920A0"/>
    <w:rsid w:val="00697730"/>
    <w:rsid w:val="006A22D6"/>
    <w:rsid w:val="006B05DB"/>
    <w:rsid w:val="006B1FC5"/>
    <w:rsid w:val="006C0DA1"/>
    <w:rsid w:val="006C47F9"/>
    <w:rsid w:val="006D5F81"/>
    <w:rsid w:val="006F1FB4"/>
    <w:rsid w:val="007056D9"/>
    <w:rsid w:val="00721C73"/>
    <w:rsid w:val="007245FC"/>
    <w:rsid w:val="0072514A"/>
    <w:rsid w:val="00725244"/>
    <w:rsid w:val="007315BE"/>
    <w:rsid w:val="0073779C"/>
    <w:rsid w:val="007404A8"/>
    <w:rsid w:val="00744C3D"/>
    <w:rsid w:val="00745C92"/>
    <w:rsid w:val="00774B5F"/>
    <w:rsid w:val="00787084"/>
    <w:rsid w:val="00787FC5"/>
    <w:rsid w:val="00790996"/>
    <w:rsid w:val="007A2F8A"/>
    <w:rsid w:val="007A3F01"/>
    <w:rsid w:val="007A6261"/>
    <w:rsid w:val="007B35E6"/>
    <w:rsid w:val="007B3F19"/>
    <w:rsid w:val="007D1D87"/>
    <w:rsid w:val="007D2F6C"/>
    <w:rsid w:val="007F5EE5"/>
    <w:rsid w:val="00816E65"/>
    <w:rsid w:val="008233B5"/>
    <w:rsid w:val="00834D3F"/>
    <w:rsid w:val="00846B13"/>
    <w:rsid w:val="00846B9D"/>
    <w:rsid w:val="0087271D"/>
    <w:rsid w:val="00874FF2"/>
    <w:rsid w:val="00875E00"/>
    <w:rsid w:val="00885197"/>
    <w:rsid w:val="00887610"/>
    <w:rsid w:val="00891083"/>
    <w:rsid w:val="00892825"/>
    <w:rsid w:val="0089715B"/>
    <w:rsid w:val="00897472"/>
    <w:rsid w:val="008A159C"/>
    <w:rsid w:val="008A743B"/>
    <w:rsid w:val="008B764B"/>
    <w:rsid w:val="008C7198"/>
    <w:rsid w:val="008D14ED"/>
    <w:rsid w:val="008D54E2"/>
    <w:rsid w:val="008D7D12"/>
    <w:rsid w:val="008E043D"/>
    <w:rsid w:val="008E0A01"/>
    <w:rsid w:val="008F0628"/>
    <w:rsid w:val="008F79CE"/>
    <w:rsid w:val="00905348"/>
    <w:rsid w:val="009164B7"/>
    <w:rsid w:val="00921B21"/>
    <w:rsid w:val="00921E5F"/>
    <w:rsid w:val="009268B8"/>
    <w:rsid w:val="00934717"/>
    <w:rsid w:val="00937C7C"/>
    <w:rsid w:val="0094600C"/>
    <w:rsid w:val="009574FC"/>
    <w:rsid w:val="009648B2"/>
    <w:rsid w:val="00964C06"/>
    <w:rsid w:val="00972278"/>
    <w:rsid w:val="00990F69"/>
    <w:rsid w:val="00994252"/>
    <w:rsid w:val="009A218E"/>
    <w:rsid w:val="009B5335"/>
    <w:rsid w:val="009C1A18"/>
    <w:rsid w:val="009D504E"/>
    <w:rsid w:val="009E35FA"/>
    <w:rsid w:val="009F0EEF"/>
    <w:rsid w:val="009F2D9D"/>
    <w:rsid w:val="00A02661"/>
    <w:rsid w:val="00A22595"/>
    <w:rsid w:val="00A228D4"/>
    <w:rsid w:val="00A23F27"/>
    <w:rsid w:val="00A306DF"/>
    <w:rsid w:val="00A3278B"/>
    <w:rsid w:val="00A41D59"/>
    <w:rsid w:val="00A5246B"/>
    <w:rsid w:val="00A5309A"/>
    <w:rsid w:val="00A5548F"/>
    <w:rsid w:val="00A64529"/>
    <w:rsid w:val="00A67372"/>
    <w:rsid w:val="00A7180A"/>
    <w:rsid w:val="00A75950"/>
    <w:rsid w:val="00A8395A"/>
    <w:rsid w:val="00A83B2C"/>
    <w:rsid w:val="00A84165"/>
    <w:rsid w:val="00A92704"/>
    <w:rsid w:val="00AA3B3C"/>
    <w:rsid w:val="00AA590C"/>
    <w:rsid w:val="00AB363B"/>
    <w:rsid w:val="00AC5488"/>
    <w:rsid w:val="00AC575F"/>
    <w:rsid w:val="00AC5B5E"/>
    <w:rsid w:val="00AD4919"/>
    <w:rsid w:val="00AE268B"/>
    <w:rsid w:val="00AE5D3F"/>
    <w:rsid w:val="00AF2084"/>
    <w:rsid w:val="00AF26E8"/>
    <w:rsid w:val="00B0153F"/>
    <w:rsid w:val="00B01C6E"/>
    <w:rsid w:val="00B02360"/>
    <w:rsid w:val="00B036CB"/>
    <w:rsid w:val="00B0387A"/>
    <w:rsid w:val="00B107F2"/>
    <w:rsid w:val="00B13742"/>
    <w:rsid w:val="00B15D2C"/>
    <w:rsid w:val="00B20C54"/>
    <w:rsid w:val="00B2459F"/>
    <w:rsid w:val="00B344A1"/>
    <w:rsid w:val="00B3620E"/>
    <w:rsid w:val="00B40253"/>
    <w:rsid w:val="00B40420"/>
    <w:rsid w:val="00B40CE5"/>
    <w:rsid w:val="00B82F03"/>
    <w:rsid w:val="00B84374"/>
    <w:rsid w:val="00B91B72"/>
    <w:rsid w:val="00B92C74"/>
    <w:rsid w:val="00BA2EF7"/>
    <w:rsid w:val="00BA6871"/>
    <w:rsid w:val="00BB29D5"/>
    <w:rsid w:val="00BB2AC6"/>
    <w:rsid w:val="00BB72C9"/>
    <w:rsid w:val="00BC0258"/>
    <w:rsid w:val="00BC5C8E"/>
    <w:rsid w:val="00BC6501"/>
    <w:rsid w:val="00BD06FB"/>
    <w:rsid w:val="00BE4F79"/>
    <w:rsid w:val="00C040D2"/>
    <w:rsid w:val="00C1524C"/>
    <w:rsid w:val="00C20B05"/>
    <w:rsid w:val="00C4293F"/>
    <w:rsid w:val="00C62892"/>
    <w:rsid w:val="00C710AB"/>
    <w:rsid w:val="00C772DF"/>
    <w:rsid w:val="00C85AD6"/>
    <w:rsid w:val="00CA2761"/>
    <w:rsid w:val="00CA6027"/>
    <w:rsid w:val="00CA6E22"/>
    <w:rsid w:val="00CA7BD9"/>
    <w:rsid w:val="00CB09BA"/>
    <w:rsid w:val="00CD5C93"/>
    <w:rsid w:val="00CD612D"/>
    <w:rsid w:val="00CD689B"/>
    <w:rsid w:val="00CE014C"/>
    <w:rsid w:val="00CE5282"/>
    <w:rsid w:val="00CF0DA6"/>
    <w:rsid w:val="00CF6769"/>
    <w:rsid w:val="00CF6DAA"/>
    <w:rsid w:val="00D04B38"/>
    <w:rsid w:val="00D07392"/>
    <w:rsid w:val="00D16190"/>
    <w:rsid w:val="00D3280B"/>
    <w:rsid w:val="00D46B52"/>
    <w:rsid w:val="00D5299E"/>
    <w:rsid w:val="00D55B5F"/>
    <w:rsid w:val="00D56456"/>
    <w:rsid w:val="00D6055D"/>
    <w:rsid w:val="00D671B5"/>
    <w:rsid w:val="00D7167E"/>
    <w:rsid w:val="00D8022E"/>
    <w:rsid w:val="00D8570D"/>
    <w:rsid w:val="00D94816"/>
    <w:rsid w:val="00D97D7D"/>
    <w:rsid w:val="00DB6A58"/>
    <w:rsid w:val="00DC5091"/>
    <w:rsid w:val="00DD45A4"/>
    <w:rsid w:val="00DE5E22"/>
    <w:rsid w:val="00DF030A"/>
    <w:rsid w:val="00DF19E3"/>
    <w:rsid w:val="00DF2E42"/>
    <w:rsid w:val="00E01D81"/>
    <w:rsid w:val="00E038C3"/>
    <w:rsid w:val="00E1376A"/>
    <w:rsid w:val="00E2045A"/>
    <w:rsid w:val="00E206C8"/>
    <w:rsid w:val="00E208EF"/>
    <w:rsid w:val="00E316FD"/>
    <w:rsid w:val="00E44455"/>
    <w:rsid w:val="00E67968"/>
    <w:rsid w:val="00E83BA4"/>
    <w:rsid w:val="00E9203B"/>
    <w:rsid w:val="00E923F6"/>
    <w:rsid w:val="00E926E1"/>
    <w:rsid w:val="00EB0248"/>
    <w:rsid w:val="00EB5C65"/>
    <w:rsid w:val="00EC561F"/>
    <w:rsid w:val="00EF0394"/>
    <w:rsid w:val="00EF7064"/>
    <w:rsid w:val="00EF78CE"/>
    <w:rsid w:val="00F1561A"/>
    <w:rsid w:val="00F16067"/>
    <w:rsid w:val="00F251D0"/>
    <w:rsid w:val="00F25F03"/>
    <w:rsid w:val="00F27ED4"/>
    <w:rsid w:val="00F3423A"/>
    <w:rsid w:val="00F54025"/>
    <w:rsid w:val="00F57B15"/>
    <w:rsid w:val="00F645EC"/>
    <w:rsid w:val="00F65B94"/>
    <w:rsid w:val="00F90658"/>
    <w:rsid w:val="00F93207"/>
    <w:rsid w:val="00F9577B"/>
    <w:rsid w:val="00F96ECB"/>
    <w:rsid w:val="00FB67F9"/>
    <w:rsid w:val="00FB70CA"/>
    <w:rsid w:val="00FB7862"/>
    <w:rsid w:val="00FC316E"/>
    <w:rsid w:val="00FE220A"/>
    <w:rsid w:val="00FE43F0"/>
    <w:rsid w:val="00FE4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E85F1"/>
  <w14:defaultImageDpi w14:val="32767"/>
  <w15:docId w15:val="{7F8AA61E-4BDF-014B-9E8F-806B94EC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Helvetica"/>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2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6277"/>
    <w:rPr>
      <w:rFonts w:ascii="Times New Roman" w:hAnsi="Times New Roman" w:cs="Times New Roman"/>
      <w:sz w:val="18"/>
      <w:szCs w:val="18"/>
    </w:rPr>
  </w:style>
  <w:style w:type="paragraph" w:customStyle="1" w:styleId="Style1">
    <w:name w:val="Style1"/>
    <w:basedOn w:val="Normal"/>
    <w:qFormat/>
    <w:rsid w:val="000C22E3"/>
  </w:style>
  <w:style w:type="paragraph" w:styleId="ListParagraph">
    <w:name w:val="List Paragraph"/>
    <w:basedOn w:val="Normal"/>
    <w:uiPriority w:val="34"/>
    <w:qFormat/>
    <w:rsid w:val="00134F6C"/>
    <w:pPr>
      <w:ind w:left="720"/>
      <w:contextualSpacing/>
    </w:pPr>
  </w:style>
  <w:style w:type="character" w:styleId="Hyperlink">
    <w:name w:val="Hyperlink"/>
    <w:basedOn w:val="DefaultParagraphFont"/>
    <w:uiPriority w:val="99"/>
    <w:unhideWhenUsed/>
    <w:rsid w:val="00CA7BD9"/>
    <w:rPr>
      <w:color w:val="0000FF"/>
      <w:u w:val="single"/>
    </w:rPr>
  </w:style>
  <w:style w:type="paragraph" w:styleId="EndnoteText">
    <w:name w:val="endnote text"/>
    <w:basedOn w:val="Normal"/>
    <w:link w:val="EndnoteTextChar"/>
    <w:uiPriority w:val="99"/>
    <w:semiHidden/>
    <w:unhideWhenUsed/>
    <w:rsid w:val="00FC316E"/>
    <w:rPr>
      <w:sz w:val="20"/>
      <w:szCs w:val="20"/>
    </w:rPr>
  </w:style>
  <w:style w:type="character" w:customStyle="1" w:styleId="EndnoteTextChar">
    <w:name w:val="Endnote Text Char"/>
    <w:basedOn w:val="DefaultParagraphFont"/>
    <w:link w:val="EndnoteText"/>
    <w:uiPriority w:val="99"/>
    <w:semiHidden/>
    <w:rsid w:val="00FC316E"/>
    <w:rPr>
      <w:sz w:val="20"/>
      <w:szCs w:val="20"/>
    </w:rPr>
  </w:style>
  <w:style w:type="character" w:styleId="EndnoteReference">
    <w:name w:val="endnote reference"/>
    <w:basedOn w:val="DefaultParagraphFont"/>
    <w:uiPriority w:val="99"/>
    <w:semiHidden/>
    <w:unhideWhenUsed/>
    <w:rsid w:val="00FC316E"/>
    <w:rPr>
      <w:vertAlign w:val="superscript"/>
    </w:rPr>
  </w:style>
  <w:style w:type="paragraph" w:styleId="FootnoteText">
    <w:name w:val="footnote text"/>
    <w:basedOn w:val="Normal"/>
    <w:link w:val="FootnoteTextChar"/>
    <w:uiPriority w:val="99"/>
    <w:unhideWhenUsed/>
    <w:rsid w:val="00FC316E"/>
    <w:rPr>
      <w:sz w:val="20"/>
      <w:szCs w:val="20"/>
    </w:rPr>
  </w:style>
  <w:style w:type="character" w:customStyle="1" w:styleId="FootnoteTextChar">
    <w:name w:val="Footnote Text Char"/>
    <w:basedOn w:val="DefaultParagraphFont"/>
    <w:link w:val="FootnoteText"/>
    <w:uiPriority w:val="99"/>
    <w:qFormat/>
    <w:rsid w:val="00FC316E"/>
    <w:rPr>
      <w:sz w:val="20"/>
      <w:szCs w:val="20"/>
    </w:rPr>
  </w:style>
  <w:style w:type="character" w:styleId="FootnoteReference">
    <w:name w:val="footnote reference"/>
    <w:basedOn w:val="DefaultParagraphFont"/>
    <w:uiPriority w:val="99"/>
    <w:semiHidden/>
    <w:unhideWhenUsed/>
    <w:rsid w:val="00FC316E"/>
    <w:rPr>
      <w:vertAlign w:val="superscript"/>
    </w:rPr>
  </w:style>
  <w:style w:type="paragraph" w:customStyle="1" w:styleId="Standardmedindrag">
    <w:name w:val="Standard med indrag"/>
    <w:basedOn w:val="Normal"/>
    <w:rsid w:val="0054535E"/>
    <w:pPr>
      <w:spacing w:before="240" w:after="240" w:line="260" w:lineRule="exact"/>
      <w:ind w:firstLine="255"/>
      <w:jc w:val="both"/>
    </w:pPr>
    <w:rPr>
      <w:rFonts w:ascii="Times New Roman" w:eastAsia="Times New Roman" w:hAnsi="Times New Roman" w:cs="Times New Roman"/>
      <w:sz w:val="22"/>
      <w:szCs w:val="22"/>
      <w:lang w:eastAsia="sv-SE"/>
    </w:rPr>
  </w:style>
  <w:style w:type="paragraph" w:customStyle="1" w:styleId="References">
    <w:name w:val="References"/>
    <w:basedOn w:val="Normal"/>
    <w:next w:val="Normal"/>
    <w:uiPriority w:val="99"/>
    <w:rsid w:val="0054535E"/>
    <w:pPr>
      <w:ind w:left="720" w:hanging="720"/>
    </w:pPr>
    <w:rPr>
      <w:rFonts w:ascii="Times New Roman" w:eastAsia="Times New Roman" w:hAnsi="Times New Roman" w:cs="Times New Roman"/>
      <w:lang w:eastAsia="en-GB"/>
    </w:rPr>
  </w:style>
  <w:style w:type="paragraph" w:customStyle="1" w:styleId="paragraph">
    <w:name w:val="paragraph"/>
    <w:basedOn w:val="Normal"/>
    <w:rsid w:val="0054535E"/>
    <w:pPr>
      <w:spacing w:before="100" w:beforeAutospacing="1" w:after="100" w:afterAutospacing="1"/>
    </w:pPr>
    <w:rPr>
      <w:rFonts w:ascii="Times New Roman" w:eastAsia="Times New Roman" w:hAnsi="Times New Roman" w:cs="Times New Roman"/>
      <w:lang w:val="es-ES" w:eastAsia="es-ES"/>
    </w:rPr>
  </w:style>
  <w:style w:type="character" w:customStyle="1" w:styleId="normaltextrun">
    <w:name w:val="normaltextrun"/>
    <w:basedOn w:val="DefaultParagraphFont"/>
    <w:rsid w:val="0054535E"/>
  </w:style>
  <w:style w:type="character" w:customStyle="1" w:styleId="apple-converted-space">
    <w:name w:val="apple-converted-space"/>
    <w:basedOn w:val="DefaultParagraphFont"/>
    <w:rsid w:val="0054535E"/>
  </w:style>
  <w:style w:type="character" w:customStyle="1" w:styleId="eop">
    <w:name w:val="eop"/>
    <w:basedOn w:val="DefaultParagraphFont"/>
    <w:rsid w:val="0054535E"/>
  </w:style>
  <w:style w:type="paragraph" w:customStyle="1" w:styleId="EndNoteBibliography">
    <w:name w:val="EndNote Bibliography"/>
    <w:basedOn w:val="Normal"/>
    <w:link w:val="EndNoteBibliographyChar"/>
    <w:rsid w:val="0054535E"/>
    <w:pPr>
      <w:spacing w:after="160"/>
    </w:pPr>
    <w:rPr>
      <w:rFonts w:ascii="Calibri" w:hAnsi="Calibri" w:cs="Calibri"/>
      <w:sz w:val="22"/>
      <w:szCs w:val="22"/>
      <w:lang w:val="en-US"/>
    </w:rPr>
  </w:style>
  <w:style w:type="character" w:customStyle="1" w:styleId="EndNoteBibliographyChar">
    <w:name w:val="EndNote Bibliography Char"/>
    <w:basedOn w:val="DefaultParagraphFont"/>
    <w:link w:val="EndNoteBibliography"/>
    <w:rsid w:val="0054535E"/>
    <w:rPr>
      <w:rFonts w:ascii="Calibri" w:hAnsi="Calibri" w:cs="Calibri"/>
      <w:sz w:val="22"/>
      <w:szCs w:val="22"/>
      <w:lang w:val="en-US"/>
    </w:rPr>
  </w:style>
  <w:style w:type="paragraph" w:styleId="Header">
    <w:name w:val="header"/>
    <w:basedOn w:val="Normal"/>
    <w:link w:val="HeaderChar"/>
    <w:uiPriority w:val="99"/>
    <w:unhideWhenUsed/>
    <w:rsid w:val="0054535E"/>
    <w:pPr>
      <w:tabs>
        <w:tab w:val="center" w:pos="4513"/>
        <w:tab w:val="right" w:pos="9026"/>
      </w:tabs>
    </w:pPr>
  </w:style>
  <w:style w:type="character" w:customStyle="1" w:styleId="HeaderChar">
    <w:name w:val="Header Char"/>
    <w:basedOn w:val="DefaultParagraphFont"/>
    <w:link w:val="Header"/>
    <w:uiPriority w:val="99"/>
    <w:rsid w:val="0054535E"/>
  </w:style>
  <w:style w:type="paragraph" w:styleId="Footer">
    <w:name w:val="footer"/>
    <w:basedOn w:val="Normal"/>
    <w:link w:val="FooterChar"/>
    <w:uiPriority w:val="99"/>
    <w:unhideWhenUsed/>
    <w:rsid w:val="0054535E"/>
    <w:pPr>
      <w:tabs>
        <w:tab w:val="center" w:pos="4513"/>
        <w:tab w:val="right" w:pos="9026"/>
      </w:tabs>
    </w:pPr>
  </w:style>
  <w:style w:type="character" w:customStyle="1" w:styleId="FooterChar">
    <w:name w:val="Footer Char"/>
    <w:basedOn w:val="DefaultParagraphFont"/>
    <w:link w:val="Footer"/>
    <w:uiPriority w:val="99"/>
    <w:rsid w:val="0054535E"/>
  </w:style>
  <w:style w:type="character" w:customStyle="1" w:styleId="Zakotwiczenieprzypisudolnego">
    <w:name w:val="Zakotwiczenie przypisu dolnego"/>
    <w:rsid w:val="0053172D"/>
    <w:rPr>
      <w:vertAlign w:val="superscript"/>
    </w:rPr>
  </w:style>
  <w:style w:type="character" w:customStyle="1" w:styleId="Znakiprzypiswdolnych">
    <w:name w:val="Znaki przypisów dolnych"/>
    <w:qFormat/>
    <w:rsid w:val="0053172D"/>
  </w:style>
  <w:style w:type="paragraph" w:styleId="HTMLPreformatted">
    <w:name w:val="HTML Preformatted"/>
    <w:basedOn w:val="Normal"/>
    <w:link w:val="HTMLPreformattedChar"/>
    <w:uiPriority w:val="99"/>
    <w:unhideWhenUsed/>
    <w:qFormat/>
    <w:rsid w:val="0053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eastAsia="pl-PL"/>
    </w:rPr>
  </w:style>
  <w:style w:type="character" w:customStyle="1" w:styleId="HTMLPreformattedChar">
    <w:name w:val="HTML Preformatted Char"/>
    <w:basedOn w:val="DefaultParagraphFont"/>
    <w:link w:val="HTMLPreformatted"/>
    <w:uiPriority w:val="99"/>
    <w:rsid w:val="0053172D"/>
    <w:rPr>
      <w:rFonts w:ascii="Courier New" w:eastAsia="Times New Roman" w:hAnsi="Courier New" w:cs="Courier New"/>
      <w:sz w:val="20"/>
      <w:szCs w:val="20"/>
      <w:lang w:val="pl-PL" w:eastAsia="pl-PL"/>
    </w:rPr>
  </w:style>
  <w:style w:type="character" w:styleId="FollowedHyperlink">
    <w:name w:val="FollowedHyperlink"/>
    <w:basedOn w:val="DefaultParagraphFont"/>
    <w:uiPriority w:val="99"/>
    <w:semiHidden/>
    <w:unhideWhenUsed/>
    <w:rsid w:val="00CA2761"/>
    <w:rPr>
      <w:color w:val="954F72" w:themeColor="followedHyperlink"/>
      <w:u w:val="single"/>
    </w:rPr>
  </w:style>
  <w:style w:type="paragraph" w:customStyle="1" w:styleId="Standard">
    <w:name w:val="Standard"/>
    <w:rsid w:val="00B036CB"/>
    <w:pPr>
      <w:suppressAutoHyphens/>
      <w:autoSpaceDN w:val="0"/>
      <w:textAlignment w:val="baseline"/>
    </w:pPr>
    <w:rPr>
      <w:rFonts w:ascii="Times New Roman" w:eastAsia="Times New Roman" w:hAnsi="Times New Roman" w:cs="Times New Roman"/>
      <w:kern w:val="3"/>
      <w:sz w:val="20"/>
      <w:szCs w:val="20"/>
      <w:lang w:val="pl-PL" w:eastAsia="zh-CN" w:bidi="hi-IN"/>
    </w:rPr>
  </w:style>
  <w:style w:type="character" w:styleId="UnresolvedMention">
    <w:name w:val="Unresolved Mention"/>
    <w:basedOn w:val="DefaultParagraphFont"/>
    <w:uiPriority w:val="99"/>
    <w:semiHidden/>
    <w:unhideWhenUsed/>
    <w:rsid w:val="00CE014C"/>
    <w:rPr>
      <w:color w:val="605E5C"/>
      <w:shd w:val="clear" w:color="auto" w:fill="E1DFDD"/>
    </w:rPr>
  </w:style>
  <w:style w:type="paragraph" w:styleId="NormalWeb">
    <w:name w:val="Normal (Web)"/>
    <w:basedOn w:val="Normal"/>
    <w:uiPriority w:val="99"/>
    <w:semiHidden/>
    <w:unhideWhenUsed/>
    <w:rsid w:val="00CE014C"/>
    <w:pPr>
      <w:spacing w:before="100" w:beforeAutospacing="1" w:after="100" w:afterAutospacing="1"/>
    </w:pPr>
    <w:rPr>
      <w:rFonts w:ascii="Times New Roman" w:eastAsia="Times New Roman" w:hAnsi="Times New Roman" w:cs="Times New Roman"/>
      <w:lang w:val="en-AU" w:eastAsia="en-GB"/>
    </w:rPr>
  </w:style>
  <w:style w:type="paragraph" w:customStyle="1" w:styleId="NormalCambria">
    <w:name w:val="Normal Cambria"/>
    <w:basedOn w:val="Normal"/>
    <w:uiPriority w:val="4"/>
    <w:qFormat/>
    <w:rsid w:val="007A2F8A"/>
    <w:pPr>
      <w:spacing w:before="60" w:after="200" w:line="312" w:lineRule="auto"/>
    </w:pPr>
    <w:rPr>
      <w:rFonts w:ascii="Cambria" w:hAnsi="Cambria" w:cstheme="minorBidi"/>
      <w:color w:val="000000" w:themeColor="text1"/>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42062">
      <w:bodyDiv w:val="1"/>
      <w:marLeft w:val="0"/>
      <w:marRight w:val="0"/>
      <w:marTop w:val="0"/>
      <w:marBottom w:val="0"/>
      <w:divBdr>
        <w:top w:val="none" w:sz="0" w:space="0" w:color="auto"/>
        <w:left w:val="none" w:sz="0" w:space="0" w:color="auto"/>
        <w:bottom w:val="none" w:sz="0" w:space="0" w:color="auto"/>
        <w:right w:val="none" w:sz="0" w:space="0" w:color="auto"/>
      </w:divBdr>
    </w:div>
    <w:div w:id="489753368">
      <w:bodyDiv w:val="1"/>
      <w:marLeft w:val="0"/>
      <w:marRight w:val="0"/>
      <w:marTop w:val="0"/>
      <w:marBottom w:val="0"/>
      <w:divBdr>
        <w:top w:val="none" w:sz="0" w:space="0" w:color="auto"/>
        <w:left w:val="none" w:sz="0" w:space="0" w:color="auto"/>
        <w:bottom w:val="none" w:sz="0" w:space="0" w:color="auto"/>
        <w:right w:val="none" w:sz="0" w:space="0" w:color="auto"/>
      </w:divBdr>
    </w:div>
    <w:div w:id="715545424">
      <w:bodyDiv w:val="1"/>
      <w:marLeft w:val="0"/>
      <w:marRight w:val="0"/>
      <w:marTop w:val="0"/>
      <w:marBottom w:val="0"/>
      <w:divBdr>
        <w:top w:val="none" w:sz="0" w:space="0" w:color="auto"/>
        <w:left w:val="none" w:sz="0" w:space="0" w:color="auto"/>
        <w:bottom w:val="none" w:sz="0" w:space="0" w:color="auto"/>
        <w:right w:val="none" w:sz="0" w:space="0" w:color="auto"/>
      </w:divBdr>
    </w:div>
    <w:div w:id="1339427353">
      <w:bodyDiv w:val="1"/>
      <w:marLeft w:val="0"/>
      <w:marRight w:val="0"/>
      <w:marTop w:val="0"/>
      <w:marBottom w:val="0"/>
      <w:divBdr>
        <w:top w:val="none" w:sz="0" w:space="0" w:color="auto"/>
        <w:left w:val="none" w:sz="0" w:space="0" w:color="auto"/>
        <w:bottom w:val="none" w:sz="0" w:space="0" w:color="auto"/>
        <w:right w:val="none" w:sz="0" w:space="0" w:color="auto"/>
      </w:divBdr>
    </w:div>
    <w:div w:id="1391612216">
      <w:bodyDiv w:val="1"/>
      <w:marLeft w:val="0"/>
      <w:marRight w:val="0"/>
      <w:marTop w:val="0"/>
      <w:marBottom w:val="0"/>
      <w:divBdr>
        <w:top w:val="none" w:sz="0" w:space="0" w:color="auto"/>
        <w:left w:val="none" w:sz="0" w:space="0" w:color="auto"/>
        <w:bottom w:val="none" w:sz="0" w:space="0" w:color="auto"/>
        <w:right w:val="none" w:sz="0" w:space="0" w:color="auto"/>
      </w:divBdr>
    </w:div>
    <w:div w:id="1881897638">
      <w:bodyDiv w:val="1"/>
      <w:marLeft w:val="0"/>
      <w:marRight w:val="0"/>
      <w:marTop w:val="0"/>
      <w:marBottom w:val="0"/>
      <w:divBdr>
        <w:top w:val="none" w:sz="0" w:space="0" w:color="auto"/>
        <w:left w:val="none" w:sz="0" w:space="0" w:color="auto"/>
        <w:bottom w:val="none" w:sz="0" w:space="0" w:color="auto"/>
        <w:right w:val="none" w:sz="0" w:space="0" w:color="auto"/>
      </w:divBdr>
    </w:div>
    <w:div w:id="203595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larke@yorksj.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ndex.php?title=Great_Community&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lo.singh@griffith.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cole.mockler@sydney.edu.au" TargetMode="External"/><Relationship Id="rId4" Type="http://schemas.openxmlformats.org/officeDocument/2006/relationships/settings" Target="settings.xml"/><Relationship Id="rId9" Type="http://schemas.openxmlformats.org/officeDocument/2006/relationships/hyperlink" Target="mailto:m.mills@ucl.ac.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world/ng-interactive/2018/nov/20/revealed-one-in-four-europeans-vote-popu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6119C-F6C3-A745-A47D-F245C99D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5124</Words>
  <Characters>29207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Clarke</dc:creator>
  <cp:lastModifiedBy>Reviewer</cp:lastModifiedBy>
  <cp:revision>2</cp:revision>
  <cp:lastPrinted>2018-11-26T11:55:00Z</cp:lastPrinted>
  <dcterms:created xsi:type="dcterms:W3CDTF">2021-05-12T14:03:00Z</dcterms:created>
  <dcterms:modified xsi:type="dcterms:W3CDTF">2021-05-12T14:03:00Z</dcterms:modified>
</cp:coreProperties>
</file>