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38F9" w14:textId="48073913" w:rsidR="00E514BC" w:rsidRDefault="00E514BC" w:rsidP="00E514BC">
      <w:pPr>
        <w:pStyle w:val="Body1"/>
        <w:spacing w:before="12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101 Coaching Supervision Techniques, Approaches, Enquiries and Experiments Edited by Michelle Lucas, Routledge, 2020, 362, </w:t>
      </w:r>
      <w:r w:rsidRPr="00E514BC">
        <w:rPr>
          <w:rFonts w:cs="Arial"/>
          <w:b/>
          <w:szCs w:val="22"/>
        </w:rPr>
        <w:t>ISBN 9780367481148 (hardback) | ISBN 9780367481155 (paperback) | ISBN 9781003038061 (</w:t>
      </w:r>
      <w:proofErr w:type="spellStart"/>
      <w:r w:rsidRPr="00E514BC">
        <w:rPr>
          <w:rFonts w:cs="Arial"/>
          <w:b/>
          <w:szCs w:val="22"/>
        </w:rPr>
        <w:t>ebook</w:t>
      </w:r>
      <w:proofErr w:type="spellEnd"/>
      <w:r w:rsidRPr="00E514BC">
        <w:rPr>
          <w:rFonts w:cs="Arial"/>
          <w:b/>
          <w:szCs w:val="22"/>
        </w:rPr>
        <w:t xml:space="preserve">) </w:t>
      </w:r>
    </w:p>
    <w:p w14:paraId="3E4AF3E1" w14:textId="77777777" w:rsidR="00E514BC" w:rsidRPr="00114FA4" w:rsidRDefault="00E514BC" w:rsidP="00114FA4">
      <w:pPr>
        <w:rPr>
          <w:rFonts w:cs="Arial"/>
          <w:szCs w:val="22"/>
        </w:rPr>
      </w:pPr>
    </w:p>
    <w:p w14:paraId="208F8E18" w14:textId="46500A9B" w:rsidR="00E514BC" w:rsidRDefault="00E514BC" w:rsidP="00114FA4">
      <w:pPr>
        <w:pStyle w:val="Body1"/>
        <w:jc w:val="left"/>
        <w:rPr>
          <w:rFonts w:cs="Arial"/>
          <w:szCs w:val="22"/>
        </w:rPr>
      </w:pPr>
      <w:r>
        <w:rPr>
          <w:rFonts w:cs="Arial"/>
          <w:szCs w:val="22"/>
        </w:rPr>
        <w:t>Dr Sarah Crabbe</w:t>
      </w:r>
      <w:r w:rsidR="009048E2">
        <w:rPr>
          <w:rFonts w:cs="Arial"/>
          <w:szCs w:val="22"/>
        </w:rPr>
        <w:t>, York St John University,</w:t>
      </w:r>
      <w:r>
        <w:rPr>
          <w:rFonts w:cs="Arial"/>
          <w:szCs w:val="22"/>
        </w:rPr>
        <w:t xml:space="preserve"> email:</w:t>
      </w:r>
      <w:r w:rsidR="00AD19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s.crabbe@yorksj.ac.uk, Phone: </w:t>
      </w:r>
      <w:proofErr w:type="gramStart"/>
      <w:r>
        <w:rPr>
          <w:rFonts w:cs="Arial"/>
          <w:szCs w:val="22"/>
        </w:rPr>
        <w:t>01904</w:t>
      </w:r>
      <w:r w:rsidR="009048E2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876259</w:t>
      </w:r>
      <w:proofErr w:type="gramEnd"/>
      <w:r>
        <w:rPr>
          <w:rFonts w:cs="Arial"/>
          <w:szCs w:val="22"/>
        </w:rPr>
        <w:t xml:space="preserve"> (currently redirected to home phone).</w:t>
      </w:r>
    </w:p>
    <w:p w14:paraId="21A3BC63" w14:textId="217EEF85" w:rsidR="00114FA4" w:rsidRDefault="00114FA4" w:rsidP="00114FA4">
      <w:pPr>
        <w:pStyle w:val="Body1"/>
        <w:jc w:val="left"/>
        <w:rPr>
          <w:rFonts w:cs="Arial"/>
          <w:szCs w:val="22"/>
        </w:rPr>
      </w:pPr>
    </w:p>
    <w:p w14:paraId="184A1496" w14:textId="17FEF625" w:rsidR="00C05794" w:rsidRDefault="00891451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The book is, as it explains quite clearly in the title, a presentation of a large number of techniques that can be used in coaching supervision, each one showcased and explained by a practitioner in the field. </w:t>
      </w:r>
      <w:r w:rsidR="00C0579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It is a 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“</w:t>
      </w:r>
      <w:r w:rsidR="00C0579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How to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”</w:t>
      </w:r>
      <w:r w:rsidR="00C0579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book but with the splendid addition of clear and simple explanations of a range of philosophies that underpin the techniques. The many contributions have been carefully managed by the editor to present a cohesive book that nonetheless retains the different voices that contributed, and this keeps it light and engaging. There is a refreshing lack of jargon and the text is very readable.</w:t>
      </w:r>
    </w:p>
    <w:p w14:paraId="1660DE01" w14:textId="4206B30B" w:rsidR="00E514BC" w:rsidRDefault="00745D7F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The for</w:t>
      </w:r>
      <w:r w:rsidR="009048E2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e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w</w:t>
      </w:r>
      <w:r w:rsidR="009048E2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o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rd and introduction explain the aims and ideas behind the book and include important information about the way the book is organised and how to use it.</w:t>
      </w:r>
      <w:r w:rsidR="00C0579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</w:p>
    <w:p w14:paraId="341EA8D3" w14:textId="3CB16F19" w:rsidR="00C05794" w:rsidRDefault="00C05794" w:rsidP="4F7A539F">
      <w:pPr>
        <w:suppressAutoHyphens/>
        <w:autoSpaceDE w:val="0"/>
        <w:spacing w:after="200" w:line="276" w:lineRule="auto"/>
        <w:rPr>
          <w:rFonts w:eastAsia="Palatino-Roman" w:cs="Arial"/>
          <w:color w:val="000000"/>
          <w:kern w:val="2"/>
          <w:lang w:val="en-GB" w:eastAsia="ar-SA"/>
        </w:rPr>
      </w:pPr>
      <w:r w:rsidRPr="4F7A539F">
        <w:rPr>
          <w:rFonts w:eastAsia="Palatino-Roman" w:cs="Arial"/>
          <w:color w:val="000000"/>
          <w:kern w:val="2"/>
          <w:lang w:val="en-GB" w:eastAsia="ar-SA"/>
        </w:rPr>
        <w:t>The book is divided into ten sections, each one presenting a philosophical approach to coaching supervision, and the techniques that support this approach. The ten philosophical approaches are:</w:t>
      </w:r>
    </w:p>
    <w:p w14:paraId="7E988428" w14:textId="4D7ED408" w:rsidR="00B2532C" w:rsidRDefault="00B2532C" w:rsidP="00B2532C">
      <w:pPr>
        <w:pStyle w:val="ListParagraph"/>
        <w:numPr>
          <w:ilvl w:val="0"/>
          <w:numId w:val="1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eclectic perspective</w:t>
      </w:r>
    </w:p>
    <w:p w14:paraId="124C0ED9" w14:textId="2C3BF3E7" w:rsidR="00B2532C" w:rsidRDefault="00B2532C" w:rsidP="00B2532C">
      <w:pPr>
        <w:pStyle w:val="ListParagraph"/>
        <w:numPr>
          <w:ilvl w:val="0"/>
          <w:numId w:val="1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existential </w:t>
      </w:r>
    </w:p>
    <w:p w14:paraId="0B2AAFBA" w14:textId="4B78DC52" w:rsidR="00B2532C" w:rsidRDefault="00B2532C" w:rsidP="00B2532C">
      <w:pPr>
        <w:pStyle w:val="ListParagraph"/>
        <w:numPr>
          <w:ilvl w:val="0"/>
          <w:numId w:val="1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gestalt </w:t>
      </w:r>
    </w:p>
    <w:p w14:paraId="6E8B5158" w14:textId="2FF14951" w:rsidR="00B2532C" w:rsidRDefault="00B2532C" w:rsidP="00B2532C">
      <w:pPr>
        <w:pStyle w:val="ListParagraph"/>
        <w:numPr>
          <w:ilvl w:val="0"/>
          <w:numId w:val="1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person-centred</w:t>
      </w:r>
    </w:p>
    <w:p w14:paraId="56967F57" w14:textId="22D946EE" w:rsidR="00B2532C" w:rsidRDefault="00B2532C" w:rsidP="00B2532C">
      <w:pPr>
        <w:pStyle w:val="ListParagraph"/>
        <w:numPr>
          <w:ilvl w:val="0"/>
          <w:numId w:val="1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positive psychology</w:t>
      </w:r>
    </w:p>
    <w:p w14:paraId="0482E4BE" w14:textId="51B8BCC3" w:rsidR="00B2532C" w:rsidRDefault="00B2532C" w:rsidP="4F7A539F">
      <w:pPr>
        <w:pStyle w:val="ListParagraph"/>
        <w:numPr>
          <w:ilvl w:val="0"/>
          <w:numId w:val="1"/>
        </w:numPr>
        <w:suppressAutoHyphens/>
        <w:autoSpaceDE w:val="0"/>
        <w:spacing w:after="200" w:line="276" w:lineRule="auto"/>
        <w:rPr>
          <w:rFonts w:eastAsia="Palatino-Roman" w:cs="Arial"/>
          <w:color w:val="000000"/>
          <w:kern w:val="2"/>
          <w:lang w:val="en-GB" w:eastAsia="ar-SA"/>
        </w:rPr>
      </w:pPr>
      <w:r w:rsidRPr="4F7A539F">
        <w:rPr>
          <w:rFonts w:eastAsia="Palatino-Roman" w:cs="Arial"/>
          <w:color w:val="000000"/>
          <w:kern w:val="2"/>
          <w:lang w:val="en-GB" w:eastAsia="ar-SA"/>
        </w:rPr>
        <w:t>psychodynamic perspective</w:t>
      </w:r>
    </w:p>
    <w:p w14:paraId="66FD37B1" w14:textId="4CCA57FB" w:rsidR="4F7A539F" w:rsidRDefault="4F7A539F" w:rsidP="4F7A539F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  <w:lang w:val="en-GB" w:eastAsia="ar-SA"/>
        </w:rPr>
      </w:pPr>
      <w:r w:rsidRPr="4F7A539F">
        <w:rPr>
          <w:rFonts w:eastAsia="Palatino-Roman" w:cs="Arial"/>
          <w:color w:val="000000" w:themeColor="text1"/>
          <w:lang w:val="en-GB" w:eastAsia="ar-SA"/>
        </w:rPr>
        <w:t>solution-Focused</w:t>
      </w:r>
    </w:p>
    <w:p w14:paraId="372E625A" w14:textId="180724D1" w:rsidR="00B2532C" w:rsidRDefault="00B2532C" w:rsidP="00B2532C">
      <w:pPr>
        <w:pStyle w:val="ListParagraph"/>
        <w:numPr>
          <w:ilvl w:val="0"/>
          <w:numId w:val="1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systematic</w:t>
      </w:r>
    </w:p>
    <w:p w14:paraId="4905447D" w14:textId="502C8FD0" w:rsidR="00B2532C" w:rsidRDefault="00B2532C" w:rsidP="00B2532C">
      <w:pPr>
        <w:pStyle w:val="ListParagraph"/>
        <w:numPr>
          <w:ilvl w:val="0"/>
          <w:numId w:val="1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thinking environment</w:t>
      </w:r>
    </w:p>
    <w:p w14:paraId="5895F939" w14:textId="6EC8ECC6" w:rsidR="00B2532C" w:rsidRPr="00B2532C" w:rsidRDefault="00B2532C" w:rsidP="00B2532C">
      <w:pPr>
        <w:pStyle w:val="ListParagraph"/>
        <w:numPr>
          <w:ilvl w:val="0"/>
          <w:numId w:val="1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transpersonal</w:t>
      </w:r>
    </w:p>
    <w:p w14:paraId="797307AE" w14:textId="7336B8A0" w:rsidR="00891451" w:rsidRDefault="00B2532C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E</w:t>
      </w:r>
      <w:r w:rsidR="0089145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ach of these </w:t>
      </w:r>
      <w:r w:rsidR="00C0579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approaches </w:t>
      </w:r>
      <w:r w:rsidR="0089145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is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introduced and explained briefly by an expert in that area. These include such voices as David Clutterbuck, Hetty </w:t>
      </w:r>
      <w:proofErr w:type="spellStart"/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Einzig</w:t>
      </w:r>
      <w:proofErr w:type="spellEnd"/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, Linda </w:t>
      </w:r>
      <w:proofErr w:type="spellStart"/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Aspey</w:t>
      </w:r>
      <w:proofErr w:type="spellEnd"/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and Carmelina Lawton-Smith</w:t>
      </w:r>
      <w:r w:rsidR="00C0579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, some of whom have also contributed a technique. </w:t>
      </w:r>
    </w:p>
    <w:p w14:paraId="5AC73B9F" w14:textId="0CF99757" w:rsidR="00F55D75" w:rsidRDefault="00F55D75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The introductions 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mostly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follow a common form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with the following sub-headings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</w:p>
    <w:p w14:paraId="64CA9F7F" w14:textId="5E2F9FDF" w:rsidR="00F55D75" w:rsidRDefault="00F55D75" w:rsidP="00F55D75">
      <w:pPr>
        <w:pStyle w:val="ListParagraph"/>
        <w:numPr>
          <w:ilvl w:val="0"/>
          <w:numId w:val="4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How is this philosophy described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?</w:t>
      </w:r>
    </w:p>
    <w:p w14:paraId="13645A99" w14:textId="641521D9" w:rsidR="00F55D75" w:rsidRDefault="00F55D75" w:rsidP="00F55D75">
      <w:pPr>
        <w:pStyle w:val="ListParagraph"/>
        <w:numPr>
          <w:ilvl w:val="0"/>
          <w:numId w:val="4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What are the underpinning principles and beliefs of this philosophy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?</w:t>
      </w:r>
    </w:p>
    <w:p w14:paraId="18DDC7AC" w14:textId="19C07AFE" w:rsidR="00F55D75" w:rsidRDefault="00F55D75" w:rsidP="00F55D75">
      <w:pPr>
        <w:pStyle w:val="ListParagraph"/>
        <w:numPr>
          <w:ilvl w:val="0"/>
          <w:numId w:val="4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What is the role of the coach supervisor in the context of this philosophy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?</w:t>
      </w:r>
    </w:p>
    <w:p w14:paraId="348FF181" w14:textId="083B311A" w:rsidR="00F55D75" w:rsidRDefault="00F55D75" w:rsidP="00F55D75">
      <w:pPr>
        <w:pStyle w:val="ListParagraph"/>
        <w:numPr>
          <w:ilvl w:val="0"/>
          <w:numId w:val="4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How would you prepare yourself to work congruently with this approach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?</w:t>
      </w:r>
    </w:p>
    <w:p w14:paraId="732E190E" w14:textId="61D76937" w:rsidR="00F55D75" w:rsidRDefault="00F55D75" w:rsidP="00F55D75">
      <w:pPr>
        <w:pStyle w:val="ListParagraph"/>
        <w:numPr>
          <w:ilvl w:val="0"/>
          <w:numId w:val="4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How might this way of working be particularly useful to the supervisee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?</w:t>
      </w:r>
    </w:p>
    <w:p w14:paraId="58E7C400" w14:textId="0CAB0947" w:rsidR="004E4C79" w:rsidRDefault="004E4C79" w:rsidP="00F55D75">
      <w:pPr>
        <w:pStyle w:val="ListParagraph"/>
        <w:numPr>
          <w:ilvl w:val="0"/>
          <w:numId w:val="4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Anything else you need to consider before using the techniques that follow</w:t>
      </w:r>
    </w:p>
    <w:p w14:paraId="188F9082" w14:textId="0B0E5C7A" w:rsidR="004E4C79" w:rsidRPr="004E4C79" w:rsidRDefault="0098206A" w:rsidP="004E4C79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lastRenderedPageBreak/>
        <w:t>Each sub-heading is followed by</w:t>
      </w:r>
      <w:r w:rsidR="00C6178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an amount of </w:t>
      </w:r>
      <w:r w:rsidR="00122E2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explanation </w:t>
      </w:r>
      <w:r w:rsidR="00C6178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and detail, </w:t>
      </w:r>
      <w:r w:rsidR="00122E2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length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depending on the writer</w:t>
      </w:r>
      <w:r w:rsidR="00C6178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,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that sets out to answer the question posed</w:t>
      </w:r>
      <w:r w:rsidR="004E4C7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. This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helps to explain the</w:t>
      </w:r>
      <w:r w:rsidR="004E4C7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context </w:t>
      </w:r>
      <w:r w:rsidR="00122E2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and thinking that underpins </w:t>
      </w:r>
      <w:r w:rsidR="004E4C7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the </w:t>
      </w:r>
      <w:r w:rsidR="00C0579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approaches</w:t>
      </w:r>
      <w:r w:rsidR="004E4C7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and</w:t>
      </w:r>
      <w:r w:rsidR="009048E2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,</w:t>
      </w:r>
      <w:r w:rsidR="004E4C7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as one would expect from a coaching background, the focus is on how it can help the supervisee</w:t>
      </w:r>
      <w:r w:rsidR="00122E2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to see new truths, explore new ideas and arrive at new solutions.</w:t>
      </w:r>
      <w:r w:rsidR="00300146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It is helpful to have the different philosophies explained clearly in relation to </w:t>
      </w:r>
      <w:r w:rsidR="009048E2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a specific </w:t>
      </w:r>
      <w:r w:rsidR="00300146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context and </w:t>
      </w:r>
      <w:proofErr w:type="gramStart"/>
      <w:r w:rsidR="009048E2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this </w:t>
      </w:r>
      <w:r w:rsidR="00300146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grounds</w:t>
      </w:r>
      <w:proofErr w:type="gramEnd"/>
      <w:r w:rsidR="00300146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the techniques in a particular mindset.</w:t>
      </w:r>
    </w:p>
    <w:p w14:paraId="074DC219" w14:textId="77777777" w:rsidR="002C619C" w:rsidRDefault="00B2532C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Gathered under each philosophy are a number of techniques</w:t>
      </w:r>
      <w:r w:rsidR="00F55D7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,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  <w:r w:rsidR="00F55D7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presented by a wide range of practitioners</w:t>
      </w:r>
      <w:r w:rsidR="00C0579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,</w:t>
      </w:r>
      <w:r w:rsidR="00300146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  <w:r w:rsidR="00C0579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that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  <w:r w:rsidR="00C0579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support the philosophical approach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. </w:t>
      </w:r>
    </w:p>
    <w:p w14:paraId="682E1F4E" w14:textId="26904257" w:rsidR="00B2532C" w:rsidRDefault="00B2532C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The </w:t>
      </w:r>
      <w:r w:rsidR="004E4C7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person-centred approach presents just two techniques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while</w:t>
      </w:r>
      <w:r w:rsidR="004E4C7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the eclectic philosophy presents </w:t>
      </w:r>
      <w:r w:rsidR="004E4C7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rather more with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41 different ideas.  </w:t>
      </w:r>
      <w:r w:rsidR="004E4C7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Other sections present between three and eleven different techniques. </w:t>
      </w:r>
    </w:p>
    <w:p w14:paraId="01AC8CEC" w14:textId="15C90096" w:rsidR="00300146" w:rsidRDefault="00891451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Each technique has a handy set of icons at the top indicating the most appropriate setting for the technique to be used</w:t>
      </w:r>
      <w:r w:rsidR="00B2532C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: professional one-to-one supervision, professional group supervision, peer group supervision </w:t>
      </w:r>
      <w:r w:rsidR="00300146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a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nd </w:t>
      </w:r>
      <w:r w:rsidR="00B2532C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individual reflection. </w:t>
      </w:r>
      <w:r w:rsidR="00300146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It seems likely that those techniques best suited to adaptation to action learning sets would be the ones labelled with peer group supervision or professional groups supervision icons. </w:t>
      </w:r>
    </w:p>
    <w:p w14:paraId="70E3795C" w14:textId="626E898F" w:rsidR="00891451" w:rsidRDefault="00F55D75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There is also an 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indication o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f the </w:t>
      </w:r>
      <w:r w:rsidR="0089145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level of expertise the supervisee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should </w:t>
      </w:r>
      <w:r w:rsidR="00122E29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have in order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  <w:r w:rsidR="0089145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to get the most from the approach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: 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“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most levels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”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or 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“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experienced supervisees only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”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. </w:t>
      </w:r>
      <w:r w:rsidR="00300146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For action learning sets it is most likely that “most levels” would be the appropriate level, but this of course depends on the group and experience of the facilitator. </w:t>
      </w:r>
    </w:p>
    <w:p w14:paraId="0E040FBF" w14:textId="0B77EA11" w:rsidR="00DA0EEB" w:rsidRDefault="00DA0EEB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This quick look icon bar at the top of each technique helps to save time by filtering out those techniques that are not appropriate for the setting. </w:t>
      </w:r>
    </w:p>
    <w:p w14:paraId="660D5243" w14:textId="77777777" w:rsidR="00114FA4" w:rsidRDefault="004E4C79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</w:t>
      </w:r>
      <w:r w:rsidR="0089145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he presentation of the techniques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uses a common framework</w:t>
      </w:r>
      <w:r w:rsidR="00F55D7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: </w:t>
      </w:r>
    </w:p>
    <w:p w14:paraId="44198F67" w14:textId="42A696FC" w:rsidR="00114FA4" w:rsidRPr="00114FA4" w:rsidRDefault="00871F13" w:rsidP="00114FA4">
      <w:pPr>
        <w:pStyle w:val="ListParagraph"/>
        <w:numPr>
          <w:ilvl w:val="0"/>
          <w:numId w:val="6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</w:t>
      </w:r>
      <w:r w:rsidR="00F55D75" w:rsidRP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itle</w:t>
      </w:r>
    </w:p>
    <w:p w14:paraId="02CB257C" w14:textId="77777777" w:rsidR="00114FA4" w:rsidRPr="00114FA4" w:rsidRDefault="00F55D75" w:rsidP="00114FA4">
      <w:pPr>
        <w:pStyle w:val="ListParagraph"/>
        <w:numPr>
          <w:ilvl w:val="0"/>
          <w:numId w:val="6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 w:rsidRP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when it is used</w:t>
      </w:r>
    </w:p>
    <w:p w14:paraId="4A94E7DC" w14:textId="77777777" w:rsidR="00114FA4" w:rsidRPr="00114FA4" w:rsidRDefault="00F55D75" w:rsidP="00114FA4">
      <w:pPr>
        <w:pStyle w:val="ListParagraph"/>
        <w:numPr>
          <w:ilvl w:val="0"/>
          <w:numId w:val="6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 w:rsidRP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what it is</w:t>
      </w:r>
      <w:r w:rsidR="00114FA4" w:rsidRP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</w:p>
    <w:p w14:paraId="20238777" w14:textId="77777777" w:rsidR="00114FA4" w:rsidRPr="00114FA4" w:rsidRDefault="00F55D75" w:rsidP="00114FA4">
      <w:pPr>
        <w:pStyle w:val="ListParagraph"/>
        <w:numPr>
          <w:ilvl w:val="0"/>
          <w:numId w:val="6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 w:rsidRP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how to work with it</w:t>
      </w:r>
    </w:p>
    <w:p w14:paraId="175CBEE2" w14:textId="77777777" w:rsidR="00114FA4" w:rsidRPr="00114FA4" w:rsidRDefault="00F55D75" w:rsidP="00114FA4">
      <w:pPr>
        <w:pStyle w:val="ListParagraph"/>
        <w:numPr>
          <w:ilvl w:val="0"/>
          <w:numId w:val="6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 w:rsidRP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what else might need attention</w:t>
      </w:r>
    </w:p>
    <w:p w14:paraId="0C94E509" w14:textId="77777777" w:rsidR="00114FA4" w:rsidRPr="00114FA4" w:rsidRDefault="00F55D75" w:rsidP="00114FA4">
      <w:pPr>
        <w:pStyle w:val="ListParagraph"/>
        <w:numPr>
          <w:ilvl w:val="0"/>
          <w:numId w:val="6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 w:rsidRP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a word of caution</w:t>
      </w:r>
    </w:p>
    <w:p w14:paraId="2E0A59CD" w14:textId="01D77C4C" w:rsidR="00114FA4" w:rsidRPr="00114FA4" w:rsidRDefault="00F55D75" w:rsidP="00114FA4">
      <w:pPr>
        <w:pStyle w:val="ListParagraph"/>
        <w:numPr>
          <w:ilvl w:val="0"/>
          <w:numId w:val="6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 w:rsidRP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what other uses 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there </w:t>
      </w:r>
      <w:r w:rsidRP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are  </w:t>
      </w:r>
    </w:p>
    <w:p w14:paraId="1C8188EC" w14:textId="77777777" w:rsidR="00114FA4" w:rsidRPr="00114FA4" w:rsidRDefault="00F55D75" w:rsidP="00114FA4">
      <w:pPr>
        <w:pStyle w:val="ListParagraph"/>
        <w:numPr>
          <w:ilvl w:val="0"/>
          <w:numId w:val="6"/>
        </w:num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 w:rsidRP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a reference section which includes ideas for further reading and additional resources. </w:t>
      </w:r>
    </w:p>
    <w:p w14:paraId="1C2F3BA2" w14:textId="77777777" w:rsidR="00114FA4" w:rsidRDefault="00114FA4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</w:p>
    <w:p w14:paraId="05272BBF" w14:textId="1C4ACA92" w:rsidR="00F55D75" w:rsidRDefault="00F55D75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This gives the book cohesion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,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in spite of the large number of different voices who have contributed to it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,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and makes it very easy to locate the information that you might need. </w:t>
      </w:r>
    </w:p>
    <w:p w14:paraId="6E4AAE95" w14:textId="6D8708FC" w:rsidR="004E4C79" w:rsidRDefault="004E4C79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lastRenderedPageBreak/>
        <w:t>The sections o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n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“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how to work with it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”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have useful ideas and practical suggestions while the 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“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word of caution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”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sections give clear indications as to when this technique might not be appropriate or could be counterproductive. </w:t>
      </w:r>
    </w:p>
    <w:p w14:paraId="2BAE4E02" w14:textId="6B31BF39" w:rsidR="00891451" w:rsidRDefault="00891451" w:rsidP="00E514BC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The work throughout is well-supported with references to literature and relevant research. </w:t>
      </w:r>
    </w:p>
    <w:p w14:paraId="4FA4179B" w14:textId="2D71284E" w:rsidR="00C61785" w:rsidRDefault="00F55D75" w:rsidP="00745D7F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For an inexperienced supervisor this book provides </w:t>
      </w:r>
      <w:r w:rsidR="0089145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an extensive buffet of techniques and ideas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. F</w:t>
      </w:r>
      <w:r w:rsidR="00DA0EEB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or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those who are</w:t>
      </w:r>
      <w:r w:rsidR="0089145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interested in understanding more</w:t>
      </w:r>
      <w:r w:rsidR="00871F13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,</w:t>
      </w:r>
      <w:r w:rsidR="0089145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the</w:t>
      </w:r>
      <w:r w:rsidR="0089145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signposts to further read</w:t>
      </w:r>
      <w:r w:rsidR="00C24E1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ing</w:t>
      </w:r>
      <w:r w:rsidR="00DA0EEB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are useful</w:t>
      </w:r>
      <w:r w:rsidR="0089145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.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T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his book is a nice reminder of old favourites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for experienced coach supervisors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, and within the 101 suggestions there will be some new ideas that might refresh the sessions and give a new slant to conversations that may have slipped into a rut.</w:t>
      </w:r>
    </w:p>
    <w:p w14:paraId="7BD135DB" w14:textId="77777777" w:rsidR="00DA0EEB" w:rsidRDefault="0098206A" w:rsidP="00745D7F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 w:rsidRP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For readers of this journal </w:t>
      </w:r>
      <w:r w:rsidR="00C6178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the question is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likely to be</w:t>
      </w:r>
      <w:r w:rsidR="00C6178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, how can these techniques be helpful to me in my work with action learning sets? It seems likely that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the different philosophies can be utilised in action learning sets at different stages of the work</w:t>
      </w:r>
      <w:r w:rsidR="00C6178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.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</w:p>
    <w:p w14:paraId="45BCFC10" w14:textId="0818CB4C" w:rsidR="00DA0EEB" w:rsidRDefault="00DA0EEB" w:rsidP="00745D7F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As a</w:t>
      </w:r>
      <w:r w:rsidR="001F031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n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example:</w:t>
      </w:r>
    </w:p>
    <w:p w14:paraId="007C54F0" w14:textId="3CD318A3" w:rsidR="009317E1" w:rsidRDefault="00DA0EEB" w:rsidP="00745D7F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A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 the beginning of a journey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,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  <w:r w:rsidR="00C6178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techniques from within 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the 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hinking 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E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nvironment philosophy </w:t>
      </w:r>
      <w:r w:rsidR="001F031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c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ould be appropriate to 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gather thoughts</w:t>
      </w:r>
      <w:r w:rsid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in a safe environment. 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One </w:t>
      </w:r>
      <w:r w:rsidR="001F031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technique to use 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could be</w:t>
      </w:r>
      <w:r w:rsidR="0098206A" w:rsidRP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</w:t>
      </w:r>
      <w:r w:rsidR="00005C3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“</w:t>
      </w:r>
      <w:r w:rsidR="0098206A" w:rsidRP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Rounds</w:t>
      </w:r>
      <w:r w:rsidR="00005C3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”</w:t>
      </w:r>
      <w:r w:rsidR="0098206A" w:rsidRP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presented by Linda </w:t>
      </w:r>
      <w:proofErr w:type="spellStart"/>
      <w:r w:rsidR="0098206A" w:rsidRP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Aspey</w:t>
      </w:r>
      <w:proofErr w:type="spellEnd"/>
      <w:r w:rsidR="0098206A" w:rsidRP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. </w:t>
      </w:r>
      <w:r w:rsidR="007C6B7C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This is built on Nancy Kline’s work around beautiful listening and invites each participant to share their thoughts for a specific period of time, while the rest of the group pay beautiful attention and refrain from interruption. Once everyone has had the opportunity to talk, the facilitator </w:t>
      </w:r>
      <w:proofErr w:type="gramStart"/>
      <w:r w:rsidR="007C6B7C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prompts  further</w:t>
      </w:r>
      <w:proofErr w:type="gramEnd"/>
      <w:r w:rsidR="007C6B7C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rounds with questions such as “how has your thinking changed?”, “do you have more thoughts on this?”.  </w:t>
      </w:r>
      <w:r w:rsidR="0098206A" w:rsidRP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Linda describes how </w:t>
      </w:r>
      <w:r w:rsidR="00C6178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Rounds can</w:t>
      </w:r>
      <w:r w:rsidR="0098206A" w:rsidRP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bring equality into a room where there may be power differences between the participants and enable</w:t>
      </w:r>
      <w:r w:rsidR="007C6B7C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s</w:t>
      </w:r>
      <w:r w:rsidR="0098206A" w:rsidRPr="0098206A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everyone to have a voice. </w:t>
      </w:r>
    </w:p>
    <w:p w14:paraId="1A6C3482" w14:textId="77DCF8C9" w:rsidR="0098206A" w:rsidRDefault="0098206A" w:rsidP="00745D7F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“Capturing journeys on a big scale” presented by Michelle Lucas and Andy King </w:t>
      </w:r>
      <w:r w:rsidR="00C6178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from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within the </w:t>
      </w:r>
      <w:r w:rsidR="00DA0EEB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E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clectic philosophy might be something that is useful when nearing the end of a project to capture the learning points </w:t>
      </w:r>
      <w:r w:rsidR="00C61785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gained during the project’s enaction.</w:t>
      </w:r>
      <w:r w:rsidR="007C6B7C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This technique involves the group in creating a large drawing of the journey and adding in the points of interest such as challenges, learning, resolutions and so on. Sometimes, they suggest, having a visual image can be helpful in seeing progress and highlighting the value of the journey as more than a way of </w:t>
      </w:r>
      <w:r w:rsidR="009317E1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just </w:t>
      </w:r>
      <w:r w:rsidR="007C6B7C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getting to the destination. </w:t>
      </w:r>
    </w:p>
    <w:p w14:paraId="618B03A5" w14:textId="22FBA87F" w:rsidR="00C61785" w:rsidRPr="0098206A" w:rsidRDefault="00C61785" w:rsidP="00745D7F">
      <w:pPr>
        <w:suppressAutoHyphens/>
        <w:autoSpaceDE w:val="0"/>
        <w:spacing w:after="200" w:line="276" w:lineRule="auto"/>
        <w:rPr>
          <w:rFonts w:eastAsia="Palatino-Roman" w:cs="Arial"/>
          <w:bCs/>
          <w:color w:val="000000"/>
          <w:kern w:val="2"/>
          <w:szCs w:val="22"/>
          <w:lang w:val="en-GB" w:eastAsia="ar-SA"/>
        </w:rPr>
      </w:pP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The</w:t>
      </w:r>
      <w:r w:rsid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s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e a</w:t>
      </w:r>
      <w:r w:rsid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nd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many </w:t>
      </w:r>
      <w:r w:rsid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of the other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techniques have the group or peer supervision icons and it seems likely that these </w:t>
      </w:r>
      <w:r w:rsidR="00745D7F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>techniques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 are ones that can be </w:t>
      </w:r>
      <w:r w:rsidR="00114FA4"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most </w:t>
      </w:r>
      <w:r>
        <w:rPr>
          <w:rFonts w:eastAsia="Palatino-Roman" w:cs="Arial"/>
          <w:bCs/>
          <w:color w:val="000000"/>
          <w:kern w:val="2"/>
          <w:szCs w:val="22"/>
          <w:lang w:val="en-GB" w:eastAsia="ar-SA"/>
        </w:rPr>
        <w:t xml:space="preserve">readily adapted to work with action learning sets. </w:t>
      </w:r>
    </w:p>
    <w:p w14:paraId="7B83D815" w14:textId="7E209796" w:rsidR="00741F1B" w:rsidRPr="007D6DD1" w:rsidRDefault="00745D7F" w:rsidP="007D6DD1">
      <w:pPr>
        <w:pStyle w:val="ListParagraph"/>
        <w:suppressAutoHyphens/>
        <w:autoSpaceDE w:val="0"/>
        <w:spacing w:after="200" w:line="276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While not an action learning set book, it seems like a useful resource if you are looking for a range of </w:t>
      </w:r>
      <w:r w:rsidR="00DA0EEB">
        <w:rPr>
          <w:rFonts w:cs="Arial"/>
          <w:szCs w:val="22"/>
        </w:rPr>
        <w:t xml:space="preserve">new and </w:t>
      </w:r>
      <w:r>
        <w:rPr>
          <w:rFonts w:cs="Arial"/>
          <w:szCs w:val="22"/>
        </w:rPr>
        <w:t>different ways of working with groups</w:t>
      </w:r>
      <w:r w:rsidR="00DA0EEB">
        <w:rPr>
          <w:rFonts w:cs="Arial"/>
          <w:szCs w:val="22"/>
        </w:rPr>
        <w:t xml:space="preserve"> and fits well with other books on a similar topic – the main difference being that rather than a detailed look at </w:t>
      </w:r>
      <w:r w:rsidR="001A6E7C">
        <w:rPr>
          <w:rFonts w:cs="Arial"/>
          <w:szCs w:val="22"/>
        </w:rPr>
        <w:t xml:space="preserve">the process this is a lighter touch on a range of ways in which you can enable discussion and learning within your action learning sets. </w:t>
      </w:r>
      <w:r w:rsidR="001F0311">
        <w:rPr>
          <w:rFonts w:cs="Arial"/>
          <w:szCs w:val="22"/>
        </w:rPr>
        <w:t xml:space="preserve">I think that both new and experienced facilitators would find something new and interesting among the plethora of ideas that could enhance practice. </w:t>
      </w:r>
      <w:bookmarkStart w:id="0" w:name="_GoBack"/>
      <w:bookmarkEnd w:id="0"/>
    </w:p>
    <w:sectPr w:rsidR="00741F1B" w:rsidRPr="007D6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1CBA"/>
    <w:multiLevelType w:val="multilevel"/>
    <w:tmpl w:val="746278DA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0"/>
      </w:pPr>
      <w:rPr>
        <w:position w:val="0"/>
      </w:rPr>
    </w:lvl>
  </w:abstractNum>
  <w:abstractNum w:abstractNumId="1" w15:restartNumberingAfterBreak="0">
    <w:nsid w:val="3AD82A57"/>
    <w:multiLevelType w:val="hybridMultilevel"/>
    <w:tmpl w:val="7824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0E36"/>
    <w:multiLevelType w:val="hybridMultilevel"/>
    <w:tmpl w:val="B140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E7A6C"/>
    <w:multiLevelType w:val="hybridMultilevel"/>
    <w:tmpl w:val="BED4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0EC2"/>
    <w:multiLevelType w:val="multilevel"/>
    <w:tmpl w:val="746278DA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0"/>
      </w:pPr>
      <w:rPr>
        <w:position w:val="0"/>
      </w:rPr>
    </w:lvl>
  </w:abstractNum>
  <w:abstractNum w:abstractNumId="5" w15:restartNumberingAfterBreak="0">
    <w:nsid w:val="6D970F9E"/>
    <w:multiLevelType w:val="hybridMultilevel"/>
    <w:tmpl w:val="9D96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0E"/>
    <w:rsid w:val="00005C3A"/>
    <w:rsid w:val="00054F0E"/>
    <w:rsid w:val="00114FA4"/>
    <w:rsid w:val="00122E29"/>
    <w:rsid w:val="001A6E7C"/>
    <w:rsid w:val="001F0311"/>
    <w:rsid w:val="002C619C"/>
    <w:rsid w:val="00300146"/>
    <w:rsid w:val="003465AB"/>
    <w:rsid w:val="004E4C79"/>
    <w:rsid w:val="00680C96"/>
    <w:rsid w:val="00741F1B"/>
    <w:rsid w:val="00745D7F"/>
    <w:rsid w:val="007A0D40"/>
    <w:rsid w:val="007C6B7C"/>
    <w:rsid w:val="007D6DD1"/>
    <w:rsid w:val="00871F13"/>
    <w:rsid w:val="00891451"/>
    <w:rsid w:val="009048E2"/>
    <w:rsid w:val="009317E1"/>
    <w:rsid w:val="0098206A"/>
    <w:rsid w:val="00AD195F"/>
    <w:rsid w:val="00B2532C"/>
    <w:rsid w:val="00C05794"/>
    <w:rsid w:val="00C24E11"/>
    <w:rsid w:val="00C61785"/>
    <w:rsid w:val="00DA0EEB"/>
    <w:rsid w:val="00E514BC"/>
    <w:rsid w:val="00F55D75"/>
    <w:rsid w:val="4F7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3D32"/>
  <w15:chartTrackingRefBased/>
  <w15:docId w15:val="{462A8435-FEFB-4B26-AA8D-87CBDFB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F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514BC"/>
    <w:p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E514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Crabbe</dc:creator>
  <cp:keywords/>
  <dc:description/>
  <cp:lastModifiedBy>Sarah Crabbe</cp:lastModifiedBy>
  <cp:revision>7</cp:revision>
  <dcterms:created xsi:type="dcterms:W3CDTF">2020-08-06T11:32:00Z</dcterms:created>
  <dcterms:modified xsi:type="dcterms:W3CDTF">2022-03-17T11:39:00Z</dcterms:modified>
</cp:coreProperties>
</file>