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791E" w14:textId="77777777" w:rsidR="00F266B9" w:rsidRPr="00162D72" w:rsidRDefault="00F266B9" w:rsidP="00F266B9">
      <w:pPr>
        <w:rPr>
          <w:rFonts w:ascii="Candara" w:hAnsi="Candara"/>
          <w:sz w:val="24"/>
          <w:szCs w:val="24"/>
        </w:rPr>
      </w:pPr>
      <w:r w:rsidRPr="00162D72">
        <w:rPr>
          <w:rFonts w:ascii="Candara" w:hAnsi="Candara"/>
          <w:b/>
          <w:bCs/>
          <w:sz w:val="24"/>
          <w:szCs w:val="24"/>
        </w:rPr>
        <w:t>Appendix II</w:t>
      </w:r>
      <w:bookmarkStart w:id="0" w:name="_Hlk110871323"/>
      <w:r w:rsidRPr="00162D72">
        <w:rPr>
          <w:rFonts w:ascii="Candara" w:hAnsi="Candara"/>
          <w:b/>
          <w:bCs/>
          <w:sz w:val="24"/>
          <w:szCs w:val="24"/>
        </w:rPr>
        <w:t xml:space="preserve">I: </w:t>
      </w:r>
      <w:r w:rsidRPr="00162D72">
        <w:rPr>
          <w:rFonts w:ascii="Candara" w:hAnsi="Candara" w:cs="Tahoma"/>
          <w:b/>
          <w:bCs/>
          <w:sz w:val="24"/>
          <w:szCs w:val="24"/>
        </w:rPr>
        <w:t xml:space="preserve">Details of the excluded studies and reasons for exclusion </w:t>
      </w:r>
      <w:bookmarkEnd w:id="0"/>
    </w:p>
    <w:tbl>
      <w:tblPr>
        <w:tblW w:w="93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04"/>
        <w:gridCol w:w="3891"/>
        <w:gridCol w:w="2304"/>
      </w:tblGrid>
      <w:tr w:rsidR="00F266B9" w:rsidRPr="00162D72" w14:paraId="7DD7966F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42DBF" w14:textId="77777777" w:rsidR="00F266B9" w:rsidRPr="00162D72" w:rsidRDefault="00F266B9" w:rsidP="00FE3A31">
            <w:pPr>
              <w:rPr>
                <w:rFonts w:ascii="Candara" w:hAnsi="Candara" w:cs="Tahoma"/>
                <w:b/>
                <w:bCs/>
                <w:sz w:val="24"/>
                <w:szCs w:val="24"/>
              </w:rPr>
            </w:pPr>
            <w:r w:rsidRPr="00162D72">
              <w:rPr>
                <w:rFonts w:ascii="Candara" w:hAnsi="Candara" w:cs="Tahoma"/>
                <w:b/>
                <w:bCs/>
                <w:sz w:val="24"/>
                <w:szCs w:val="24"/>
              </w:rPr>
              <w:t>S/N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B48E" w14:textId="77777777" w:rsidR="00F266B9" w:rsidRPr="00162D72" w:rsidRDefault="00F266B9" w:rsidP="00FE3A31">
            <w:pPr>
              <w:rPr>
                <w:rFonts w:ascii="Candara" w:hAnsi="Candara" w:cs="Tahoma"/>
                <w:b/>
                <w:bCs/>
                <w:sz w:val="24"/>
                <w:szCs w:val="24"/>
              </w:rPr>
            </w:pPr>
            <w:r w:rsidRPr="00162D72">
              <w:rPr>
                <w:rFonts w:ascii="Candara" w:hAnsi="Candara" w:cs="Tahoma"/>
                <w:b/>
                <w:bCs/>
                <w:sz w:val="24"/>
                <w:szCs w:val="24"/>
              </w:rPr>
              <w:t>First Author’s surname  (year)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7FF5" w14:textId="77777777" w:rsidR="00F266B9" w:rsidRPr="00162D72" w:rsidRDefault="00F266B9" w:rsidP="00FE3A31">
            <w:pPr>
              <w:rPr>
                <w:rFonts w:ascii="Candara" w:hAnsi="Candara" w:cs="Tahoma"/>
                <w:b/>
                <w:bCs/>
                <w:sz w:val="24"/>
                <w:szCs w:val="24"/>
              </w:rPr>
            </w:pPr>
            <w:r w:rsidRPr="00162D72">
              <w:rPr>
                <w:rFonts w:ascii="Candara" w:hAnsi="Candara" w:cs="Tahoma"/>
                <w:b/>
                <w:bCs/>
                <w:sz w:val="24"/>
                <w:szCs w:val="24"/>
              </w:rPr>
              <w:t>Reason for exclusion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A1B6" w14:textId="77777777" w:rsidR="00F266B9" w:rsidRPr="00162D72" w:rsidRDefault="00F266B9" w:rsidP="00FE3A31">
            <w:pPr>
              <w:rPr>
                <w:rFonts w:ascii="Candara" w:hAnsi="Candara" w:cs="Tahoma"/>
                <w:b/>
                <w:bCs/>
                <w:sz w:val="24"/>
                <w:szCs w:val="24"/>
              </w:rPr>
            </w:pPr>
            <w:r w:rsidRPr="00162D72">
              <w:rPr>
                <w:rFonts w:ascii="Candara" w:hAnsi="Candara" w:cs="Tahoma"/>
                <w:b/>
                <w:bCs/>
                <w:sz w:val="24"/>
                <w:szCs w:val="24"/>
              </w:rPr>
              <w:t>Flow diagram denoted</w:t>
            </w:r>
          </w:p>
        </w:tc>
      </w:tr>
      <w:tr w:rsidR="00F266B9" w:rsidRPr="00162D72" w14:paraId="21E890FE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1FED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1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CADD3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Maithufi (2021)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5529D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The study outcome did not meet the eligibility criteria because the study did not cover SRH services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3E81" w14:textId="77777777" w:rsidR="00F266B9" w:rsidRPr="00162D72" w:rsidRDefault="00F266B9" w:rsidP="00FE3A31">
            <w:pPr>
              <w:rPr>
                <w:rFonts w:ascii="Candara" w:hAnsi="Candara" w:cs="Tahoma"/>
                <w:color w:val="000000"/>
                <w:sz w:val="24"/>
                <w:szCs w:val="24"/>
              </w:rPr>
            </w:pPr>
          </w:p>
          <w:p w14:paraId="014DC33E" w14:textId="77777777" w:rsidR="00F266B9" w:rsidRPr="00162D72" w:rsidRDefault="00F266B9" w:rsidP="00FE3A31">
            <w:pPr>
              <w:rPr>
                <w:rFonts w:ascii="Candara" w:hAnsi="Candara" w:cs="Tahoma"/>
                <w:color w:val="000000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Not on SRH services during COVID-19</w:t>
            </w:r>
          </w:p>
          <w:p w14:paraId="1F47D5FA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</w:p>
        </w:tc>
      </w:tr>
      <w:tr w:rsidR="00F266B9" w:rsidRPr="00162D72" w14:paraId="139F04DA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35F4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2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5B362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Briggs (2020)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A1D3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The study outcome did not meet the eligibility criteria because the study did not cover SRH services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FF2B8" w14:textId="77777777" w:rsidR="00F266B9" w:rsidRPr="00162D72" w:rsidRDefault="00F266B9" w:rsidP="00FE3A31">
            <w:pPr>
              <w:rPr>
                <w:rFonts w:ascii="Candara" w:hAnsi="Candara" w:cs="Tahoma"/>
                <w:color w:val="000000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Not on SRH services during COVID-19</w:t>
            </w:r>
          </w:p>
          <w:p w14:paraId="1ECF593C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="00F266B9" w:rsidRPr="00162D72" w14:paraId="36B9BA72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DF8F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3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24BEB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bookmarkStart w:id="1" w:name="_Hlk110872474"/>
            <w:r w:rsidRPr="00162D72">
              <w:rPr>
                <w:rFonts w:ascii="Candara" w:hAnsi="Candara" w:cs="Tahoma"/>
                <w:sz w:val="24"/>
                <w:szCs w:val="24"/>
              </w:rPr>
              <w:t>Bassey (2021)</w:t>
            </w:r>
          </w:p>
          <w:bookmarkEnd w:id="1"/>
          <w:p w14:paraId="2A37171E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9BD7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This study was a review of findings on HIV Prevention and Treatment During the COVID-19 Pandemic in Nigeria, however, previously published review study was not stated as an inclusion criteria in the current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4B96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Review studies</w:t>
            </w:r>
          </w:p>
        </w:tc>
      </w:tr>
      <w:tr w:rsidR="00F266B9" w:rsidRPr="00162D72" w14:paraId="2F470B61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21F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4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0C669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Esievoadje (2022)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877FE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This study was a review of findings on accessibility and utilization of family planning services in Nigeria, however, previously published review study was not stated as an inclusion criteria in the current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40EA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Review studies</w:t>
            </w:r>
          </w:p>
        </w:tc>
      </w:tr>
      <w:tr w:rsidR="00F266B9" w:rsidRPr="00162D72" w14:paraId="566E3745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4ED2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5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AC2D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Grimsrud (2021)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04AD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This study was a review of findings on acceleration of differentiated service delivery for HIV treatment in sub-Saharan Africa during COVID-19, however, previously published review study was not stated as an inclusion criteria in the current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A41E2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Review studies</w:t>
            </w:r>
          </w:p>
        </w:tc>
      </w:tr>
      <w:tr w:rsidR="00F266B9" w:rsidRPr="00162D72" w14:paraId="5680153E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266F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5E65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Meherali (2021)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1C02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This study was a review of findings on impact of the COVID-19 Pandemic on Adolescents’ Sexual and Reproductive Health in Low-and Middle-Income Countries, however, previously published review study was not stated as an inclusion criteria in the current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7855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Review studies</w:t>
            </w:r>
          </w:p>
        </w:tc>
      </w:tr>
      <w:tr w:rsidR="00F266B9" w:rsidRPr="00162D72" w14:paraId="5A19A78E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BC67E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7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8785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Harries (2021)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D88C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No information on barriers or facilitators to SRH services during COVID-19 in Africa was reported in the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6DE5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 xml:space="preserve">No SRH barriers or facilitators identified </w:t>
            </w:r>
          </w:p>
        </w:tc>
      </w:tr>
      <w:tr w:rsidR="00F266B9" w:rsidRPr="00162D72" w14:paraId="00D0FFF8" w14:textId="77777777" w:rsidTr="00FE3A3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DE9B9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 xml:space="preserve">8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C30B4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Mambo (2020)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542B4" w14:textId="77777777" w:rsidR="00F266B9" w:rsidRPr="00162D72" w:rsidRDefault="00F266B9" w:rsidP="00FE3A31">
            <w:pPr>
              <w:rPr>
                <w:rFonts w:ascii="Candara" w:hAnsi="Candara" w:cs="Tahoma"/>
                <w:sz w:val="24"/>
                <w:szCs w:val="24"/>
              </w:rPr>
            </w:pPr>
            <w:r w:rsidRPr="00162D72">
              <w:rPr>
                <w:rFonts w:ascii="Candara" w:hAnsi="Candara" w:cs="Tahoma"/>
                <w:sz w:val="24"/>
                <w:szCs w:val="24"/>
              </w:rPr>
              <w:t>No information on barriers or facilitators to SRH services during COVID-19 in Africa was reported in the study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E102" w14:textId="77777777" w:rsidR="00F266B9" w:rsidRPr="00162D72" w:rsidRDefault="00F266B9" w:rsidP="00FE3A31">
            <w:pPr>
              <w:rPr>
                <w:rFonts w:ascii="Candara" w:hAnsi="Candara"/>
                <w:sz w:val="24"/>
                <w:szCs w:val="24"/>
              </w:rPr>
            </w:pPr>
            <w:r w:rsidRPr="00162D72">
              <w:rPr>
                <w:rFonts w:ascii="Candara" w:hAnsi="Candara" w:cs="Tahoma"/>
                <w:color w:val="000000"/>
                <w:sz w:val="24"/>
                <w:szCs w:val="24"/>
              </w:rPr>
              <w:t>No SRH barriers or facilitators identified</w:t>
            </w:r>
          </w:p>
        </w:tc>
      </w:tr>
    </w:tbl>
    <w:p w14:paraId="24A304A6" w14:textId="77777777" w:rsidR="00894BFB" w:rsidRDefault="00894BFB"/>
    <w:sectPr w:rsidR="00894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Tc3sbAwMzUxM7NU0lEKTi0uzszPAykwrAUAJ4QATSwAAAA="/>
  </w:docVars>
  <w:rsids>
    <w:rsidRoot w:val="00F266B9"/>
    <w:rsid w:val="00892588"/>
    <w:rsid w:val="00894BFB"/>
    <w:rsid w:val="00D652C5"/>
    <w:rsid w:val="00F2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3AE88"/>
  <w15:chartTrackingRefBased/>
  <w15:docId w15:val="{8A5A5860-384A-4B6E-A3EF-BEA95D35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6B9"/>
    <w:pPr>
      <w:suppressAutoHyphens/>
      <w:autoSpaceDN w:val="0"/>
      <w:spacing w:after="200" w:line="276" w:lineRule="auto"/>
    </w:pPr>
    <w:rPr>
      <w:rFonts w:ascii="Calibri" w:eastAsia="SimSun" w:hAnsi="Calibri" w:cs="Times New Roman"/>
      <w:kern w:val="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Obasanjo Bolarinwa (219098880)</dc:creator>
  <cp:keywords/>
  <dc:description/>
  <cp:lastModifiedBy>Obasanjo Bolarinwa (219098880)</cp:lastModifiedBy>
  <cp:revision>1</cp:revision>
  <dcterms:created xsi:type="dcterms:W3CDTF">2023-07-25T11:22:00Z</dcterms:created>
  <dcterms:modified xsi:type="dcterms:W3CDTF">2023-07-25T11:22:00Z</dcterms:modified>
</cp:coreProperties>
</file>