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7822" w14:textId="7B51CB07" w:rsidR="005D307C" w:rsidRDefault="005D307C" w:rsidP="00DF448B">
      <w:pPr>
        <w:spacing w:line="480" w:lineRule="auto"/>
        <w:ind w:left="-76"/>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Title: </w:t>
      </w:r>
      <w:r w:rsidRPr="005D307C">
        <w:rPr>
          <w:rFonts w:ascii="Times New Roman" w:eastAsia="Aptos" w:hAnsi="Times New Roman" w:cs="Times New Roman"/>
          <w:b/>
          <w:bCs/>
          <w:kern w:val="2"/>
          <w:sz w:val="24"/>
          <w:szCs w:val="24"/>
          <w14:ligatures w14:val="standardContextual"/>
        </w:rPr>
        <w:t xml:space="preserve">“How does involvement in campaigning, impact close relatives bereaved by gambling-related suicide?”   </w:t>
      </w:r>
    </w:p>
    <w:p w14:paraId="43D990C4" w14:textId="6B13E2EE" w:rsidR="004D57AB" w:rsidRDefault="005D307C" w:rsidP="00F82036">
      <w:pPr>
        <w:spacing w:line="360" w:lineRule="auto"/>
        <w:ind w:left="-76"/>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b/>
          <w:bCs/>
          <w:kern w:val="2"/>
          <w:sz w:val="24"/>
          <w:szCs w:val="24"/>
          <w14:ligatures w14:val="standardContextual"/>
        </w:rPr>
        <w:t>Eugene Fa</w:t>
      </w:r>
      <w:r w:rsidR="004D57AB">
        <w:rPr>
          <w:rFonts w:ascii="Times New Roman" w:eastAsia="Aptos" w:hAnsi="Times New Roman" w:cs="Times New Roman"/>
          <w:b/>
          <w:bCs/>
          <w:kern w:val="2"/>
          <w:sz w:val="24"/>
          <w:szCs w:val="24"/>
          <w14:ligatures w14:val="standardContextual"/>
        </w:rPr>
        <w:t>rrar MA</w:t>
      </w:r>
      <w:r w:rsidR="004D57AB" w:rsidRPr="004D57AB">
        <w:rPr>
          <w:rFonts w:ascii="Noto Sans" w:eastAsia="Times New Roman" w:hAnsi="Noto Sans" w:cs="Noto Sans"/>
          <w:color w:val="FFFFFF"/>
          <w:sz w:val="27"/>
          <w:szCs w:val="27"/>
          <w:lang w:eastAsia="en-GB"/>
        </w:rPr>
        <w:t xml:space="preserve"> </w:t>
      </w:r>
      <w:hyperlink r:id="rId6" w:history="1">
        <w:r w:rsidR="00F82036" w:rsidRPr="00124BD4">
          <w:rPr>
            <w:rStyle w:val="Hyperlink"/>
            <w:rFonts w:ascii="Times New Roman" w:eastAsia="Aptos" w:hAnsi="Times New Roman" w:cs="Times New Roman"/>
            <w:kern w:val="2"/>
            <w:sz w:val="24"/>
            <w:szCs w:val="24"/>
            <w14:ligatures w14:val="standardContextual"/>
          </w:rPr>
          <w:t>https://orcid.org/0009-0001-8576-6157</w:t>
        </w:r>
      </w:hyperlink>
      <w:r w:rsidR="00F82036">
        <w:rPr>
          <w:rFonts w:ascii="Times New Roman" w:eastAsia="Aptos" w:hAnsi="Times New Roman" w:cs="Times New Roman"/>
          <w:kern w:val="2"/>
          <w:sz w:val="24"/>
          <w:szCs w:val="24"/>
          <w14:ligatures w14:val="standardContextual"/>
        </w:rPr>
        <w:t xml:space="preserve">  </w:t>
      </w:r>
    </w:p>
    <w:p w14:paraId="12220F8B" w14:textId="5E700023" w:rsidR="00F82036" w:rsidRDefault="00F82036" w:rsidP="00F82036">
      <w:pPr>
        <w:spacing w:line="360" w:lineRule="auto"/>
        <w:ind w:left="-76"/>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b/>
          <w:bCs/>
          <w:kern w:val="2"/>
          <w:sz w:val="24"/>
          <w:szCs w:val="24"/>
          <w14:ligatures w14:val="standardContextual"/>
        </w:rPr>
        <w:t>eugene@harrogatecounselling.com</w:t>
      </w:r>
    </w:p>
    <w:p w14:paraId="08BB240D" w14:textId="4A420707" w:rsidR="005D307C" w:rsidRDefault="005D307C" w:rsidP="00F82036">
      <w:pPr>
        <w:spacing w:line="360" w:lineRule="auto"/>
        <w:ind w:left="-76"/>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Dr Gary Shepherd</w:t>
      </w:r>
      <w:r w:rsidR="004D57AB">
        <w:rPr>
          <w:rFonts w:ascii="Times New Roman" w:eastAsia="Aptos" w:hAnsi="Times New Roman" w:cs="Times New Roman"/>
          <w:b/>
          <w:bCs/>
          <w:kern w:val="2"/>
          <w:sz w:val="24"/>
          <w:szCs w:val="24"/>
          <w14:ligatures w14:val="standardContextual"/>
        </w:rPr>
        <w:t xml:space="preserve"> </w:t>
      </w:r>
      <w:r w:rsidR="004D57AB">
        <w:rPr>
          <w:rFonts w:ascii="Roboto" w:hAnsi="Roboto"/>
          <w:color w:val="71777D"/>
          <w:sz w:val="21"/>
          <w:szCs w:val="21"/>
          <w:shd w:val="clear" w:color="auto" w:fill="FFFFFF"/>
        </w:rPr>
        <w:t>https://orcid.org/0000-0001-8178-1141</w:t>
      </w:r>
    </w:p>
    <w:p w14:paraId="3B7D8F4A" w14:textId="21A62E4F" w:rsidR="005D307C" w:rsidRPr="005D307C" w:rsidRDefault="005D307C" w:rsidP="00F82036">
      <w:pPr>
        <w:spacing w:line="360" w:lineRule="auto"/>
        <w:ind w:left="-76"/>
        <w:jc w:val="both"/>
        <w:rPr>
          <w:rFonts w:ascii="Times New Roman" w:eastAsia="Aptos" w:hAnsi="Times New Roman" w:cs="Times New Roman"/>
          <w:kern w:val="2"/>
          <w:sz w:val="24"/>
          <w:szCs w:val="24"/>
          <w:u w:val="single"/>
          <w14:ligatures w14:val="standardContextual"/>
        </w:rPr>
      </w:pPr>
      <w:r>
        <w:rPr>
          <w:rFonts w:ascii="Times New Roman" w:eastAsia="Aptos" w:hAnsi="Times New Roman" w:cs="Times New Roman"/>
          <w:kern w:val="2"/>
          <w:sz w:val="24"/>
          <w:szCs w:val="24"/>
          <w14:ligatures w14:val="standardContextual"/>
        </w:rPr>
        <w:t xml:space="preserve">Accepted for publication in </w:t>
      </w:r>
      <w:r w:rsidRPr="005D307C">
        <w:rPr>
          <w:rFonts w:ascii="Times New Roman" w:eastAsia="Aptos" w:hAnsi="Times New Roman" w:cs="Times New Roman"/>
          <w:b/>
          <w:bCs/>
          <w:kern w:val="2"/>
          <w:sz w:val="24"/>
          <w:szCs w:val="24"/>
          <w14:ligatures w14:val="standardContextual"/>
        </w:rPr>
        <w:t>OMEGA-Journal of Death and Dying (Sage).</w:t>
      </w:r>
      <w:r>
        <w:rPr>
          <w:rFonts w:ascii="Times New Roman" w:eastAsia="Aptos" w:hAnsi="Times New Roman" w:cs="Times New Roman"/>
          <w:b/>
          <w:bCs/>
          <w:kern w:val="2"/>
          <w:sz w:val="24"/>
          <w:szCs w:val="24"/>
          <w14:ligatures w14:val="standardContextual"/>
        </w:rPr>
        <w:t xml:space="preserve"> </w:t>
      </w:r>
      <w:r w:rsidRPr="005D307C">
        <w:rPr>
          <w:rFonts w:ascii="Times New Roman" w:eastAsia="Aptos" w:hAnsi="Times New Roman" w:cs="Times New Roman"/>
          <w:kern w:val="2"/>
          <w:sz w:val="24"/>
          <w:szCs w:val="24"/>
          <w14:ligatures w14:val="standardContextual"/>
        </w:rPr>
        <w:t>23/05/25</w:t>
      </w:r>
    </w:p>
    <w:p w14:paraId="7B389EAC" w14:textId="77777777" w:rsidR="009D4878" w:rsidRDefault="009D4878" w:rsidP="00DF448B">
      <w:pPr>
        <w:spacing w:line="480" w:lineRule="auto"/>
        <w:ind w:left="-76"/>
        <w:jc w:val="both"/>
        <w:rPr>
          <w:rFonts w:ascii="Times New Roman" w:eastAsia="Aptos" w:hAnsi="Times New Roman" w:cs="Times New Roman"/>
          <w:b/>
          <w:bCs/>
          <w:kern w:val="2"/>
          <w:sz w:val="24"/>
          <w:szCs w:val="24"/>
          <w:u w:val="single"/>
          <w14:ligatures w14:val="standardContextual"/>
        </w:rPr>
      </w:pPr>
    </w:p>
    <w:p w14:paraId="07E1AEE2" w14:textId="36872F91" w:rsidR="00C661F9" w:rsidRDefault="00C661F9" w:rsidP="00D62EEA">
      <w:pPr>
        <w:pStyle w:val="Heading1"/>
        <w:rPr>
          <w:rFonts w:eastAsia="Aptos"/>
        </w:rPr>
      </w:pPr>
      <w:r w:rsidRPr="00B10BE1">
        <w:rPr>
          <w:rFonts w:eastAsia="Aptos"/>
        </w:rPr>
        <w:t>Abstract</w:t>
      </w:r>
    </w:p>
    <w:p w14:paraId="34039F30" w14:textId="77777777" w:rsidR="00D62EEA" w:rsidRPr="00D62EEA" w:rsidRDefault="00D62EEA" w:rsidP="00D62EEA"/>
    <w:p w14:paraId="77FEDB35" w14:textId="29436451" w:rsidR="00C661F9" w:rsidRPr="00B10BE1" w:rsidRDefault="00C661F9" w:rsidP="00DF448B">
      <w:pPr>
        <w:spacing w:line="480" w:lineRule="auto"/>
        <w:ind w:left="-76"/>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Close relatives bereaved by gambling-related suicide are at the forefront of activism</w:t>
      </w:r>
      <w:r w:rsidR="0067178A" w:rsidRPr="00B10BE1">
        <w:rPr>
          <w:rFonts w:ascii="Times New Roman" w:eastAsia="Aptos" w:hAnsi="Times New Roman" w:cs="Times New Roman"/>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seeking regulatory changes within the UK gambling industry. Through in-depth semi-structured interviews with four surviving close relatives, this study explored the personal impacts upon those involved in campaigning. Interview transcripts were analysed using reflexive thematic analysis to identify and interpret patterns in the resulting data. This established the following four themes: </w:t>
      </w:r>
      <w:r w:rsidRPr="00B10BE1">
        <w:rPr>
          <w:rFonts w:ascii="Times New Roman" w:eastAsia="Times New Roman" w:hAnsi="Times New Roman" w:cs="Times New Roman"/>
          <w:kern w:val="2"/>
          <w:sz w:val="24"/>
          <w:szCs w:val="24"/>
          <w14:ligatures w14:val="standardContextual"/>
        </w:rPr>
        <w:t>the relationship prior to the suicide; engagement with media; the emotional impacts of campaigning, and the relationship following the suicide. The</w:t>
      </w:r>
      <w:r w:rsidRPr="00B10BE1">
        <w:rPr>
          <w:rFonts w:ascii="Times New Roman" w:eastAsia="Aptos" w:hAnsi="Times New Roman" w:cs="Times New Roman"/>
          <w:kern w:val="2"/>
          <w:sz w:val="24"/>
          <w:szCs w:val="24"/>
          <w14:ligatures w14:val="standardContextual"/>
        </w:rPr>
        <w:t xml:space="preserve"> results of this study indicate that activism can create a continuing bond between the survivor and their lost loved one. The dynamic nature of activism distinguishes it from other, potentially </w:t>
      </w:r>
      <w:r w:rsidR="0067178A" w:rsidRPr="00B10BE1">
        <w:rPr>
          <w:rFonts w:ascii="Times New Roman" w:eastAsia="Aptos" w:hAnsi="Times New Roman" w:cs="Times New Roman"/>
          <w:kern w:val="2"/>
          <w:sz w:val="24"/>
          <w:szCs w:val="24"/>
          <w14:ligatures w14:val="standardContextual"/>
        </w:rPr>
        <w:t>unhealthy</w:t>
      </w:r>
      <w:r w:rsidRPr="00B10BE1">
        <w:rPr>
          <w:rFonts w:ascii="Times New Roman" w:eastAsia="Aptos" w:hAnsi="Times New Roman" w:cs="Times New Roman"/>
          <w:kern w:val="2"/>
          <w:sz w:val="24"/>
          <w:szCs w:val="24"/>
          <w14:ligatures w14:val="standardContextual"/>
        </w:rPr>
        <w:t xml:space="preserve"> manifestations of continuing bonds.  Activism can facilitate a healthy and evolving post-suicide relationship between the survivor and their lost loved one.</w:t>
      </w:r>
    </w:p>
    <w:p w14:paraId="00F1F2E3" w14:textId="77777777" w:rsidR="008B409F" w:rsidRDefault="008B409F" w:rsidP="00D62EEA">
      <w:pPr>
        <w:pStyle w:val="Heading1"/>
        <w:rPr>
          <w:rFonts w:eastAsia="Aptos"/>
        </w:rPr>
      </w:pPr>
      <w:r w:rsidRPr="00B10BE1">
        <w:rPr>
          <w:rFonts w:eastAsia="Aptos"/>
        </w:rPr>
        <w:t>Keywords</w:t>
      </w:r>
    </w:p>
    <w:p w14:paraId="0C3FADDE" w14:textId="77777777" w:rsidR="00D62EEA" w:rsidRPr="00D62EEA" w:rsidRDefault="00D62EEA" w:rsidP="00D62EEA"/>
    <w:p w14:paraId="15E7C148" w14:textId="143AD8D9" w:rsidR="003E6FEA" w:rsidRPr="00B10BE1" w:rsidRDefault="008B409F" w:rsidP="008378B2">
      <w:pPr>
        <w:spacing w:line="480" w:lineRule="auto"/>
        <w:ind w:left="-76"/>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continuing bonds, gambling related suicide, affected others gambling, gambling harm, suicide activism, grief activism.</w:t>
      </w:r>
    </w:p>
    <w:p w14:paraId="2E7B819C" w14:textId="77777777" w:rsidR="008378B2" w:rsidRPr="00B10BE1" w:rsidRDefault="008378B2" w:rsidP="008378B2">
      <w:pPr>
        <w:spacing w:line="480" w:lineRule="auto"/>
        <w:ind w:left="-76"/>
        <w:jc w:val="both"/>
        <w:rPr>
          <w:rFonts w:ascii="Times New Roman" w:eastAsia="Aptos" w:hAnsi="Times New Roman" w:cs="Times New Roman"/>
          <w:kern w:val="2"/>
          <w:sz w:val="24"/>
          <w:szCs w:val="24"/>
          <w14:ligatures w14:val="standardContextual"/>
        </w:rPr>
      </w:pPr>
    </w:p>
    <w:p w14:paraId="5B145CB8" w14:textId="77777777" w:rsidR="008378B2" w:rsidRDefault="008378B2" w:rsidP="00D62EEA">
      <w:pPr>
        <w:pStyle w:val="Heading1"/>
        <w:rPr>
          <w:rFonts w:eastAsia="Aptos"/>
        </w:rPr>
      </w:pPr>
      <w:r w:rsidRPr="00B10BE1">
        <w:rPr>
          <w:rFonts w:eastAsia="Aptos"/>
        </w:rPr>
        <w:t>Introduction</w:t>
      </w:r>
    </w:p>
    <w:p w14:paraId="0488650E" w14:textId="77777777" w:rsidR="00D62EEA" w:rsidRPr="00D62EEA" w:rsidRDefault="00D62EEA" w:rsidP="00D62EEA"/>
    <w:p w14:paraId="3735E3D9" w14:textId="7F377EC7" w:rsidR="008378B2" w:rsidRPr="00B10BE1" w:rsidRDefault="008378B2" w:rsidP="008378B2">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Although broadly accepted as a legitimate form of entertainment (Holdswo</w:t>
      </w:r>
      <w:r w:rsidR="00FB3310">
        <w:rPr>
          <w:rFonts w:ascii="Times New Roman" w:eastAsia="Aptos" w:hAnsi="Times New Roman" w:cs="Times New Roman"/>
          <w:kern w:val="2"/>
          <w:sz w:val="24"/>
          <w:szCs w:val="24"/>
          <w14:ligatures w14:val="standardContextual"/>
        </w:rPr>
        <w:t>r</w:t>
      </w:r>
      <w:r w:rsidRPr="00B10BE1">
        <w:rPr>
          <w:rFonts w:ascii="Times New Roman" w:eastAsia="Aptos" w:hAnsi="Times New Roman" w:cs="Times New Roman"/>
          <w:kern w:val="2"/>
          <w:sz w:val="24"/>
          <w:szCs w:val="24"/>
          <w14:ligatures w14:val="standardContextual"/>
        </w:rPr>
        <w:t>th et al</w:t>
      </w:r>
      <w:r w:rsidRPr="00B10BE1">
        <w:rPr>
          <w:rFonts w:ascii="Times New Roman" w:eastAsia="Aptos" w:hAnsi="Times New Roman" w:cs="Times New Roman"/>
          <w:i/>
          <w:iCs/>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2013), gambling activity in the UK occupies a continuum.  Relatively innocuous forms of social gambling such as raffles or local lotteries can promote social cohesion and raise significant funds for charity (Cassidy, 2020). The UK Gambling Act (2005), however,</w:t>
      </w:r>
      <w:r w:rsidRPr="00B10BE1">
        <w:rPr>
          <w:rFonts w:ascii="Times New Roman" w:hAnsi="Times New Roman" w:cs="Times New Roman"/>
          <w:sz w:val="24"/>
          <w:szCs w:val="24"/>
        </w:rPr>
        <w:t xml:space="preserve"> ushered in an era of “unrestrained” (Orford, 2020, p.1) gambling in </w:t>
      </w:r>
      <w:r w:rsidR="004C0483" w:rsidRPr="00B10BE1">
        <w:rPr>
          <w:rFonts w:ascii="Times New Roman" w:hAnsi="Times New Roman" w:cs="Times New Roman"/>
          <w:sz w:val="24"/>
          <w:szCs w:val="24"/>
        </w:rPr>
        <w:t>Britain</w:t>
      </w:r>
      <w:r w:rsidRPr="00B10BE1">
        <w:rPr>
          <w:rFonts w:ascii="Times New Roman" w:hAnsi="Times New Roman" w:cs="Times New Roman"/>
          <w:sz w:val="24"/>
          <w:szCs w:val="24"/>
        </w:rPr>
        <w:t xml:space="preserve">.  The extent to which the </w:t>
      </w:r>
      <w:r w:rsidR="004C0483" w:rsidRPr="00B10BE1">
        <w:rPr>
          <w:rFonts w:ascii="Times New Roman" w:hAnsi="Times New Roman" w:cs="Times New Roman"/>
          <w:sz w:val="24"/>
          <w:szCs w:val="24"/>
        </w:rPr>
        <w:t>British</w:t>
      </w:r>
      <w:r w:rsidRPr="00B10BE1">
        <w:rPr>
          <w:rFonts w:ascii="Times New Roman" w:hAnsi="Times New Roman" w:cs="Times New Roman"/>
          <w:sz w:val="24"/>
          <w:szCs w:val="24"/>
        </w:rPr>
        <w:t xml:space="preserve"> gambling establishment influences public discourse around gambling, is not replicated in other jurisdictions (Orford, 2020, pp. 42-57). </w:t>
      </w:r>
      <w:r w:rsidRPr="00B10BE1">
        <w:rPr>
          <w:rFonts w:ascii="Times New Roman" w:eastAsia="Aptos" w:hAnsi="Times New Roman" w:cs="Times New Roman"/>
          <w:kern w:val="2"/>
          <w:sz w:val="24"/>
          <w:szCs w:val="24"/>
          <w14:ligatures w14:val="standardContextual"/>
        </w:rPr>
        <w:t xml:space="preserve">The liberalising impact of the Gambling Act (2005) (Sturgis &amp; </w:t>
      </w:r>
      <w:bookmarkStart w:id="0" w:name="_Hlk174461947"/>
      <w:r w:rsidRPr="00B10BE1">
        <w:rPr>
          <w:rFonts w:ascii="Times New Roman" w:eastAsia="Aptos" w:hAnsi="Times New Roman" w:cs="Times New Roman"/>
          <w:kern w:val="2"/>
          <w:sz w:val="24"/>
          <w:szCs w:val="24"/>
          <w14:ligatures w14:val="standardContextual"/>
        </w:rPr>
        <w:t>Kuha Jouni, 2021</w:t>
      </w:r>
      <w:bookmarkEnd w:id="0"/>
      <w:r w:rsidRPr="00B10BE1">
        <w:rPr>
          <w:rFonts w:ascii="Times New Roman" w:eastAsia="Aptos" w:hAnsi="Times New Roman" w:cs="Times New Roman"/>
          <w:kern w:val="2"/>
          <w:sz w:val="24"/>
          <w:szCs w:val="24"/>
          <w14:ligatures w14:val="standardContextual"/>
        </w:rPr>
        <w:t xml:space="preserve">) also diversified the range of gambling opportunities (Günay, 2024). Increasingly sophisticated electronic gambling machines and new online gambling platforms have been associated with a rise in gambling activity and increased levels of gambling-related harms (George &amp; Bowden-Jones, 2016; Orford, 2019) The most profound harm associated with gambling is suicide. Prevalence of gambling-related suicide is estimated to be 15 times that of the broader adult population (Karlsson and Hakansson, 2018). </w:t>
      </w:r>
    </w:p>
    <w:p w14:paraId="2972CFFA" w14:textId="77777777" w:rsidR="008378B2" w:rsidRPr="00B10BE1" w:rsidRDefault="008378B2" w:rsidP="008378B2">
      <w:pPr>
        <w:spacing w:after="0" w:line="480" w:lineRule="auto"/>
        <w:jc w:val="both"/>
        <w:textAlignment w:val="baseline"/>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People bereaved by gambling-related suicide are at the forefront of an emergent and vocal opposition to the “formidable” (Orford, 2019, p.1) power of the UK gambling establishment.</w:t>
      </w:r>
      <w:r w:rsidRPr="00B10BE1">
        <w:rPr>
          <w:rFonts w:ascii="Times New Roman" w:hAnsi="Times New Roman" w:cs="Times New Roman"/>
          <w:sz w:val="24"/>
          <w:szCs w:val="24"/>
        </w:rPr>
        <w:t xml:space="preserve"> </w:t>
      </w:r>
      <w:r w:rsidRPr="00B10BE1">
        <w:rPr>
          <w:rFonts w:ascii="Times New Roman" w:eastAsia="Aptos" w:hAnsi="Times New Roman" w:cs="Times New Roman"/>
          <w:kern w:val="2"/>
          <w:sz w:val="24"/>
          <w:szCs w:val="24"/>
          <w14:ligatures w14:val="standardContextual"/>
        </w:rPr>
        <w:t xml:space="preserve">Both individually and collectively, profound grief has motivated their calls for regulatory change.  It seems unimaginable that activism can be free of personal impacts at a time of such significant loss. This study aims to explore the unique experiences of those involved in campaigning due to their bereavement, by asking </w:t>
      </w:r>
      <w:bookmarkStart w:id="1" w:name="_Hlk198934862"/>
      <w:r w:rsidRPr="00B10BE1">
        <w:rPr>
          <w:rFonts w:ascii="Times New Roman" w:eastAsia="Aptos" w:hAnsi="Times New Roman" w:cs="Times New Roman"/>
          <w:kern w:val="2"/>
          <w:sz w:val="24"/>
          <w:szCs w:val="24"/>
          <w14:ligatures w14:val="standardContextual"/>
        </w:rPr>
        <w:t xml:space="preserve">“How does involvement in campaigning, impact close relatives bereaved by gambling-related suicide?”    </w:t>
      </w:r>
      <w:bookmarkEnd w:id="1"/>
    </w:p>
    <w:p w14:paraId="34A182FC" w14:textId="77777777" w:rsidR="008378B2" w:rsidRPr="00B10BE1" w:rsidRDefault="008378B2" w:rsidP="008378B2">
      <w:pPr>
        <w:jc w:val="both"/>
        <w:rPr>
          <w:rFonts w:ascii="Times New Roman" w:hAnsi="Times New Roman" w:cs="Times New Roman"/>
          <w:sz w:val="24"/>
          <w:szCs w:val="24"/>
        </w:rPr>
      </w:pPr>
    </w:p>
    <w:p w14:paraId="7FBC8581" w14:textId="77777777" w:rsidR="00441249" w:rsidRDefault="00441249" w:rsidP="00D62EEA">
      <w:pPr>
        <w:pStyle w:val="Heading1"/>
        <w:rPr>
          <w:rFonts w:eastAsia="Aptos"/>
        </w:rPr>
      </w:pPr>
      <w:r w:rsidRPr="00B10BE1">
        <w:rPr>
          <w:rFonts w:eastAsia="Aptos"/>
        </w:rPr>
        <w:lastRenderedPageBreak/>
        <w:t>Literature Review</w:t>
      </w:r>
    </w:p>
    <w:p w14:paraId="3EBDA29E" w14:textId="77777777" w:rsidR="00D62EEA" w:rsidRPr="00D62EEA" w:rsidRDefault="00D62EEA" w:rsidP="00D62EEA"/>
    <w:p w14:paraId="73FB4A71" w14:textId="2FB8969D" w:rsidR="00441249" w:rsidRPr="00B10BE1" w:rsidRDefault="00E62293" w:rsidP="00DF448B">
      <w:pPr>
        <w:spacing w:line="480" w:lineRule="auto"/>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Key</w:t>
      </w:r>
      <w:r w:rsidR="00E33983" w:rsidRPr="00B10BE1">
        <w:rPr>
          <w:rFonts w:ascii="Times New Roman" w:eastAsia="Aptos" w:hAnsi="Times New Roman" w:cs="Times New Roman"/>
          <w:kern w:val="2"/>
          <w:sz w:val="24"/>
          <w:szCs w:val="24"/>
          <w14:ligatures w14:val="standardContextual"/>
        </w:rPr>
        <w:t xml:space="preserve"> search terms were derived from</w:t>
      </w:r>
      <w:r w:rsidRPr="00B10BE1">
        <w:rPr>
          <w:rFonts w:ascii="Times New Roman" w:eastAsia="Aptos" w:hAnsi="Times New Roman" w:cs="Times New Roman"/>
          <w:kern w:val="2"/>
          <w:sz w:val="24"/>
          <w:szCs w:val="24"/>
          <w14:ligatures w14:val="standardContextual"/>
        </w:rPr>
        <w:t xml:space="preserve"> the research question, and dialogue with in-field professionals</w:t>
      </w:r>
      <w:r w:rsidR="00E33983" w:rsidRPr="00B10BE1">
        <w:rPr>
          <w:rFonts w:ascii="Times New Roman" w:eastAsia="Aptos" w:hAnsi="Times New Roman" w:cs="Times New Roman"/>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w:t>
      </w:r>
      <w:r w:rsidR="0067178A" w:rsidRPr="00B10BE1">
        <w:rPr>
          <w:rFonts w:ascii="Times New Roman" w:eastAsia="Aptos" w:hAnsi="Times New Roman" w:cs="Times New Roman"/>
          <w:kern w:val="2"/>
          <w:sz w:val="24"/>
          <w:szCs w:val="24"/>
          <w14:ligatures w14:val="standardContextual"/>
        </w:rPr>
        <w:t>We</w:t>
      </w:r>
      <w:r w:rsidRPr="00B10BE1">
        <w:rPr>
          <w:rFonts w:ascii="Times New Roman" w:eastAsia="Aptos" w:hAnsi="Times New Roman" w:cs="Times New Roman"/>
          <w:kern w:val="2"/>
          <w:sz w:val="24"/>
          <w:szCs w:val="24"/>
          <w14:ligatures w14:val="standardContextual"/>
        </w:rPr>
        <w:t xml:space="preserve"> identified commonly used synonyms</w:t>
      </w:r>
      <w:r w:rsidR="00E33983" w:rsidRPr="00B10BE1">
        <w:rPr>
          <w:rFonts w:ascii="Times New Roman" w:eastAsia="Aptos" w:hAnsi="Times New Roman" w:cs="Times New Roman"/>
          <w:kern w:val="2"/>
          <w:sz w:val="24"/>
          <w:szCs w:val="24"/>
          <w14:ligatures w14:val="standardContextual"/>
        </w:rPr>
        <w:t>, and to</w:t>
      </w:r>
      <w:r w:rsidRPr="00B10BE1">
        <w:rPr>
          <w:rFonts w:ascii="Times New Roman" w:eastAsia="Aptos" w:hAnsi="Times New Roman" w:cs="Times New Roman"/>
          <w:kern w:val="2"/>
          <w:sz w:val="24"/>
          <w:szCs w:val="24"/>
          <w14:ligatures w14:val="standardContextual"/>
        </w:rPr>
        <w:t>gether these formed the basis of the literature search (Table 1).</w:t>
      </w:r>
      <w:r w:rsidR="00ED038A" w:rsidRPr="00B10BE1">
        <w:rPr>
          <w:rFonts w:ascii="Times New Roman" w:eastAsia="Aptos" w:hAnsi="Times New Roman" w:cs="Times New Roman"/>
          <w:kern w:val="2"/>
          <w:sz w:val="24"/>
          <w:szCs w:val="24"/>
          <w14:ligatures w14:val="standardContextual"/>
        </w:rPr>
        <w:t xml:space="preserve"> </w:t>
      </w:r>
      <w:r w:rsidR="00E33983" w:rsidRPr="00B10BE1">
        <w:rPr>
          <w:rFonts w:ascii="Times New Roman" w:eastAsia="Aptos" w:hAnsi="Times New Roman" w:cs="Times New Roman"/>
          <w:kern w:val="2"/>
          <w:sz w:val="24"/>
          <w:szCs w:val="24"/>
          <w14:ligatures w14:val="standardContextual"/>
        </w:rPr>
        <w:t xml:space="preserve">Using the </w:t>
      </w:r>
      <w:proofErr w:type="spellStart"/>
      <w:r w:rsidR="00E33983" w:rsidRPr="00B10BE1">
        <w:rPr>
          <w:rFonts w:ascii="Times New Roman" w:eastAsia="Aptos" w:hAnsi="Times New Roman" w:cs="Times New Roman"/>
          <w:kern w:val="2"/>
          <w:sz w:val="24"/>
          <w:szCs w:val="24"/>
          <w14:ligatures w14:val="standardContextual"/>
        </w:rPr>
        <w:t>Ebscohost</w:t>
      </w:r>
      <w:proofErr w:type="spellEnd"/>
      <w:r w:rsidR="00E33983" w:rsidRPr="00B10BE1">
        <w:rPr>
          <w:rFonts w:ascii="Times New Roman" w:eastAsia="Aptos" w:hAnsi="Times New Roman" w:cs="Times New Roman"/>
          <w:kern w:val="2"/>
          <w:sz w:val="24"/>
          <w:szCs w:val="24"/>
          <w14:ligatures w14:val="standardContextual"/>
        </w:rPr>
        <w:t xml:space="preserve"> platform, </w:t>
      </w:r>
      <w:bookmarkStart w:id="2" w:name="_Hlk184978883"/>
      <w:r w:rsidR="0067178A" w:rsidRPr="00B10BE1">
        <w:rPr>
          <w:rFonts w:ascii="Times New Roman" w:eastAsia="Aptos" w:hAnsi="Times New Roman" w:cs="Times New Roman"/>
          <w:kern w:val="2"/>
          <w:sz w:val="24"/>
          <w:szCs w:val="24"/>
          <w14:ligatures w14:val="standardContextual"/>
        </w:rPr>
        <w:t>we</w:t>
      </w:r>
      <w:r w:rsidR="00E33983" w:rsidRPr="00B10BE1">
        <w:rPr>
          <w:rFonts w:ascii="Times New Roman" w:eastAsia="Aptos" w:hAnsi="Times New Roman" w:cs="Times New Roman"/>
          <w:kern w:val="2"/>
          <w:sz w:val="24"/>
          <w:szCs w:val="24"/>
          <w14:ligatures w14:val="standardContextual"/>
        </w:rPr>
        <w:t xml:space="preserve"> </w:t>
      </w:r>
      <w:bookmarkEnd w:id="2"/>
      <w:r w:rsidR="00E33983" w:rsidRPr="00B10BE1">
        <w:rPr>
          <w:rFonts w:ascii="Times New Roman" w:eastAsia="Aptos" w:hAnsi="Times New Roman" w:cs="Times New Roman"/>
          <w:kern w:val="2"/>
          <w:sz w:val="24"/>
          <w:szCs w:val="24"/>
          <w14:ligatures w14:val="standardContextual"/>
        </w:rPr>
        <w:t xml:space="preserve">searched the following journals: Psychinfo; APA PsycArticles; CINAHL, and SocINDEX (Table 2). </w:t>
      </w:r>
      <w:r w:rsidR="0067178A" w:rsidRPr="00B10BE1">
        <w:rPr>
          <w:rFonts w:ascii="Times New Roman" w:eastAsia="Aptos" w:hAnsi="Times New Roman" w:cs="Times New Roman"/>
          <w:kern w:val="2"/>
          <w:sz w:val="24"/>
          <w:szCs w:val="24"/>
          <w14:ligatures w14:val="standardContextual"/>
        </w:rPr>
        <w:t>we</w:t>
      </w:r>
      <w:r w:rsidR="00E33983" w:rsidRPr="00B10BE1">
        <w:rPr>
          <w:rFonts w:ascii="Times New Roman" w:eastAsia="Aptos" w:hAnsi="Times New Roman" w:cs="Times New Roman"/>
          <w:kern w:val="2"/>
          <w:sz w:val="24"/>
          <w:szCs w:val="24"/>
          <w14:ligatures w14:val="standardContextual"/>
        </w:rPr>
        <w:t xml:space="preserve"> also replicated the search using Google Scholar. The search period spanned 1995-2024. This incorporated the post-2005 period of impactful deregulation and 10 years prior, to avoid omitting contemporary influential research.</w:t>
      </w:r>
    </w:p>
    <w:p w14:paraId="5216249B" w14:textId="3FD09DA9" w:rsidR="009D4878" w:rsidRPr="009D4878" w:rsidRDefault="009D4878" w:rsidP="00D62EEA">
      <w:pPr>
        <w:pStyle w:val="Heading2"/>
        <w:rPr>
          <w:rFonts w:eastAsia="Aptos"/>
          <w:sz w:val="24"/>
          <w:szCs w:val="24"/>
        </w:rPr>
      </w:pPr>
      <w:r w:rsidRPr="00B10BE1">
        <w:rPr>
          <w:rFonts w:eastAsia="Aptos"/>
        </w:rPr>
        <w:t>Table</w:t>
      </w:r>
      <w:r>
        <w:rPr>
          <w:rFonts w:eastAsia="Aptos"/>
        </w:rPr>
        <w:t xml:space="preserve"> 1.</w:t>
      </w:r>
    </w:p>
    <w:tbl>
      <w:tblPr>
        <w:tblW w:w="9638" w:type="dxa"/>
        <w:shd w:val="clear" w:color="auto" w:fill="F9F9F9"/>
        <w:tblCellMar>
          <w:top w:w="15" w:type="dxa"/>
          <w:left w:w="15" w:type="dxa"/>
          <w:bottom w:w="15" w:type="dxa"/>
          <w:right w:w="15" w:type="dxa"/>
        </w:tblCellMar>
        <w:tblLook w:val="04A0" w:firstRow="1" w:lastRow="0" w:firstColumn="1" w:lastColumn="0" w:noHBand="0" w:noVBand="1"/>
      </w:tblPr>
      <w:tblGrid>
        <w:gridCol w:w="3123"/>
        <w:gridCol w:w="1442"/>
        <w:gridCol w:w="5073"/>
      </w:tblGrid>
      <w:tr w:rsidR="009D4878" w:rsidRPr="009D4878" w14:paraId="66B1D500" w14:textId="77777777" w:rsidTr="009D4878">
        <w:trPr>
          <w:tblHeader/>
        </w:trPr>
        <w:tc>
          <w:tcPr>
            <w:tcW w:w="0" w:type="auto"/>
            <w:gridSpan w:val="3"/>
            <w:tcBorders>
              <w:top w:val="nil"/>
              <w:left w:val="nil"/>
              <w:bottom w:val="nil"/>
              <w:right w:val="nil"/>
            </w:tcBorders>
            <w:shd w:val="clear" w:color="auto" w:fill="E8E8E8"/>
            <w:tcMar>
              <w:top w:w="120" w:type="dxa"/>
              <w:left w:w="120" w:type="dxa"/>
              <w:bottom w:w="120" w:type="dxa"/>
              <w:right w:w="120" w:type="dxa"/>
            </w:tcMar>
            <w:vAlign w:val="center"/>
            <w:hideMark/>
          </w:tcPr>
          <w:p w14:paraId="2B90A25F" w14:textId="77777777" w:rsidR="009D4878" w:rsidRPr="009D4878" w:rsidRDefault="009D4878" w:rsidP="009D4878">
            <w:pPr>
              <w:spacing w:before="120" w:after="30" w:line="240" w:lineRule="auto"/>
              <w:jc w:val="both"/>
              <w:rPr>
                <w:rFonts w:ascii="Times New Roman" w:eastAsia="Times New Roman" w:hAnsi="Times New Roman" w:cs="Times New Roman"/>
                <w:b/>
                <w:bCs/>
                <w:color w:val="222222"/>
                <w:sz w:val="18"/>
                <w:szCs w:val="18"/>
                <w:lang w:eastAsia="en-GB"/>
              </w:rPr>
            </w:pPr>
            <w:r w:rsidRPr="009D4878">
              <w:rPr>
                <w:rFonts w:ascii="Times New Roman" w:eastAsia="Times New Roman" w:hAnsi="Times New Roman" w:cs="Times New Roman"/>
                <w:b/>
                <w:bCs/>
                <w:color w:val="222222"/>
                <w:sz w:val="18"/>
                <w:szCs w:val="18"/>
                <w:lang w:eastAsia="en-GB"/>
              </w:rPr>
              <w:t>Literature Search Terms.</w:t>
            </w:r>
          </w:p>
        </w:tc>
      </w:tr>
      <w:tr w:rsidR="009D4878" w:rsidRPr="009D4878" w14:paraId="443AAC7E" w14:textId="77777777" w:rsidTr="009D4878">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E8E8E8"/>
            <w:tcMar>
              <w:top w:w="120" w:type="dxa"/>
              <w:left w:w="120" w:type="dxa"/>
              <w:bottom w:w="120" w:type="dxa"/>
              <w:right w:w="120" w:type="dxa"/>
            </w:tcMar>
            <w:vAlign w:val="center"/>
            <w:hideMark/>
          </w:tcPr>
          <w:p w14:paraId="4F454D92" w14:textId="77777777" w:rsidR="009D4878" w:rsidRPr="009D4878" w:rsidRDefault="009D4878" w:rsidP="009D4878">
            <w:pPr>
              <w:spacing w:before="120" w:after="30" w:line="240" w:lineRule="auto"/>
              <w:rPr>
                <w:rFonts w:ascii="Times New Roman" w:eastAsia="Times New Roman" w:hAnsi="Times New Roman" w:cs="Times New Roman"/>
                <w:b/>
                <w:bCs/>
                <w:color w:val="474747"/>
                <w:sz w:val="18"/>
                <w:szCs w:val="18"/>
                <w:lang w:eastAsia="en-GB"/>
              </w:rPr>
            </w:pPr>
            <w:r w:rsidRPr="009D4878">
              <w:rPr>
                <w:rFonts w:ascii="Times New Roman" w:eastAsia="Times New Roman" w:hAnsi="Times New Roman" w:cs="Times New Roman"/>
                <w:b/>
                <w:bCs/>
                <w:color w:val="474747"/>
                <w:sz w:val="18"/>
                <w:szCs w:val="18"/>
                <w:lang w:eastAsia="en-GB"/>
              </w:rPr>
              <w:t>Databases used</w:t>
            </w:r>
          </w:p>
        </w:tc>
        <w:tc>
          <w:tcPr>
            <w:tcW w:w="0" w:type="auto"/>
            <w:tcBorders>
              <w:top w:val="single" w:sz="6" w:space="0" w:color="D9D9D9"/>
              <w:left w:val="single" w:sz="6" w:space="0" w:color="D9D9D9"/>
              <w:bottom w:val="single" w:sz="6" w:space="0" w:color="D9D9D9"/>
              <w:right w:val="single" w:sz="6" w:space="0" w:color="D9D9D9"/>
            </w:tcBorders>
            <w:shd w:val="clear" w:color="auto" w:fill="E8E8E8"/>
            <w:tcMar>
              <w:top w:w="120" w:type="dxa"/>
              <w:left w:w="120" w:type="dxa"/>
              <w:bottom w:w="120" w:type="dxa"/>
              <w:right w:w="120" w:type="dxa"/>
            </w:tcMar>
            <w:vAlign w:val="center"/>
            <w:hideMark/>
          </w:tcPr>
          <w:p w14:paraId="30BDBB72" w14:textId="77777777" w:rsidR="009D4878" w:rsidRPr="009D4878" w:rsidRDefault="009D4878" w:rsidP="009D4878">
            <w:pPr>
              <w:spacing w:before="120" w:after="30" w:line="240" w:lineRule="auto"/>
              <w:rPr>
                <w:rFonts w:ascii="Times New Roman" w:eastAsia="Times New Roman" w:hAnsi="Times New Roman" w:cs="Times New Roman"/>
                <w:b/>
                <w:bCs/>
                <w:color w:val="474747"/>
                <w:sz w:val="18"/>
                <w:szCs w:val="18"/>
                <w:lang w:eastAsia="en-GB"/>
              </w:rPr>
            </w:pPr>
            <w:r w:rsidRPr="009D4878">
              <w:rPr>
                <w:rFonts w:ascii="Times New Roman" w:eastAsia="Times New Roman" w:hAnsi="Times New Roman" w:cs="Times New Roman"/>
                <w:b/>
                <w:bCs/>
                <w:color w:val="474747"/>
                <w:sz w:val="18"/>
                <w:szCs w:val="18"/>
                <w:lang w:eastAsia="en-GB"/>
              </w:rPr>
              <w:t>Keyword</w:t>
            </w:r>
          </w:p>
        </w:tc>
        <w:tc>
          <w:tcPr>
            <w:tcW w:w="0" w:type="auto"/>
            <w:tcBorders>
              <w:top w:val="single" w:sz="6" w:space="0" w:color="D9D9D9"/>
              <w:left w:val="single" w:sz="6" w:space="0" w:color="D9D9D9"/>
              <w:bottom w:val="single" w:sz="6" w:space="0" w:color="D9D9D9"/>
              <w:right w:val="single" w:sz="6" w:space="0" w:color="D9D9D9"/>
            </w:tcBorders>
            <w:shd w:val="clear" w:color="auto" w:fill="E8E8E8"/>
            <w:tcMar>
              <w:top w:w="120" w:type="dxa"/>
              <w:left w:w="120" w:type="dxa"/>
              <w:bottom w:w="120" w:type="dxa"/>
              <w:right w:w="120" w:type="dxa"/>
            </w:tcMar>
            <w:vAlign w:val="center"/>
            <w:hideMark/>
          </w:tcPr>
          <w:p w14:paraId="79CCE358" w14:textId="77777777" w:rsidR="009D4878" w:rsidRPr="009D4878" w:rsidRDefault="009D4878" w:rsidP="009D4878">
            <w:pPr>
              <w:spacing w:before="120" w:after="30" w:line="240" w:lineRule="auto"/>
              <w:rPr>
                <w:rFonts w:ascii="Times New Roman" w:eastAsia="Times New Roman" w:hAnsi="Times New Roman" w:cs="Times New Roman"/>
                <w:b/>
                <w:bCs/>
                <w:color w:val="474747"/>
                <w:sz w:val="18"/>
                <w:szCs w:val="18"/>
                <w:lang w:eastAsia="en-GB"/>
              </w:rPr>
            </w:pPr>
            <w:r w:rsidRPr="009D4878">
              <w:rPr>
                <w:rFonts w:ascii="Times New Roman" w:eastAsia="Times New Roman" w:hAnsi="Times New Roman" w:cs="Times New Roman"/>
                <w:b/>
                <w:bCs/>
                <w:color w:val="474747"/>
                <w:sz w:val="18"/>
                <w:szCs w:val="18"/>
                <w:lang w:eastAsia="en-GB"/>
              </w:rPr>
              <w:t>Alternative words and derivatives</w:t>
            </w:r>
          </w:p>
        </w:tc>
      </w:tr>
      <w:tr w:rsidR="009D4878" w:rsidRPr="009D4878" w14:paraId="662DD939"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19F82BA0"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proofErr w:type="spellStart"/>
            <w:r w:rsidRPr="009D4878">
              <w:rPr>
                <w:rFonts w:ascii="Times New Roman" w:eastAsia="Times New Roman" w:hAnsi="Times New Roman" w:cs="Times New Roman"/>
                <w:color w:val="222222"/>
                <w:sz w:val="18"/>
                <w:szCs w:val="18"/>
                <w:lang w:eastAsia="en-GB"/>
              </w:rPr>
              <w:t>Psychinfo</w:t>
            </w:r>
            <w:proofErr w:type="spellEnd"/>
            <w:r w:rsidRPr="009D4878">
              <w:rPr>
                <w:rFonts w:ascii="Times New Roman" w:eastAsia="Times New Roman" w:hAnsi="Times New Roman" w:cs="Times New Roman"/>
                <w:color w:val="222222"/>
                <w:sz w:val="18"/>
                <w:szCs w:val="18"/>
                <w:lang w:eastAsia="en-GB"/>
              </w:rPr>
              <w:t xml:space="preserve">; APA </w:t>
            </w:r>
            <w:proofErr w:type="spellStart"/>
            <w:r w:rsidRPr="009D4878">
              <w:rPr>
                <w:rFonts w:ascii="Times New Roman" w:eastAsia="Times New Roman" w:hAnsi="Times New Roman" w:cs="Times New Roman"/>
                <w:color w:val="222222"/>
                <w:sz w:val="18"/>
                <w:szCs w:val="18"/>
                <w:lang w:eastAsia="en-GB"/>
              </w:rPr>
              <w:t>PsycArticles</w:t>
            </w:r>
            <w:proofErr w:type="spellEnd"/>
            <w:r w:rsidRPr="009D4878">
              <w:rPr>
                <w:rFonts w:ascii="Times New Roman" w:eastAsia="Times New Roman" w:hAnsi="Times New Roman" w:cs="Times New Roman"/>
                <w:color w:val="222222"/>
                <w:sz w:val="18"/>
                <w:szCs w:val="18"/>
                <w:lang w:eastAsia="en-GB"/>
              </w:rPr>
              <w:t xml:space="preserve">; CINAHL, and </w:t>
            </w:r>
            <w:proofErr w:type="spellStart"/>
            <w:r w:rsidRPr="009D4878">
              <w:rPr>
                <w:rFonts w:ascii="Times New Roman" w:eastAsia="Times New Roman" w:hAnsi="Times New Roman" w:cs="Times New Roman"/>
                <w:color w:val="222222"/>
                <w:sz w:val="18"/>
                <w:szCs w:val="18"/>
                <w:lang w:eastAsia="en-GB"/>
              </w:rPr>
              <w:t>SocINDEX</w:t>
            </w:r>
            <w:proofErr w:type="spellEnd"/>
            <w:r w:rsidRPr="009D4878">
              <w:rPr>
                <w:rFonts w:ascii="Times New Roman" w:eastAsia="Times New Roman" w:hAnsi="Times New Roman" w:cs="Times New Roman"/>
                <w:color w:val="222222"/>
                <w:sz w:val="18"/>
                <w:szCs w:val="18"/>
                <w:lang w:eastAsia="en-GB"/>
              </w:rPr>
              <w:t>; Google Scholar</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60AE6866"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Campaigning AND</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1DE7F1A4"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proofErr w:type="spellStart"/>
            <w:r w:rsidRPr="009D4878">
              <w:rPr>
                <w:rFonts w:ascii="Times New Roman" w:eastAsia="Times New Roman" w:hAnsi="Times New Roman" w:cs="Times New Roman"/>
                <w:color w:val="222222"/>
                <w:sz w:val="18"/>
                <w:szCs w:val="18"/>
                <w:lang w:eastAsia="en-GB"/>
              </w:rPr>
              <w:t>Activis</w:t>
            </w:r>
            <w:proofErr w:type="spellEnd"/>
            <w:r w:rsidRPr="009D4878">
              <w:rPr>
                <w:rFonts w:ascii="Times New Roman" w:eastAsia="Times New Roman" w:hAnsi="Times New Roman" w:cs="Times New Roman"/>
                <w:color w:val="222222"/>
                <w:sz w:val="18"/>
                <w:szCs w:val="18"/>
                <w:lang w:eastAsia="en-GB"/>
              </w:rPr>
              <w:t>*, campaign*, protest*</w:t>
            </w:r>
          </w:p>
        </w:tc>
      </w:tr>
      <w:tr w:rsidR="009D4878" w:rsidRPr="009D4878" w14:paraId="1E2A1C97"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07F345D7"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proofErr w:type="spellStart"/>
            <w:r w:rsidRPr="009D4878">
              <w:rPr>
                <w:rFonts w:ascii="Times New Roman" w:eastAsia="Times New Roman" w:hAnsi="Times New Roman" w:cs="Times New Roman"/>
                <w:color w:val="222222"/>
                <w:sz w:val="18"/>
                <w:szCs w:val="18"/>
                <w:lang w:eastAsia="en-GB"/>
              </w:rPr>
              <w:t>Psychinfo</w:t>
            </w:r>
            <w:proofErr w:type="spellEnd"/>
            <w:r w:rsidRPr="009D4878">
              <w:rPr>
                <w:rFonts w:ascii="Times New Roman" w:eastAsia="Times New Roman" w:hAnsi="Times New Roman" w:cs="Times New Roman"/>
                <w:color w:val="222222"/>
                <w:sz w:val="18"/>
                <w:szCs w:val="18"/>
                <w:lang w:eastAsia="en-GB"/>
              </w:rPr>
              <w:t xml:space="preserve">; APA </w:t>
            </w:r>
            <w:proofErr w:type="spellStart"/>
            <w:r w:rsidRPr="009D4878">
              <w:rPr>
                <w:rFonts w:ascii="Times New Roman" w:eastAsia="Times New Roman" w:hAnsi="Times New Roman" w:cs="Times New Roman"/>
                <w:color w:val="222222"/>
                <w:sz w:val="18"/>
                <w:szCs w:val="18"/>
                <w:lang w:eastAsia="en-GB"/>
              </w:rPr>
              <w:t>PsycArticles</w:t>
            </w:r>
            <w:proofErr w:type="spellEnd"/>
            <w:r w:rsidRPr="009D4878">
              <w:rPr>
                <w:rFonts w:ascii="Times New Roman" w:eastAsia="Times New Roman" w:hAnsi="Times New Roman" w:cs="Times New Roman"/>
                <w:color w:val="222222"/>
                <w:sz w:val="18"/>
                <w:szCs w:val="18"/>
                <w:lang w:eastAsia="en-GB"/>
              </w:rPr>
              <w:t xml:space="preserve">; CINAHL, and </w:t>
            </w:r>
            <w:proofErr w:type="spellStart"/>
            <w:r w:rsidRPr="009D4878">
              <w:rPr>
                <w:rFonts w:ascii="Times New Roman" w:eastAsia="Times New Roman" w:hAnsi="Times New Roman" w:cs="Times New Roman"/>
                <w:color w:val="222222"/>
                <w:sz w:val="18"/>
                <w:szCs w:val="18"/>
                <w:lang w:eastAsia="en-GB"/>
              </w:rPr>
              <w:t>SocINDEX</w:t>
            </w:r>
            <w:proofErr w:type="spellEnd"/>
            <w:r w:rsidRPr="009D4878">
              <w:rPr>
                <w:rFonts w:ascii="Times New Roman" w:eastAsia="Times New Roman" w:hAnsi="Times New Roman" w:cs="Times New Roman"/>
                <w:color w:val="222222"/>
                <w:sz w:val="18"/>
                <w:szCs w:val="18"/>
                <w:lang w:eastAsia="en-GB"/>
              </w:rPr>
              <w:t>; Google Scholar</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1ACAEC53"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Close relatives AND</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75D8EDDD"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Loved one, family member, impacted other, affected other, concerned significant other, sibling; child*, husband; wife, wives, partner</w:t>
            </w:r>
          </w:p>
        </w:tc>
      </w:tr>
      <w:tr w:rsidR="009D4878" w:rsidRPr="009D4878" w14:paraId="57B0E147"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50979682"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proofErr w:type="spellStart"/>
            <w:r w:rsidRPr="009D4878">
              <w:rPr>
                <w:rFonts w:ascii="Times New Roman" w:eastAsia="Times New Roman" w:hAnsi="Times New Roman" w:cs="Times New Roman"/>
                <w:color w:val="222222"/>
                <w:sz w:val="18"/>
                <w:szCs w:val="18"/>
                <w:lang w:eastAsia="en-GB"/>
              </w:rPr>
              <w:t>Psychinfo</w:t>
            </w:r>
            <w:proofErr w:type="spellEnd"/>
            <w:r w:rsidRPr="009D4878">
              <w:rPr>
                <w:rFonts w:ascii="Times New Roman" w:eastAsia="Times New Roman" w:hAnsi="Times New Roman" w:cs="Times New Roman"/>
                <w:color w:val="222222"/>
                <w:sz w:val="18"/>
                <w:szCs w:val="18"/>
                <w:lang w:eastAsia="en-GB"/>
              </w:rPr>
              <w:t xml:space="preserve">; APA </w:t>
            </w:r>
            <w:proofErr w:type="spellStart"/>
            <w:r w:rsidRPr="009D4878">
              <w:rPr>
                <w:rFonts w:ascii="Times New Roman" w:eastAsia="Times New Roman" w:hAnsi="Times New Roman" w:cs="Times New Roman"/>
                <w:color w:val="222222"/>
                <w:sz w:val="18"/>
                <w:szCs w:val="18"/>
                <w:lang w:eastAsia="en-GB"/>
              </w:rPr>
              <w:t>PsycArticles</w:t>
            </w:r>
            <w:proofErr w:type="spellEnd"/>
            <w:r w:rsidRPr="009D4878">
              <w:rPr>
                <w:rFonts w:ascii="Times New Roman" w:eastAsia="Times New Roman" w:hAnsi="Times New Roman" w:cs="Times New Roman"/>
                <w:color w:val="222222"/>
                <w:sz w:val="18"/>
                <w:szCs w:val="18"/>
                <w:lang w:eastAsia="en-GB"/>
              </w:rPr>
              <w:t xml:space="preserve">; CINAHL, and </w:t>
            </w:r>
            <w:proofErr w:type="spellStart"/>
            <w:r w:rsidRPr="009D4878">
              <w:rPr>
                <w:rFonts w:ascii="Times New Roman" w:eastAsia="Times New Roman" w:hAnsi="Times New Roman" w:cs="Times New Roman"/>
                <w:color w:val="222222"/>
                <w:sz w:val="18"/>
                <w:szCs w:val="18"/>
                <w:lang w:eastAsia="en-GB"/>
              </w:rPr>
              <w:t>SocINDEX</w:t>
            </w:r>
            <w:proofErr w:type="spellEnd"/>
            <w:r w:rsidRPr="009D4878">
              <w:rPr>
                <w:rFonts w:ascii="Times New Roman" w:eastAsia="Times New Roman" w:hAnsi="Times New Roman" w:cs="Times New Roman"/>
                <w:color w:val="222222"/>
                <w:sz w:val="18"/>
                <w:szCs w:val="18"/>
                <w:lang w:eastAsia="en-GB"/>
              </w:rPr>
              <w:t>; Google Scholar</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6275E845"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Suicide AND</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605C803F"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Bereave*, grief, grieving, death, dead</w:t>
            </w:r>
          </w:p>
        </w:tc>
      </w:tr>
      <w:tr w:rsidR="009D4878" w:rsidRPr="009D4878" w14:paraId="4897E09E"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37BF4C51"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proofErr w:type="spellStart"/>
            <w:r w:rsidRPr="009D4878">
              <w:rPr>
                <w:rFonts w:ascii="Times New Roman" w:eastAsia="Times New Roman" w:hAnsi="Times New Roman" w:cs="Times New Roman"/>
                <w:color w:val="222222"/>
                <w:sz w:val="18"/>
                <w:szCs w:val="18"/>
                <w:lang w:eastAsia="en-GB"/>
              </w:rPr>
              <w:t>Psychinfo</w:t>
            </w:r>
            <w:proofErr w:type="spellEnd"/>
            <w:r w:rsidRPr="009D4878">
              <w:rPr>
                <w:rFonts w:ascii="Times New Roman" w:eastAsia="Times New Roman" w:hAnsi="Times New Roman" w:cs="Times New Roman"/>
                <w:color w:val="222222"/>
                <w:sz w:val="18"/>
                <w:szCs w:val="18"/>
                <w:lang w:eastAsia="en-GB"/>
              </w:rPr>
              <w:t xml:space="preserve">; APA </w:t>
            </w:r>
            <w:proofErr w:type="spellStart"/>
            <w:r w:rsidRPr="009D4878">
              <w:rPr>
                <w:rFonts w:ascii="Times New Roman" w:eastAsia="Times New Roman" w:hAnsi="Times New Roman" w:cs="Times New Roman"/>
                <w:color w:val="222222"/>
                <w:sz w:val="18"/>
                <w:szCs w:val="18"/>
                <w:lang w:eastAsia="en-GB"/>
              </w:rPr>
              <w:t>PsycArticles</w:t>
            </w:r>
            <w:proofErr w:type="spellEnd"/>
            <w:r w:rsidRPr="009D4878">
              <w:rPr>
                <w:rFonts w:ascii="Times New Roman" w:eastAsia="Times New Roman" w:hAnsi="Times New Roman" w:cs="Times New Roman"/>
                <w:color w:val="222222"/>
                <w:sz w:val="18"/>
                <w:szCs w:val="18"/>
                <w:lang w:eastAsia="en-GB"/>
              </w:rPr>
              <w:t xml:space="preserve">; CINAHL, and </w:t>
            </w:r>
            <w:proofErr w:type="spellStart"/>
            <w:r w:rsidRPr="009D4878">
              <w:rPr>
                <w:rFonts w:ascii="Times New Roman" w:eastAsia="Times New Roman" w:hAnsi="Times New Roman" w:cs="Times New Roman"/>
                <w:color w:val="222222"/>
                <w:sz w:val="18"/>
                <w:szCs w:val="18"/>
                <w:lang w:eastAsia="en-GB"/>
              </w:rPr>
              <w:t>SocINDEX</w:t>
            </w:r>
            <w:proofErr w:type="spellEnd"/>
            <w:r w:rsidRPr="009D4878">
              <w:rPr>
                <w:rFonts w:ascii="Times New Roman" w:eastAsia="Times New Roman" w:hAnsi="Times New Roman" w:cs="Times New Roman"/>
                <w:color w:val="222222"/>
                <w:sz w:val="18"/>
                <w:szCs w:val="18"/>
                <w:lang w:eastAsia="en-GB"/>
              </w:rPr>
              <w:t>; Google Scholar</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40DF8C01"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Gambling AND</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5B0ACE44"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 xml:space="preserve">Gambling harm, gambling addict*, problem* </w:t>
            </w:r>
            <w:proofErr w:type="spellStart"/>
            <w:r w:rsidRPr="009D4878">
              <w:rPr>
                <w:rFonts w:ascii="Times New Roman" w:eastAsia="Times New Roman" w:hAnsi="Times New Roman" w:cs="Times New Roman"/>
                <w:color w:val="222222"/>
                <w:sz w:val="18"/>
                <w:szCs w:val="18"/>
                <w:lang w:eastAsia="en-GB"/>
              </w:rPr>
              <w:t>gambl</w:t>
            </w:r>
            <w:proofErr w:type="spellEnd"/>
            <w:r w:rsidRPr="009D4878">
              <w:rPr>
                <w:rFonts w:ascii="Times New Roman" w:eastAsia="Times New Roman" w:hAnsi="Times New Roman" w:cs="Times New Roman"/>
                <w:color w:val="222222"/>
                <w:sz w:val="18"/>
                <w:szCs w:val="18"/>
                <w:lang w:eastAsia="en-GB"/>
              </w:rPr>
              <w:t xml:space="preserve">*, disordered </w:t>
            </w:r>
            <w:proofErr w:type="spellStart"/>
            <w:r w:rsidRPr="009D4878">
              <w:rPr>
                <w:rFonts w:ascii="Times New Roman" w:eastAsia="Times New Roman" w:hAnsi="Times New Roman" w:cs="Times New Roman"/>
                <w:color w:val="222222"/>
                <w:sz w:val="18"/>
                <w:szCs w:val="18"/>
                <w:lang w:eastAsia="en-GB"/>
              </w:rPr>
              <w:t>gambl</w:t>
            </w:r>
            <w:proofErr w:type="spellEnd"/>
            <w:r w:rsidRPr="009D4878">
              <w:rPr>
                <w:rFonts w:ascii="Times New Roman" w:eastAsia="Times New Roman" w:hAnsi="Times New Roman" w:cs="Times New Roman"/>
                <w:color w:val="222222"/>
                <w:sz w:val="18"/>
                <w:szCs w:val="18"/>
                <w:lang w:eastAsia="en-GB"/>
              </w:rPr>
              <w:t xml:space="preserve">*, gambling disorder*, pathological </w:t>
            </w:r>
            <w:proofErr w:type="spellStart"/>
            <w:r w:rsidRPr="009D4878">
              <w:rPr>
                <w:rFonts w:ascii="Times New Roman" w:eastAsia="Times New Roman" w:hAnsi="Times New Roman" w:cs="Times New Roman"/>
                <w:color w:val="222222"/>
                <w:sz w:val="18"/>
                <w:szCs w:val="18"/>
                <w:lang w:eastAsia="en-GB"/>
              </w:rPr>
              <w:t>gambl</w:t>
            </w:r>
            <w:proofErr w:type="spellEnd"/>
            <w:r w:rsidRPr="009D4878">
              <w:rPr>
                <w:rFonts w:ascii="Times New Roman" w:eastAsia="Times New Roman" w:hAnsi="Times New Roman" w:cs="Times New Roman"/>
                <w:color w:val="222222"/>
                <w:sz w:val="18"/>
                <w:szCs w:val="18"/>
                <w:lang w:eastAsia="en-GB"/>
              </w:rPr>
              <w:t xml:space="preserve">*. Responsible </w:t>
            </w:r>
            <w:proofErr w:type="spellStart"/>
            <w:r w:rsidRPr="009D4878">
              <w:rPr>
                <w:rFonts w:ascii="Times New Roman" w:eastAsia="Times New Roman" w:hAnsi="Times New Roman" w:cs="Times New Roman"/>
                <w:color w:val="222222"/>
                <w:sz w:val="18"/>
                <w:szCs w:val="18"/>
                <w:lang w:eastAsia="en-GB"/>
              </w:rPr>
              <w:t>gambl</w:t>
            </w:r>
            <w:proofErr w:type="spellEnd"/>
            <w:r w:rsidRPr="009D4878">
              <w:rPr>
                <w:rFonts w:ascii="Times New Roman" w:eastAsia="Times New Roman" w:hAnsi="Times New Roman" w:cs="Times New Roman"/>
                <w:color w:val="222222"/>
                <w:sz w:val="18"/>
                <w:szCs w:val="18"/>
                <w:lang w:eastAsia="en-GB"/>
              </w:rPr>
              <w:t>*</w:t>
            </w:r>
          </w:p>
        </w:tc>
      </w:tr>
    </w:tbl>
    <w:p w14:paraId="7915C874" w14:textId="4FF33209" w:rsidR="00441249" w:rsidRPr="00B10BE1" w:rsidRDefault="00441249" w:rsidP="00DF448B">
      <w:pPr>
        <w:spacing w:after="0" w:line="480" w:lineRule="auto"/>
        <w:rPr>
          <w:rFonts w:ascii="Times New Roman" w:eastAsia="Aptos" w:hAnsi="Times New Roman" w:cs="Times New Roman"/>
          <w:kern w:val="2"/>
          <w:sz w:val="32"/>
          <w:szCs w:val="32"/>
          <w14:ligatures w14:val="standardContextual"/>
        </w:rPr>
      </w:pPr>
    </w:p>
    <w:p w14:paraId="3689AA93" w14:textId="77777777" w:rsidR="00E70BFF" w:rsidRDefault="00E70BFF" w:rsidP="009D4878">
      <w:pPr>
        <w:spacing w:line="480" w:lineRule="auto"/>
        <w:rPr>
          <w:rFonts w:ascii="Times New Roman" w:eastAsia="Aptos" w:hAnsi="Times New Roman" w:cs="Times New Roman"/>
          <w:b/>
          <w:bCs/>
          <w:kern w:val="2"/>
          <w:sz w:val="32"/>
          <w:szCs w:val="32"/>
          <w14:ligatures w14:val="standardContextual"/>
        </w:rPr>
      </w:pPr>
      <w:bookmarkStart w:id="3" w:name="_Hlk198940790"/>
      <w:bookmarkStart w:id="4" w:name="_Hlk179794250"/>
    </w:p>
    <w:p w14:paraId="6B8FF7EC" w14:textId="77777777" w:rsidR="00E70BFF" w:rsidRDefault="00E70BFF" w:rsidP="009D4878">
      <w:pPr>
        <w:spacing w:line="480" w:lineRule="auto"/>
        <w:rPr>
          <w:rFonts w:ascii="Times New Roman" w:eastAsia="Aptos" w:hAnsi="Times New Roman" w:cs="Times New Roman"/>
          <w:b/>
          <w:bCs/>
          <w:kern w:val="2"/>
          <w:sz w:val="32"/>
          <w:szCs w:val="32"/>
          <w14:ligatures w14:val="standardContextual"/>
        </w:rPr>
      </w:pPr>
    </w:p>
    <w:p w14:paraId="2D0EE24D" w14:textId="77777777" w:rsidR="00E70BFF" w:rsidRDefault="00E70BFF" w:rsidP="009D4878">
      <w:pPr>
        <w:spacing w:line="480" w:lineRule="auto"/>
        <w:rPr>
          <w:rFonts w:ascii="Times New Roman" w:eastAsia="Aptos" w:hAnsi="Times New Roman" w:cs="Times New Roman"/>
          <w:b/>
          <w:bCs/>
          <w:kern w:val="2"/>
          <w:sz w:val="32"/>
          <w:szCs w:val="32"/>
          <w14:ligatures w14:val="standardContextual"/>
        </w:rPr>
      </w:pPr>
    </w:p>
    <w:p w14:paraId="0C99CDDE" w14:textId="77777777" w:rsidR="00E70BFF" w:rsidRDefault="00E70BFF" w:rsidP="009D4878">
      <w:pPr>
        <w:spacing w:line="480" w:lineRule="auto"/>
        <w:rPr>
          <w:rFonts w:ascii="Times New Roman" w:eastAsia="Aptos" w:hAnsi="Times New Roman" w:cs="Times New Roman"/>
          <w:b/>
          <w:bCs/>
          <w:kern w:val="2"/>
          <w:sz w:val="32"/>
          <w:szCs w:val="32"/>
          <w14:ligatures w14:val="standardContextual"/>
        </w:rPr>
      </w:pPr>
    </w:p>
    <w:p w14:paraId="338FB4B3" w14:textId="77777777" w:rsidR="00E70BFF" w:rsidRDefault="00E70BFF" w:rsidP="009D4878">
      <w:pPr>
        <w:spacing w:line="480" w:lineRule="auto"/>
        <w:rPr>
          <w:rFonts w:ascii="Times New Roman" w:eastAsia="Aptos" w:hAnsi="Times New Roman" w:cs="Times New Roman"/>
          <w:b/>
          <w:bCs/>
          <w:kern w:val="2"/>
          <w:sz w:val="32"/>
          <w:szCs w:val="32"/>
          <w14:ligatures w14:val="standardContextual"/>
        </w:rPr>
      </w:pPr>
    </w:p>
    <w:p w14:paraId="3AA450EA" w14:textId="037B7DA4" w:rsidR="009D4878" w:rsidRDefault="00FF5350" w:rsidP="00D62EEA">
      <w:pPr>
        <w:pStyle w:val="Heading2"/>
        <w:rPr>
          <w:rFonts w:eastAsia="Aptos"/>
        </w:rPr>
      </w:pPr>
      <w:r w:rsidRPr="00B10BE1">
        <w:rPr>
          <w:rFonts w:eastAsia="Aptos"/>
        </w:rPr>
        <w:t xml:space="preserve">Table </w:t>
      </w:r>
      <w:r w:rsidR="009D4878">
        <w:rPr>
          <w:rFonts w:eastAsia="Aptos"/>
        </w:rPr>
        <w:t>2.</w:t>
      </w:r>
      <w:bookmarkEnd w:id="3"/>
    </w:p>
    <w:tbl>
      <w:tblPr>
        <w:tblW w:w="9638" w:type="dxa"/>
        <w:shd w:val="clear" w:color="auto" w:fill="F9F9F9"/>
        <w:tblCellMar>
          <w:top w:w="15" w:type="dxa"/>
          <w:left w:w="15" w:type="dxa"/>
          <w:bottom w:w="15" w:type="dxa"/>
          <w:right w:w="15" w:type="dxa"/>
        </w:tblCellMar>
        <w:tblLook w:val="04A0" w:firstRow="1" w:lastRow="0" w:firstColumn="1" w:lastColumn="0" w:noHBand="0" w:noVBand="1"/>
      </w:tblPr>
      <w:tblGrid>
        <w:gridCol w:w="4115"/>
        <w:gridCol w:w="5523"/>
      </w:tblGrid>
      <w:tr w:rsidR="009D4878" w:rsidRPr="009D4878" w14:paraId="1F3A866E" w14:textId="77777777" w:rsidTr="009D4878">
        <w:trPr>
          <w:tblHeader/>
        </w:trPr>
        <w:tc>
          <w:tcPr>
            <w:tcW w:w="0" w:type="auto"/>
            <w:gridSpan w:val="2"/>
            <w:tcBorders>
              <w:top w:val="nil"/>
              <w:left w:val="nil"/>
              <w:bottom w:val="nil"/>
              <w:right w:val="nil"/>
            </w:tcBorders>
            <w:shd w:val="clear" w:color="auto" w:fill="E8E8E8"/>
            <w:tcMar>
              <w:top w:w="120" w:type="dxa"/>
              <w:left w:w="120" w:type="dxa"/>
              <w:bottom w:w="120" w:type="dxa"/>
              <w:right w:w="120" w:type="dxa"/>
            </w:tcMar>
            <w:vAlign w:val="center"/>
            <w:hideMark/>
          </w:tcPr>
          <w:p w14:paraId="5013B604" w14:textId="77777777" w:rsidR="009D4878" w:rsidRPr="009D4878" w:rsidRDefault="009D4878" w:rsidP="009D4878">
            <w:pPr>
              <w:spacing w:before="120" w:after="30" w:line="240" w:lineRule="auto"/>
              <w:jc w:val="both"/>
              <w:rPr>
                <w:rFonts w:ascii="Times New Roman" w:eastAsia="Times New Roman" w:hAnsi="Times New Roman" w:cs="Times New Roman"/>
                <w:b/>
                <w:bCs/>
                <w:color w:val="222222"/>
                <w:sz w:val="18"/>
                <w:szCs w:val="18"/>
                <w:lang w:eastAsia="en-GB"/>
              </w:rPr>
            </w:pPr>
            <w:r w:rsidRPr="009D4878">
              <w:rPr>
                <w:rFonts w:ascii="Times New Roman" w:eastAsia="Times New Roman" w:hAnsi="Times New Roman" w:cs="Times New Roman"/>
                <w:b/>
                <w:bCs/>
                <w:color w:val="222222"/>
                <w:sz w:val="18"/>
                <w:szCs w:val="18"/>
                <w:lang w:eastAsia="en-GB"/>
              </w:rPr>
              <w:t>Inclusion and Exclusion Criteria.</w:t>
            </w:r>
          </w:p>
        </w:tc>
      </w:tr>
      <w:tr w:rsidR="009D4878" w:rsidRPr="009D4878" w14:paraId="1A6C3CAB" w14:textId="77777777" w:rsidTr="009D4878">
        <w:trPr>
          <w:tblHeader/>
        </w:trPr>
        <w:tc>
          <w:tcPr>
            <w:tcW w:w="0" w:type="auto"/>
            <w:tcBorders>
              <w:top w:val="single" w:sz="6" w:space="0" w:color="D9D9D9"/>
              <w:left w:val="single" w:sz="6" w:space="0" w:color="D9D9D9"/>
              <w:bottom w:val="single" w:sz="6" w:space="0" w:color="D9D9D9"/>
              <w:right w:val="single" w:sz="6" w:space="0" w:color="D9D9D9"/>
            </w:tcBorders>
            <w:shd w:val="clear" w:color="auto" w:fill="E8E8E8"/>
            <w:tcMar>
              <w:top w:w="120" w:type="dxa"/>
              <w:left w:w="120" w:type="dxa"/>
              <w:bottom w:w="120" w:type="dxa"/>
              <w:right w:w="120" w:type="dxa"/>
            </w:tcMar>
            <w:vAlign w:val="center"/>
            <w:hideMark/>
          </w:tcPr>
          <w:p w14:paraId="2343EEAC" w14:textId="77777777" w:rsidR="009D4878" w:rsidRPr="009D4878" w:rsidRDefault="009D4878" w:rsidP="009D4878">
            <w:pPr>
              <w:spacing w:before="120" w:after="30" w:line="240" w:lineRule="auto"/>
              <w:rPr>
                <w:rFonts w:ascii="Times New Roman" w:eastAsia="Times New Roman" w:hAnsi="Times New Roman" w:cs="Times New Roman"/>
                <w:b/>
                <w:bCs/>
                <w:color w:val="474747"/>
                <w:sz w:val="18"/>
                <w:szCs w:val="18"/>
                <w:lang w:eastAsia="en-GB"/>
              </w:rPr>
            </w:pPr>
            <w:r w:rsidRPr="009D4878">
              <w:rPr>
                <w:rFonts w:ascii="Times New Roman" w:eastAsia="Times New Roman" w:hAnsi="Times New Roman" w:cs="Times New Roman"/>
                <w:b/>
                <w:bCs/>
                <w:color w:val="474747"/>
                <w:sz w:val="18"/>
                <w:szCs w:val="18"/>
                <w:lang w:eastAsia="en-GB"/>
              </w:rPr>
              <w:t>Included</w:t>
            </w:r>
          </w:p>
        </w:tc>
        <w:tc>
          <w:tcPr>
            <w:tcW w:w="0" w:type="auto"/>
            <w:tcBorders>
              <w:top w:val="single" w:sz="6" w:space="0" w:color="D9D9D9"/>
              <w:left w:val="single" w:sz="6" w:space="0" w:color="D9D9D9"/>
              <w:bottom w:val="single" w:sz="6" w:space="0" w:color="D9D9D9"/>
              <w:right w:val="single" w:sz="6" w:space="0" w:color="D9D9D9"/>
            </w:tcBorders>
            <w:shd w:val="clear" w:color="auto" w:fill="E8E8E8"/>
            <w:tcMar>
              <w:top w:w="120" w:type="dxa"/>
              <w:left w:w="120" w:type="dxa"/>
              <w:bottom w:w="120" w:type="dxa"/>
              <w:right w:w="120" w:type="dxa"/>
            </w:tcMar>
            <w:vAlign w:val="center"/>
            <w:hideMark/>
          </w:tcPr>
          <w:p w14:paraId="0028059E" w14:textId="77777777" w:rsidR="009D4878" w:rsidRPr="009D4878" w:rsidRDefault="009D4878" w:rsidP="009D4878">
            <w:pPr>
              <w:spacing w:before="120" w:after="30" w:line="240" w:lineRule="auto"/>
              <w:rPr>
                <w:rFonts w:ascii="Times New Roman" w:eastAsia="Times New Roman" w:hAnsi="Times New Roman" w:cs="Times New Roman"/>
                <w:b/>
                <w:bCs/>
                <w:color w:val="474747"/>
                <w:sz w:val="18"/>
                <w:szCs w:val="18"/>
                <w:lang w:eastAsia="en-GB"/>
              </w:rPr>
            </w:pPr>
            <w:r w:rsidRPr="009D4878">
              <w:rPr>
                <w:rFonts w:ascii="Times New Roman" w:eastAsia="Times New Roman" w:hAnsi="Times New Roman" w:cs="Times New Roman"/>
                <w:b/>
                <w:bCs/>
                <w:color w:val="474747"/>
                <w:sz w:val="18"/>
                <w:szCs w:val="18"/>
                <w:lang w:eastAsia="en-GB"/>
              </w:rPr>
              <w:t>Excluded</w:t>
            </w:r>
          </w:p>
        </w:tc>
      </w:tr>
      <w:tr w:rsidR="009D4878" w:rsidRPr="009D4878" w14:paraId="59F58165"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45601D6D"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Adults over 18</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1355B460"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Children under 18</w:t>
            </w:r>
          </w:p>
        </w:tc>
      </w:tr>
      <w:tr w:rsidR="009D4878" w:rsidRPr="009D4878" w14:paraId="25C2626B"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3A71D436"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Activists</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3BE6F143"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Non activists</w:t>
            </w:r>
          </w:p>
        </w:tc>
      </w:tr>
      <w:tr w:rsidR="009D4878" w:rsidRPr="009D4878" w14:paraId="6295A98D"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2D467CDD"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Post-1995 literature</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0430E389"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Pre-1995 literature</w:t>
            </w:r>
          </w:p>
        </w:tc>
      </w:tr>
      <w:tr w:rsidR="009D4878" w:rsidRPr="009D4878" w14:paraId="15B39750"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22967B90"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Completed suicide</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020F0807"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Suicidal ideation or attempt</w:t>
            </w:r>
          </w:p>
        </w:tc>
      </w:tr>
      <w:tr w:rsidR="009D4878" w:rsidRPr="009D4878" w14:paraId="7A0B06C6" w14:textId="77777777" w:rsidTr="009D4878">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25C09655"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UK gambling</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20" w:type="dxa"/>
              <w:left w:w="120" w:type="dxa"/>
              <w:bottom w:w="120" w:type="dxa"/>
              <w:right w:w="120" w:type="dxa"/>
            </w:tcMar>
            <w:vAlign w:val="center"/>
            <w:hideMark/>
          </w:tcPr>
          <w:p w14:paraId="6854032F" w14:textId="77777777" w:rsidR="009D4878" w:rsidRPr="009D4878" w:rsidRDefault="009D4878" w:rsidP="009D4878">
            <w:pPr>
              <w:spacing w:before="120" w:after="30" w:line="240" w:lineRule="auto"/>
              <w:rPr>
                <w:rFonts w:ascii="Times New Roman" w:eastAsia="Times New Roman" w:hAnsi="Times New Roman" w:cs="Times New Roman"/>
                <w:color w:val="222222"/>
                <w:sz w:val="18"/>
                <w:szCs w:val="18"/>
                <w:lang w:eastAsia="en-GB"/>
              </w:rPr>
            </w:pPr>
            <w:r w:rsidRPr="009D4878">
              <w:rPr>
                <w:rFonts w:ascii="Times New Roman" w:eastAsia="Times New Roman" w:hAnsi="Times New Roman" w:cs="Times New Roman"/>
                <w:color w:val="222222"/>
                <w:sz w:val="18"/>
                <w:szCs w:val="18"/>
                <w:lang w:eastAsia="en-GB"/>
              </w:rPr>
              <w:t>Non-UK gambling</w:t>
            </w:r>
          </w:p>
        </w:tc>
      </w:tr>
    </w:tbl>
    <w:p w14:paraId="69E9E01C" w14:textId="77777777" w:rsidR="009D4878" w:rsidRDefault="009D4878" w:rsidP="009D4878">
      <w:pPr>
        <w:spacing w:line="480" w:lineRule="auto"/>
        <w:rPr>
          <w:rFonts w:ascii="Times New Roman" w:eastAsia="Aptos" w:hAnsi="Times New Roman" w:cs="Times New Roman"/>
          <w:kern w:val="2"/>
          <w:sz w:val="24"/>
          <w:szCs w:val="24"/>
          <w14:ligatures w14:val="standardContextual"/>
        </w:rPr>
      </w:pPr>
    </w:p>
    <w:p w14:paraId="19876FDD" w14:textId="4F2F7009" w:rsidR="009D4878" w:rsidRDefault="009D4878" w:rsidP="009D4878">
      <w:pPr>
        <w:spacing w:line="480" w:lineRule="auto"/>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The literature relating to gambling harm contains many </w:t>
      </w:r>
      <w:proofErr w:type="spellStart"/>
      <w:r w:rsidRPr="00B10BE1">
        <w:rPr>
          <w:rFonts w:ascii="Times New Roman" w:eastAsia="Aptos" w:hAnsi="Times New Roman" w:cs="Times New Roman"/>
          <w:kern w:val="2"/>
          <w:sz w:val="24"/>
          <w:szCs w:val="24"/>
          <w14:ligatures w14:val="standardContextual"/>
        </w:rPr>
        <w:t>pathologising</w:t>
      </w:r>
      <w:proofErr w:type="spellEnd"/>
      <w:r w:rsidRPr="00B10BE1">
        <w:rPr>
          <w:rFonts w:ascii="Times New Roman" w:eastAsia="Aptos" w:hAnsi="Times New Roman" w:cs="Times New Roman"/>
          <w:kern w:val="2"/>
          <w:sz w:val="24"/>
          <w:szCs w:val="24"/>
          <w14:ligatures w14:val="standardContextual"/>
        </w:rPr>
        <w:t xml:space="preserve"> terms, such as “responsible gambling” (</w:t>
      </w:r>
      <w:r w:rsidRPr="00B10BE1">
        <w:rPr>
          <w:rFonts w:ascii="Times New Roman" w:eastAsia="Aptos" w:hAnsi="Times New Roman" w:cs="Times New Roman"/>
          <w:color w:val="000000"/>
          <w:kern w:val="2"/>
          <w:sz w:val="24"/>
          <w:szCs w:val="24"/>
          <w14:ligatures w14:val="standardContextual"/>
        </w:rPr>
        <w:t>Marko et al</w:t>
      </w:r>
      <w:r w:rsidRPr="00B10BE1">
        <w:rPr>
          <w:rFonts w:ascii="Times New Roman" w:eastAsia="Aptos" w:hAnsi="Times New Roman" w:cs="Times New Roman"/>
          <w:i/>
          <w:iCs/>
          <w:color w:val="000000"/>
          <w:kern w:val="2"/>
          <w:sz w:val="24"/>
          <w:szCs w:val="24"/>
          <w14:ligatures w14:val="standardContextual"/>
        </w:rPr>
        <w:t>.</w:t>
      </w:r>
      <w:r w:rsidRPr="00B10BE1">
        <w:rPr>
          <w:rFonts w:ascii="Times New Roman" w:eastAsia="Aptos" w:hAnsi="Times New Roman" w:cs="Times New Roman"/>
          <w:color w:val="000000"/>
          <w:kern w:val="2"/>
          <w:sz w:val="24"/>
          <w:szCs w:val="24"/>
          <w14:ligatures w14:val="standardContextual"/>
        </w:rPr>
        <w:t xml:space="preserve"> 2023, p.1) and “disordered gambling” (Horch &amp; Hodgins, 2008, p.505). This potentiates internalised blame and shame in those who experience gambling harm (Livingstone &amp; Rintoul, 2021).  </w:t>
      </w:r>
      <w:r w:rsidRPr="00B10BE1">
        <w:rPr>
          <w:rFonts w:ascii="Times New Roman" w:eastAsia="Aptos" w:hAnsi="Times New Roman" w:cs="Times New Roman"/>
          <w:kern w:val="2"/>
          <w:sz w:val="24"/>
          <w:szCs w:val="24"/>
          <w14:ligatures w14:val="standardContextual"/>
        </w:rPr>
        <w:t xml:space="preserve">We align with the destigmatising person-first phraseology proposed by  </w:t>
      </w:r>
      <w:sdt>
        <w:sdtPr>
          <w:rPr>
            <w:rFonts w:ascii="Times New Roman" w:eastAsia="Aptos" w:hAnsi="Times New Roman" w:cs="Times New Roman"/>
            <w:color w:val="000000"/>
            <w:kern w:val="2"/>
            <w:sz w:val="24"/>
            <w:szCs w:val="24"/>
            <w14:ligatures w14:val="standardContextual"/>
          </w:rPr>
          <w:alias w:val="Citation"/>
          <w:tag w:val="{&quot;referencesIds&quot;:[&quot;doc:6592fafb23e5af5a6de6652b&quot;],&quot;referencesOptions&quot;:{&quot;doc:6592fafb23e5af5a6de6652b&quot;:{&quot;author&quot;:true,&quot;year&quot;:true,&quot;pageReplace&quot;:&quot;&quot;,&quot;prefix&quot;:&quot;&quot;,&quot;suffix&quot;:&quot;&quot;}},&quot;hasBrokenReferences&quot;:false,&quot;hasManualEdits&quot;:false,&quot;citationType&quot;:&quot;inline&quot;}"/>
          <w:id w:val="-1822426059"/>
          <w:placeholder>
            <w:docPart w:val="B6D8CFCB679249DEB11E35D03957C68F"/>
          </w:placeholder>
        </w:sdtPr>
        <w:sdtEndPr/>
        <w:sdtContent>
          <w:proofErr w:type="spellStart"/>
          <w:r w:rsidRPr="00B10BE1">
            <w:rPr>
              <w:rFonts w:ascii="Times New Roman" w:eastAsia="Times New Roman" w:hAnsi="Times New Roman" w:cs="Times New Roman"/>
              <w:color w:val="000000"/>
              <w:kern w:val="2"/>
              <w:sz w:val="24"/>
              <w:szCs w:val="24"/>
              <w14:ligatures w14:val="standardContextual"/>
            </w:rPr>
            <w:t>Pliakas</w:t>
          </w:r>
          <w:proofErr w:type="spellEnd"/>
          <w:r w:rsidRPr="00B10BE1">
            <w:rPr>
              <w:rFonts w:ascii="Times New Roman" w:eastAsia="Times New Roman" w:hAnsi="Times New Roman" w:cs="Times New Roman"/>
              <w:color w:val="000000"/>
              <w:kern w:val="2"/>
              <w:sz w:val="24"/>
              <w:szCs w:val="24"/>
              <w14:ligatures w14:val="standardContextual"/>
            </w:rPr>
            <w:t xml:space="preserve"> et al. (2022)</w:t>
          </w:r>
        </w:sdtContent>
      </w:sdt>
      <w:r w:rsidRPr="00B10BE1">
        <w:rPr>
          <w:rFonts w:ascii="Times New Roman" w:eastAsia="Times New Roman" w:hAnsi="Times New Roman" w:cs="Times New Roman"/>
          <w:kern w:val="2"/>
          <w:sz w:val="24"/>
          <w:szCs w:val="24"/>
          <w14:ligatures w14:val="standardContextual"/>
        </w:rPr>
        <w:t>. Any use of potentially pathologizing terms in the current study is therefore solely to ensure accurate citation of existing research</w:t>
      </w:r>
    </w:p>
    <w:p w14:paraId="16897C6E" w14:textId="7BDB425B" w:rsidR="00FF5350" w:rsidRPr="00B10BE1" w:rsidRDefault="00FF5350" w:rsidP="009D4878">
      <w:pPr>
        <w:spacing w:line="480" w:lineRule="auto"/>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61% of the UK adult population stated they gambled in the 12 months prior to April 2024 (Wardle et al., 2024). The liberalised UK gambling industry is one of the largest in the world, generating revenue of £3.3 billion through direct taxation (HMRC, 2023). Corfe et al. (2021) describe the additional economic contribution gambling provides through employment, both directly and within supply chains. The authors cite this as a rationale for opposition to an </w:t>
      </w:r>
      <w:r w:rsidRPr="00B10BE1">
        <w:rPr>
          <w:rFonts w:ascii="Times New Roman" w:eastAsia="Aptos" w:hAnsi="Times New Roman" w:cs="Times New Roman"/>
          <w:kern w:val="2"/>
          <w:sz w:val="24"/>
          <w:szCs w:val="24"/>
          <w14:ligatures w14:val="standardContextual"/>
        </w:rPr>
        <w:lastRenderedPageBreak/>
        <w:t>increase in gambling regulation. For a significant number of people, gambling ceases to be a source of harmless recreation. The prevalence of gambling harm post-2005 has been measured by manifold surveys. The most recent report indicates that 2.7% of the UK adult population experienced at least “one severe consequence” of their gambling activity (Wardle et al. for www.gamblingcommission.gov.uk, 2024</w:t>
      </w:r>
      <w:r w:rsidR="0067178A" w:rsidRPr="00B10BE1">
        <w:rPr>
          <w:rFonts w:ascii="Times New Roman" w:eastAsia="Aptos" w:hAnsi="Times New Roman" w:cs="Times New Roman"/>
          <w:kern w:val="2"/>
          <w:sz w:val="24"/>
          <w:szCs w:val="24"/>
          <w14:ligatures w14:val="standardContextual"/>
        </w:rPr>
        <w:t xml:space="preserve"> (no page)</w:t>
      </w:r>
      <w:r w:rsidRPr="00B10BE1">
        <w:rPr>
          <w:rFonts w:ascii="Times New Roman" w:eastAsia="Aptos" w:hAnsi="Times New Roman" w:cs="Times New Roman"/>
          <w:kern w:val="2"/>
          <w:sz w:val="24"/>
          <w:szCs w:val="24"/>
          <w14:ligatures w14:val="standardContextual"/>
        </w:rPr>
        <w:t xml:space="preserve">). </w:t>
      </w:r>
    </w:p>
    <w:p w14:paraId="797F8521" w14:textId="77777777" w:rsidR="00A269A8" w:rsidRPr="00B10BE1" w:rsidRDefault="00FF5350"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Gambling harm is multi-facetted, and this is well represented in the literature. Potential areas of impact include: mental health; physical health; relationships; employment; education and finances of the person gambling (Goerge &amp; Bowden-Jones, 2016; Orford, 2019; Vassallo et al., 2023). In addition to the significant emotional impact of these harms, the cost to public finances is estimated at between £260 million and £1.16 billion annually (Thorley et al., 2016).  Langham et al</w:t>
      </w:r>
      <w:r w:rsidRPr="00B10BE1">
        <w:rPr>
          <w:rFonts w:ascii="Times New Roman" w:eastAsia="Aptos" w:hAnsi="Times New Roman" w:cs="Times New Roman"/>
          <w:i/>
          <w:iCs/>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(2016, p. 2) p</w:t>
      </w:r>
      <w:r w:rsidR="00A269A8" w:rsidRPr="00B10BE1">
        <w:rPr>
          <w:rFonts w:ascii="Times New Roman" w:eastAsia="Aptos" w:hAnsi="Times New Roman" w:cs="Times New Roman"/>
          <w:kern w:val="2"/>
          <w:sz w:val="24"/>
          <w:szCs w:val="24"/>
          <w14:ligatures w14:val="standardContextual"/>
        </w:rPr>
        <w:t xml:space="preserve">osit a broad definition </w:t>
      </w:r>
      <w:r w:rsidRPr="00B10BE1">
        <w:rPr>
          <w:rFonts w:ascii="Times New Roman" w:eastAsia="Aptos" w:hAnsi="Times New Roman" w:cs="Times New Roman"/>
          <w:kern w:val="2"/>
          <w:sz w:val="24"/>
          <w:szCs w:val="24"/>
          <w14:ligatures w14:val="standardContextual"/>
        </w:rPr>
        <w:t xml:space="preserve">of gambling harm: “Any initial or exacerbated adverse consequence due to an engagement with gambling that leads to a </w:t>
      </w:r>
      <w:r w:rsidR="00EC0A4A" w:rsidRPr="00B10BE1">
        <w:rPr>
          <w:rFonts w:ascii="Times New Roman" w:eastAsia="Aptos" w:hAnsi="Times New Roman" w:cs="Times New Roman"/>
          <w:kern w:val="2"/>
          <w:sz w:val="24"/>
          <w:szCs w:val="24"/>
          <w14:ligatures w14:val="standardContextual"/>
        </w:rPr>
        <w:t>decrement</w:t>
      </w:r>
      <w:r w:rsidRPr="00B10BE1">
        <w:rPr>
          <w:rFonts w:ascii="Times New Roman" w:eastAsia="Aptos" w:hAnsi="Times New Roman" w:cs="Times New Roman"/>
          <w:kern w:val="2"/>
          <w:sz w:val="24"/>
          <w:szCs w:val="24"/>
          <w14:ligatures w14:val="standardContextual"/>
        </w:rPr>
        <w:t xml:space="preserve"> to the health or wellbeing of an individual, family unit, community, or population”. </w:t>
      </w:r>
      <w:r w:rsidR="00EC0A4A" w:rsidRPr="00B10BE1">
        <w:rPr>
          <w:rFonts w:ascii="Times New Roman" w:eastAsia="Aptos" w:hAnsi="Times New Roman" w:cs="Times New Roman"/>
          <w:kern w:val="2"/>
          <w:sz w:val="24"/>
          <w:szCs w:val="24"/>
          <w14:ligatures w14:val="standardContextual"/>
        </w:rPr>
        <w:t xml:space="preserve"> </w:t>
      </w:r>
    </w:p>
    <w:p w14:paraId="142036E9" w14:textId="77777777" w:rsidR="00A269A8" w:rsidRPr="00B10BE1" w:rsidRDefault="00EC0A4A"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This</w:t>
      </w:r>
      <w:r w:rsidR="00A269A8" w:rsidRPr="00B10BE1">
        <w:rPr>
          <w:rFonts w:ascii="Times New Roman" w:eastAsia="Aptos" w:hAnsi="Times New Roman" w:cs="Times New Roman"/>
          <w:kern w:val="2"/>
          <w:sz w:val="24"/>
          <w:szCs w:val="24"/>
          <w14:ligatures w14:val="standardContextual"/>
        </w:rPr>
        <w:t xml:space="preserve"> definition acknowledges that whilst some harmful impacts are felt solely by the gambler, others are experienced by those close to them (Azemi et al., 2022).   </w:t>
      </w:r>
    </w:p>
    <w:p w14:paraId="58CD79F8" w14:textId="0198DE4D" w:rsidR="00A269A8" w:rsidRPr="00B10BE1" w:rsidRDefault="00A269A8" w:rsidP="00DF448B">
      <w:pPr>
        <w:spacing w:line="480" w:lineRule="auto"/>
        <w:jc w:val="both"/>
        <w:rPr>
          <w:rFonts w:ascii="Times New Roman" w:eastAsia="Times New Roman" w:hAnsi="Times New Roman" w:cs="Times New Roman"/>
          <w:color w:val="000000"/>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47.9% of UK adults reported that someone close to them gambled (Wardle et al., 2024). Goodwin (2017) estimates that each problem gambler affects six other people.   A systematic review by Vassallo et al. (2023) cites a significant body of research into those harmed by another person’s gambling. Orford et al. (2010) identify those affected as including: parents; spouse; siblings; children and friends. The finances, relationships and health of the person connected to the gambler can all be detrimentally affected (Orford 2019).  </w:t>
      </w:r>
      <w:r w:rsidRPr="00B10BE1">
        <w:rPr>
          <w:rFonts w:ascii="Times New Roman" w:eastAsia="Aptos" w:hAnsi="Times New Roman" w:cs="Times New Roman"/>
          <w:color w:val="000000"/>
          <w:kern w:val="2"/>
          <w:sz w:val="24"/>
          <w:szCs w:val="24"/>
          <w14:ligatures w14:val="standardContextual"/>
        </w:rPr>
        <w:t xml:space="preserve">The collective term of </w:t>
      </w:r>
      <w:r w:rsidR="0067178A" w:rsidRPr="00B10BE1">
        <w:rPr>
          <w:rFonts w:ascii="Times New Roman" w:eastAsia="Aptos" w:hAnsi="Times New Roman" w:cs="Times New Roman"/>
          <w:color w:val="000000"/>
          <w:kern w:val="2"/>
          <w:sz w:val="24"/>
          <w:szCs w:val="24"/>
          <w14:ligatures w14:val="standardContextual"/>
        </w:rPr>
        <w:t>“</w:t>
      </w:r>
      <w:r w:rsidRPr="00B10BE1">
        <w:rPr>
          <w:rFonts w:ascii="Times New Roman" w:eastAsia="Aptos" w:hAnsi="Times New Roman" w:cs="Times New Roman"/>
          <w:color w:val="000000"/>
          <w:kern w:val="2"/>
          <w:sz w:val="24"/>
          <w:szCs w:val="24"/>
          <w14:ligatures w14:val="standardContextual"/>
        </w:rPr>
        <w:t>affected other(s)</w:t>
      </w:r>
      <w:r w:rsidR="0067178A" w:rsidRPr="00B10BE1">
        <w:rPr>
          <w:rFonts w:ascii="Times New Roman" w:eastAsia="Aptos" w:hAnsi="Times New Roman" w:cs="Times New Roman"/>
          <w:color w:val="000000"/>
          <w:kern w:val="2"/>
          <w:sz w:val="24"/>
          <w:szCs w:val="24"/>
          <w14:ligatures w14:val="standardContextual"/>
        </w:rPr>
        <w:t>”</w:t>
      </w:r>
      <w:r w:rsidRPr="00B10BE1">
        <w:rPr>
          <w:rFonts w:ascii="Times New Roman" w:eastAsia="Aptos" w:hAnsi="Times New Roman" w:cs="Times New Roman"/>
          <w:color w:val="000000"/>
          <w:kern w:val="2"/>
          <w:sz w:val="24"/>
          <w:szCs w:val="24"/>
          <w14:ligatures w14:val="standardContextual"/>
        </w:rPr>
        <w:t xml:space="preserve"> (AO) is now common in the literature </w:t>
      </w:r>
      <w:sdt>
        <w:sdtPr>
          <w:rPr>
            <w:rFonts w:ascii="Times New Roman" w:eastAsia="Aptos" w:hAnsi="Times New Roman" w:cs="Times New Roman"/>
            <w:color w:val="000000"/>
            <w:kern w:val="2"/>
            <w:sz w:val="24"/>
            <w:szCs w:val="24"/>
            <w14:ligatures w14:val="standardContextual"/>
          </w:rPr>
          <w:alias w:val="Citation"/>
          <w:tag w:val="{&quot;referencesIds&quot;:[&quot;doc:65765266542e6f27b38f9dfa&quot;],&quot;referencesOptions&quot;:{&quot;doc:65765266542e6f27b38f9dfa&quot;:{&quot;author&quot;:true,&quot;year&quot;:true,&quot;pageReplace&quot;:&quot;&quot;,&quot;prefix&quot;:&quot;&quot;,&quot;suffix&quot;:&quot;&quot;}},&quot;hasBrokenReferences&quot;:false,&quot;hasManualEdits&quot;:false,&quot;citationType&quot;:&quot;inline&quot;,&quot;id&quot;:-2056376896,&quot;citationText&quot;:&quot;&lt;span style=\&quot;font-family:Verdana;font-size:14.666666666666666px;color:#000000\&quot;&gt;(Lind et al., 2022)&lt;/span&gt;&quot;}"/>
          <w:id w:val="-2056376896"/>
          <w:placeholder>
            <w:docPart w:val="A8DC0661949043E9883BAF6F25288D78"/>
          </w:placeholder>
        </w:sdtPr>
        <w:sdtEndPr/>
        <w:sdtContent>
          <w:r w:rsidRPr="00B10BE1">
            <w:rPr>
              <w:rFonts w:ascii="Times New Roman" w:eastAsia="Times New Roman" w:hAnsi="Times New Roman" w:cs="Times New Roman"/>
              <w:color w:val="000000"/>
              <w:kern w:val="2"/>
              <w:sz w:val="24"/>
              <w:szCs w:val="24"/>
              <w14:ligatures w14:val="standardContextual"/>
            </w:rPr>
            <w:t>(Lind et al., 2022, p.2)</w:t>
          </w:r>
        </w:sdtContent>
      </w:sdt>
      <w:r w:rsidRPr="00B10BE1">
        <w:rPr>
          <w:rFonts w:ascii="Times New Roman" w:eastAsia="Aptos" w:hAnsi="Times New Roman" w:cs="Times New Roman"/>
          <w:color w:val="000000"/>
          <w:kern w:val="2"/>
          <w:sz w:val="24"/>
          <w:szCs w:val="24"/>
          <w14:ligatures w14:val="standardContextual"/>
        </w:rPr>
        <w:t>. Dowling et al.</w:t>
      </w:r>
      <w:r w:rsidRPr="00B10BE1">
        <w:rPr>
          <w:rFonts w:ascii="Times New Roman" w:eastAsia="Aptos" w:hAnsi="Times New Roman" w:cs="Times New Roman"/>
          <w:i/>
          <w:iCs/>
          <w:color w:val="000000"/>
          <w:kern w:val="2"/>
          <w:sz w:val="24"/>
          <w:szCs w:val="24"/>
          <w14:ligatures w14:val="standardContextual"/>
        </w:rPr>
        <w:t xml:space="preserve"> </w:t>
      </w:r>
      <w:r w:rsidRPr="00B10BE1">
        <w:rPr>
          <w:rFonts w:ascii="Times New Roman" w:eastAsia="Aptos" w:hAnsi="Times New Roman" w:cs="Times New Roman"/>
          <w:color w:val="000000"/>
          <w:kern w:val="2"/>
          <w:sz w:val="24"/>
          <w:szCs w:val="24"/>
          <w14:ligatures w14:val="standardContextual"/>
        </w:rPr>
        <w:t>(2016) however, illustrate how impacts vary significantly within this broad demographic of AO.</w:t>
      </w:r>
      <w:r w:rsidRPr="00B10BE1">
        <w:rPr>
          <w:rFonts w:ascii="Times New Roman" w:eastAsia="Times New Roman" w:hAnsi="Times New Roman" w:cs="Times New Roman"/>
          <w:color w:val="000000"/>
          <w:kern w:val="2"/>
          <w:sz w:val="24"/>
          <w:szCs w:val="24"/>
          <w14:ligatures w14:val="standardContextual"/>
        </w:rPr>
        <w:t xml:space="preserve"> </w:t>
      </w:r>
    </w:p>
    <w:p w14:paraId="5DCD0D16" w14:textId="5363DCB7" w:rsidR="00A269A8" w:rsidRPr="00B10BE1" w:rsidRDefault="00A269A8" w:rsidP="00DF448B">
      <w:pPr>
        <w:spacing w:line="480" w:lineRule="auto"/>
        <w:jc w:val="both"/>
        <w:rPr>
          <w:rFonts w:ascii="Times New Roman" w:eastAsia="Aptos" w:hAnsi="Times New Roman" w:cs="Times New Roman"/>
          <w:color w:val="000000"/>
          <w:kern w:val="2"/>
          <w:sz w:val="24"/>
          <w:szCs w:val="24"/>
          <w14:ligatures w14:val="standardContextual"/>
        </w:rPr>
      </w:pPr>
      <w:r w:rsidRPr="00B10BE1">
        <w:rPr>
          <w:rFonts w:ascii="Times New Roman" w:eastAsia="Times New Roman" w:hAnsi="Times New Roman" w:cs="Times New Roman"/>
          <w:color w:val="000000"/>
          <w:kern w:val="2"/>
          <w:sz w:val="24"/>
          <w:szCs w:val="24"/>
          <w14:ligatures w14:val="standardContextual"/>
        </w:rPr>
        <w:lastRenderedPageBreak/>
        <w:t>The</w:t>
      </w:r>
      <w:r w:rsidRPr="00B10BE1">
        <w:rPr>
          <w:rFonts w:ascii="Times New Roman" w:eastAsia="Aptos" w:hAnsi="Times New Roman" w:cs="Times New Roman"/>
          <w:color w:val="000000"/>
          <w:kern w:val="2"/>
          <w:sz w:val="24"/>
          <w:szCs w:val="24"/>
          <w14:ligatures w14:val="standardContextual"/>
        </w:rPr>
        <w:t xml:space="preserve"> proximity of the relationship to the gambler is decisive</w:t>
      </w:r>
      <w:r w:rsidRPr="00B10BE1">
        <w:rPr>
          <w:rFonts w:ascii="Times New Roman" w:eastAsia="Times New Roman" w:hAnsi="Times New Roman" w:cs="Times New Roman"/>
          <w:color w:val="000000"/>
          <w:kern w:val="2"/>
          <w:sz w:val="24"/>
          <w:szCs w:val="24"/>
          <w14:ligatures w14:val="standardContextual"/>
        </w:rPr>
        <w:t xml:space="preserve"> (Corfe et al., 2021)</w:t>
      </w:r>
      <w:r w:rsidRPr="00B10BE1">
        <w:rPr>
          <w:rFonts w:ascii="Times New Roman" w:eastAsia="Aptos" w:hAnsi="Times New Roman" w:cs="Times New Roman"/>
          <w:color w:val="000000"/>
          <w:kern w:val="2"/>
          <w:sz w:val="24"/>
          <w:szCs w:val="24"/>
          <w14:ligatures w14:val="standardContextual"/>
        </w:rPr>
        <w:t xml:space="preserve">. Gunstone and Gosschalk (2020) suggest that the most severe harms are experienced by: Spouse/partner; parent; child and sibling, respectively. They attribute this to the multi-faceted and close nature of spousal relationships. Consequently, references to couples-based gambling-related therapy are </w:t>
      </w:r>
      <w:r w:rsidR="008D4980" w:rsidRPr="00B10BE1">
        <w:rPr>
          <w:rFonts w:ascii="Times New Roman" w:eastAsia="Aptos" w:hAnsi="Times New Roman" w:cs="Times New Roman"/>
          <w:color w:val="000000"/>
          <w:kern w:val="2"/>
          <w:sz w:val="24"/>
          <w:szCs w:val="24"/>
          <w14:ligatures w14:val="standardContextual"/>
        </w:rPr>
        <w:t>prominent</w:t>
      </w:r>
      <w:r w:rsidRPr="00B10BE1">
        <w:rPr>
          <w:rFonts w:ascii="Times New Roman" w:eastAsia="Aptos" w:hAnsi="Times New Roman" w:cs="Times New Roman"/>
          <w:color w:val="000000"/>
          <w:kern w:val="2"/>
          <w:sz w:val="24"/>
          <w:szCs w:val="24"/>
          <w14:ligatures w14:val="standardContextual"/>
        </w:rPr>
        <w:t xml:space="preserve"> in the literature (Tremblay et al., 2023; Vassallo et al., 2023). </w:t>
      </w:r>
    </w:p>
    <w:p w14:paraId="67DF1C83" w14:textId="77777777" w:rsidR="002D5585" w:rsidRPr="00B10BE1" w:rsidRDefault="00A269A8"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Not all gambling imparts the same risk of harm. Online and electronic gambling products are associated with a higher degree of negative impacts (Atherton &amp; Benyon, 2018). This distinction extends to affected others. Where the person gambling has a higher score on the Problem Gambling Severity Index (PGSI) (Gambling Commission, 2021) AO will experience commensurately more severe impacts (Gunstone &amp; Gosschalk, 2020).  Gambling addiction is often referred to as the ‘hidden addiction’ (George &amp; Bowden-Jones, 2016 p.4; Ladouceur, 2004, p.501). Symptoms are often invisible, with people close to the gambler remaining unaware of the extent of harm, until the impacts have become critical (Holdsworth et al</w:t>
      </w:r>
      <w:r w:rsidRPr="00B10BE1">
        <w:rPr>
          <w:rFonts w:ascii="Times New Roman" w:eastAsia="Aptos" w:hAnsi="Times New Roman" w:cs="Times New Roman"/>
          <w:i/>
          <w:iCs/>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2013; Wardle &amp; Laidler, 2023;). Livingstone and Rintoul (2021) attribute this</w:t>
      </w:r>
      <w:r w:rsidR="002D5585" w:rsidRPr="00B10BE1">
        <w:rPr>
          <w:rFonts w:ascii="Times New Roman" w:eastAsia="Aptos" w:hAnsi="Times New Roman" w:cs="Times New Roman"/>
          <w:kern w:val="2"/>
          <w:sz w:val="24"/>
          <w:szCs w:val="24"/>
          <w14:ligatures w14:val="standardContextual"/>
        </w:rPr>
        <w:t xml:space="preserve"> invisibility</w:t>
      </w:r>
      <w:r w:rsidRPr="00B10BE1">
        <w:rPr>
          <w:rFonts w:ascii="Times New Roman" w:eastAsia="Aptos" w:hAnsi="Times New Roman" w:cs="Times New Roman"/>
          <w:kern w:val="2"/>
          <w:sz w:val="24"/>
          <w:szCs w:val="24"/>
          <w14:ligatures w14:val="standardContextual"/>
        </w:rPr>
        <w:t xml:space="preserve"> to the alienating impact of internalised shame and self-blame experienced by the person gambling. </w:t>
      </w:r>
    </w:p>
    <w:p w14:paraId="6E652E7A" w14:textId="440E5C47" w:rsidR="002D5585" w:rsidRPr="00B10BE1" w:rsidRDefault="002D5585"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The most severe harm to the individual is suicide </w:t>
      </w:r>
      <w:sdt>
        <w:sdtPr>
          <w:rPr>
            <w:rFonts w:ascii="Times New Roman" w:eastAsia="Aptos" w:hAnsi="Times New Roman" w:cs="Times New Roman"/>
            <w:color w:val="000000"/>
            <w:kern w:val="2"/>
            <w:sz w:val="24"/>
            <w:szCs w:val="24"/>
            <w14:ligatures w14:val="standardContextual"/>
          </w:rPr>
          <w:alias w:val="Citation"/>
          <w:tag w:val="{&quot;referencesIds&quot;:[&quot;doc:65798e3867e54a499740b698&quot;],&quot;referencesOptions&quot;:{&quot;doc:65798e3867e54a499740b698&quot;:{&quot;author&quot;:true,&quot;year&quot;:true,&quot;pageReplace&quot;:&quot;&quot;,&quot;prefix&quot;:&quot;&quot;,&quot;suffix&quot;:&quot;&quot;}},&quot;hasBrokenReferences&quot;:false,&quot;hasManualEdits&quot;:false,&quot;citationType&quot;:&quot;inline&quot;,&quot;id&quot;:2068071545,&quot;citationText&quot;:&quot;&lt;span style=\&quot;font-family:Verdana;font-size:14.666666666666666px;color:#000000\&quot;&gt;(Marionneau &amp;amp; Nikkinen, 2022)&lt;/span&gt;&quot;}"/>
          <w:id w:val="2068071545"/>
          <w:placeholder>
            <w:docPart w:val="208C9BEF11C64BAC8F89EECD4A2B77D2"/>
          </w:placeholder>
        </w:sdtPr>
        <w:sdtEndPr/>
        <w:sdtContent>
          <w:r w:rsidRPr="00B10BE1">
            <w:rPr>
              <w:rFonts w:ascii="Times New Roman" w:eastAsia="Times New Roman" w:hAnsi="Times New Roman" w:cs="Times New Roman"/>
              <w:color w:val="000000"/>
              <w:kern w:val="2"/>
              <w:sz w:val="24"/>
              <w:szCs w:val="24"/>
              <w14:ligatures w14:val="standardContextual"/>
            </w:rPr>
            <w:t>(Marionneau &amp; Nikkinen, 2022).</w:t>
          </w:r>
        </w:sdtContent>
      </w:sdt>
      <w:r w:rsidRPr="00B10BE1">
        <w:rPr>
          <w:rFonts w:ascii="Times New Roman" w:eastAsia="Aptos" w:hAnsi="Times New Roman" w:cs="Times New Roman"/>
          <w:color w:val="000000"/>
          <w:kern w:val="2"/>
          <w:sz w:val="24"/>
          <w:szCs w:val="24"/>
          <w14:ligatures w14:val="standardContextual"/>
        </w:rPr>
        <w:t xml:space="preserve"> </w:t>
      </w:r>
      <w:r w:rsidRPr="00B10BE1">
        <w:rPr>
          <w:rFonts w:ascii="Times New Roman" w:eastAsia="Aptos" w:hAnsi="Times New Roman" w:cs="Times New Roman"/>
          <w:sz w:val="24"/>
          <w:szCs w:val="24"/>
          <w14:ligatures w14:val="standardContextual"/>
        </w:rPr>
        <w:t>A scoping review by Gray et al.</w:t>
      </w:r>
      <w:r w:rsidRPr="00B10BE1">
        <w:rPr>
          <w:rFonts w:ascii="Times New Roman" w:eastAsia="Aptos" w:hAnsi="Times New Roman" w:cs="Times New Roman"/>
          <w:i/>
          <w:iCs/>
          <w:sz w:val="24"/>
          <w:szCs w:val="24"/>
          <w14:ligatures w14:val="standardContextual"/>
        </w:rPr>
        <w:t xml:space="preserve"> </w:t>
      </w:r>
      <w:r w:rsidRPr="00B10BE1">
        <w:rPr>
          <w:rFonts w:ascii="Times New Roman" w:eastAsia="Aptos" w:hAnsi="Times New Roman" w:cs="Times New Roman"/>
          <w:sz w:val="24"/>
          <w:szCs w:val="24"/>
          <w14:ligatures w14:val="standardContextual"/>
        </w:rPr>
        <w:t>(2021)</w:t>
      </w:r>
      <w:r w:rsidRPr="00B10BE1">
        <w:rPr>
          <w:rFonts w:ascii="Times New Roman" w:eastAsia="Aptos" w:hAnsi="Times New Roman" w:cs="Times New Roman"/>
          <w:i/>
          <w:iCs/>
          <w:sz w:val="24"/>
          <w:szCs w:val="24"/>
          <w14:ligatures w14:val="standardContextual"/>
        </w:rPr>
        <w:t xml:space="preserve"> </w:t>
      </w:r>
      <w:r w:rsidRPr="00B10BE1">
        <w:rPr>
          <w:rFonts w:ascii="Times New Roman" w:eastAsia="Aptos" w:hAnsi="Times New Roman" w:cs="Times New Roman"/>
          <w:sz w:val="24"/>
          <w:szCs w:val="24"/>
          <w14:ligatures w14:val="standardContextual"/>
        </w:rPr>
        <w:t xml:space="preserve">found that although multiple studies have examined links between gambling and suicidality, ideation and attempt form the dominant discourse. There is an absence of qualitative literature relating to the role of gambling within completed suicides </w:t>
      </w:r>
      <w:r w:rsidRPr="00B10BE1">
        <w:rPr>
          <w:rFonts w:ascii="Times New Roman" w:eastAsia="Aptos" w:hAnsi="Times New Roman" w:cs="Times New Roman"/>
          <w:kern w:val="2"/>
          <w:sz w:val="24"/>
          <w:szCs w:val="24"/>
          <w14:ligatures w14:val="standardContextual"/>
        </w:rPr>
        <w:t xml:space="preserve">(Andreeva et al., 2022). Research by Wardle et al. (2019) found that in the previous year 19.2% of problem gamblers had experienced suicidal thoughts, and 4.7% had attempted suicide. This contrasted with the broader adult population, where figures were 4.1% and 0.6% respectively.  </w:t>
      </w:r>
    </w:p>
    <w:p w14:paraId="3AB4E832" w14:textId="77777777" w:rsidR="002D5585" w:rsidRPr="00B10BE1" w:rsidRDefault="002D5585"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The primary causes of gambling-related suicidality are indebtedness (</w:t>
      </w:r>
      <w:r w:rsidRPr="00B10BE1">
        <w:rPr>
          <w:rFonts w:ascii="Times New Roman" w:eastAsia="Times New Roman" w:hAnsi="Times New Roman" w:cs="Times New Roman"/>
          <w:color w:val="000000"/>
          <w:kern w:val="2"/>
          <w:sz w:val="24"/>
          <w:szCs w:val="24"/>
          <w14:ligatures w14:val="standardContextual"/>
        </w:rPr>
        <w:t>Marionneau &amp; Nikkinen, 2022) and f</w:t>
      </w:r>
      <w:r w:rsidRPr="00B10BE1">
        <w:rPr>
          <w:rFonts w:ascii="Times New Roman" w:eastAsia="Aptos" w:hAnsi="Times New Roman" w:cs="Times New Roman"/>
          <w:kern w:val="2"/>
          <w:sz w:val="24"/>
          <w:szCs w:val="24"/>
          <w14:ligatures w14:val="standardContextual"/>
        </w:rPr>
        <w:t>eelings of shame and guilt</w:t>
      </w:r>
      <w:bookmarkStart w:id="5" w:name="_Hlk173185263"/>
      <w:r w:rsidRPr="00B10BE1">
        <w:rPr>
          <w:rFonts w:ascii="Times New Roman" w:eastAsia="Aptos" w:hAnsi="Times New Roman" w:cs="Times New Roman"/>
          <w:kern w:val="2"/>
          <w:sz w:val="24"/>
          <w:szCs w:val="24"/>
          <w14:ligatures w14:val="standardContextual"/>
        </w:rPr>
        <w:t xml:space="preserve"> (Andreeva et al., 2022). These feelings are exacerbated </w:t>
      </w:r>
      <w:r w:rsidRPr="00B10BE1">
        <w:rPr>
          <w:rFonts w:ascii="Times New Roman" w:eastAsia="Aptos" w:hAnsi="Times New Roman" w:cs="Times New Roman"/>
          <w:kern w:val="2"/>
          <w:sz w:val="24"/>
          <w:szCs w:val="24"/>
          <w14:ligatures w14:val="standardContextual"/>
        </w:rPr>
        <w:lastRenderedPageBreak/>
        <w:t xml:space="preserve">by a pathologising industry-driven narrative of “responsible gambling” that imparts blame upon the gambler (Livingstone &amp; </w:t>
      </w:r>
      <w:bookmarkStart w:id="6" w:name="_Hlk173334541"/>
      <w:r w:rsidRPr="00B10BE1">
        <w:rPr>
          <w:rFonts w:ascii="Times New Roman" w:eastAsia="Aptos" w:hAnsi="Times New Roman" w:cs="Times New Roman"/>
          <w:kern w:val="2"/>
          <w:sz w:val="24"/>
          <w:szCs w:val="24"/>
          <w14:ligatures w14:val="standardContextual"/>
        </w:rPr>
        <w:t xml:space="preserve">Rintoul, 2020, p.107).   </w:t>
      </w:r>
      <w:bookmarkEnd w:id="5"/>
      <w:r w:rsidRPr="00B10BE1">
        <w:rPr>
          <w:rFonts w:ascii="Times New Roman" w:eastAsia="Aptos" w:hAnsi="Times New Roman" w:cs="Times New Roman"/>
          <w:kern w:val="2"/>
          <w:sz w:val="24"/>
          <w:szCs w:val="24"/>
          <w14:ligatures w14:val="standardContextual"/>
        </w:rPr>
        <w:t xml:space="preserve">Karlsson and Hakansson (2018) describe suicide mortality amongst problem gamblers as 15 times that within the broader population. Wardle and McManus (2021) suggest that this elevated risk factor contributes to an overall increase in UK suicide rates since 2010. </w:t>
      </w:r>
      <w:bookmarkEnd w:id="6"/>
      <w:r w:rsidRPr="00B10BE1">
        <w:rPr>
          <w:rFonts w:ascii="Times New Roman" w:eastAsia="Aptos" w:hAnsi="Times New Roman" w:cs="Times New Roman"/>
          <w:kern w:val="2"/>
          <w:sz w:val="24"/>
          <w:szCs w:val="24"/>
          <w14:ligatures w14:val="standardContextual"/>
        </w:rPr>
        <w:t xml:space="preserve"> </w:t>
      </w:r>
    </w:p>
    <w:p w14:paraId="2F278BBD" w14:textId="5A14A724" w:rsidR="00150038" w:rsidRPr="00B10BE1" w:rsidRDefault="00150038"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color w:val="000000"/>
          <w:kern w:val="2"/>
          <w:sz w:val="24"/>
          <w:szCs w:val="24"/>
          <w14:ligatures w14:val="standardContextual"/>
        </w:rPr>
        <w:t xml:space="preserve">The impact of completed suicide upon AO is also scarcely represented in qualitative literature.  </w:t>
      </w:r>
      <w:r w:rsidRPr="00B10BE1">
        <w:rPr>
          <w:rFonts w:ascii="Times New Roman" w:eastAsia="Aptos" w:hAnsi="Times New Roman" w:cs="Times New Roman"/>
          <w:sz w:val="24"/>
          <w:szCs w:val="24"/>
          <w14:ligatures w14:val="standardContextual"/>
        </w:rPr>
        <w:t xml:space="preserve">Papers relating to gambling-related suicide were searched in depth, references to AO were absent. Equally, literature relating to AO was searched for any mention of suicide, ideation, attempt and prevention remained the dominant references (Tremblay et al., 2023; Vassallo, et al., 2023). Lind et al. (2019 p.7) briefly </w:t>
      </w:r>
      <w:r w:rsidRPr="00B10BE1">
        <w:rPr>
          <w:rFonts w:ascii="Times New Roman" w:eastAsia="Aptos" w:hAnsi="Times New Roman" w:cs="Times New Roman"/>
          <w:kern w:val="2"/>
          <w:sz w:val="24"/>
          <w:szCs w:val="24"/>
          <w14:ligatures w14:val="standardContextual"/>
        </w:rPr>
        <w:t xml:space="preserve">mention </w:t>
      </w:r>
      <w:r w:rsidR="0067178A" w:rsidRPr="00B10BE1">
        <w:rPr>
          <w:rFonts w:ascii="Times New Roman" w:eastAsia="Aptos" w:hAnsi="Times New Roman" w:cs="Times New Roman"/>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grief</w:t>
      </w:r>
      <w:r w:rsidR="0067178A" w:rsidRPr="00B10BE1">
        <w:rPr>
          <w:rFonts w:ascii="Times New Roman" w:eastAsia="Aptos" w:hAnsi="Times New Roman" w:cs="Times New Roman"/>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in a footnote, describing it as a “multidimensional or non-specified harm”. This suggests that suicide-grief is not framed specifically as a gambling harm experienced by the AO. This risks overlooking therapeutic interventions that might recognise factors unique to gambling-related suicide. </w:t>
      </w:r>
    </w:p>
    <w:p w14:paraId="74204467" w14:textId="77777777" w:rsidR="00150038" w:rsidRPr="00B10BE1" w:rsidRDefault="00150038" w:rsidP="00DF448B">
      <w:pPr>
        <w:spacing w:line="480" w:lineRule="auto"/>
        <w:jc w:val="both"/>
        <w:rPr>
          <w:rFonts w:ascii="Times New Roman" w:eastAsia="Aptos" w:hAnsi="Times New Roman" w:cs="Times New Roman"/>
          <w:sz w:val="24"/>
          <w:szCs w:val="24"/>
          <w14:ligatures w14:val="standardContextual"/>
        </w:rPr>
      </w:pPr>
      <w:r w:rsidRPr="00B10BE1">
        <w:rPr>
          <w:rFonts w:ascii="Times New Roman" w:eastAsia="Aptos" w:hAnsi="Times New Roman" w:cs="Times New Roman"/>
          <w:kern w:val="2"/>
          <w:sz w:val="24"/>
          <w:szCs w:val="24"/>
          <w14:ligatures w14:val="standardContextual"/>
        </w:rPr>
        <w:t>Unsurprisingly, in the general population close family and partners experience the most profound effects following a suicide (Andriessen &amp; Krysinska, 2012; Moore et al.,</w:t>
      </w:r>
      <w:r w:rsidRPr="00B10BE1">
        <w:rPr>
          <w:rFonts w:ascii="Times New Roman" w:eastAsia="Aptos" w:hAnsi="Times New Roman" w:cs="Times New Roman"/>
          <w:i/>
          <w:iCs/>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2015). Suicide bereavement invokes more isolation and stigma towards the survivor than most other causes of death (Allen et al., 1994).</w:t>
      </w:r>
      <w:r w:rsidRPr="00B10BE1">
        <w:rPr>
          <w:rFonts w:ascii="Times New Roman" w:eastAsia="Aptos" w:hAnsi="Times New Roman" w:cs="Times New Roman"/>
          <w:b/>
          <w:bCs/>
          <w:i/>
          <w:iCs/>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 xml:space="preserve">It seems reasonable to suggest that such feelings could be compounded by the additional shame and stigma associated with gambling harm. A possible parallel can be found in deaths due to substance use, where shame and stigma can pervade the lives of those closely bereaved (O’Callaghan et al., 2023).  </w:t>
      </w:r>
      <w:r w:rsidRPr="00B10BE1">
        <w:rPr>
          <w:rFonts w:ascii="Times New Roman" w:eastAsia="Aptos" w:hAnsi="Times New Roman" w:cs="Times New Roman"/>
          <w:sz w:val="24"/>
          <w:szCs w:val="24"/>
          <w14:ligatures w14:val="standardContextual"/>
        </w:rPr>
        <w:t>Open disclosure of the nature of the death can facilitate healing (Fiegelman et al., 2020).</w:t>
      </w:r>
      <w:r w:rsidRPr="00B10BE1">
        <w:rPr>
          <w:rFonts w:ascii="Times New Roman" w:eastAsia="Aptos" w:hAnsi="Times New Roman" w:cs="Times New Roman"/>
          <w:kern w:val="2"/>
          <w:sz w:val="24"/>
          <w:szCs w:val="24"/>
          <w14:ligatures w14:val="standardContextual"/>
        </w:rPr>
        <w:t xml:space="preserve"> Despite this, stigma and shame can compel suicide survivors to hide the</w:t>
      </w:r>
      <w:r w:rsidRPr="00B10BE1">
        <w:rPr>
          <w:rFonts w:ascii="Times New Roman" w:eastAsia="Aptos" w:hAnsi="Times New Roman" w:cs="Times New Roman"/>
          <w:sz w:val="24"/>
          <w:szCs w:val="24"/>
          <w14:ligatures w14:val="standardContextual"/>
        </w:rPr>
        <w:t xml:space="preserve"> cause of death from others </w:t>
      </w:r>
      <w:r w:rsidRPr="00B10BE1">
        <w:rPr>
          <w:rFonts w:ascii="Times New Roman" w:eastAsia="Aptos" w:hAnsi="Times New Roman" w:cs="Times New Roman"/>
          <w:kern w:val="2"/>
          <w:sz w:val="24"/>
          <w:szCs w:val="24"/>
          <w14:ligatures w14:val="standardContextual"/>
        </w:rPr>
        <w:t xml:space="preserve">(Range &amp; Calhoun, 1990). This can limit access to appropriate support resulting in disenfranchised grief </w:t>
      </w:r>
      <w:r w:rsidRPr="00B10BE1">
        <w:rPr>
          <w:rFonts w:ascii="Times New Roman" w:eastAsia="Aptos" w:hAnsi="Times New Roman" w:cs="Times New Roman"/>
          <w:sz w:val="24"/>
          <w:szCs w:val="24"/>
          <w14:ligatures w14:val="standardContextual"/>
        </w:rPr>
        <w:t xml:space="preserve">(Fiegelman et al., 2020). </w:t>
      </w:r>
    </w:p>
    <w:p w14:paraId="1DF2BD47" w14:textId="77777777" w:rsidR="00150038" w:rsidRPr="00B10BE1" w:rsidRDefault="00150038" w:rsidP="00DF448B">
      <w:pPr>
        <w:spacing w:line="480" w:lineRule="auto"/>
        <w:jc w:val="both"/>
        <w:rPr>
          <w:rFonts w:ascii="Times New Roman" w:eastAsia="Aptos" w:hAnsi="Times New Roman" w:cs="Times New Roman"/>
          <w:sz w:val="24"/>
          <w:szCs w:val="24"/>
          <w14:ligatures w14:val="standardContextual"/>
        </w:rPr>
      </w:pPr>
      <w:r w:rsidRPr="00B10BE1">
        <w:rPr>
          <w:rFonts w:ascii="Times New Roman" w:eastAsia="Aptos" w:hAnsi="Times New Roman" w:cs="Times New Roman"/>
          <w:kern w:val="2"/>
          <w:sz w:val="24"/>
          <w:szCs w:val="24"/>
          <w14:ligatures w14:val="standardContextual"/>
        </w:rPr>
        <w:lastRenderedPageBreak/>
        <w:t>Existing literature reflects the centrality of meaning reconstruction, in adapting to life following bereavement (Gillies et al., 2014; Neimeyer, 2009). According to Neimeyer (2001) meaning in our lives is anchored by attachments to people, objects and environments. S</w:t>
      </w:r>
      <w:r w:rsidRPr="00B10BE1">
        <w:rPr>
          <w:rFonts w:ascii="Times New Roman" w:eastAsia="Aptos" w:hAnsi="Times New Roman" w:cs="Times New Roman"/>
          <w:sz w:val="24"/>
          <w:szCs w:val="24"/>
          <w14:ligatures w14:val="standardContextual"/>
        </w:rPr>
        <w:t xml:space="preserve">uicide challenges these attachments, and the fundamental life-assumptions held by the survivor, including their relationship with their lost loved one, their own identity and their purpose. </w:t>
      </w:r>
    </w:p>
    <w:p w14:paraId="07488D82" w14:textId="1FF09037" w:rsidR="00150038" w:rsidRPr="00B10BE1" w:rsidRDefault="00150038"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sz w:val="24"/>
          <w:szCs w:val="24"/>
          <w14:ligatures w14:val="standardContextual"/>
        </w:rPr>
        <w:t xml:space="preserve">The intentional element of suicide has a particularly challenging impact on this assumptive world and can impede the ability of the survivor to construct meaning following the loss (Holland et al., 2006). </w:t>
      </w:r>
      <w:r w:rsidRPr="00B10BE1">
        <w:rPr>
          <w:rFonts w:ascii="Times New Roman" w:eastAsia="Aptos" w:hAnsi="Times New Roman" w:cs="Times New Roman"/>
          <w:kern w:val="2"/>
          <w:sz w:val="24"/>
          <w:szCs w:val="24"/>
          <w14:ligatures w14:val="standardContextual"/>
        </w:rPr>
        <w:t xml:space="preserve">According to Neimeyer (2001), meaning reconstruction necessitates revision of our life narratives. He likens this to the loss of a main character in the middle of a novel. Disruption of the story requires it to be reorganised to create continuity between the past and the future. </w:t>
      </w:r>
      <w:bookmarkStart w:id="7" w:name="_Hlk173188070"/>
      <w:r w:rsidRPr="00B10BE1">
        <w:rPr>
          <w:rFonts w:ascii="Times New Roman" w:eastAsia="Aptos" w:hAnsi="Times New Roman" w:cs="Times New Roman"/>
          <w:kern w:val="2"/>
          <w:sz w:val="24"/>
          <w:szCs w:val="24"/>
          <w14:ligatures w14:val="standardContextual"/>
        </w:rPr>
        <w:t xml:space="preserve"> </w:t>
      </w:r>
      <w:bookmarkEnd w:id="7"/>
      <w:r w:rsidRPr="00B10BE1">
        <w:rPr>
          <w:rFonts w:ascii="Times New Roman" w:eastAsia="Aptos" w:hAnsi="Times New Roman" w:cs="Times New Roman"/>
          <w:kern w:val="2"/>
          <w:sz w:val="24"/>
          <w:szCs w:val="24"/>
          <w14:ligatures w14:val="standardContextual"/>
        </w:rPr>
        <w:t xml:space="preserve">Attig (2001) suggests meaning making as a complex process where the bereaved reconstruct meaning both independently and interdependently with family and others. He describes a movement from “loving in presence to loving in absence” (p.34).  Linked to meaning making, is the concept of post-traumatic growth (PTG) (Jordan, 2011). This involves accruing a benefit and experiencing psychological growth after a traumatic loss. Gorman (2010) points out that PTG is not inevitable and to some extent is reliant upon protective factors in the bereaved person, such as robust familial relationships, and high self-esteem. Meaning making can adopt varied forms including advocacy </w:t>
      </w:r>
      <w:r w:rsidR="00682E31" w:rsidRPr="00B10BE1">
        <w:rPr>
          <w:rFonts w:ascii="Times New Roman" w:eastAsia="Aptos" w:hAnsi="Times New Roman" w:cs="Times New Roman"/>
          <w:kern w:val="2"/>
          <w:sz w:val="24"/>
          <w:szCs w:val="24"/>
          <w14:ligatures w14:val="standardContextual"/>
        </w:rPr>
        <w:t>and social</w:t>
      </w:r>
      <w:r w:rsidRPr="00B10BE1">
        <w:rPr>
          <w:rFonts w:ascii="Times New Roman" w:eastAsia="Aptos" w:hAnsi="Times New Roman" w:cs="Times New Roman"/>
          <w:kern w:val="2"/>
          <w:sz w:val="24"/>
          <w:szCs w:val="24"/>
          <w14:ligatures w14:val="standardContextual"/>
        </w:rPr>
        <w:t xml:space="preserve"> activism  (Neimeyer, 2009).</w:t>
      </w:r>
    </w:p>
    <w:p w14:paraId="1C3846DE" w14:textId="4B0EC07F" w:rsidR="00150038" w:rsidRPr="00B10BE1" w:rsidRDefault="00150038"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color w:val="000000"/>
          <w:kern w:val="2"/>
          <w:sz w:val="24"/>
          <w:szCs w:val="24"/>
          <w14:ligatures w14:val="standardContextual"/>
        </w:rPr>
        <w:t xml:space="preserve">Verberg (2006) contends that such social activism by families is more common than existing literature suggests. She states that parents and other family members are frequently involved in a variety of activities aimed at eliciting change at either a personal, social or political level. </w:t>
      </w:r>
      <w:r w:rsidRPr="00B10BE1">
        <w:rPr>
          <w:rFonts w:ascii="Times New Roman" w:eastAsia="Aptos" w:hAnsi="Times New Roman" w:cs="Times New Roman"/>
          <w:kern w:val="2"/>
          <w:sz w:val="24"/>
          <w:szCs w:val="24"/>
          <w14:ligatures w14:val="standardContextual"/>
        </w:rPr>
        <w:t xml:space="preserve">O’Callaghan et al. (2022) recognise activism as potentially healing through the alleviation of helplessness and increased connection with others. </w:t>
      </w:r>
    </w:p>
    <w:p w14:paraId="360375EF" w14:textId="77777777" w:rsidR="00150038" w:rsidRPr="00B10BE1" w:rsidRDefault="00150038" w:rsidP="00DF448B">
      <w:pPr>
        <w:spacing w:line="480" w:lineRule="auto"/>
        <w:jc w:val="both"/>
        <w:rPr>
          <w:rFonts w:ascii="Times New Roman" w:eastAsia="Aptos" w:hAnsi="Times New Roman" w:cs="Times New Roman"/>
          <w:b/>
          <w:bCs/>
          <w:kern w:val="2"/>
          <w:sz w:val="24"/>
          <w:szCs w:val="24"/>
          <w14:ligatures w14:val="standardContextual"/>
        </w:rPr>
      </w:pPr>
      <w:r w:rsidRPr="00B10BE1">
        <w:rPr>
          <w:rFonts w:ascii="Times New Roman" w:eastAsia="Aptos" w:hAnsi="Times New Roman" w:cs="Times New Roman"/>
          <w:kern w:val="2"/>
          <w:sz w:val="24"/>
          <w:szCs w:val="24"/>
          <w14:ligatures w14:val="standardContextual"/>
        </w:rPr>
        <w:lastRenderedPageBreak/>
        <w:t>The pursuit of accountability can be a double-edged sword. Davis et al. (2000) suggest that meaning making can be facilitated by the pursuit of justice or where a death stems from negligence or the act of a perpetrator. Conversely, Riches and Dawson (1998) identify that the grief of the survivor can be subjugated by involvement in lengthy, invasive and bureaucratic judicial processes.</w:t>
      </w:r>
      <w:r w:rsidRPr="00B10BE1">
        <w:rPr>
          <w:rFonts w:ascii="Times New Roman" w:eastAsia="Aptos" w:hAnsi="Times New Roman" w:cs="Times New Roman"/>
          <w:b/>
          <w:bCs/>
          <w:kern w:val="2"/>
          <w:sz w:val="24"/>
          <w:szCs w:val="24"/>
          <w14:ligatures w14:val="standardContextual"/>
        </w:rPr>
        <w:t xml:space="preserve"> </w:t>
      </w:r>
    </w:p>
    <w:p w14:paraId="3DD03002" w14:textId="77777777" w:rsidR="00150038" w:rsidRPr="00B10BE1" w:rsidRDefault="00150038" w:rsidP="00DF448B">
      <w:pPr>
        <w:spacing w:line="480" w:lineRule="auto"/>
        <w:jc w:val="both"/>
        <w:rPr>
          <w:rFonts w:ascii="Times New Roman" w:eastAsia="Aptos" w:hAnsi="Times New Roman" w:cs="Times New Roman"/>
          <w:color w:val="000000"/>
          <w:kern w:val="2"/>
          <w:sz w:val="24"/>
          <w:szCs w:val="24"/>
          <w14:ligatures w14:val="standardContextual"/>
        </w:rPr>
      </w:pPr>
      <w:r w:rsidRPr="00B10BE1">
        <w:rPr>
          <w:rFonts w:ascii="Times New Roman" w:eastAsia="Aptos" w:hAnsi="Times New Roman" w:cs="Times New Roman"/>
          <w:color w:val="000000"/>
          <w:kern w:val="2"/>
          <w:sz w:val="24"/>
          <w:szCs w:val="24"/>
          <w14:ligatures w14:val="standardContextual"/>
        </w:rPr>
        <w:t>Orford (2019)</w:t>
      </w:r>
      <w:r w:rsidRPr="00B10BE1">
        <w:rPr>
          <w:rFonts w:ascii="Times New Roman" w:eastAsia="Aptos" w:hAnsi="Times New Roman" w:cs="Times New Roman"/>
          <w:color w:val="000000"/>
          <w:spacing w:val="5"/>
          <w:kern w:val="2"/>
          <w:sz w:val="24"/>
          <w:szCs w:val="24"/>
          <w:shd w:val="clear" w:color="auto" w:fill="FFFFFF"/>
          <w14:ligatures w14:val="standardContextual"/>
        </w:rPr>
        <w:t xml:space="preserve"> describes growing opposition to the power and regulatory influence of the UK gambling establishment. Wardle and Laidler (2023)</w:t>
      </w:r>
      <w:r w:rsidRPr="00B10BE1">
        <w:rPr>
          <w:rFonts w:ascii="Times New Roman" w:eastAsia="Aptos" w:hAnsi="Times New Roman" w:cs="Times New Roman"/>
          <w:color w:val="000000"/>
          <w:kern w:val="2"/>
          <w:sz w:val="24"/>
          <w:szCs w:val="24"/>
          <w14:ligatures w14:val="standardContextual"/>
        </w:rPr>
        <w:t xml:space="preserve"> position women bereaved by gambling-related suicide at the forefront of such activism. They describe the catalysing impact of their grief and anger.  Campaigning in relation to gambling-related suicide is nonetheless largely absent from the literature. A consequent aim of this study, therefore, is to reduce this gap. </w:t>
      </w:r>
    </w:p>
    <w:p w14:paraId="14DE5F88" w14:textId="77777777" w:rsidR="00847B3B" w:rsidRPr="00B10BE1" w:rsidRDefault="00847B3B" w:rsidP="00DF448B">
      <w:pPr>
        <w:spacing w:line="480" w:lineRule="auto"/>
        <w:jc w:val="both"/>
        <w:rPr>
          <w:rFonts w:ascii="Times New Roman" w:eastAsia="Aptos" w:hAnsi="Times New Roman" w:cs="Times New Roman"/>
          <w:color w:val="000000"/>
          <w:kern w:val="2"/>
          <w:sz w:val="24"/>
          <w:szCs w:val="24"/>
          <w14:ligatures w14:val="standardContextual"/>
        </w:rPr>
      </w:pPr>
    </w:p>
    <w:p w14:paraId="5915179B" w14:textId="77777777" w:rsidR="00847B3B" w:rsidRDefault="00847B3B" w:rsidP="00D62EEA">
      <w:pPr>
        <w:pStyle w:val="Heading1"/>
        <w:rPr>
          <w:rFonts w:eastAsia="Aptos"/>
        </w:rPr>
      </w:pPr>
      <w:r w:rsidRPr="00B10BE1">
        <w:rPr>
          <w:rFonts w:eastAsia="Aptos"/>
        </w:rPr>
        <w:t>Methodology &amp; Methods</w:t>
      </w:r>
    </w:p>
    <w:p w14:paraId="214CD61A" w14:textId="77777777" w:rsidR="00D62EEA" w:rsidRPr="00D62EEA" w:rsidRDefault="00D62EEA" w:rsidP="00D62EEA"/>
    <w:p w14:paraId="0000275A" w14:textId="636B670F" w:rsidR="00847B3B" w:rsidRPr="00B10BE1" w:rsidRDefault="00F2222A" w:rsidP="00DF448B">
      <w:pPr>
        <w:spacing w:line="480" w:lineRule="auto"/>
        <w:rPr>
          <w:rFonts w:ascii="Times New Roman" w:eastAsia="Aptos" w:hAnsi="Times New Roman" w:cs="Times New Roman"/>
          <w:b/>
          <w:bCs/>
          <w:kern w:val="2"/>
          <w:sz w:val="24"/>
          <w:szCs w:val="24"/>
          <w:u w:val="single"/>
          <w14:ligatures w14:val="standardContextual"/>
        </w:rPr>
      </w:pPr>
      <w:r w:rsidRPr="00B10BE1">
        <w:rPr>
          <w:rFonts w:ascii="Times New Roman" w:eastAsia="Aptos" w:hAnsi="Times New Roman" w:cs="Times New Roman"/>
          <w:kern w:val="2"/>
          <w:sz w:val="24"/>
          <w:szCs w:val="24"/>
          <w14:ligatures w14:val="standardContextual"/>
        </w:rPr>
        <w:t xml:space="preserve">Our philosophical position is of </w:t>
      </w:r>
      <w:r w:rsidR="00847B3B" w:rsidRPr="00B10BE1">
        <w:rPr>
          <w:rFonts w:ascii="Times New Roman" w:eastAsia="Aptos" w:hAnsi="Times New Roman" w:cs="Times New Roman"/>
          <w:kern w:val="2"/>
          <w:sz w:val="24"/>
          <w:szCs w:val="24"/>
          <w14:ligatures w14:val="standardContextual"/>
        </w:rPr>
        <w:t>critical realis</w:t>
      </w:r>
      <w:r w:rsidRPr="00B10BE1">
        <w:rPr>
          <w:rFonts w:ascii="Times New Roman" w:eastAsia="Aptos" w:hAnsi="Times New Roman" w:cs="Times New Roman"/>
          <w:kern w:val="2"/>
          <w:sz w:val="24"/>
          <w:szCs w:val="24"/>
          <w14:ligatures w14:val="standardContextual"/>
        </w:rPr>
        <w:t>m</w:t>
      </w:r>
      <w:r w:rsidR="00847B3B" w:rsidRPr="00B10BE1">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 xml:space="preserve">using a </w:t>
      </w:r>
      <w:r w:rsidR="00847B3B" w:rsidRPr="00B10BE1">
        <w:rPr>
          <w:rFonts w:ascii="Times New Roman" w:eastAsia="Aptos" w:hAnsi="Times New Roman" w:cs="Times New Roman"/>
          <w:kern w:val="2"/>
          <w:sz w:val="24"/>
          <w:szCs w:val="24"/>
          <w14:ligatures w14:val="standardContextual"/>
        </w:rPr>
        <w:t>phenomenological approach</w:t>
      </w:r>
      <w:r w:rsidRPr="00B10BE1">
        <w:rPr>
          <w:rFonts w:ascii="Times New Roman" w:eastAsia="Aptos" w:hAnsi="Times New Roman" w:cs="Times New Roman"/>
          <w:kern w:val="2"/>
          <w:sz w:val="24"/>
          <w:szCs w:val="24"/>
          <w14:ligatures w14:val="standardContextual"/>
        </w:rPr>
        <w:t>. This leads us to the</w:t>
      </w:r>
      <w:r w:rsidR="00847B3B" w:rsidRPr="00B10BE1">
        <w:rPr>
          <w:rFonts w:ascii="Times New Roman" w:eastAsia="Aptos" w:hAnsi="Times New Roman" w:cs="Times New Roman"/>
          <w:kern w:val="2"/>
          <w:sz w:val="24"/>
          <w:szCs w:val="24"/>
          <w14:ligatures w14:val="standardContextual"/>
        </w:rPr>
        <w:t xml:space="preserve"> interpretivist position. Interpretivism posits that individuals develop unique subjective meanings and understandings of their experiences. Rather than objectively true, these meanings are socially constructed. Social constructionism posits that a person’s knowledge is not objective, but formed by their social interactions, and the cultural and historical influences of the world in which they live (Creswell &amp; Creswell, 2023).</w:t>
      </w:r>
    </w:p>
    <w:p w14:paraId="25038605" w14:textId="77777777" w:rsidR="008E47A9" w:rsidRDefault="008E47A9" w:rsidP="00D62EEA">
      <w:pPr>
        <w:pStyle w:val="Heading2"/>
      </w:pPr>
      <w:r w:rsidRPr="00D62EEA">
        <w:t>Reflexivity</w:t>
      </w:r>
    </w:p>
    <w:p w14:paraId="733E4931" w14:textId="77777777" w:rsidR="00D62EEA" w:rsidRPr="00D62EEA" w:rsidRDefault="00D62EEA" w:rsidP="00D62EEA"/>
    <w:p w14:paraId="13392D22" w14:textId="28F0D911" w:rsidR="008E47A9" w:rsidRPr="00B10BE1" w:rsidRDefault="008E47A9"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Personal experiences of gambling harm and subsequent activism positioned </w:t>
      </w:r>
      <w:r w:rsidR="00FB3310">
        <w:rPr>
          <w:rFonts w:ascii="Times New Roman" w:eastAsia="Aptos" w:hAnsi="Times New Roman" w:cs="Times New Roman"/>
          <w:kern w:val="2"/>
          <w:sz w:val="24"/>
          <w:szCs w:val="24"/>
          <w14:ligatures w14:val="standardContextual"/>
        </w:rPr>
        <w:t>Eugene Farrar</w:t>
      </w:r>
      <w:r w:rsidRPr="00B10BE1">
        <w:rPr>
          <w:rFonts w:ascii="Times New Roman" w:eastAsia="Aptos" w:hAnsi="Times New Roman" w:cs="Times New Roman"/>
          <w:kern w:val="2"/>
          <w:sz w:val="24"/>
          <w:szCs w:val="24"/>
          <w14:ligatures w14:val="standardContextual"/>
        </w:rPr>
        <w:t xml:space="preserve"> as an insider within this study. Rather than seeking to neutralise researcher subjectivity, qualitative </w:t>
      </w:r>
      <w:r w:rsidRPr="00B10BE1">
        <w:rPr>
          <w:rFonts w:ascii="Times New Roman" w:eastAsia="Aptos" w:hAnsi="Times New Roman" w:cs="Times New Roman"/>
          <w:kern w:val="2"/>
          <w:sz w:val="24"/>
          <w:szCs w:val="24"/>
          <w14:ligatures w14:val="standardContextual"/>
        </w:rPr>
        <w:lastRenderedPageBreak/>
        <w:t xml:space="preserve">research capitalises on this in co-constructing meaning from the experiences of participants (Creswell &amp; Creswell, 2023). Walsh (2003) suggests that researcher subjectivity is appraised by a “typology” (p.54) comprising: personal; interpersonal; methodological and contextual reflexive practices. Reflexive journalling, and collaborative reflection with in-field professionals, enabled </w:t>
      </w:r>
      <w:r w:rsidR="00FB3310">
        <w:rPr>
          <w:rFonts w:ascii="Times New Roman" w:eastAsia="Aptos" w:hAnsi="Times New Roman" w:cs="Times New Roman"/>
          <w:kern w:val="2"/>
          <w:sz w:val="24"/>
          <w:szCs w:val="24"/>
          <w14:ligatures w14:val="standardContextual"/>
        </w:rPr>
        <w:t>Eugene</w:t>
      </w:r>
      <w:r w:rsidR="00F2222A" w:rsidRPr="00B10BE1">
        <w:rPr>
          <w:rFonts w:ascii="Times New Roman" w:eastAsia="Aptos" w:hAnsi="Times New Roman" w:cs="Times New Roman"/>
          <w:kern w:val="2"/>
          <w:sz w:val="24"/>
          <w:szCs w:val="24"/>
          <w14:ligatures w14:val="standardContextual"/>
        </w:rPr>
        <w:t xml:space="preserve"> to reflect </w:t>
      </w:r>
      <w:r w:rsidRPr="00B10BE1">
        <w:rPr>
          <w:rFonts w:ascii="Times New Roman" w:eastAsia="Aptos" w:hAnsi="Times New Roman" w:cs="Times New Roman"/>
          <w:kern w:val="2"/>
          <w:sz w:val="24"/>
          <w:szCs w:val="24"/>
          <w14:ligatures w14:val="standardContextual"/>
        </w:rPr>
        <w:t xml:space="preserve">on the influence of </w:t>
      </w:r>
      <w:r w:rsidR="00F2222A" w:rsidRPr="00B10BE1">
        <w:rPr>
          <w:rFonts w:ascii="Times New Roman" w:eastAsia="Aptos" w:hAnsi="Times New Roman" w:cs="Times New Roman"/>
          <w:kern w:val="2"/>
          <w:sz w:val="24"/>
          <w:szCs w:val="24"/>
          <w14:ligatures w14:val="standardContextual"/>
        </w:rPr>
        <w:t>personal</w:t>
      </w:r>
      <w:r w:rsidRPr="00B10BE1">
        <w:rPr>
          <w:rFonts w:ascii="Times New Roman" w:eastAsia="Aptos" w:hAnsi="Times New Roman" w:cs="Times New Roman"/>
          <w:kern w:val="2"/>
          <w:sz w:val="24"/>
          <w:szCs w:val="24"/>
          <w14:ligatures w14:val="standardContextual"/>
        </w:rPr>
        <w:t xml:space="preserve"> values</w:t>
      </w:r>
      <w:r w:rsidR="00FB3310">
        <w:rPr>
          <w:rFonts w:ascii="Times New Roman" w:eastAsia="Aptos" w:hAnsi="Times New Roman" w:cs="Times New Roman"/>
          <w:kern w:val="2"/>
          <w:sz w:val="24"/>
          <w:szCs w:val="24"/>
          <w14:ligatures w14:val="standardContextual"/>
        </w:rPr>
        <w:t xml:space="preserve"> upon</w:t>
      </w:r>
      <w:r w:rsidR="00F2222A" w:rsidRPr="00B10BE1">
        <w:rPr>
          <w:rFonts w:ascii="Times New Roman" w:eastAsia="Aptos" w:hAnsi="Times New Roman" w:cs="Times New Roman"/>
          <w:kern w:val="2"/>
          <w:sz w:val="24"/>
          <w:szCs w:val="24"/>
          <w14:ligatures w14:val="standardContextual"/>
        </w:rPr>
        <w:t xml:space="preserve"> </w:t>
      </w:r>
      <w:r w:rsidR="00FB3310">
        <w:rPr>
          <w:rFonts w:ascii="Times New Roman" w:eastAsia="Aptos" w:hAnsi="Times New Roman" w:cs="Times New Roman"/>
          <w:kern w:val="2"/>
          <w:sz w:val="24"/>
          <w:szCs w:val="24"/>
          <w14:ligatures w14:val="standardContextual"/>
        </w:rPr>
        <w:t>his</w:t>
      </w:r>
      <w:r w:rsidR="00F2222A" w:rsidRPr="00B10BE1">
        <w:rPr>
          <w:rFonts w:ascii="Times New Roman" w:eastAsia="Aptos" w:hAnsi="Times New Roman" w:cs="Times New Roman"/>
          <w:kern w:val="2"/>
          <w:sz w:val="24"/>
          <w:szCs w:val="24"/>
          <w14:ligatures w14:val="standardContextual"/>
        </w:rPr>
        <w:t xml:space="preserve"> r</w:t>
      </w:r>
      <w:r w:rsidRPr="00B10BE1">
        <w:rPr>
          <w:rFonts w:ascii="Times New Roman" w:eastAsia="Aptos" w:hAnsi="Times New Roman" w:cs="Times New Roman"/>
          <w:kern w:val="2"/>
          <w:sz w:val="24"/>
          <w:szCs w:val="24"/>
          <w14:ligatures w14:val="standardContextual"/>
        </w:rPr>
        <w:t>elationship with participants</w:t>
      </w:r>
      <w:r w:rsidR="00FB3310">
        <w:rPr>
          <w:rFonts w:ascii="Times New Roman" w:eastAsia="Aptos" w:hAnsi="Times New Roman" w:cs="Times New Roman"/>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and the results of this study. </w:t>
      </w:r>
    </w:p>
    <w:p w14:paraId="1385377D" w14:textId="253386C1" w:rsidR="008E47A9" w:rsidRPr="00B10BE1" w:rsidRDefault="00FB3310" w:rsidP="00DF448B">
      <w:pPr>
        <w:spacing w:line="480"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Eugene’s</w:t>
      </w:r>
      <w:r w:rsidR="008E47A9" w:rsidRPr="00B10BE1">
        <w:rPr>
          <w:rFonts w:ascii="Times New Roman" w:eastAsia="Aptos" w:hAnsi="Times New Roman" w:cs="Times New Roman"/>
          <w:kern w:val="2"/>
          <w:sz w:val="24"/>
          <w:szCs w:val="24"/>
          <w14:ligatures w14:val="standardContextual"/>
        </w:rPr>
        <w:t xml:space="preserve"> status as an insider necessitated a reflexive approach to each stage of this study. The following were notable examples. As a survivor of gambling harm, </w:t>
      </w:r>
      <w:r w:rsidR="006B7875" w:rsidRPr="00B10BE1">
        <w:rPr>
          <w:rFonts w:ascii="Times New Roman" w:eastAsia="Aptos" w:hAnsi="Times New Roman" w:cs="Times New Roman"/>
          <w:kern w:val="2"/>
          <w:sz w:val="24"/>
          <w:szCs w:val="24"/>
          <w14:ligatures w14:val="standardContextual"/>
        </w:rPr>
        <w:t xml:space="preserve">the status of </w:t>
      </w:r>
      <w:r>
        <w:rPr>
          <w:rFonts w:ascii="Times New Roman" w:eastAsia="Aptos" w:hAnsi="Times New Roman" w:cs="Times New Roman"/>
          <w:kern w:val="2"/>
          <w:sz w:val="24"/>
          <w:szCs w:val="24"/>
          <w14:ligatures w14:val="standardContextual"/>
        </w:rPr>
        <w:t>Eugene</w:t>
      </w:r>
      <w:r w:rsidR="008E47A9" w:rsidRPr="00B10BE1">
        <w:rPr>
          <w:rFonts w:ascii="Times New Roman" w:eastAsia="Aptos" w:hAnsi="Times New Roman" w:cs="Times New Roman"/>
          <w:kern w:val="2"/>
          <w:sz w:val="24"/>
          <w:szCs w:val="24"/>
          <w14:ligatures w14:val="standardContextual"/>
        </w:rPr>
        <w:t xml:space="preserve"> contrasted starkly with that of the participant’s lost loved ones.  </w:t>
      </w:r>
      <w:r w:rsidR="006B7875" w:rsidRPr="00B10BE1">
        <w:rPr>
          <w:rFonts w:ascii="Times New Roman" w:eastAsia="Aptos" w:hAnsi="Times New Roman" w:cs="Times New Roman"/>
          <w:kern w:val="2"/>
          <w:sz w:val="24"/>
          <w:szCs w:val="24"/>
          <w14:ligatures w14:val="standardContextual"/>
        </w:rPr>
        <w:t>I</w:t>
      </w:r>
      <w:r w:rsidR="008E47A9" w:rsidRPr="00B10BE1">
        <w:rPr>
          <w:rFonts w:ascii="Times New Roman" w:eastAsia="Aptos" w:hAnsi="Times New Roman" w:cs="Times New Roman"/>
          <w:kern w:val="2"/>
          <w:sz w:val="24"/>
          <w:szCs w:val="24"/>
          <w14:ligatures w14:val="standardContextual"/>
        </w:rPr>
        <w:t>nterpersonal reflexivity identified the potential</w:t>
      </w:r>
      <w:r w:rsidR="00A14C14" w:rsidRPr="00B10BE1">
        <w:rPr>
          <w:rFonts w:ascii="Times New Roman" w:eastAsia="Aptos" w:hAnsi="Times New Roman" w:cs="Times New Roman"/>
          <w:kern w:val="2"/>
          <w:sz w:val="24"/>
          <w:szCs w:val="24"/>
          <w14:ligatures w14:val="standardContextual"/>
        </w:rPr>
        <w:t xml:space="preserve"> to</w:t>
      </w:r>
      <w:r w:rsidR="006B7875" w:rsidRPr="00B10BE1">
        <w:rPr>
          <w:rFonts w:ascii="Times New Roman" w:eastAsia="Aptos" w:hAnsi="Times New Roman" w:cs="Times New Roman"/>
          <w:kern w:val="2"/>
          <w:sz w:val="24"/>
          <w:szCs w:val="24"/>
          <w14:ligatures w14:val="standardContextual"/>
        </w:rPr>
        <w:t xml:space="preserve"> experienc</w:t>
      </w:r>
      <w:r w:rsidR="00A14C14" w:rsidRPr="00B10BE1">
        <w:rPr>
          <w:rFonts w:ascii="Times New Roman" w:eastAsia="Aptos" w:hAnsi="Times New Roman" w:cs="Times New Roman"/>
          <w:kern w:val="2"/>
          <w:sz w:val="24"/>
          <w:szCs w:val="24"/>
          <w14:ligatures w14:val="standardContextual"/>
        </w:rPr>
        <w:t>e</w:t>
      </w:r>
      <w:r w:rsidR="008E47A9" w:rsidRPr="00B10BE1">
        <w:rPr>
          <w:rFonts w:ascii="Times New Roman" w:eastAsia="Aptos" w:hAnsi="Times New Roman" w:cs="Times New Roman"/>
          <w:kern w:val="2"/>
          <w:sz w:val="24"/>
          <w:szCs w:val="24"/>
          <w14:ligatures w14:val="standardContextual"/>
        </w:rPr>
        <w:t xml:space="preserve"> survivor-guilt, and for feeling unentitled</w:t>
      </w:r>
      <w:r w:rsidR="00A14C14" w:rsidRPr="00B10BE1">
        <w:rPr>
          <w:rFonts w:ascii="Times New Roman" w:eastAsia="Aptos" w:hAnsi="Times New Roman" w:cs="Times New Roman"/>
          <w:kern w:val="2"/>
          <w:sz w:val="24"/>
          <w:szCs w:val="24"/>
          <w14:ligatures w14:val="standardContextual"/>
        </w:rPr>
        <w:t xml:space="preserve"> as a researcher,</w:t>
      </w:r>
      <w:r w:rsidR="008E47A9" w:rsidRPr="00B10BE1">
        <w:rPr>
          <w:rFonts w:ascii="Times New Roman" w:eastAsia="Aptos" w:hAnsi="Times New Roman" w:cs="Times New Roman"/>
          <w:kern w:val="2"/>
          <w:sz w:val="24"/>
          <w:szCs w:val="24"/>
          <w14:ligatures w14:val="standardContextual"/>
        </w:rPr>
        <w:t xml:space="preserve"> to witness the profound reflections of the participants.  Reflexive journaling enabled </w:t>
      </w:r>
      <w:r>
        <w:rPr>
          <w:rFonts w:ascii="Times New Roman" w:eastAsia="Aptos" w:hAnsi="Times New Roman" w:cs="Times New Roman"/>
          <w:kern w:val="2"/>
          <w:sz w:val="24"/>
          <w:szCs w:val="24"/>
          <w14:ligatures w14:val="standardContextual"/>
        </w:rPr>
        <w:t>Eugene</w:t>
      </w:r>
      <w:r w:rsidR="008E47A9" w:rsidRPr="00B10BE1">
        <w:rPr>
          <w:rFonts w:ascii="Times New Roman" w:eastAsia="Aptos" w:hAnsi="Times New Roman" w:cs="Times New Roman"/>
          <w:kern w:val="2"/>
          <w:sz w:val="24"/>
          <w:szCs w:val="24"/>
          <w14:ligatures w14:val="standardContextual"/>
        </w:rPr>
        <w:t xml:space="preserve"> </w:t>
      </w:r>
      <w:r w:rsidR="00A14C14" w:rsidRPr="00B10BE1">
        <w:rPr>
          <w:rFonts w:ascii="Times New Roman" w:eastAsia="Aptos" w:hAnsi="Times New Roman" w:cs="Times New Roman"/>
          <w:kern w:val="2"/>
          <w:sz w:val="24"/>
          <w:szCs w:val="24"/>
          <w14:ligatures w14:val="standardContextual"/>
        </w:rPr>
        <w:t>to</w:t>
      </w:r>
      <w:r w:rsidR="008E47A9" w:rsidRPr="00B10BE1">
        <w:rPr>
          <w:rFonts w:ascii="Times New Roman" w:eastAsia="Aptos" w:hAnsi="Times New Roman" w:cs="Times New Roman"/>
          <w:kern w:val="2"/>
          <w:sz w:val="24"/>
          <w:szCs w:val="24"/>
          <w14:ligatures w14:val="standardContextual"/>
        </w:rPr>
        <w:t xml:space="preserve"> recognise the validity </w:t>
      </w:r>
      <w:r w:rsidRPr="00B10BE1">
        <w:rPr>
          <w:rFonts w:ascii="Times New Roman" w:eastAsia="Aptos" w:hAnsi="Times New Roman" w:cs="Times New Roman"/>
          <w:kern w:val="2"/>
          <w:sz w:val="24"/>
          <w:szCs w:val="24"/>
          <w14:ligatures w14:val="standardContextual"/>
        </w:rPr>
        <w:t>of his</w:t>
      </w:r>
      <w:r w:rsidR="008E47A9" w:rsidRPr="00B10BE1">
        <w:rPr>
          <w:rFonts w:ascii="Times New Roman" w:eastAsia="Aptos" w:hAnsi="Times New Roman" w:cs="Times New Roman"/>
          <w:kern w:val="2"/>
          <w:sz w:val="24"/>
          <w:szCs w:val="24"/>
          <w14:ligatures w14:val="standardContextual"/>
        </w:rPr>
        <w:t xml:space="preserve"> own experiences </w:t>
      </w:r>
      <w:r w:rsidR="00547ED7" w:rsidRPr="00B10BE1">
        <w:rPr>
          <w:rFonts w:ascii="Times New Roman" w:eastAsia="Aptos" w:hAnsi="Times New Roman" w:cs="Times New Roman"/>
          <w:kern w:val="2"/>
          <w:sz w:val="24"/>
          <w:szCs w:val="24"/>
          <w14:ligatures w14:val="standardContextual"/>
        </w:rPr>
        <w:t>and his</w:t>
      </w:r>
      <w:r w:rsidR="00A14C14" w:rsidRPr="00B10BE1">
        <w:rPr>
          <w:rFonts w:ascii="Times New Roman" w:eastAsia="Aptos" w:hAnsi="Times New Roman" w:cs="Times New Roman"/>
          <w:kern w:val="2"/>
          <w:sz w:val="24"/>
          <w:szCs w:val="24"/>
          <w14:ligatures w14:val="standardContextual"/>
        </w:rPr>
        <w:t xml:space="preserve"> </w:t>
      </w:r>
      <w:r w:rsidR="008E47A9" w:rsidRPr="00B10BE1">
        <w:rPr>
          <w:rFonts w:ascii="Times New Roman" w:eastAsia="Aptos" w:hAnsi="Times New Roman" w:cs="Times New Roman"/>
          <w:kern w:val="2"/>
          <w:sz w:val="24"/>
          <w:szCs w:val="24"/>
          <w14:ligatures w14:val="standardContextual"/>
        </w:rPr>
        <w:t xml:space="preserve">position within the research.  Participant’s knowledge of </w:t>
      </w:r>
      <w:r>
        <w:rPr>
          <w:rFonts w:ascii="Times New Roman" w:eastAsia="Aptos" w:hAnsi="Times New Roman" w:cs="Times New Roman"/>
          <w:kern w:val="2"/>
          <w:sz w:val="24"/>
          <w:szCs w:val="24"/>
          <w14:ligatures w14:val="standardContextual"/>
        </w:rPr>
        <w:t>Eugene’s</w:t>
      </w:r>
      <w:r w:rsidR="008E47A9" w:rsidRPr="00B10BE1">
        <w:rPr>
          <w:rFonts w:ascii="Times New Roman" w:eastAsia="Aptos" w:hAnsi="Times New Roman" w:cs="Times New Roman"/>
          <w:kern w:val="2"/>
          <w:sz w:val="24"/>
          <w:szCs w:val="24"/>
          <w14:ligatures w14:val="standardContextual"/>
        </w:rPr>
        <w:t xml:space="preserve"> previous activism again necessitated interpersonal reflexivity. “… you’ll know from your own campaigning …” prefixed several participant recollections of their own experiences. </w:t>
      </w:r>
      <w:r>
        <w:rPr>
          <w:rFonts w:ascii="Times New Roman" w:eastAsia="Aptos" w:hAnsi="Times New Roman" w:cs="Times New Roman"/>
          <w:kern w:val="2"/>
          <w:sz w:val="24"/>
          <w:szCs w:val="24"/>
          <w14:ligatures w14:val="standardContextual"/>
        </w:rPr>
        <w:t>Eugene</w:t>
      </w:r>
      <w:r w:rsidR="008E47A9" w:rsidRPr="00B10BE1">
        <w:rPr>
          <w:rFonts w:ascii="Times New Roman" w:eastAsia="Aptos" w:hAnsi="Times New Roman" w:cs="Times New Roman"/>
          <w:kern w:val="2"/>
          <w:sz w:val="24"/>
          <w:szCs w:val="24"/>
          <w14:ligatures w14:val="standardContextual"/>
        </w:rPr>
        <w:t xml:space="preserve"> </w:t>
      </w:r>
      <w:r w:rsidR="00547ED7" w:rsidRPr="00B10BE1">
        <w:rPr>
          <w:rFonts w:ascii="Times New Roman" w:eastAsia="Aptos" w:hAnsi="Times New Roman" w:cs="Times New Roman"/>
          <w:kern w:val="2"/>
          <w:sz w:val="24"/>
          <w:szCs w:val="24"/>
          <w14:ligatures w14:val="standardContextual"/>
        </w:rPr>
        <w:t>contemplated whether</w:t>
      </w:r>
      <w:r w:rsidR="008E47A9" w:rsidRPr="00B10BE1">
        <w:rPr>
          <w:rFonts w:ascii="Times New Roman" w:eastAsia="Aptos" w:hAnsi="Times New Roman" w:cs="Times New Roman"/>
          <w:kern w:val="2"/>
          <w:sz w:val="24"/>
          <w:szCs w:val="24"/>
          <w14:ligatures w14:val="standardContextual"/>
        </w:rPr>
        <w:t xml:space="preserve"> this comparison</w:t>
      </w:r>
      <w:r w:rsidR="00A14C14" w:rsidRPr="00B10BE1">
        <w:rPr>
          <w:rFonts w:ascii="Times New Roman" w:eastAsia="Aptos" w:hAnsi="Times New Roman" w:cs="Times New Roman"/>
          <w:kern w:val="2"/>
          <w:sz w:val="24"/>
          <w:szCs w:val="24"/>
          <w14:ligatures w14:val="standardContextual"/>
        </w:rPr>
        <w:t xml:space="preserve"> stemmed from</w:t>
      </w:r>
      <w:r w:rsidR="008E47A9" w:rsidRPr="00B10BE1">
        <w:rPr>
          <w:rFonts w:ascii="Times New Roman" w:eastAsia="Aptos" w:hAnsi="Times New Roman" w:cs="Times New Roman"/>
          <w:kern w:val="2"/>
          <w:sz w:val="24"/>
          <w:szCs w:val="24"/>
          <w14:ligatures w14:val="standardContextual"/>
        </w:rPr>
        <w:t xml:space="preserve"> a perceived need for participants to validate their own experiences. Olmos-Vega et al. (2023) see such collaborative reflection between researcher and participants as promoting rigour within research but caution against “losing sight of the participant’s voices” (p.248).</w:t>
      </w:r>
    </w:p>
    <w:p w14:paraId="78AE6A7B" w14:textId="1014ED87" w:rsidR="008E47A9" w:rsidRPr="00B10BE1" w:rsidRDefault="008E47A9"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Reflexively</w:t>
      </w:r>
      <w:r w:rsidR="00A26F9E">
        <w:rPr>
          <w:rFonts w:ascii="Times New Roman" w:eastAsia="Aptos" w:hAnsi="Times New Roman" w:cs="Times New Roman"/>
          <w:kern w:val="2"/>
          <w:sz w:val="24"/>
          <w:szCs w:val="24"/>
          <w14:ligatures w14:val="standardContextual"/>
        </w:rPr>
        <w:t>, Eugene</w:t>
      </w:r>
      <w:r w:rsidRPr="00B10BE1">
        <w:rPr>
          <w:rFonts w:ascii="Times New Roman" w:eastAsia="Aptos" w:hAnsi="Times New Roman" w:cs="Times New Roman"/>
          <w:kern w:val="2"/>
          <w:sz w:val="24"/>
          <w:szCs w:val="24"/>
          <w14:ligatures w14:val="standardContextual"/>
        </w:rPr>
        <w:t xml:space="preserve"> appraised </w:t>
      </w:r>
      <w:r w:rsidR="000D08C2" w:rsidRPr="00B10BE1">
        <w:rPr>
          <w:rFonts w:ascii="Times New Roman" w:eastAsia="Aptos" w:hAnsi="Times New Roman" w:cs="Times New Roman"/>
          <w:kern w:val="2"/>
          <w:sz w:val="24"/>
          <w:szCs w:val="24"/>
          <w14:ligatures w14:val="standardContextual"/>
        </w:rPr>
        <w:t>his</w:t>
      </w:r>
      <w:r w:rsidR="00A14C14" w:rsidRPr="00B10BE1">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 xml:space="preserve">contribution to the participant’s perception </w:t>
      </w:r>
      <w:r w:rsidR="00A26F9E" w:rsidRPr="00B10BE1">
        <w:rPr>
          <w:rFonts w:ascii="Times New Roman" w:eastAsia="Aptos" w:hAnsi="Times New Roman" w:cs="Times New Roman"/>
          <w:kern w:val="2"/>
          <w:sz w:val="24"/>
          <w:szCs w:val="24"/>
          <w14:ligatures w14:val="standardContextual"/>
        </w:rPr>
        <w:t>of power</w:t>
      </w:r>
      <w:r w:rsidRPr="00B10BE1">
        <w:rPr>
          <w:rFonts w:ascii="Times New Roman" w:eastAsia="Aptos" w:hAnsi="Times New Roman" w:cs="Times New Roman"/>
          <w:kern w:val="2"/>
          <w:sz w:val="24"/>
          <w:szCs w:val="24"/>
          <w14:ligatures w14:val="standardContextual"/>
        </w:rPr>
        <w:t xml:space="preserve"> within </w:t>
      </w:r>
      <w:r w:rsidR="007B2448" w:rsidRPr="00B10BE1">
        <w:rPr>
          <w:rFonts w:ascii="Times New Roman" w:eastAsia="Aptos" w:hAnsi="Times New Roman" w:cs="Times New Roman"/>
          <w:kern w:val="2"/>
          <w:sz w:val="24"/>
          <w:szCs w:val="24"/>
          <w14:ligatures w14:val="standardContextual"/>
        </w:rPr>
        <w:t>the</w:t>
      </w:r>
      <w:r w:rsidRPr="00B10BE1">
        <w:rPr>
          <w:rFonts w:ascii="Times New Roman" w:eastAsia="Aptos" w:hAnsi="Times New Roman" w:cs="Times New Roman"/>
          <w:kern w:val="2"/>
          <w:sz w:val="24"/>
          <w:szCs w:val="24"/>
          <w14:ligatures w14:val="standardContextual"/>
        </w:rPr>
        <w:t xml:space="preserve"> researcher-participant relationship.</w:t>
      </w:r>
      <w:r w:rsidR="007B2448" w:rsidRPr="00B10BE1">
        <w:rPr>
          <w:rFonts w:ascii="Times New Roman" w:eastAsia="Aptos" w:hAnsi="Times New Roman" w:cs="Times New Roman"/>
          <w:kern w:val="2"/>
          <w:sz w:val="24"/>
          <w:szCs w:val="24"/>
          <w14:ligatures w14:val="standardContextual"/>
        </w:rPr>
        <w:t xml:space="preserve"> </w:t>
      </w:r>
      <w:r w:rsidR="00A26F9E">
        <w:rPr>
          <w:rFonts w:ascii="Times New Roman" w:eastAsia="Aptos" w:hAnsi="Times New Roman" w:cs="Times New Roman"/>
          <w:kern w:val="2"/>
          <w:sz w:val="24"/>
          <w:szCs w:val="24"/>
          <w14:ligatures w14:val="standardContextual"/>
        </w:rPr>
        <w:t>Eugene</w:t>
      </w:r>
      <w:r w:rsidR="007B2448" w:rsidRPr="00B10BE1">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 xml:space="preserve">subsequently alluded to the qualitative differences between </w:t>
      </w:r>
      <w:r w:rsidR="007B2448" w:rsidRPr="00B10BE1">
        <w:rPr>
          <w:rFonts w:ascii="Times New Roman" w:eastAsia="Aptos" w:hAnsi="Times New Roman" w:cs="Times New Roman"/>
          <w:kern w:val="2"/>
          <w:sz w:val="24"/>
          <w:szCs w:val="24"/>
          <w14:ligatures w14:val="standardContextual"/>
        </w:rPr>
        <w:t>the</w:t>
      </w:r>
      <w:r w:rsidR="007E0A46" w:rsidRPr="00B10BE1">
        <w:rPr>
          <w:rFonts w:ascii="Times New Roman" w:eastAsia="Aptos" w:hAnsi="Times New Roman" w:cs="Times New Roman"/>
          <w:kern w:val="2"/>
          <w:sz w:val="24"/>
          <w:szCs w:val="24"/>
          <w14:ligatures w14:val="standardContextual"/>
        </w:rPr>
        <w:t>ir</w:t>
      </w:r>
      <w:r w:rsidR="007B2448" w:rsidRPr="00B10BE1">
        <w:rPr>
          <w:rFonts w:ascii="Times New Roman" w:eastAsia="Aptos" w:hAnsi="Times New Roman" w:cs="Times New Roman"/>
          <w:kern w:val="2"/>
          <w:sz w:val="24"/>
          <w:szCs w:val="24"/>
          <w14:ligatures w14:val="standardContextual"/>
        </w:rPr>
        <w:t xml:space="preserve"> respective</w:t>
      </w:r>
      <w:r w:rsidRPr="00B10BE1">
        <w:rPr>
          <w:rFonts w:ascii="Times New Roman" w:eastAsia="Aptos" w:hAnsi="Times New Roman" w:cs="Times New Roman"/>
          <w:kern w:val="2"/>
          <w:sz w:val="24"/>
          <w:szCs w:val="24"/>
          <w14:ligatures w14:val="standardContextual"/>
        </w:rPr>
        <w:t xml:space="preserve"> experiences and restated </w:t>
      </w:r>
      <w:r w:rsidR="00A26F9E">
        <w:rPr>
          <w:rFonts w:ascii="Times New Roman" w:eastAsia="Aptos" w:hAnsi="Times New Roman" w:cs="Times New Roman"/>
          <w:kern w:val="2"/>
          <w:sz w:val="24"/>
          <w:szCs w:val="24"/>
          <w14:ligatures w14:val="standardContextual"/>
        </w:rPr>
        <w:t>his</w:t>
      </w:r>
      <w:r w:rsidRPr="00B10BE1">
        <w:rPr>
          <w:rFonts w:ascii="Times New Roman" w:eastAsia="Aptos" w:hAnsi="Times New Roman" w:cs="Times New Roman"/>
          <w:kern w:val="2"/>
          <w:sz w:val="24"/>
          <w:szCs w:val="24"/>
          <w14:ligatures w14:val="standardContextual"/>
        </w:rPr>
        <w:t xml:space="preserve"> curiosity towards the</w:t>
      </w:r>
      <w:r w:rsidR="007B2448" w:rsidRPr="00B10BE1">
        <w:rPr>
          <w:rFonts w:ascii="Times New Roman" w:eastAsia="Aptos" w:hAnsi="Times New Roman" w:cs="Times New Roman"/>
          <w:kern w:val="2"/>
          <w:sz w:val="24"/>
          <w:szCs w:val="24"/>
          <w14:ligatures w14:val="standardContextual"/>
        </w:rPr>
        <w:t xml:space="preserve"> </w:t>
      </w:r>
      <w:r w:rsidR="00547ED7" w:rsidRPr="00B10BE1">
        <w:rPr>
          <w:rFonts w:ascii="Times New Roman" w:eastAsia="Aptos" w:hAnsi="Times New Roman" w:cs="Times New Roman"/>
          <w:kern w:val="2"/>
          <w:sz w:val="24"/>
          <w:szCs w:val="24"/>
          <w14:ligatures w14:val="standardContextual"/>
        </w:rPr>
        <w:t>participant’s unique</w:t>
      </w:r>
      <w:r w:rsidRPr="00B10BE1">
        <w:rPr>
          <w:rFonts w:ascii="Times New Roman" w:eastAsia="Aptos" w:hAnsi="Times New Roman" w:cs="Times New Roman"/>
          <w:kern w:val="2"/>
          <w:sz w:val="24"/>
          <w:szCs w:val="24"/>
          <w14:ligatures w14:val="standardContextual"/>
        </w:rPr>
        <w:t xml:space="preserve"> perspectives. </w:t>
      </w:r>
    </w:p>
    <w:p w14:paraId="5637FA1A" w14:textId="522B445E" w:rsidR="008E47A9" w:rsidRPr="00B10BE1" w:rsidRDefault="008E47A9"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lastRenderedPageBreak/>
        <w:t xml:space="preserve">The collective impact of reflexive activities in the context of the current study, was </w:t>
      </w:r>
      <w:r w:rsidR="00A26F9E">
        <w:rPr>
          <w:rFonts w:ascii="Times New Roman" w:eastAsia="Aptos" w:hAnsi="Times New Roman" w:cs="Times New Roman"/>
          <w:kern w:val="2"/>
          <w:sz w:val="24"/>
          <w:szCs w:val="24"/>
          <w14:ligatures w14:val="standardContextual"/>
        </w:rPr>
        <w:t>Eugene’s</w:t>
      </w:r>
      <w:r w:rsidRPr="00B10BE1">
        <w:rPr>
          <w:rFonts w:ascii="Times New Roman" w:eastAsia="Aptos" w:hAnsi="Times New Roman" w:cs="Times New Roman"/>
          <w:kern w:val="2"/>
          <w:sz w:val="24"/>
          <w:szCs w:val="24"/>
          <w14:ligatures w14:val="standardContextual"/>
        </w:rPr>
        <w:t xml:space="preserve"> deep </w:t>
      </w:r>
      <w:r w:rsidR="00547ED7" w:rsidRPr="00B10BE1">
        <w:rPr>
          <w:rFonts w:ascii="Times New Roman" w:eastAsia="Aptos" w:hAnsi="Times New Roman" w:cs="Times New Roman"/>
          <w:kern w:val="2"/>
          <w:sz w:val="24"/>
          <w:szCs w:val="24"/>
          <w14:ligatures w14:val="standardContextual"/>
        </w:rPr>
        <w:t>awareness and</w:t>
      </w:r>
      <w:r w:rsidRPr="00B10BE1">
        <w:rPr>
          <w:rFonts w:ascii="Times New Roman" w:eastAsia="Aptos" w:hAnsi="Times New Roman" w:cs="Times New Roman"/>
          <w:kern w:val="2"/>
          <w:sz w:val="24"/>
          <w:szCs w:val="24"/>
          <w14:ligatures w14:val="standardContextual"/>
        </w:rPr>
        <w:t xml:space="preserve"> acceptance of </w:t>
      </w:r>
      <w:r w:rsidR="007E0A46" w:rsidRPr="00B10BE1">
        <w:rPr>
          <w:rFonts w:ascii="Times New Roman" w:eastAsia="Aptos" w:hAnsi="Times New Roman" w:cs="Times New Roman"/>
          <w:kern w:val="2"/>
          <w:sz w:val="24"/>
          <w:szCs w:val="24"/>
          <w14:ligatures w14:val="standardContextual"/>
        </w:rPr>
        <w:t>his</w:t>
      </w:r>
      <w:r w:rsidRPr="00B10BE1">
        <w:rPr>
          <w:rFonts w:ascii="Times New Roman" w:eastAsia="Aptos" w:hAnsi="Times New Roman" w:cs="Times New Roman"/>
          <w:kern w:val="2"/>
          <w:sz w:val="24"/>
          <w:szCs w:val="24"/>
          <w14:ligatures w14:val="standardContextual"/>
        </w:rPr>
        <w:t xml:space="preserve"> position</w:t>
      </w:r>
      <w:r w:rsidR="007E0A46" w:rsidRPr="00B10BE1">
        <w:rPr>
          <w:rFonts w:ascii="Times New Roman" w:eastAsia="Aptos" w:hAnsi="Times New Roman" w:cs="Times New Roman"/>
          <w:kern w:val="2"/>
          <w:sz w:val="24"/>
          <w:szCs w:val="24"/>
          <w14:ligatures w14:val="standardContextual"/>
        </w:rPr>
        <w:t xml:space="preserve"> as lead researcher</w:t>
      </w:r>
      <w:r w:rsidRPr="00B10BE1">
        <w:rPr>
          <w:rFonts w:ascii="Times New Roman" w:eastAsia="Aptos" w:hAnsi="Times New Roman" w:cs="Times New Roman"/>
          <w:kern w:val="2"/>
          <w:sz w:val="24"/>
          <w:szCs w:val="24"/>
          <w14:ligatures w14:val="standardContextual"/>
        </w:rPr>
        <w:t xml:space="preserve">, and its influence upon the </w:t>
      </w:r>
      <w:r w:rsidR="007E0A46" w:rsidRPr="00B10BE1">
        <w:rPr>
          <w:rFonts w:ascii="Times New Roman" w:eastAsia="Aptos" w:hAnsi="Times New Roman" w:cs="Times New Roman"/>
          <w:kern w:val="2"/>
          <w:sz w:val="24"/>
          <w:szCs w:val="24"/>
          <w14:ligatures w14:val="standardContextual"/>
        </w:rPr>
        <w:t>study</w:t>
      </w:r>
      <w:r w:rsidRPr="00B10BE1">
        <w:rPr>
          <w:rFonts w:ascii="Times New Roman" w:eastAsia="Aptos" w:hAnsi="Times New Roman" w:cs="Times New Roman"/>
          <w:kern w:val="2"/>
          <w:sz w:val="24"/>
          <w:szCs w:val="24"/>
          <w14:ligatures w14:val="standardContextual"/>
        </w:rPr>
        <w:t>.</w:t>
      </w:r>
    </w:p>
    <w:p w14:paraId="4E24E264" w14:textId="77777777" w:rsidR="00A56A91" w:rsidRPr="00B10BE1" w:rsidRDefault="00A56A91" w:rsidP="00DF448B">
      <w:pPr>
        <w:spacing w:line="480" w:lineRule="auto"/>
        <w:jc w:val="both"/>
        <w:rPr>
          <w:rFonts w:ascii="Times New Roman" w:eastAsia="Aptos" w:hAnsi="Times New Roman" w:cs="Times New Roman"/>
          <w:kern w:val="2"/>
          <w:sz w:val="24"/>
          <w:szCs w:val="24"/>
          <w14:ligatures w14:val="standardContextual"/>
        </w:rPr>
      </w:pPr>
    </w:p>
    <w:p w14:paraId="3BFBC07F" w14:textId="77777777" w:rsidR="0038407C" w:rsidRPr="00B10BE1" w:rsidRDefault="0038407C" w:rsidP="00D62EEA">
      <w:pPr>
        <w:pStyle w:val="Heading1"/>
        <w:rPr>
          <w:rFonts w:eastAsia="Aptos"/>
        </w:rPr>
      </w:pPr>
      <w:r w:rsidRPr="00B10BE1">
        <w:rPr>
          <w:rFonts w:eastAsia="Aptos"/>
        </w:rPr>
        <w:t>Methods</w:t>
      </w:r>
    </w:p>
    <w:p w14:paraId="4414946A" w14:textId="77777777" w:rsidR="0038407C" w:rsidRDefault="0038407C" w:rsidP="00D62EEA">
      <w:pPr>
        <w:pStyle w:val="Heading2"/>
        <w:rPr>
          <w:rFonts w:eastAsia="Aptos"/>
        </w:rPr>
      </w:pPr>
      <w:r w:rsidRPr="00B10BE1">
        <w:rPr>
          <w:rFonts w:eastAsia="Aptos"/>
        </w:rPr>
        <w:t>Recruitment and Sampling.</w:t>
      </w:r>
    </w:p>
    <w:p w14:paraId="64C9070F" w14:textId="77777777" w:rsidR="00D62EEA" w:rsidRPr="00D62EEA" w:rsidRDefault="00D62EEA" w:rsidP="00D62EEA"/>
    <w:p w14:paraId="648E7CE6" w14:textId="14DD93EF"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Four </w:t>
      </w:r>
      <w:r w:rsidR="00BC06B7" w:rsidRPr="00B10BE1">
        <w:rPr>
          <w:rFonts w:ascii="Times New Roman" w:eastAsia="Aptos" w:hAnsi="Times New Roman" w:cs="Times New Roman"/>
          <w:kern w:val="2"/>
          <w:sz w:val="24"/>
          <w:szCs w:val="24"/>
          <w14:ligatures w14:val="standardContextual"/>
        </w:rPr>
        <w:t>people participated in the study</w:t>
      </w:r>
      <w:r w:rsidRPr="00B10BE1">
        <w:rPr>
          <w:rFonts w:ascii="Times New Roman" w:eastAsia="Aptos" w:hAnsi="Times New Roman" w:cs="Times New Roman"/>
          <w:kern w:val="2"/>
          <w:sz w:val="24"/>
          <w:szCs w:val="24"/>
          <w14:ligatures w14:val="standardContextual"/>
        </w:rPr>
        <w:t>. Two were recruited through purposive sampling</w:t>
      </w:r>
      <w:r w:rsidR="00BC06B7" w:rsidRPr="00B10BE1">
        <w:rPr>
          <w:rFonts w:ascii="Times New Roman" w:eastAsia="Aptos" w:hAnsi="Times New Roman" w:cs="Times New Roman"/>
          <w:kern w:val="2"/>
          <w:sz w:val="24"/>
          <w:szCs w:val="24"/>
          <w14:ligatures w14:val="standardContextual"/>
        </w:rPr>
        <w:t>, having been identified by their</w:t>
      </w:r>
      <w:r w:rsidRPr="00B10BE1">
        <w:rPr>
          <w:rFonts w:ascii="Times New Roman" w:eastAsia="Aptos" w:hAnsi="Times New Roman" w:cs="Times New Roman"/>
          <w:kern w:val="2"/>
          <w:sz w:val="24"/>
          <w:szCs w:val="24"/>
          <w14:ligatures w14:val="standardContextual"/>
        </w:rPr>
        <w:t xml:space="preserve"> social media presence. Purposive sampling is a means of selecting participants with specific knowledge of the area of research. It is useful in relatively small qualitative studies where the emphasis is upon depth of knowledge </w:t>
      </w:r>
      <w:sdt>
        <w:sdtPr>
          <w:rPr>
            <w:rFonts w:ascii="Times New Roman" w:eastAsia="Aptos" w:hAnsi="Times New Roman" w:cs="Times New Roman"/>
            <w:color w:val="000000"/>
            <w:kern w:val="2"/>
            <w:sz w:val="24"/>
            <w:szCs w:val="24"/>
            <w14:ligatures w14:val="standardContextual"/>
          </w:rPr>
          <w:alias w:val="Citation"/>
          <w:tag w:val="{&quot;referencesIds&quot;:[&quot;doc:66afe689a97cf742d846dc4b&quot;],&quot;referencesOptions&quot;:{&quot;doc:66afe689a97cf742d846dc4b&quot;:{&quot;author&quot;:true,&quot;year&quot;:true,&quot;pageReplace&quot;:&quot;&quot;,&quot;prefix&quot;:&quot;&quot;,&quot;suffix&quot;:&quot;&quot;}},&quot;hasBrokenReferences&quot;:false,&quot;hasManualEdits&quot;:false,&quot;citationType&quot;:&quot;inline&quot;}"/>
          <w:id w:val="1325556130"/>
          <w:placeholder>
            <w:docPart w:val="EB5A19515D77409C8E397E8BB99C16BB"/>
          </w:placeholder>
        </w:sdtPr>
        <w:sdtEndPr/>
        <w:sdtContent>
          <w:r w:rsidRPr="00B10BE1">
            <w:rPr>
              <w:rFonts w:ascii="Times New Roman" w:eastAsia="Times New Roman" w:hAnsi="Times New Roman" w:cs="Times New Roman"/>
              <w:color w:val="000000"/>
              <w:kern w:val="2"/>
              <w:sz w:val="24"/>
              <w:szCs w:val="24"/>
              <w14:ligatures w14:val="standardContextual"/>
            </w:rPr>
            <w:t>(Palinkas et al., 2015)</w:t>
          </w:r>
        </w:sdtContent>
      </w:sdt>
      <w:r w:rsidRPr="00B10BE1">
        <w:rPr>
          <w:rFonts w:ascii="Times New Roman" w:eastAsia="Aptos" w:hAnsi="Times New Roman" w:cs="Times New Roman"/>
          <w:kern w:val="2"/>
          <w:sz w:val="24"/>
          <w:szCs w:val="24"/>
          <w14:ligatures w14:val="standardContextual"/>
        </w:rPr>
        <w:t xml:space="preserve">.The remaining two participants were recruited through snowball sampling. </w:t>
      </w:r>
    </w:p>
    <w:p w14:paraId="495A6DF4" w14:textId="77777777"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p>
    <w:p w14:paraId="2D3900C9" w14:textId="1D20C161"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The call for participants was published on Twitter/X</w:t>
      </w:r>
      <w:r w:rsidR="00BC06B7" w:rsidRPr="00B10BE1">
        <w:rPr>
          <w:rFonts w:ascii="Times New Roman" w:eastAsia="Aptos" w:hAnsi="Times New Roman" w:cs="Times New Roman"/>
          <w:kern w:val="2"/>
          <w:sz w:val="24"/>
          <w:szCs w:val="24"/>
          <w14:ligatures w14:val="standardContextual"/>
        </w:rPr>
        <w:t xml:space="preserve"> and</w:t>
      </w:r>
      <w:r w:rsidRPr="00B10BE1">
        <w:rPr>
          <w:rFonts w:ascii="Times New Roman" w:eastAsia="Aptos" w:hAnsi="Times New Roman" w:cs="Times New Roman"/>
          <w:kern w:val="2"/>
          <w:sz w:val="24"/>
          <w:szCs w:val="24"/>
          <w14:ligatures w14:val="standardContextual"/>
        </w:rPr>
        <w:t xml:space="preserve"> Facebook</w:t>
      </w:r>
      <w:r w:rsidR="00BC06B7" w:rsidRPr="00B10BE1">
        <w:rPr>
          <w:rFonts w:ascii="Times New Roman" w:eastAsia="Aptos" w:hAnsi="Times New Roman" w:cs="Times New Roman"/>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w:t>
      </w:r>
      <w:r w:rsidR="00BC06B7" w:rsidRPr="00B10BE1">
        <w:rPr>
          <w:rFonts w:ascii="Times New Roman" w:eastAsia="Aptos" w:hAnsi="Times New Roman" w:cs="Times New Roman"/>
          <w:kern w:val="2"/>
          <w:sz w:val="24"/>
          <w:szCs w:val="24"/>
          <w14:ligatures w14:val="standardContextual"/>
        </w:rPr>
        <w:t>It was also</w:t>
      </w:r>
      <w:r w:rsidRPr="00B10BE1">
        <w:rPr>
          <w:rFonts w:ascii="Times New Roman" w:eastAsia="Aptos" w:hAnsi="Times New Roman" w:cs="Times New Roman"/>
          <w:kern w:val="2"/>
          <w:sz w:val="24"/>
          <w:szCs w:val="24"/>
          <w14:ligatures w14:val="standardContextual"/>
        </w:rPr>
        <w:t xml:space="preserve"> distributed by email to support groups and researchers currently working within this demographic. Eligibility criteria for the study required participants to be aged over 18 years, to have lost a close relative to gambling-related suicide, and to have current or previous experience of campaigning in response to their suicide-loss. </w:t>
      </w:r>
    </w:p>
    <w:p w14:paraId="7EDFDC02" w14:textId="77777777"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p>
    <w:p w14:paraId="6D083362" w14:textId="4DDC080F"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The study gained ethical approval from </w:t>
      </w:r>
      <w:r w:rsidR="00B84E02">
        <w:rPr>
          <w:rFonts w:ascii="Times New Roman" w:eastAsia="Aptos" w:hAnsi="Times New Roman" w:cs="Times New Roman"/>
          <w:kern w:val="2"/>
          <w:sz w:val="24"/>
          <w:szCs w:val="24"/>
          <w14:ligatures w14:val="standardContextual"/>
        </w:rPr>
        <w:t>York St John</w:t>
      </w:r>
      <w:r w:rsidR="00F2222A" w:rsidRPr="00B10BE1">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University</w:t>
      </w:r>
      <w:r w:rsidR="0067178A" w:rsidRPr="00B10BE1">
        <w:rPr>
          <w:rFonts w:ascii="Times New Roman" w:eastAsia="Aptos" w:hAnsi="Times New Roman" w:cs="Times New Roman"/>
          <w:kern w:val="2"/>
          <w:sz w:val="24"/>
          <w:szCs w:val="24"/>
          <w14:ligatures w14:val="standardContextual"/>
        </w:rPr>
        <w:t xml:space="preserve"> (approval code- COU7021M-EF-1.3.24).</w:t>
      </w:r>
      <w:r w:rsidRPr="00B10BE1">
        <w:rPr>
          <w:rFonts w:ascii="Times New Roman" w:eastAsia="Aptos" w:hAnsi="Times New Roman" w:cs="Times New Roman"/>
          <w:kern w:val="2"/>
          <w:sz w:val="24"/>
          <w:szCs w:val="24"/>
          <w14:ligatures w14:val="standardContextual"/>
        </w:rPr>
        <w:t xml:space="preserve"> Each prospective participant was provided with written information</w:t>
      </w:r>
      <w:r w:rsidR="00BC06B7" w:rsidRPr="00B10BE1">
        <w:rPr>
          <w:rFonts w:ascii="Times New Roman" w:eastAsia="Aptos" w:hAnsi="Times New Roman" w:cs="Times New Roman"/>
          <w:kern w:val="2"/>
          <w:sz w:val="24"/>
          <w:szCs w:val="24"/>
          <w14:ligatures w14:val="standardContextual"/>
        </w:rPr>
        <w:t xml:space="preserve"> which detailed</w:t>
      </w:r>
      <w:r w:rsidRPr="00B10BE1">
        <w:rPr>
          <w:rFonts w:ascii="Times New Roman" w:eastAsia="Aptos" w:hAnsi="Times New Roman" w:cs="Times New Roman"/>
          <w:kern w:val="2"/>
          <w:sz w:val="24"/>
          <w:szCs w:val="24"/>
          <w14:ligatures w14:val="standardContextual"/>
        </w:rPr>
        <w:t xml:space="preserve"> aims of the study, explained participant requirements and informed them of the statutory protection of their privacy</w:t>
      </w:r>
      <w:r w:rsidR="00F2222A" w:rsidRPr="00B10BE1">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 xml:space="preserve">Each participant was required to provide written consent </w:t>
      </w:r>
      <w:r w:rsidR="00F2222A" w:rsidRPr="00B10BE1">
        <w:rPr>
          <w:rFonts w:ascii="Times New Roman" w:eastAsia="Aptos" w:hAnsi="Times New Roman" w:cs="Times New Roman"/>
          <w:kern w:val="2"/>
          <w:sz w:val="24"/>
          <w:szCs w:val="24"/>
          <w14:ligatures w14:val="standardContextual"/>
        </w:rPr>
        <w:t>p</w:t>
      </w:r>
      <w:r w:rsidRPr="00B10BE1">
        <w:rPr>
          <w:rFonts w:ascii="Times New Roman" w:eastAsia="Aptos" w:hAnsi="Times New Roman" w:cs="Times New Roman"/>
          <w:kern w:val="2"/>
          <w:sz w:val="24"/>
          <w:szCs w:val="24"/>
          <w14:ligatures w14:val="standardContextual"/>
        </w:rPr>
        <w:t xml:space="preserve">rior to being welcomed onto the study. </w:t>
      </w:r>
    </w:p>
    <w:p w14:paraId="72346314" w14:textId="77777777" w:rsidR="0038407C" w:rsidRDefault="0038407C" w:rsidP="00D62EEA">
      <w:pPr>
        <w:pStyle w:val="Heading2"/>
        <w:rPr>
          <w:rFonts w:eastAsia="Aptos"/>
        </w:rPr>
      </w:pPr>
      <w:bookmarkStart w:id="8" w:name="_Hlk188364809"/>
      <w:r w:rsidRPr="00B10BE1">
        <w:rPr>
          <w:rFonts w:eastAsia="Aptos"/>
        </w:rPr>
        <w:lastRenderedPageBreak/>
        <w:t>Data Collection.</w:t>
      </w:r>
    </w:p>
    <w:p w14:paraId="72EF552E" w14:textId="77777777" w:rsidR="00D62EEA" w:rsidRPr="00D62EEA" w:rsidRDefault="00D62EEA" w:rsidP="00D62EEA"/>
    <w:bookmarkEnd w:id="8"/>
    <w:p w14:paraId="396CE19E" w14:textId="0DF04E89" w:rsidR="009545F4" w:rsidRPr="00B10BE1" w:rsidRDefault="009545F4" w:rsidP="009545F4">
      <w:pPr>
        <w:spacing w:line="480" w:lineRule="auto"/>
        <w:contextualSpacing/>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Participants were offered a choice between in-person or online interviews, and these were undertaken individually over a </w:t>
      </w:r>
      <w:r w:rsidR="002636C7" w:rsidRPr="00B10BE1">
        <w:rPr>
          <w:rFonts w:ascii="Times New Roman" w:eastAsia="Aptos" w:hAnsi="Times New Roman" w:cs="Times New Roman"/>
          <w:kern w:val="2"/>
          <w:sz w:val="24"/>
          <w:szCs w:val="24"/>
          <w14:ligatures w14:val="standardContextual"/>
        </w:rPr>
        <w:t>six-week</w:t>
      </w:r>
      <w:r w:rsidRPr="00B10BE1">
        <w:rPr>
          <w:rFonts w:ascii="Times New Roman" w:eastAsia="Aptos" w:hAnsi="Times New Roman" w:cs="Times New Roman"/>
          <w:kern w:val="2"/>
          <w:sz w:val="24"/>
          <w:szCs w:val="24"/>
          <w14:ligatures w14:val="standardContextual"/>
        </w:rPr>
        <w:t xml:space="preserve"> period. Three participants opted to undertake in-person interviews. One person undertook an online interview using Microsoft Teams. All in-person interviews were conducted in small meeting rooms proximate to the location of the participant. Venues were sourced and arranged by the lead researcher</w:t>
      </w:r>
      <w:r w:rsidR="00B84E02">
        <w:rPr>
          <w:rFonts w:ascii="Times New Roman" w:eastAsia="Aptos" w:hAnsi="Times New Roman" w:cs="Times New Roman"/>
          <w:kern w:val="2"/>
          <w:sz w:val="24"/>
          <w:szCs w:val="24"/>
          <w14:ligatures w14:val="standardContextual"/>
        </w:rPr>
        <w:t>, Eugene Farrar</w:t>
      </w:r>
      <w:r w:rsidRPr="00B10BE1">
        <w:rPr>
          <w:rFonts w:ascii="Times New Roman" w:eastAsia="Aptos" w:hAnsi="Times New Roman" w:cs="Times New Roman"/>
          <w:kern w:val="2"/>
          <w:sz w:val="24"/>
          <w:szCs w:val="24"/>
          <w14:ligatures w14:val="standardContextual"/>
        </w:rPr>
        <w:t>.</w:t>
      </w:r>
      <w:r w:rsidR="00B84E02">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 xml:space="preserve"> One room was provided by a charity that adopts a position on the issue of gambling harm. Checks were therefore made with that participant regarding the potential for triggering distress.  </w:t>
      </w:r>
    </w:p>
    <w:p w14:paraId="2118434E" w14:textId="77777777" w:rsidR="009545F4" w:rsidRPr="00B10BE1" w:rsidRDefault="009545F4" w:rsidP="009545F4"/>
    <w:p w14:paraId="022FABBB" w14:textId="77777777"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p>
    <w:p w14:paraId="79DBD688" w14:textId="2EA668EF"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Interviews lasted between </w:t>
      </w:r>
      <w:r w:rsidR="00547ED7" w:rsidRPr="00B10BE1">
        <w:rPr>
          <w:rFonts w:ascii="Times New Roman" w:eastAsia="Aptos" w:hAnsi="Times New Roman" w:cs="Times New Roman"/>
          <w:kern w:val="2"/>
          <w:sz w:val="24"/>
          <w:szCs w:val="24"/>
          <w14:ligatures w14:val="standardContextual"/>
        </w:rPr>
        <w:t>89- and 93-minutes</w:t>
      </w:r>
      <w:r w:rsidR="00C4096A" w:rsidRPr="00B10BE1">
        <w:rPr>
          <w:rFonts w:ascii="Times New Roman" w:eastAsia="Aptos" w:hAnsi="Times New Roman" w:cs="Times New Roman"/>
          <w:kern w:val="2"/>
          <w:sz w:val="24"/>
          <w:szCs w:val="24"/>
          <w14:ligatures w14:val="standardContextual"/>
        </w:rPr>
        <w:t xml:space="preserve"> duration. </w:t>
      </w:r>
      <w:r w:rsidRPr="00B10BE1">
        <w:rPr>
          <w:rFonts w:ascii="Times New Roman" w:eastAsia="Aptos" w:hAnsi="Times New Roman" w:cs="Times New Roman"/>
          <w:kern w:val="2"/>
          <w:sz w:val="24"/>
          <w:szCs w:val="24"/>
          <w14:ligatures w14:val="standardContextual"/>
        </w:rPr>
        <w:t xml:space="preserve"> One in-person participant offered a supplementary interview for clarification purposes. This offer was accepted, and the secondary interview took place online, using Microsoft Teams, lasting 22 minutes. All interviews were conducted by the lead author</w:t>
      </w:r>
      <w:r w:rsidR="00C4096A" w:rsidRPr="00B10BE1">
        <w:rPr>
          <w:rFonts w:ascii="Times New Roman" w:eastAsia="Aptos" w:hAnsi="Times New Roman" w:cs="Times New Roman"/>
          <w:kern w:val="2"/>
          <w:sz w:val="24"/>
          <w:szCs w:val="24"/>
          <w14:ligatures w14:val="standardContextual"/>
        </w:rPr>
        <w:t xml:space="preserve"> </w:t>
      </w:r>
      <w:r w:rsidR="00A26F9E">
        <w:rPr>
          <w:rFonts w:ascii="Times New Roman" w:eastAsia="Aptos" w:hAnsi="Times New Roman" w:cs="Times New Roman"/>
          <w:kern w:val="2"/>
          <w:sz w:val="24"/>
          <w:szCs w:val="24"/>
          <w14:ligatures w14:val="standardContextual"/>
        </w:rPr>
        <w:t>Eugene Farrar</w:t>
      </w:r>
      <w:r w:rsidRPr="00B10BE1">
        <w:rPr>
          <w:rFonts w:ascii="Times New Roman" w:eastAsia="Aptos" w:hAnsi="Times New Roman" w:cs="Times New Roman"/>
          <w:kern w:val="2"/>
          <w:sz w:val="24"/>
          <w:szCs w:val="24"/>
          <w14:ligatures w14:val="standardContextual"/>
        </w:rPr>
        <w:t xml:space="preserve">. The interviews were semi-structured and comprised the same four open-ended questions enabling the identification and analysis of thematic codes. </w:t>
      </w:r>
    </w:p>
    <w:p w14:paraId="01C2290E" w14:textId="77777777"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p>
    <w:p w14:paraId="10ADBC0E" w14:textId="11B38917" w:rsidR="0038407C" w:rsidRPr="00B10BE1" w:rsidRDefault="0038407C" w:rsidP="00DF448B">
      <w:pPr>
        <w:spacing w:line="480" w:lineRule="auto"/>
        <w:contextualSpacing/>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Semi-structured interviews are effective in exploring emergent themes within complex subjects where existing knowledge is limited (Saks &amp; Allsop, 2012). They can promote equity in the power between researcher and interviewee by facilitating a conversational approach (Etherington, 2004). The interviewer used a guide containing potential prompts. The content of the questions and interview guide were reviewed by the second author</w:t>
      </w:r>
      <w:r w:rsidR="00C4096A" w:rsidRPr="00B10BE1">
        <w:rPr>
          <w:rFonts w:ascii="Times New Roman" w:eastAsia="Aptos" w:hAnsi="Times New Roman" w:cs="Times New Roman"/>
          <w:kern w:val="2"/>
          <w:sz w:val="24"/>
          <w:szCs w:val="24"/>
          <w14:ligatures w14:val="standardContextual"/>
        </w:rPr>
        <w:t xml:space="preserve"> </w:t>
      </w:r>
      <w:r w:rsidR="00547ED7">
        <w:rPr>
          <w:rFonts w:ascii="Times New Roman" w:eastAsia="Aptos" w:hAnsi="Times New Roman" w:cs="Times New Roman"/>
          <w:kern w:val="2"/>
          <w:sz w:val="24"/>
          <w:szCs w:val="24"/>
          <w14:ligatures w14:val="standardContextual"/>
        </w:rPr>
        <w:t xml:space="preserve">Dr </w:t>
      </w:r>
      <w:r w:rsidR="00B84E02">
        <w:rPr>
          <w:rFonts w:ascii="Times New Roman" w:eastAsia="Aptos" w:hAnsi="Times New Roman" w:cs="Times New Roman"/>
          <w:kern w:val="2"/>
          <w:sz w:val="24"/>
          <w:szCs w:val="24"/>
          <w14:ligatures w14:val="standardContextual"/>
        </w:rPr>
        <w:t>Gary Shepherd</w:t>
      </w:r>
      <w:r w:rsidRPr="00B10BE1">
        <w:rPr>
          <w:rFonts w:ascii="Times New Roman" w:eastAsia="Aptos" w:hAnsi="Times New Roman" w:cs="Times New Roman"/>
          <w:kern w:val="2"/>
          <w:sz w:val="24"/>
          <w:szCs w:val="24"/>
          <w14:ligatures w14:val="standardContextual"/>
        </w:rPr>
        <w:t xml:space="preserve">. Prior to commencing the interviews, participants were welcomed warmly, provided with details of support organisations and reminded that the interview could be paused or stopped if they experienced feelings of distress. </w:t>
      </w:r>
    </w:p>
    <w:p w14:paraId="433E46A2" w14:textId="77777777" w:rsidR="0038407C" w:rsidRPr="00B10BE1" w:rsidRDefault="0038407C" w:rsidP="00DF448B">
      <w:pPr>
        <w:spacing w:line="480" w:lineRule="auto"/>
        <w:ind w:left="360"/>
        <w:contextualSpacing/>
        <w:jc w:val="both"/>
        <w:rPr>
          <w:rFonts w:ascii="Times New Roman" w:eastAsia="Aptos" w:hAnsi="Times New Roman" w:cs="Times New Roman"/>
          <w:kern w:val="2"/>
          <w:sz w:val="24"/>
          <w:szCs w:val="24"/>
          <w14:ligatures w14:val="standardContextual"/>
        </w:rPr>
      </w:pPr>
    </w:p>
    <w:p w14:paraId="47288819" w14:textId="77777777" w:rsidR="0038407C" w:rsidRDefault="0038407C" w:rsidP="00D62EEA">
      <w:pPr>
        <w:pStyle w:val="Heading2"/>
        <w:rPr>
          <w:rFonts w:eastAsia="Aptos"/>
        </w:rPr>
      </w:pPr>
      <w:r w:rsidRPr="00B10BE1">
        <w:rPr>
          <w:rFonts w:eastAsia="Aptos"/>
        </w:rPr>
        <w:t xml:space="preserve">Data Analysis. </w:t>
      </w:r>
    </w:p>
    <w:p w14:paraId="3F261CC1" w14:textId="77777777" w:rsidR="00D62EEA" w:rsidRPr="00D62EEA" w:rsidRDefault="00D62EEA" w:rsidP="00D62EEA"/>
    <w:p w14:paraId="78F9F95A" w14:textId="25CDA796" w:rsidR="0038407C" w:rsidRPr="00B10BE1" w:rsidRDefault="0038407C"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The three In-person interviews were audio recorded. The two online interviews were video and audio recorded via the Microsoft Teams application. All interviews were transcribed verbatim using transcription software</w:t>
      </w:r>
      <w:r w:rsidR="00C4096A" w:rsidRPr="00B10BE1">
        <w:rPr>
          <w:rFonts w:ascii="Times New Roman" w:eastAsia="Aptos" w:hAnsi="Times New Roman" w:cs="Times New Roman"/>
          <w:kern w:val="2"/>
          <w:sz w:val="24"/>
          <w:szCs w:val="24"/>
          <w14:ligatures w14:val="standardContextual"/>
        </w:rPr>
        <w:t>. Transcripts were</w:t>
      </w:r>
      <w:r w:rsidRPr="00B10BE1">
        <w:rPr>
          <w:rFonts w:ascii="Times New Roman" w:eastAsia="Aptos" w:hAnsi="Times New Roman" w:cs="Times New Roman"/>
          <w:kern w:val="2"/>
          <w:sz w:val="24"/>
          <w:szCs w:val="24"/>
          <w14:ligatures w14:val="standardContextual"/>
        </w:rPr>
        <w:t xml:space="preserve"> carefully checked and edited to ensure accuracy. Names of the participants, their lost loved ones and any other family members were changed to facilitate anonymity. Details of places, objects and organisations were also substituted to prevent jigsaw identification. </w:t>
      </w:r>
    </w:p>
    <w:p w14:paraId="191A4FAA" w14:textId="77777777" w:rsidR="00460BCC" w:rsidRPr="00B10BE1" w:rsidRDefault="00460BCC" w:rsidP="00460BCC">
      <w:pPr>
        <w:spacing w:line="480" w:lineRule="auto"/>
        <w:jc w:val="both"/>
        <w:rPr>
          <w:rFonts w:ascii="Times New Roman" w:eastAsia="Aptos" w:hAnsi="Times New Roman" w:cs="Times New Roman"/>
          <w:kern w:val="2"/>
          <w:sz w:val="24"/>
          <w:szCs w:val="24"/>
          <w14:ligatures w14:val="standardContextual"/>
        </w:rPr>
      </w:pPr>
      <w:bookmarkStart w:id="9" w:name="_Hlk173197038"/>
      <w:r w:rsidRPr="00B10BE1">
        <w:rPr>
          <w:rFonts w:ascii="Times New Roman" w:hAnsi="Times New Roman" w:cs="Times New Roman"/>
          <w:kern w:val="2"/>
          <w:sz w:val="24"/>
          <w:szCs w:val="24"/>
          <w14:ligatures w14:val="standardContextual"/>
        </w:rPr>
        <w:t xml:space="preserve">Data analysis was carried out using Reflexive Thematic Analysis (RTA) </w:t>
      </w:r>
      <w:r w:rsidRPr="00B10BE1">
        <w:rPr>
          <w:rFonts w:ascii="Times New Roman" w:eastAsia="Aptos" w:hAnsi="Times New Roman" w:cs="Times New Roman"/>
          <w:kern w:val="2"/>
          <w:sz w:val="24"/>
          <w:szCs w:val="24"/>
          <w14:ligatures w14:val="standardContextual"/>
        </w:rPr>
        <w:t xml:space="preserve">(Braun &amp; Clarke, 2022). Used widely in qualitative social science research, RTA is an effective means of gaining and developing deep insights from varied data sources, including interviews. RTA can communicate narrative of varying degrees of complexity and nuance, telling “a story about … patterned meanings and why they matter” (Braun et al., 2023). </w:t>
      </w:r>
    </w:p>
    <w:p w14:paraId="050122B1" w14:textId="4A8384C6" w:rsidR="001100C0" w:rsidRPr="00B10BE1" w:rsidRDefault="00460BCC" w:rsidP="00460BCC">
      <w:pPr>
        <w:spacing w:line="480" w:lineRule="auto"/>
        <w:jc w:val="both"/>
        <w:rPr>
          <w:rFonts w:ascii="Times New Roman" w:hAnsi="Times New Roman" w:cs="Times New Roman"/>
          <w:kern w:val="2"/>
          <w:sz w:val="24"/>
          <w:szCs w:val="24"/>
          <w14:ligatures w14:val="standardContextual"/>
        </w:rPr>
      </w:pPr>
      <w:r w:rsidRPr="00B10BE1">
        <w:rPr>
          <w:rFonts w:ascii="Times New Roman" w:hAnsi="Times New Roman" w:cs="Times New Roman"/>
          <w:kern w:val="2"/>
          <w:sz w:val="24"/>
          <w:szCs w:val="24"/>
          <w14:ligatures w14:val="standardContextual"/>
        </w:rPr>
        <w:t xml:space="preserve">The first two rounds of data coding were undertaken by </w:t>
      </w:r>
      <w:r w:rsidR="00A26F9E">
        <w:rPr>
          <w:rFonts w:ascii="Times New Roman" w:hAnsi="Times New Roman" w:cs="Times New Roman"/>
          <w:kern w:val="2"/>
          <w:sz w:val="24"/>
          <w:szCs w:val="24"/>
          <w14:ligatures w14:val="standardContextual"/>
        </w:rPr>
        <w:t>Eugene</w:t>
      </w:r>
      <w:r w:rsidRPr="00B10BE1">
        <w:rPr>
          <w:rFonts w:ascii="Times New Roman" w:hAnsi="Times New Roman" w:cs="Times New Roman"/>
          <w:kern w:val="2"/>
          <w:sz w:val="24"/>
          <w:szCs w:val="24"/>
          <w14:ligatures w14:val="standardContextual"/>
        </w:rPr>
        <w:t xml:space="preserve"> alone. This is common and good practice in RTA (Braun &amp; Clarke 2022). All coding was undertaken manually</w:t>
      </w:r>
      <w:r w:rsidR="00ED6CB8" w:rsidRPr="00B10BE1">
        <w:rPr>
          <w:rFonts w:ascii="Times New Roman" w:hAnsi="Times New Roman" w:cs="Times New Roman"/>
          <w:kern w:val="2"/>
          <w:sz w:val="24"/>
          <w:szCs w:val="24"/>
          <w14:ligatures w14:val="standardContextual"/>
        </w:rPr>
        <w:t>. D</w:t>
      </w:r>
      <w:r w:rsidRPr="00B10BE1">
        <w:rPr>
          <w:rFonts w:ascii="Times New Roman" w:hAnsi="Times New Roman" w:cs="Times New Roman"/>
          <w:kern w:val="2"/>
          <w:sz w:val="24"/>
          <w:szCs w:val="24"/>
          <w14:ligatures w14:val="standardContextual"/>
        </w:rPr>
        <w:t>ata</w:t>
      </w:r>
      <w:r w:rsidR="00ED6CB8" w:rsidRPr="00B10BE1">
        <w:rPr>
          <w:rFonts w:ascii="Times New Roman" w:hAnsi="Times New Roman" w:cs="Times New Roman"/>
          <w:kern w:val="2"/>
          <w:sz w:val="24"/>
          <w:szCs w:val="24"/>
          <w14:ligatures w14:val="standardContextual"/>
        </w:rPr>
        <w:t xml:space="preserve"> extracts</w:t>
      </w:r>
      <w:r w:rsidRPr="00B10BE1">
        <w:rPr>
          <w:rFonts w:ascii="Times New Roman" w:hAnsi="Times New Roman" w:cs="Times New Roman"/>
          <w:kern w:val="2"/>
          <w:sz w:val="24"/>
          <w:szCs w:val="24"/>
          <w14:ligatures w14:val="standardContextual"/>
        </w:rPr>
        <w:t xml:space="preserve"> were typed onto pieces of paper and code labels were written on each. This enabled a deep engagement with participant’s accounts.  Although</w:t>
      </w:r>
      <w:r w:rsidR="00ED6CB8" w:rsidRPr="00B10BE1">
        <w:rPr>
          <w:rFonts w:ascii="Times New Roman" w:hAnsi="Times New Roman" w:cs="Times New Roman"/>
          <w:kern w:val="2"/>
          <w:sz w:val="24"/>
          <w:szCs w:val="24"/>
          <w14:ligatures w14:val="standardContextual"/>
        </w:rPr>
        <w:t xml:space="preserve"> researcher</w:t>
      </w:r>
      <w:r w:rsidRPr="00B10BE1">
        <w:rPr>
          <w:rFonts w:ascii="Times New Roman" w:hAnsi="Times New Roman" w:cs="Times New Roman"/>
          <w:kern w:val="2"/>
          <w:sz w:val="24"/>
          <w:szCs w:val="24"/>
          <w14:ligatures w14:val="standardContextual"/>
        </w:rPr>
        <w:t xml:space="preserve"> subjectivity is an asset within qualitative research, a systematic approach to coding is important in gaining ‘insight’ and promoting ‘rigour’ (Braun and Clarke, 2022, p.54). This was </w:t>
      </w:r>
      <w:r w:rsidR="00ED6CB8" w:rsidRPr="00B10BE1">
        <w:rPr>
          <w:rFonts w:ascii="Times New Roman" w:hAnsi="Times New Roman" w:cs="Times New Roman"/>
          <w:kern w:val="2"/>
          <w:sz w:val="24"/>
          <w:szCs w:val="24"/>
          <w14:ligatures w14:val="standardContextual"/>
        </w:rPr>
        <w:t>facilitated</w:t>
      </w:r>
      <w:r w:rsidRPr="00B10BE1">
        <w:rPr>
          <w:rFonts w:ascii="Times New Roman" w:hAnsi="Times New Roman" w:cs="Times New Roman"/>
          <w:kern w:val="2"/>
          <w:sz w:val="24"/>
          <w:szCs w:val="24"/>
          <w14:ligatures w14:val="standardContextual"/>
        </w:rPr>
        <w:t xml:space="preserve"> by two subsequent rounds of coding in collaboration with the second </w:t>
      </w:r>
      <w:r w:rsidR="00547ED7" w:rsidRPr="00B10BE1">
        <w:rPr>
          <w:rFonts w:ascii="Times New Roman" w:hAnsi="Times New Roman" w:cs="Times New Roman"/>
          <w:kern w:val="2"/>
          <w:sz w:val="24"/>
          <w:szCs w:val="24"/>
          <w14:ligatures w14:val="standardContextual"/>
        </w:rPr>
        <w:t>researcher</w:t>
      </w:r>
      <w:r w:rsidR="00547ED7">
        <w:rPr>
          <w:rFonts w:ascii="Times New Roman" w:hAnsi="Times New Roman" w:cs="Times New Roman"/>
          <w:kern w:val="2"/>
          <w:sz w:val="24"/>
          <w:szCs w:val="24"/>
          <w14:ligatures w14:val="standardContextual"/>
        </w:rPr>
        <w:t xml:space="preserve"> Gary</w:t>
      </w:r>
      <w:r w:rsidR="00A26F9E">
        <w:rPr>
          <w:rFonts w:ascii="Times New Roman" w:hAnsi="Times New Roman" w:cs="Times New Roman"/>
          <w:kern w:val="2"/>
          <w:sz w:val="24"/>
          <w:szCs w:val="24"/>
          <w14:ligatures w14:val="standardContextual"/>
        </w:rPr>
        <w:t xml:space="preserve"> Shepherd</w:t>
      </w:r>
      <w:r w:rsidRPr="00B10BE1">
        <w:rPr>
          <w:rFonts w:ascii="Times New Roman" w:hAnsi="Times New Roman" w:cs="Times New Roman"/>
          <w:kern w:val="2"/>
          <w:sz w:val="24"/>
          <w:szCs w:val="24"/>
          <w14:ligatures w14:val="standardContextual"/>
        </w:rPr>
        <w:t xml:space="preserve">. </w:t>
      </w:r>
    </w:p>
    <w:p w14:paraId="216EDBE4" w14:textId="2A440CAE" w:rsidR="00460BCC" w:rsidRPr="00B10BE1" w:rsidRDefault="00460BCC" w:rsidP="00460BCC">
      <w:pPr>
        <w:spacing w:line="480" w:lineRule="auto"/>
        <w:jc w:val="both"/>
        <w:rPr>
          <w:rFonts w:ascii="Times New Roman" w:hAnsi="Times New Roman" w:cs="Times New Roman"/>
          <w:kern w:val="2"/>
          <w:sz w:val="24"/>
          <w:szCs w:val="24"/>
          <w14:ligatures w14:val="standardContextual"/>
        </w:rPr>
      </w:pPr>
      <w:r w:rsidRPr="00B10BE1">
        <w:rPr>
          <w:rFonts w:ascii="Times New Roman" w:hAnsi="Times New Roman" w:cs="Times New Roman"/>
          <w:kern w:val="2"/>
          <w:sz w:val="24"/>
          <w:szCs w:val="24"/>
          <w14:ligatures w14:val="standardContextual"/>
        </w:rPr>
        <w:t xml:space="preserve">This dialogical and mutually reflexive </w:t>
      </w:r>
      <w:r w:rsidR="001100C0" w:rsidRPr="00B10BE1">
        <w:rPr>
          <w:rFonts w:ascii="Times New Roman" w:hAnsi="Times New Roman" w:cs="Times New Roman"/>
          <w:kern w:val="2"/>
          <w:sz w:val="24"/>
          <w:szCs w:val="24"/>
          <w14:ligatures w14:val="standardContextual"/>
        </w:rPr>
        <w:t>process</w:t>
      </w:r>
      <w:r w:rsidRPr="00B10BE1">
        <w:rPr>
          <w:rFonts w:ascii="Times New Roman" w:hAnsi="Times New Roman" w:cs="Times New Roman"/>
          <w:kern w:val="2"/>
          <w:sz w:val="24"/>
          <w:szCs w:val="24"/>
          <w14:ligatures w14:val="standardContextual"/>
        </w:rPr>
        <w:t xml:space="preserve"> facilitated consensus within the coding</w:t>
      </w:r>
      <w:r w:rsidR="00994CE5" w:rsidRPr="00B10BE1">
        <w:rPr>
          <w:rFonts w:ascii="Times New Roman" w:hAnsi="Times New Roman" w:cs="Times New Roman"/>
          <w:kern w:val="2"/>
          <w:sz w:val="24"/>
          <w:szCs w:val="24"/>
          <w14:ligatures w14:val="standardContextual"/>
        </w:rPr>
        <w:t>. We recognised</w:t>
      </w:r>
      <w:r w:rsidR="001100C0" w:rsidRPr="00B10BE1">
        <w:rPr>
          <w:rFonts w:ascii="Times New Roman" w:hAnsi="Times New Roman" w:cs="Times New Roman"/>
          <w:kern w:val="2"/>
          <w:sz w:val="24"/>
          <w:szCs w:val="24"/>
          <w14:ligatures w14:val="standardContextual"/>
        </w:rPr>
        <w:t xml:space="preserve"> codes</w:t>
      </w:r>
      <w:r w:rsidR="00994CE5" w:rsidRPr="00B10BE1">
        <w:rPr>
          <w:rFonts w:ascii="Times New Roman" w:hAnsi="Times New Roman" w:cs="Times New Roman"/>
          <w:kern w:val="2"/>
          <w:sz w:val="24"/>
          <w:szCs w:val="24"/>
          <w14:ligatures w14:val="standardContextual"/>
        </w:rPr>
        <w:t xml:space="preserve"> that although rich,</w:t>
      </w:r>
      <w:r w:rsidR="001100C0" w:rsidRPr="00B10BE1">
        <w:rPr>
          <w:rFonts w:ascii="Times New Roman" w:hAnsi="Times New Roman" w:cs="Times New Roman"/>
          <w:kern w:val="2"/>
          <w:sz w:val="24"/>
          <w:szCs w:val="24"/>
          <w14:ligatures w14:val="standardContextual"/>
        </w:rPr>
        <w:t xml:space="preserve"> did </w:t>
      </w:r>
      <w:r w:rsidR="00994CE5" w:rsidRPr="00B10BE1">
        <w:rPr>
          <w:rFonts w:ascii="Times New Roman" w:hAnsi="Times New Roman" w:cs="Times New Roman"/>
          <w:kern w:val="2"/>
          <w:sz w:val="24"/>
          <w:szCs w:val="24"/>
          <w14:ligatures w14:val="standardContextual"/>
        </w:rPr>
        <w:t xml:space="preserve">not contribute </w:t>
      </w:r>
      <w:r w:rsidR="00E02472" w:rsidRPr="00B10BE1">
        <w:rPr>
          <w:rFonts w:ascii="Times New Roman" w:hAnsi="Times New Roman" w:cs="Times New Roman"/>
          <w:kern w:val="2"/>
          <w:sz w:val="24"/>
          <w:szCs w:val="24"/>
          <w14:ligatures w14:val="standardContextual"/>
        </w:rPr>
        <w:t xml:space="preserve">to </w:t>
      </w:r>
      <w:r w:rsidR="00ED6CB8" w:rsidRPr="00B10BE1">
        <w:rPr>
          <w:rFonts w:ascii="Times New Roman" w:hAnsi="Times New Roman" w:cs="Times New Roman"/>
          <w:kern w:val="2"/>
          <w:sz w:val="24"/>
          <w:szCs w:val="24"/>
          <w14:ligatures w14:val="standardContextual"/>
        </w:rPr>
        <w:t>any patterned</w:t>
      </w:r>
      <w:r w:rsidR="001100C0" w:rsidRPr="00B10BE1">
        <w:rPr>
          <w:rFonts w:ascii="Times New Roman" w:hAnsi="Times New Roman" w:cs="Times New Roman"/>
          <w:kern w:val="2"/>
          <w:sz w:val="24"/>
          <w:szCs w:val="24"/>
          <w14:ligatures w14:val="standardContextual"/>
        </w:rPr>
        <w:t xml:space="preserve"> meaning</w:t>
      </w:r>
      <w:r w:rsidR="00ED6CB8" w:rsidRPr="00B10BE1">
        <w:rPr>
          <w:rFonts w:ascii="Times New Roman" w:hAnsi="Times New Roman" w:cs="Times New Roman"/>
          <w:kern w:val="2"/>
          <w:sz w:val="24"/>
          <w:szCs w:val="24"/>
          <w14:ligatures w14:val="standardContextual"/>
        </w:rPr>
        <w:t xml:space="preserve"> across the dataset</w:t>
      </w:r>
      <w:r w:rsidR="00994CE5" w:rsidRPr="00B10BE1">
        <w:rPr>
          <w:rFonts w:ascii="Times New Roman" w:hAnsi="Times New Roman" w:cs="Times New Roman"/>
          <w:kern w:val="2"/>
          <w:sz w:val="24"/>
          <w:szCs w:val="24"/>
          <w14:ligatures w14:val="standardContextual"/>
        </w:rPr>
        <w:t>. We identified codes that were difficult to anonymise.  T</w:t>
      </w:r>
      <w:r w:rsidR="001100C0" w:rsidRPr="00B10BE1">
        <w:rPr>
          <w:rFonts w:ascii="Times New Roman" w:hAnsi="Times New Roman" w:cs="Times New Roman"/>
          <w:kern w:val="2"/>
          <w:sz w:val="24"/>
          <w:szCs w:val="24"/>
          <w14:ligatures w14:val="standardContextual"/>
        </w:rPr>
        <w:t>hese were</w:t>
      </w:r>
      <w:r w:rsidR="00E02472" w:rsidRPr="00B10BE1">
        <w:rPr>
          <w:rFonts w:ascii="Times New Roman" w:hAnsi="Times New Roman" w:cs="Times New Roman"/>
          <w:kern w:val="2"/>
          <w:sz w:val="24"/>
          <w:szCs w:val="24"/>
          <w14:ligatures w14:val="standardContextual"/>
        </w:rPr>
        <w:t xml:space="preserve"> all</w:t>
      </w:r>
      <w:r w:rsidR="001100C0" w:rsidRPr="00B10BE1">
        <w:rPr>
          <w:rFonts w:ascii="Times New Roman" w:hAnsi="Times New Roman" w:cs="Times New Roman"/>
          <w:kern w:val="2"/>
          <w:sz w:val="24"/>
          <w:szCs w:val="24"/>
          <w14:ligatures w14:val="standardContextual"/>
        </w:rPr>
        <w:t xml:space="preserve"> excluded from </w:t>
      </w:r>
      <w:r w:rsidR="001100C0" w:rsidRPr="00B10BE1">
        <w:rPr>
          <w:rFonts w:ascii="Times New Roman" w:hAnsi="Times New Roman" w:cs="Times New Roman"/>
          <w:kern w:val="2"/>
          <w:sz w:val="24"/>
          <w:szCs w:val="24"/>
          <w14:ligatures w14:val="standardContextual"/>
        </w:rPr>
        <w:lastRenderedPageBreak/>
        <w:t xml:space="preserve">the analysis. </w:t>
      </w:r>
      <w:r w:rsidRPr="00B10BE1">
        <w:rPr>
          <w:rFonts w:ascii="Times New Roman" w:hAnsi="Times New Roman" w:cs="Times New Roman"/>
          <w:kern w:val="2"/>
          <w:sz w:val="24"/>
          <w:szCs w:val="24"/>
          <w14:ligatures w14:val="standardContextual"/>
        </w:rPr>
        <w:t xml:space="preserve"> In</w:t>
      </w:r>
      <w:r w:rsidR="00D44200">
        <w:rPr>
          <w:rFonts w:ascii="Times New Roman" w:hAnsi="Times New Roman" w:cs="Times New Roman"/>
          <w:kern w:val="2"/>
          <w:sz w:val="24"/>
          <w:szCs w:val="24"/>
          <w14:ligatures w14:val="standardContextual"/>
        </w:rPr>
        <w:t>t</w:t>
      </w:r>
      <w:r w:rsidRPr="00B10BE1">
        <w:rPr>
          <w:rFonts w:ascii="Times New Roman" w:hAnsi="Times New Roman" w:cs="Times New Roman"/>
          <w:kern w:val="2"/>
          <w:sz w:val="24"/>
          <w:szCs w:val="24"/>
          <w14:ligatures w14:val="standardContextual"/>
        </w:rPr>
        <w:t>er-rater reliability was further promoted by anonymised dialogue with in-field professionals.</w:t>
      </w:r>
    </w:p>
    <w:p w14:paraId="34F676F8" w14:textId="77777777" w:rsidR="00460BCC" w:rsidRPr="00B10BE1" w:rsidRDefault="00460BCC" w:rsidP="00460BCC">
      <w:pPr>
        <w:spacing w:line="480" w:lineRule="auto"/>
        <w:jc w:val="both"/>
        <w:rPr>
          <w:rFonts w:ascii="Times New Roman" w:hAnsi="Times New Roman" w:cs="Times New Roman"/>
          <w:kern w:val="2"/>
          <w:sz w:val="24"/>
          <w:szCs w:val="24"/>
          <w14:ligatures w14:val="standardContextual"/>
        </w:rPr>
      </w:pPr>
      <w:r w:rsidRPr="00B10BE1">
        <w:rPr>
          <w:rFonts w:ascii="Times New Roman" w:hAnsi="Times New Roman" w:cs="Times New Roman"/>
          <w:kern w:val="2"/>
          <w:sz w:val="24"/>
          <w:szCs w:val="24"/>
          <w14:ligatures w14:val="standardContextual"/>
        </w:rPr>
        <w:t>Early codes were deductive and semantic, influenced primarily by keywords from the research question, existing literature and</w:t>
      </w:r>
      <w:r w:rsidRPr="00B10BE1">
        <w:rPr>
          <w:rFonts w:ascii="Times New Roman" w:eastAsia="Aptos" w:hAnsi="Times New Roman" w:cs="Times New Roman"/>
          <w:kern w:val="2"/>
          <w:sz w:val="24"/>
          <w:szCs w:val="24"/>
          <w14:ligatures w14:val="standardContextual"/>
        </w:rPr>
        <w:t xml:space="preserve"> pre-interview field research</w:t>
      </w:r>
      <w:r w:rsidRPr="00B10BE1">
        <w:rPr>
          <w:rFonts w:ascii="Times New Roman" w:hAnsi="Times New Roman" w:cs="Times New Roman"/>
          <w:kern w:val="2"/>
          <w:sz w:val="24"/>
          <w:szCs w:val="24"/>
          <w14:ligatures w14:val="standardContextual"/>
        </w:rPr>
        <w:t>.  As coding evolved, deep engagement with the dataset resulted in increasingly latent and inductive codes, based on patterned meanings within the participant’s experience.</w:t>
      </w:r>
    </w:p>
    <w:p w14:paraId="6E3EEA52" w14:textId="37950FBD" w:rsidR="00460BCC" w:rsidRPr="00B10BE1" w:rsidRDefault="00460BCC" w:rsidP="00460BCC">
      <w:pPr>
        <w:spacing w:line="480" w:lineRule="auto"/>
        <w:jc w:val="both"/>
        <w:rPr>
          <w:rFonts w:ascii="Times New Roman" w:hAnsi="Times New Roman" w:cs="Times New Roman"/>
          <w:kern w:val="2"/>
          <w:sz w:val="24"/>
          <w:szCs w:val="24"/>
          <w14:ligatures w14:val="standardContextual"/>
        </w:rPr>
      </w:pPr>
      <w:r w:rsidRPr="00B10BE1">
        <w:rPr>
          <w:rFonts w:ascii="Times New Roman" w:hAnsi="Times New Roman" w:cs="Times New Roman"/>
          <w:kern w:val="2"/>
          <w:sz w:val="24"/>
          <w:szCs w:val="24"/>
          <w14:ligatures w14:val="standardContextual"/>
        </w:rPr>
        <w:t xml:space="preserve">Candidate themes were developed and reviewed collaboratively by both researchers. This was undertaken manually using a process of “visual mapping” (Braun &amp; Clarke, 2022, p.85), and involved laying out the codes on a large table and physically </w:t>
      </w:r>
      <w:r w:rsidR="00ED6CB8" w:rsidRPr="00B10BE1">
        <w:rPr>
          <w:rFonts w:ascii="Times New Roman" w:hAnsi="Times New Roman" w:cs="Times New Roman"/>
          <w:kern w:val="2"/>
          <w:sz w:val="24"/>
          <w:szCs w:val="24"/>
          <w14:ligatures w14:val="standardContextual"/>
        </w:rPr>
        <w:t>developing</w:t>
      </w:r>
      <w:r w:rsidRPr="00B10BE1">
        <w:rPr>
          <w:rFonts w:ascii="Times New Roman" w:hAnsi="Times New Roman" w:cs="Times New Roman"/>
          <w:kern w:val="2"/>
          <w:sz w:val="24"/>
          <w:szCs w:val="24"/>
          <w14:ligatures w14:val="standardContextual"/>
        </w:rPr>
        <w:t xml:space="preserve"> themes.  Nine initial themes were constructed. Collaborative dialogue identified four dominant themes, </w:t>
      </w:r>
      <w:r w:rsidRPr="00B10BE1">
        <w:rPr>
          <w:rFonts w:ascii="Times New Roman" w:eastAsia="Aptos" w:hAnsi="Times New Roman" w:cs="Times New Roman"/>
          <w:kern w:val="2"/>
          <w:sz w:val="24"/>
          <w:szCs w:val="24"/>
          <w14:ligatures w14:val="standardContextual"/>
        </w:rPr>
        <w:t xml:space="preserve">and these are presented here. </w:t>
      </w:r>
      <w:r w:rsidR="00ED6CB8" w:rsidRPr="00B10BE1">
        <w:rPr>
          <w:rFonts w:ascii="Times New Roman" w:eastAsia="Aptos" w:hAnsi="Times New Roman" w:cs="Times New Roman"/>
          <w:kern w:val="2"/>
          <w:sz w:val="24"/>
          <w:szCs w:val="24"/>
          <w14:ligatures w14:val="standardContextual"/>
        </w:rPr>
        <w:t>A small number of themes can be effective in articles with a “particular focus” (</w:t>
      </w:r>
      <w:r w:rsidRPr="00B10BE1">
        <w:rPr>
          <w:rFonts w:ascii="Times New Roman" w:hAnsi="Times New Roman" w:cs="Times New Roman"/>
          <w:kern w:val="2"/>
          <w:sz w:val="24"/>
          <w:szCs w:val="24"/>
          <w14:ligatures w14:val="standardContextual"/>
        </w:rPr>
        <w:t xml:space="preserve">Braun </w:t>
      </w:r>
      <w:r w:rsidR="00ED6CB8" w:rsidRPr="00B10BE1">
        <w:rPr>
          <w:rFonts w:ascii="Times New Roman" w:hAnsi="Times New Roman" w:cs="Times New Roman"/>
          <w:kern w:val="2"/>
          <w:sz w:val="24"/>
          <w:szCs w:val="24"/>
          <w14:ligatures w14:val="standardContextual"/>
        </w:rPr>
        <w:t>&amp;</w:t>
      </w:r>
      <w:r w:rsidRPr="00B10BE1">
        <w:rPr>
          <w:rFonts w:ascii="Times New Roman" w:hAnsi="Times New Roman" w:cs="Times New Roman"/>
          <w:kern w:val="2"/>
          <w:sz w:val="24"/>
          <w:szCs w:val="24"/>
          <w14:ligatures w14:val="standardContextual"/>
        </w:rPr>
        <w:t xml:space="preserve"> Clarke</w:t>
      </w:r>
      <w:r w:rsidR="00ED6CB8" w:rsidRPr="00B10BE1">
        <w:rPr>
          <w:rFonts w:ascii="Times New Roman" w:hAnsi="Times New Roman" w:cs="Times New Roman"/>
          <w:kern w:val="2"/>
          <w:sz w:val="24"/>
          <w:szCs w:val="24"/>
          <w14:ligatures w14:val="standardContextual"/>
        </w:rPr>
        <w:t>,</w:t>
      </w:r>
      <w:r w:rsidRPr="00B10BE1">
        <w:rPr>
          <w:rFonts w:ascii="Times New Roman" w:hAnsi="Times New Roman" w:cs="Times New Roman"/>
          <w:kern w:val="2"/>
          <w:sz w:val="24"/>
          <w:szCs w:val="24"/>
          <w14:ligatures w14:val="standardContextual"/>
        </w:rPr>
        <w:t xml:space="preserve">2022, p.91) </w:t>
      </w:r>
    </w:p>
    <w:bookmarkEnd w:id="9"/>
    <w:p w14:paraId="4F2FA072" w14:textId="23E5191B" w:rsidR="00D70402" w:rsidRDefault="00D70402" w:rsidP="00D62EEA">
      <w:pPr>
        <w:pStyle w:val="Heading2"/>
        <w:rPr>
          <w:rFonts w:eastAsia="Times New Roman"/>
          <w:lang w:eastAsia="en-GB"/>
        </w:rPr>
      </w:pPr>
      <w:r w:rsidRPr="00B10BE1">
        <w:rPr>
          <w:rFonts w:eastAsia="Times New Roman"/>
          <w:lang w:eastAsia="en-GB"/>
        </w:rPr>
        <w:t>Sample Characteristics.</w:t>
      </w:r>
    </w:p>
    <w:p w14:paraId="207E9319" w14:textId="77777777" w:rsidR="00940AE3" w:rsidRPr="00940AE3" w:rsidRDefault="00940AE3" w:rsidP="00940AE3">
      <w:pPr>
        <w:rPr>
          <w:lang w:eastAsia="en-GB"/>
        </w:rPr>
      </w:pPr>
    </w:p>
    <w:p w14:paraId="712B0AFB" w14:textId="1A39F226" w:rsidR="00D70402" w:rsidRPr="00B10BE1" w:rsidRDefault="00CE3F9C" w:rsidP="00D62EEA">
      <w:pPr>
        <w:spacing w:line="480" w:lineRule="auto"/>
        <w:rPr>
          <w:rFonts w:ascii="Times New Roman" w:eastAsia="Times New Roman" w:hAnsi="Times New Roman" w:cs="Times New Roman"/>
          <w:b/>
          <w:bCs/>
          <w:i/>
          <w:iCs/>
          <w:sz w:val="24"/>
          <w:szCs w:val="24"/>
          <w:lang w:eastAsia="en-GB"/>
        </w:rPr>
      </w:pPr>
      <w:r w:rsidRPr="00B10BE1">
        <w:rPr>
          <w:rFonts w:ascii="Times New Roman" w:eastAsia="Aptos" w:hAnsi="Times New Roman" w:cs="Times New Roman"/>
          <w:kern w:val="2"/>
          <w:sz w:val="24"/>
          <w:szCs w:val="24"/>
          <w14:ligatures w14:val="standardContextual"/>
        </w:rPr>
        <w:t>Purposive and snowball sampling yielded four participants who met the inclusion criteria in full. All participants were aged over 18 years. All had lost a close relative to suicide because of gambling-harm. The close relationships that were central within the literature were represented within the sample</w:t>
      </w:r>
      <w:r w:rsidRPr="00D62EEA">
        <w:rPr>
          <w:rFonts w:ascii="Times New Roman" w:eastAsia="Aptos" w:hAnsi="Times New Roman" w:cs="Times New Roman"/>
          <w:kern w:val="2"/>
          <w:sz w:val="24"/>
          <w:szCs w:val="24"/>
          <w14:ligatures w14:val="standardContextual"/>
        </w:rPr>
        <w:t>.</w:t>
      </w:r>
      <w:r w:rsidRPr="00D62EEA">
        <w:rPr>
          <w:rFonts w:ascii="Times New Roman" w:hAnsi="Times New Roman" w:cs="Times New Roman"/>
          <w:kern w:val="2"/>
          <w:sz w:val="24"/>
          <w:szCs w:val="24"/>
          <w14:ligatures w14:val="standardContextual"/>
        </w:rPr>
        <w:t xml:space="preserve">  </w:t>
      </w:r>
      <w:r w:rsidRPr="00B10BE1">
        <w:rPr>
          <w:rFonts w:ascii="Times New Roman" w:hAnsi="Times New Roman" w:cs="Times New Roman"/>
          <w:kern w:val="2"/>
          <w:sz w:val="24"/>
          <w:szCs w:val="24"/>
          <w14:ligatures w14:val="standardContextual"/>
        </w:rPr>
        <w:t xml:space="preserve">Two participants were fathers who had lost an adult son. One was a husband who lost his wife. One was a male who had lost his younger brother. </w:t>
      </w:r>
      <w:r w:rsidRPr="00B10BE1">
        <w:rPr>
          <w:rFonts w:ascii="Times New Roman" w:hAnsi="Times New Roman" w:cs="Times New Roman"/>
          <w:sz w:val="24"/>
          <w:szCs w:val="24"/>
        </w:rPr>
        <w:t xml:space="preserve">As far as the participants were aware, their lost loved ones engaged in only legal gambling activity. This included: Sports betting with both online and land-based providers; online poker; online slot machines, and online casino games. </w:t>
      </w:r>
      <w:r w:rsidR="002809BC" w:rsidRPr="00B10BE1">
        <w:rPr>
          <w:rFonts w:ascii="Times New Roman" w:hAnsi="Times New Roman" w:cs="Times New Roman"/>
          <w:sz w:val="24"/>
          <w:szCs w:val="24"/>
        </w:rPr>
        <w:t>Participant</w:t>
      </w:r>
      <w:r w:rsidRPr="00B10BE1">
        <w:rPr>
          <w:rFonts w:ascii="Times New Roman" w:hAnsi="Times New Roman" w:cs="Times New Roman"/>
          <w:sz w:val="24"/>
          <w:szCs w:val="24"/>
        </w:rPr>
        <w:t xml:space="preserve"> Activism comprised manifold forms, </w:t>
      </w:r>
      <w:proofErr w:type="gramStart"/>
      <w:r w:rsidRPr="00B10BE1">
        <w:rPr>
          <w:rFonts w:ascii="Times New Roman" w:hAnsi="Times New Roman" w:cs="Times New Roman"/>
          <w:sz w:val="24"/>
          <w:szCs w:val="24"/>
        </w:rPr>
        <w:t>including:</w:t>
      </w:r>
      <w:proofErr w:type="gramEnd"/>
      <w:r w:rsidR="002809BC" w:rsidRPr="00B10BE1">
        <w:rPr>
          <w:rFonts w:ascii="Times New Roman" w:hAnsi="Times New Roman" w:cs="Times New Roman"/>
          <w:sz w:val="24"/>
          <w:szCs w:val="24"/>
        </w:rPr>
        <w:t xml:space="preserve"> print and broadcast</w:t>
      </w:r>
      <w:r w:rsidRPr="00B10BE1">
        <w:rPr>
          <w:rFonts w:ascii="Times New Roman" w:hAnsi="Times New Roman" w:cs="Times New Roman"/>
          <w:sz w:val="24"/>
          <w:szCs w:val="24"/>
        </w:rPr>
        <w:t xml:space="preserve"> </w:t>
      </w:r>
      <w:r w:rsidRPr="00B10BE1">
        <w:rPr>
          <w:rFonts w:ascii="Times New Roman" w:hAnsi="Times New Roman" w:cs="Times New Roman"/>
          <w:kern w:val="2"/>
          <w:sz w:val="24"/>
          <w:szCs w:val="24"/>
          <w14:ligatures w14:val="standardContextual"/>
        </w:rPr>
        <w:t xml:space="preserve">media interviews; debate with industry representatives and supporters; lobbying politicians; attending political conferences; public events to raise the </w:t>
      </w:r>
      <w:r w:rsidRPr="00B10BE1">
        <w:rPr>
          <w:rFonts w:ascii="Times New Roman" w:hAnsi="Times New Roman" w:cs="Times New Roman"/>
          <w:kern w:val="2"/>
          <w:sz w:val="24"/>
          <w:szCs w:val="24"/>
          <w14:ligatures w14:val="standardContextual"/>
        </w:rPr>
        <w:lastRenderedPageBreak/>
        <w:t>profile of the problem, and sharing their experiences with others experiencing gambling harm.</w:t>
      </w:r>
    </w:p>
    <w:p w14:paraId="33278D1B" w14:textId="77777777" w:rsidR="0067178A" w:rsidRDefault="0067178A" w:rsidP="00D62EEA">
      <w:pPr>
        <w:pStyle w:val="Heading2"/>
        <w:rPr>
          <w:rFonts w:eastAsia="Aptos"/>
        </w:rPr>
      </w:pPr>
      <w:r w:rsidRPr="00B10BE1">
        <w:rPr>
          <w:rFonts w:eastAsia="Aptos"/>
        </w:rPr>
        <w:t>Results</w:t>
      </w:r>
    </w:p>
    <w:p w14:paraId="078ACB1C" w14:textId="77777777" w:rsidR="00940AE3" w:rsidRPr="00940AE3" w:rsidRDefault="00940AE3" w:rsidP="00940AE3"/>
    <w:p w14:paraId="0F5D0121" w14:textId="77777777" w:rsidR="0067178A" w:rsidRPr="00B10BE1" w:rsidRDefault="0067178A" w:rsidP="0067178A">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Times New Roman" w:hAnsi="Times New Roman" w:cs="Times New Roman"/>
          <w:kern w:val="2"/>
          <w:sz w:val="24"/>
          <w:szCs w:val="24"/>
          <w14:ligatures w14:val="standardContextual"/>
        </w:rPr>
        <w:t xml:space="preserve">This research asks, 'How does involvement in campaigning impact close relatives bereaved by gambling-related suicide?'.  </w:t>
      </w:r>
      <w:bookmarkStart w:id="10" w:name="_Hlk174534956"/>
      <w:r w:rsidRPr="00B10BE1">
        <w:rPr>
          <w:rFonts w:ascii="Times New Roman" w:eastAsia="Times New Roman" w:hAnsi="Times New Roman" w:cs="Times New Roman"/>
          <w:kern w:val="2"/>
          <w:sz w:val="24"/>
          <w:szCs w:val="24"/>
          <w14:ligatures w14:val="standardContextual"/>
        </w:rPr>
        <w:t>It establishes four themes: the relationship prior to the suicide; engagement with media; the emotional impacts of campaigning, and the relationship following the suicide</w:t>
      </w:r>
      <w:bookmarkStart w:id="11" w:name="_Hlk173196993"/>
      <w:bookmarkEnd w:id="10"/>
      <w:r w:rsidRPr="00B10BE1">
        <w:rPr>
          <w:rFonts w:ascii="Times New Roman" w:eastAsia="Times New Roman" w:hAnsi="Times New Roman" w:cs="Times New Roman"/>
          <w:kern w:val="2"/>
          <w:sz w:val="24"/>
          <w:szCs w:val="24"/>
          <w14:ligatures w14:val="standardContextual"/>
        </w:rPr>
        <w:t>.</w:t>
      </w:r>
      <w:bookmarkEnd w:id="11"/>
    </w:p>
    <w:p w14:paraId="52440E8B" w14:textId="77777777" w:rsidR="00DF31BD" w:rsidRPr="00B10BE1" w:rsidRDefault="00DF31BD" w:rsidP="00DF448B">
      <w:pPr>
        <w:spacing w:line="480" w:lineRule="auto"/>
        <w:jc w:val="both"/>
        <w:rPr>
          <w:rFonts w:ascii="Times New Roman" w:eastAsia="Aptos" w:hAnsi="Times New Roman" w:cs="Times New Roman"/>
          <w:kern w:val="2"/>
          <w:sz w:val="24"/>
          <w:szCs w:val="24"/>
          <w14:ligatures w14:val="standardContextual"/>
        </w:rPr>
      </w:pPr>
    </w:p>
    <w:p w14:paraId="01713E85" w14:textId="4A226F25" w:rsidR="00DF31BD" w:rsidRDefault="00DF31BD" w:rsidP="00D62EEA">
      <w:pPr>
        <w:pStyle w:val="Heading2"/>
        <w:rPr>
          <w:rFonts w:eastAsia="Times New Roman"/>
          <w:lang w:eastAsia="en-GB"/>
        </w:rPr>
      </w:pPr>
      <w:r w:rsidRPr="00B10BE1">
        <w:rPr>
          <w:rFonts w:eastAsia="Times New Roman"/>
          <w:lang w:eastAsia="en-GB"/>
        </w:rPr>
        <w:t>Relationship prior to the suicide. </w:t>
      </w:r>
    </w:p>
    <w:p w14:paraId="4E07C47B" w14:textId="77777777" w:rsidR="00940AE3" w:rsidRPr="00940AE3" w:rsidRDefault="00940AE3" w:rsidP="00940AE3">
      <w:pPr>
        <w:rPr>
          <w:lang w:eastAsia="en-GB"/>
        </w:rPr>
      </w:pPr>
    </w:p>
    <w:p w14:paraId="7078138F"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Each participant described having had a close relationship with their loved one prior to the suicide. These relationships were characterised by an enduring openness. Ashley spoke about a long-standing nurturing role within his relationship with his brother, from an early age through to his brother’s early adult years.  </w:t>
      </w:r>
    </w:p>
    <w:p w14:paraId="49934B56"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p>
    <w:p w14:paraId="32BE0752" w14:textId="77777777" w:rsidR="00DF31BD" w:rsidRPr="00B10BE1" w:rsidRDefault="00DF31BD" w:rsidP="00DF448B">
      <w:pPr>
        <w:spacing w:after="0" w:line="480" w:lineRule="auto"/>
        <w:ind w:left="720"/>
        <w:textAlignment w:val="baseline"/>
        <w:rPr>
          <w:rFonts w:ascii="Times New Roman" w:eastAsia="Times New Roman" w:hAnsi="Times New Roman" w:cs="Times New Roman"/>
          <w:color w:val="000000"/>
          <w:sz w:val="24"/>
          <w:szCs w:val="24"/>
          <w:lang w:eastAsia="en-GB"/>
        </w:rPr>
      </w:pPr>
      <w:r w:rsidRPr="00B10BE1">
        <w:rPr>
          <w:rFonts w:ascii="Times New Roman" w:eastAsia="Times New Roman" w:hAnsi="Times New Roman" w:cs="Times New Roman"/>
          <w:i/>
          <w:iCs/>
          <w:color w:val="000000"/>
          <w:sz w:val="24"/>
          <w:szCs w:val="24"/>
          <w:shd w:val="clear" w:color="auto" w:fill="FFFFFF"/>
          <w:lang w:eastAsia="en-GB"/>
        </w:rPr>
        <w:t>“I'm two years older than Taylor but it felt very much like we were twins. He would always come to me to talk to me at a very young age ... as he was steering through childhood and teenage years. And being a young man ... I was his big brother, and he would always come and talk to me about things that were bothering him!”.</w:t>
      </w:r>
      <w:r w:rsidRPr="00B10BE1">
        <w:rPr>
          <w:rFonts w:ascii="Times New Roman" w:eastAsia="Times New Roman" w:hAnsi="Times New Roman" w:cs="Times New Roman"/>
          <w:color w:val="000000"/>
          <w:sz w:val="24"/>
          <w:szCs w:val="24"/>
          <w:lang w:eastAsia="en-GB"/>
        </w:rPr>
        <w:t> </w:t>
      </w:r>
    </w:p>
    <w:p w14:paraId="3F2BAFE7" w14:textId="77777777" w:rsidR="00DF31BD" w:rsidRPr="00B10BE1" w:rsidRDefault="00DF31BD" w:rsidP="00DF448B">
      <w:pPr>
        <w:spacing w:after="0" w:line="480" w:lineRule="auto"/>
        <w:ind w:left="720"/>
        <w:textAlignment w:val="baseline"/>
        <w:rPr>
          <w:rFonts w:ascii="Times New Roman" w:eastAsia="Times New Roman" w:hAnsi="Times New Roman" w:cs="Times New Roman"/>
          <w:sz w:val="24"/>
          <w:szCs w:val="24"/>
          <w:lang w:eastAsia="en-GB"/>
        </w:rPr>
      </w:pPr>
    </w:p>
    <w:p w14:paraId="0A0805F7"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Greg reflected on the closeness of his relationship with his son, which he describes in this quotation.   </w:t>
      </w:r>
    </w:p>
    <w:p w14:paraId="70D98E6C" w14:textId="77777777" w:rsidR="00DF31BD" w:rsidRPr="00B10BE1" w:rsidRDefault="00DF31B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eastAsia="en-GB"/>
        </w:rPr>
        <w:lastRenderedPageBreak/>
        <w:t>“… I mean, the thing with Stevie, he was very open. He'd always discuss things, tell me about things. He was a decorator, he loved his job. He’d come home and show me pictures of things he’d done”.</w:t>
      </w:r>
      <w:r w:rsidRPr="00B10BE1">
        <w:rPr>
          <w:rFonts w:ascii="Times New Roman" w:eastAsia="Times New Roman" w:hAnsi="Times New Roman" w:cs="Times New Roman"/>
          <w:sz w:val="24"/>
          <w:szCs w:val="24"/>
          <w:lang w:eastAsia="en-GB"/>
        </w:rPr>
        <w:t> </w:t>
      </w:r>
    </w:p>
    <w:p w14:paraId="6539C031" w14:textId="77777777" w:rsidR="00DF31BD" w:rsidRPr="00B10BE1" w:rsidRDefault="00DF31BD" w:rsidP="00DF448B">
      <w:pPr>
        <w:spacing w:after="0" w:line="480" w:lineRule="auto"/>
        <w:ind w:left="720"/>
        <w:jc w:val="both"/>
        <w:textAlignment w:val="baseline"/>
        <w:rPr>
          <w:rFonts w:ascii="Times New Roman" w:eastAsia="Times New Roman" w:hAnsi="Times New Roman" w:cs="Times New Roman"/>
          <w:sz w:val="24"/>
          <w:szCs w:val="24"/>
          <w:lang w:eastAsia="en-GB"/>
        </w:rPr>
      </w:pPr>
    </w:p>
    <w:p w14:paraId="738EF47C"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Relational openness did not always connote awareness of the gambling-harm suffered by the family member.  Greg details how his son’s gambling activity remained hidden, in an otherwise communicative relationship. </w:t>
      </w:r>
    </w:p>
    <w:p w14:paraId="4E462D56" w14:textId="77777777" w:rsidR="00DF31BD" w:rsidRPr="00B10BE1" w:rsidRDefault="00DF31BD" w:rsidP="00DF448B">
      <w:pPr>
        <w:spacing w:after="0" w:line="480" w:lineRule="auto"/>
        <w:textAlignment w:val="baseline"/>
        <w:rPr>
          <w:rFonts w:ascii="Times New Roman" w:eastAsia="Times New Roman" w:hAnsi="Times New Roman" w:cs="Times New Roman"/>
          <w:sz w:val="24"/>
          <w:szCs w:val="24"/>
          <w:lang w:eastAsia="en-GB"/>
        </w:rPr>
      </w:pPr>
    </w:p>
    <w:p w14:paraId="7546127B" w14:textId="77777777" w:rsidR="00DF31BD" w:rsidRPr="00B10BE1" w:rsidRDefault="00DF31B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eastAsia="en-GB"/>
        </w:rPr>
        <w:t>“Everything about him was open … but it was just this thing that was hidden that we didn't know about, and that was the big thing”.</w:t>
      </w:r>
      <w:r w:rsidRPr="00B10BE1">
        <w:rPr>
          <w:rFonts w:ascii="Times New Roman" w:eastAsia="Times New Roman" w:hAnsi="Times New Roman" w:cs="Times New Roman"/>
          <w:sz w:val="24"/>
          <w:szCs w:val="24"/>
          <w:lang w:eastAsia="en-GB"/>
        </w:rPr>
        <w:t> </w:t>
      </w:r>
    </w:p>
    <w:p w14:paraId="1C3FFB83" w14:textId="77777777" w:rsidR="00DF31BD" w:rsidRPr="00B10BE1" w:rsidRDefault="00DF31BD" w:rsidP="00DF448B">
      <w:pPr>
        <w:spacing w:after="0" w:line="480" w:lineRule="auto"/>
        <w:ind w:left="720"/>
        <w:textAlignment w:val="baseline"/>
        <w:rPr>
          <w:rFonts w:ascii="Times New Roman" w:eastAsia="Times New Roman" w:hAnsi="Times New Roman" w:cs="Times New Roman"/>
          <w:sz w:val="24"/>
          <w:szCs w:val="24"/>
          <w:lang w:eastAsia="en-GB"/>
        </w:rPr>
      </w:pPr>
    </w:p>
    <w:p w14:paraId="5DA089C2" w14:textId="68AF3A25"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Ashley</w:t>
      </w:r>
      <w:r w:rsidR="00516B44" w:rsidRPr="00B10BE1">
        <w:rPr>
          <w:rFonts w:ascii="Times New Roman" w:eastAsia="Times New Roman" w:hAnsi="Times New Roman" w:cs="Times New Roman"/>
          <w:sz w:val="24"/>
          <w:szCs w:val="24"/>
          <w:lang w:eastAsia="en-GB"/>
        </w:rPr>
        <w:t xml:space="preserve"> however,</w:t>
      </w:r>
      <w:r w:rsidRPr="00B10BE1">
        <w:rPr>
          <w:rFonts w:ascii="Times New Roman" w:eastAsia="Times New Roman" w:hAnsi="Times New Roman" w:cs="Times New Roman"/>
          <w:sz w:val="24"/>
          <w:szCs w:val="24"/>
          <w:lang w:eastAsia="en-GB"/>
        </w:rPr>
        <w:t xml:space="preserve"> describes how he was fully aware of both the extent and harmful effects of brother Taylor’s gambling.  </w:t>
      </w:r>
    </w:p>
    <w:p w14:paraId="72D1C804"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p>
    <w:p w14:paraId="74F33AE9" w14:textId="77777777" w:rsidR="00DF31BD" w:rsidRPr="00B10BE1" w:rsidRDefault="00DF31BD" w:rsidP="00DF448B">
      <w:pPr>
        <w:spacing w:after="0" w:line="480" w:lineRule="auto"/>
        <w:ind w:left="720"/>
        <w:textAlignment w:val="baseline"/>
        <w:rPr>
          <w:rFonts w:ascii="Times New Roman" w:eastAsia="Times New Roman" w:hAnsi="Times New Roman" w:cs="Times New Roman"/>
          <w:color w:val="000000"/>
          <w:sz w:val="24"/>
          <w:szCs w:val="24"/>
          <w:lang w:eastAsia="en-GB"/>
        </w:rPr>
      </w:pPr>
      <w:r w:rsidRPr="00B10BE1">
        <w:rPr>
          <w:rFonts w:ascii="Times New Roman" w:eastAsia="Times New Roman" w:hAnsi="Times New Roman" w:cs="Times New Roman"/>
          <w:i/>
          <w:iCs/>
          <w:color w:val="000000"/>
          <w:sz w:val="24"/>
          <w:szCs w:val="24"/>
          <w:shd w:val="clear" w:color="auto" w:fill="FFFFFF"/>
          <w:lang w:eastAsia="en-GB"/>
        </w:rPr>
        <w:t>“Yeah, I was very aware. For the last few months of his life. I was very much on that journey with him … and the years building up to it, I was very much part of that journey”. </w:t>
      </w:r>
      <w:r w:rsidRPr="00B10BE1">
        <w:rPr>
          <w:rFonts w:ascii="Times New Roman" w:eastAsia="Times New Roman" w:hAnsi="Times New Roman" w:cs="Times New Roman"/>
          <w:color w:val="000000"/>
          <w:sz w:val="24"/>
          <w:szCs w:val="24"/>
          <w:lang w:eastAsia="en-GB"/>
        </w:rPr>
        <w:t> </w:t>
      </w:r>
    </w:p>
    <w:p w14:paraId="3227E76B" w14:textId="77777777" w:rsidR="00DF31BD" w:rsidRPr="00B10BE1" w:rsidRDefault="00DF31BD" w:rsidP="00DF448B">
      <w:pPr>
        <w:spacing w:after="0" w:line="480" w:lineRule="auto"/>
        <w:ind w:left="720"/>
        <w:jc w:val="both"/>
        <w:textAlignment w:val="baseline"/>
        <w:rPr>
          <w:rFonts w:ascii="Times New Roman" w:eastAsia="Times New Roman" w:hAnsi="Times New Roman" w:cs="Times New Roman"/>
          <w:sz w:val="24"/>
          <w:szCs w:val="24"/>
          <w:lang w:eastAsia="en-GB"/>
        </w:rPr>
      </w:pPr>
    </w:p>
    <w:p w14:paraId="3FE5C791"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The participants who were aware of their close relative’s difficulties with gambling, detailed the profound effects that this had on their relationship with their loved one. Ashley explained how an erosion of trust changed the nature of his relationship with his brother. Here he describes the rupture gambling caused in their relationship and his relief at their subsequent reconciliation, shortly before his brother’s death.</w:t>
      </w:r>
    </w:p>
    <w:p w14:paraId="6D25DB64"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w:t>
      </w:r>
    </w:p>
    <w:p w14:paraId="605E83BC" w14:textId="390381D9" w:rsidR="00DF31BD" w:rsidRPr="00B10BE1" w:rsidRDefault="00DF31B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color w:val="000000"/>
          <w:sz w:val="24"/>
          <w:szCs w:val="24"/>
          <w:lang w:eastAsia="en-GB"/>
        </w:rPr>
        <w:lastRenderedPageBreak/>
        <w:t>“He became untrustworthy to me, which was really uncomfortable. And it meant that I had no choice, but to go from ‘soft brother’ tactics to harder ‘tough love’ brother tactics… and it put a bigger wedge between us for a couple of months.  And it was only literally days before he died, we had a conversation and we decided to start again and [be] positive and all that sort of Stuff”. </w:t>
      </w:r>
      <w:r w:rsidRPr="00B10BE1">
        <w:rPr>
          <w:rFonts w:ascii="Times New Roman" w:eastAsia="Times New Roman" w:hAnsi="Times New Roman" w:cs="Times New Roman"/>
          <w:color w:val="000000"/>
          <w:sz w:val="24"/>
          <w:szCs w:val="24"/>
          <w:lang w:eastAsia="en-GB"/>
        </w:rPr>
        <w:t> </w:t>
      </w:r>
    </w:p>
    <w:p w14:paraId="24F0BF9B" w14:textId="77777777" w:rsidR="00DF31BD" w:rsidRPr="00B10BE1" w:rsidRDefault="00DF31BD" w:rsidP="00DF448B">
      <w:pPr>
        <w:spacing w:after="0" w:line="480" w:lineRule="auto"/>
        <w:ind w:left="720"/>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color w:val="000000"/>
          <w:sz w:val="24"/>
          <w:szCs w:val="24"/>
          <w:lang w:eastAsia="en-GB"/>
        </w:rPr>
        <w:t> </w:t>
      </w:r>
    </w:p>
    <w:p w14:paraId="42F35DE6" w14:textId="77777777" w:rsidR="00DF31BD" w:rsidRPr="00B10BE1" w:rsidRDefault="00DF31B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color w:val="000000"/>
          <w:sz w:val="24"/>
          <w:szCs w:val="24"/>
          <w:lang w:eastAsia="en-GB"/>
        </w:rPr>
        <w:t>Chris described how the extent of his wife’s gambling, created a closer bond and a willingness to tackle the problem together, but simultaneously eroded trust within their relationship. </w:t>
      </w:r>
    </w:p>
    <w:p w14:paraId="0D660A10" w14:textId="77777777" w:rsidR="00DF31BD" w:rsidRPr="00B10BE1" w:rsidRDefault="00DF31BD" w:rsidP="00DF448B">
      <w:pPr>
        <w:spacing w:after="0" w:line="480" w:lineRule="auto"/>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color w:val="000000"/>
          <w:sz w:val="24"/>
          <w:szCs w:val="24"/>
          <w:lang w:eastAsia="en-GB"/>
        </w:rPr>
        <w:t> </w:t>
      </w:r>
    </w:p>
    <w:p w14:paraId="2916B42A" w14:textId="77777777" w:rsidR="00474354" w:rsidRPr="00B10BE1" w:rsidRDefault="00DF31BD" w:rsidP="00DF448B">
      <w:pPr>
        <w:spacing w:after="0" w:line="480" w:lineRule="auto"/>
        <w:ind w:left="720"/>
        <w:textAlignment w:val="baseline"/>
        <w:rPr>
          <w:rFonts w:ascii="Times New Roman" w:eastAsia="Times New Roman" w:hAnsi="Times New Roman" w:cs="Times New Roman"/>
          <w:i/>
          <w:iCs/>
          <w:sz w:val="24"/>
          <w:szCs w:val="24"/>
          <w:lang w:eastAsia="en-GB"/>
        </w:rPr>
      </w:pPr>
      <w:r w:rsidRPr="00B10BE1">
        <w:rPr>
          <w:rFonts w:ascii="Times New Roman" w:eastAsia="Times New Roman" w:hAnsi="Times New Roman" w:cs="Times New Roman"/>
          <w:i/>
          <w:iCs/>
          <w:sz w:val="24"/>
          <w:szCs w:val="24"/>
          <w:lang w:eastAsia="en-GB"/>
        </w:rPr>
        <w:t>“We became really ... even closer … in the sense of how we sat down and were sensible about our approach around it.   So I'd said to Claire, ‘we'll pay it off together, but I'm not sure whether I could trust [that] you're not doing it again’ …</w:t>
      </w:r>
    </w:p>
    <w:p w14:paraId="1E9CC28F" w14:textId="630099BC" w:rsidR="00DF31BD" w:rsidRPr="00B10BE1" w:rsidRDefault="00DF31B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eastAsia="en-GB"/>
        </w:rPr>
        <w:t xml:space="preserve"> But we never fell out about it we were, I was really supportive of her”. </w:t>
      </w:r>
      <w:r w:rsidRPr="00B10BE1">
        <w:rPr>
          <w:rFonts w:ascii="Times New Roman" w:eastAsia="Times New Roman" w:hAnsi="Times New Roman" w:cs="Times New Roman"/>
          <w:sz w:val="24"/>
          <w:szCs w:val="24"/>
          <w:lang w:eastAsia="en-GB"/>
        </w:rPr>
        <w:t> </w:t>
      </w:r>
    </w:p>
    <w:p w14:paraId="7EE0AB02" w14:textId="77777777" w:rsidR="00DF31BD" w:rsidRPr="00B10BE1" w:rsidRDefault="00DF31BD" w:rsidP="00D62EEA">
      <w:pPr>
        <w:pStyle w:val="Heading2"/>
        <w:rPr>
          <w:rFonts w:eastAsia="Times New Roman"/>
          <w:lang w:eastAsia="en-GB"/>
        </w:rPr>
      </w:pPr>
    </w:p>
    <w:p w14:paraId="7D64599A" w14:textId="2671E25C" w:rsidR="00F8394E" w:rsidRDefault="00F8394E" w:rsidP="00D62EEA">
      <w:pPr>
        <w:pStyle w:val="Heading2"/>
        <w:rPr>
          <w:rFonts w:eastAsia="Times New Roman"/>
          <w:b/>
          <w:bCs/>
          <w:lang w:val="en-US" w:eastAsia="en-GB"/>
        </w:rPr>
      </w:pPr>
      <w:r w:rsidRPr="00B10BE1">
        <w:rPr>
          <w:rFonts w:eastAsia="Times New Roman"/>
          <w:b/>
          <w:bCs/>
          <w:lang w:val="en-US" w:eastAsia="en-GB"/>
        </w:rPr>
        <w:t>Engagement with media</w:t>
      </w:r>
    </w:p>
    <w:p w14:paraId="56F2273A" w14:textId="77777777" w:rsidR="00940AE3" w:rsidRPr="00940AE3" w:rsidRDefault="00940AE3" w:rsidP="00940AE3">
      <w:pPr>
        <w:rPr>
          <w:lang w:val="en-US" w:eastAsia="en-GB"/>
        </w:rPr>
      </w:pPr>
    </w:p>
    <w:p w14:paraId="0DCE6A46" w14:textId="0373B0B3" w:rsidR="00F8394E" w:rsidRPr="00B10BE1" w:rsidRDefault="00F8394E"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Some participants reflected on their ambivalent relationship with the mainstream media. Whilst media engagement gave their campaign a wider audience, journalistic emphasis on participant’s personal stories could become intrusive. This sometimes led to irrevocable breakdowns of trust between </w:t>
      </w:r>
      <w:r w:rsidR="00516B44" w:rsidRPr="00B10BE1">
        <w:rPr>
          <w:rFonts w:ascii="Times New Roman" w:eastAsia="Times New Roman" w:hAnsi="Times New Roman" w:cs="Times New Roman"/>
          <w:sz w:val="24"/>
          <w:szCs w:val="24"/>
          <w:lang w:val="en-US" w:eastAsia="en-GB"/>
        </w:rPr>
        <w:t>campaigners</w:t>
      </w:r>
      <w:r w:rsidRPr="00B10BE1">
        <w:rPr>
          <w:rFonts w:ascii="Times New Roman" w:eastAsia="Times New Roman" w:hAnsi="Times New Roman" w:cs="Times New Roman"/>
          <w:sz w:val="24"/>
          <w:szCs w:val="24"/>
          <w:lang w:val="en-US" w:eastAsia="en-GB"/>
        </w:rPr>
        <w:t xml:space="preserve"> and journalists. Participants subsequently reported a more circumspect engagement with the media. Bill recounts negotiat</w:t>
      </w:r>
      <w:r w:rsidR="00516B44" w:rsidRPr="00B10BE1">
        <w:rPr>
          <w:rFonts w:ascii="Times New Roman" w:eastAsia="Times New Roman" w:hAnsi="Times New Roman" w:cs="Times New Roman"/>
          <w:sz w:val="24"/>
          <w:szCs w:val="24"/>
          <w:lang w:val="en-US" w:eastAsia="en-GB"/>
        </w:rPr>
        <w:t>ing</w:t>
      </w:r>
      <w:r w:rsidRPr="00B10BE1">
        <w:rPr>
          <w:rFonts w:ascii="Times New Roman" w:eastAsia="Times New Roman" w:hAnsi="Times New Roman" w:cs="Times New Roman"/>
          <w:sz w:val="24"/>
          <w:szCs w:val="24"/>
          <w:lang w:val="en-US" w:eastAsia="en-GB"/>
        </w:rPr>
        <w:t xml:space="preserve"> with a television journalist to focus on campaign issues</w:t>
      </w:r>
      <w:r w:rsidR="00516B44" w:rsidRPr="00B10BE1">
        <w:rPr>
          <w:rFonts w:ascii="Times New Roman" w:eastAsia="Times New Roman" w:hAnsi="Times New Roman" w:cs="Times New Roman"/>
          <w:sz w:val="24"/>
          <w:szCs w:val="24"/>
          <w:lang w:val="en-US" w:eastAsia="en-GB"/>
        </w:rPr>
        <w:t>,</w:t>
      </w:r>
      <w:r w:rsidRPr="00B10BE1">
        <w:rPr>
          <w:rFonts w:ascii="Times New Roman" w:eastAsia="Times New Roman" w:hAnsi="Times New Roman" w:cs="Times New Roman"/>
          <w:sz w:val="24"/>
          <w:szCs w:val="24"/>
          <w:lang w:val="en-US" w:eastAsia="en-GB"/>
        </w:rPr>
        <w:t xml:space="preserve"> rather than the personal story of his late son Karl. He describes his anger when the subsequent agreement was breached. </w:t>
      </w:r>
    </w:p>
    <w:p w14:paraId="42CFC6B0" w14:textId="77777777" w:rsidR="00F8394E" w:rsidRPr="00B10BE1" w:rsidRDefault="00F8394E" w:rsidP="00DF448B">
      <w:pPr>
        <w:spacing w:after="0" w:line="480" w:lineRule="auto"/>
        <w:textAlignment w:val="baseline"/>
        <w:rPr>
          <w:rFonts w:ascii="Times New Roman" w:eastAsia="Times New Roman" w:hAnsi="Times New Roman" w:cs="Times New Roman"/>
          <w:sz w:val="24"/>
          <w:szCs w:val="24"/>
          <w:lang w:eastAsia="en-GB"/>
        </w:rPr>
      </w:pPr>
    </w:p>
    <w:p w14:paraId="38061DD0" w14:textId="3D2969B2" w:rsidR="00F8394E" w:rsidRPr="00B10BE1" w:rsidRDefault="00F8394E"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lastRenderedPageBreak/>
        <w:t>“I suppose the worst case I can think of is the TV reporter who came along. I wanted to get three campaigning points over. They'd much rather have one.  I said, ‘well no, these are important,’ and they wanted to have the story about Karl and see the pain in the parent’s eyes… (I) got an agreement that we would have half of the piece on campaigning and half on ‘tears to camera’ ... the piece came out 100% tears to camera and no campaigning point. I went ballistic ... that just taught me you can never trust a journalist.” </w:t>
      </w:r>
      <w:r w:rsidRPr="00B10BE1">
        <w:rPr>
          <w:rFonts w:ascii="Times New Roman" w:eastAsia="Times New Roman" w:hAnsi="Times New Roman" w:cs="Times New Roman"/>
          <w:sz w:val="24"/>
          <w:szCs w:val="24"/>
          <w:lang w:eastAsia="en-GB"/>
        </w:rPr>
        <w:t> </w:t>
      </w:r>
    </w:p>
    <w:p w14:paraId="5DB2802A" w14:textId="77777777" w:rsidR="00F8394E" w:rsidRPr="00B10BE1" w:rsidRDefault="00F8394E" w:rsidP="00DF448B">
      <w:pPr>
        <w:spacing w:after="0" w:line="480" w:lineRule="auto"/>
        <w:ind w:left="720"/>
        <w:textAlignment w:val="baseline"/>
        <w:rPr>
          <w:rFonts w:ascii="Times New Roman" w:eastAsia="Times New Roman" w:hAnsi="Times New Roman" w:cs="Times New Roman"/>
          <w:sz w:val="24"/>
          <w:szCs w:val="24"/>
          <w:lang w:eastAsia="en-GB"/>
        </w:rPr>
      </w:pPr>
    </w:p>
    <w:p w14:paraId="23EBAFAA" w14:textId="0A39113F" w:rsidR="00F8394E" w:rsidRPr="00B10BE1" w:rsidRDefault="0095031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Here </w:t>
      </w:r>
      <w:r w:rsidR="00F8394E" w:rsidRPr="00B10BE1">
        <w:rPr>
          <w:rFonts w:ascii="Times New Roman" w:eastAsia="Times New Roman" w:hAnsi="Times New Roman" w:cs="Times New Roman"/>
          <w:sz w:val="24"/>
          <w:szCs w:val="24"/>
          <w:lang w:val="en-US" w:eastAsia="en-GB"/>
        </w:rPr>
        <w:t xml:space="preserve">Greg perceives </w:t>
      </w:r>
      <w:r w:rsidRPr="00B10BE1">
        <w:rPr>
          <w:rFonts w:ascii="Times New Roman" w:eastAsia="Times New Roman" w:hAnsi="Times New Roman" w:cs="Times New Roman"/>
          <w:sz w:val="24"/>
          <w:szCs w:val="24"/>
          <w:lang w:val="en-US" w:eastAsia="en-GB"/>
        </w:rPr>
        <w:t xml:space="preserve"> and accepts </w:t>
      </w:r>
      <w:r w:rsidR="00F8394E" w:rsidRPr="00B10BE1">
        <w:rPr>
          <w:rFonts w:ascii="Times New Roman" w:eastAsia="Times New Roman" w:hAnsi="Times New Roman" w:cs="Times New Roman"/>
          <w:sz w:val="24"/>
          <w:szCs w:val="24"/>
          <w:lang w:val="en-US" w:eastAsia="en-GB"/>
        </w:rPr>
        <w:t>an inevitable quid pro quo when working with the media. Sharing some aspects of his son’s story gains a</w:t>
      </w:r>
      <w:r w:rsidRPr="00B10BE1">
        <w:rPr>
          <w:rFonts w:ascii="Times New Roman" w:eastAsia="Times New Roman" w:hAnsi="Times New Roman" w:cs="Times New Roman"/>
          <w:sz w:val="24"/>
          <w:szCs w:val="24"/>
          <w:lang w:val="en-US" w:eastAsia="en-GB"/>
        </w:rPr>
        <w:t xml:space="preserve">ccess to a </w:t>
      </w:r>
      <w:r w:rsidR="00F8394E" w:rsidRPr="00B10BE1">
        <w:rPr>
          <w:rFonts w:ascii="Times New Roman" w:eastAsia="Times New Roman" w:hAnsi="Times New Roman" w:cs="Times New Roman"/>
          <w:sz w:val="24"/>
          <w:szCs w:val="24"/>
          <w:lang w:val="en-US" w:eastAsia="en-GB"/>
        </w:rPr>
        <w:t xml:space="preserve"> wider audience for Greg’s campaign points. </w:t>
      </w:r>
    </w:p>
    <w:p w14:paraId="23BECF85" w14:textId="77777777" w:rsidR="00F8394E" w:rsidRPr="00B10BE1" w:rsidRDefault="00F8394E" w:rsidP="00DF448B">
      <w:pPr>
        <w:spacing w:after="0" w:line="480" w:lineRule="auto"/>
        <w:textAlignment w:val="baseline"/>
        <w:rPr>
          <w:rFonts w:ascii="Times New Roman" w:eastAsia="Times New Roman" w:hAnsi="Times New Roman" w:cs="Times New Roman"/>
          <w:sz w:val="24"/>
          <w:szCs w:val="24"/>
          <w:lang w:eastAsia="en-GB"/>
        </w:rPr>
      </w:pPr>
    </w:p>
    <w:p w14:paraId="6A2BF516" w14:textId="77777777" w:rsidR="00F8394E" w:rsidRPr="00B10BE1" w:rsidRDefault="00F8394E"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t xml:space="preserve">“There’s gotta (sic)be that balance ... the hook line I’ve got is our Stevie’s death, for the media ... so I’ve gotta (sic) use that, whether I like it or not. That’s what gets me my foot in the door. Then I’ve got to back it up with the facts, not just go in there with a sob story. </w:t>
      </w:r>
    </w:p>
    <w:p w14:paraId="336629AE" w14:textId="77777777" w:rsidR="00F8394E" w:rsidRPr="00B10BE1" w:rsidRDefault="00F8394E" w:rsidP="00DF448B">
      <w:pPr>
        <w:spacing w:after="0" w:line="480" w:lineRule="auto"/>
        <w:ind w:left="720"/>
        <w:textAlignment w:val="baseline"/>
        <w:rPr>
          <w:rFonts w:ascii="Times New Roman" w:eastAsia="Times New Roman" w:hAnsi="Times New Roman" w:cs="Times New Roman"/>
          <w:sz w:val="24"/>
          <w:szCs w:val="24"/>
          <w:lang w:eastAsia="en-GB"/>
        </w:rPr>
      </w:pPr>
    </w:p>
    <w:p w14:paraId="7159C622" w14:textId="77777777" w:rsidR="00F8394E" w:rsidRPr="00B10BE1" w:rsidRDefault="00F8394E"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Here Greg recalls how a local newspaper’s intrusive and exaggerated focus on his personal information, repudiated this informal reciprocity. He subsequently withdrew his collaboration with the newspaper as a result. </w:t>
      </w:r>
    </w:p>
    <w:p w14:paraId="1C1302F6" w14:textId="77777777" w:rsidR="00F8394E" w:rsidRPr="00B10BE1" w:rsidRDefault="00F8394E" w:rsidP="00DF448B">
      <w:pPr>
        <w:spacing w:after="0" w:line="480" w:lineRule="auto"/>
        <w:textAlignment w:val="baseline"/>
        <w:rPr>
          <w:rFonts w:ascii="Times New Roman" w:eastAsia="Times New Roman" w:hAnsi="Times New Roman" w:cs="Times New Roman"/>
          <w:sz w:val="24"/>
          <w:szCs w:val="24"/>
          <w:lang w:eastAsia="en-GB"/>
        </w:rPr>
      </w:pPr>
    </w:p>
    <w:p w14:paraId="20654D8B" w14:textId="359E0B60" w:rsidR="00F8394E" w:rsidRPr="00B10BE1" w:rsidRDefault="00F8394E" w:rsidP="00DF448B">
      <w:pPr>
        <w:spacing w:after="0" w:line="480" w:lineRule="auto"/>
        <w:ind w:left="720"/>
        <w:textAlignment w:val="baseline"/>
        <w:rPr>
          <w:rFonts w:ascii="Times New Roman" w:eastAsia="Times New Roman" w:hAnsi="Times New Roman" w:cs="Times New Roman"/>
          <w:i/>
          <w:iCs/>
          <w:sz w:val="24"/>
          <w:szCs w:val="24"/>
          <w:lang w:val="en-US" w:eastAsia="en-GB"/>
        </w:rPr>
      </w:pPr>
      <w:r w:rsidRPr="00B10BE1">
        <w:rPr>
          <w:rFonts w:ascii="Times New Roman" w:eastAsia="Times New Roman" w:hAnsi="Times New Roman" w:cs="Times New Roman"/>
          <w:i/>
          <w:iCs/>
          <w:sz w:val="24"/>
          <w:szCs w:val="24"/>
          <w:lang w:val="en-US" w:eastAsia="en-GB"/>
        </w:rPr>
        <w:t xml:space="preserve">“The Gazette said, ‘we’d like to speak to you.’ So this guy comes ... He starts asking me all these questions, ‘what was the last Christmas present Stevie bought you?’  I said ‘why?’ ... and he said, ‘I’m just interested’ ... ‘I can't remember, but I think it was a </w:t>
      </w:r>
      <w:r w:rsidR="009522AD" w:rsidRPr="00B10BE1">
        <w:rPr>
          <w:rFonts w:ascii="Times New Roman" w:eastAsia="Times New Roman" w:hAnsi="Times New Roman" w:cs="Times New Roman"/>
          <w:i/>
          <w:iCs/>
          <w:sz w:val="24"/>
          <w:szCs w:val="24"/>
          <w:lang w:val="en-US" w:eastAsia="en-GB"/>
        </w:rPr>
        <w:t>razor</w:t>
      </w:r>
      <w:r w:rsidRPr="00B10BE1">
        <w:rPr>
          <w:rFonts w:ascii="Times New Roman" w:eastAsia="Times New Roman" w:hAnsi="Times New Roman" w:cs="Times New Roman"/>
          <w:i/>
          <w:iCs/>
          <w:sz w:val="24"/>
          <w:szCs w:val="24"/>
          <w:lang w:val="en-US" w:eastAsia="en-GB"/>
        </w:rPr>
        <w:t xml:space="preserve">’ ... and the story comes out like ... ‘Greg kept the </w:t>
      </w:r>
      <w:r w:rsidR="009522AD" w:rsidRPr="00B10BE1">
        <w:rPr>
          <w:rFonts w:ascii="Times New Roman" w:eastAsia="Times New Roman" w:hAnsi="Times New Roman" w:cs="Times New Roman"/>
          <w:i/>
          <w:iCs/>
          <w:sz w:val="24"/>
          <w:szCs w:val="24"/>
          <w:lang w:val="en-US" w:eastAsia="en-GB"/>
        </w:rPr>
        <w:t>razor</w:t>
      </w:r>
      <w:r w:rsidRPr="00B10BE1">
        <w:rPr>
          <w:rFonts w:ascii="Times New Roman" w:eastAsia="Times New Roman" w:hAnsi="Times New Roman" w:cs="Times New Roman"/>
          <w:i/>
          <w:iCs/>
          <w:sz w:val="24"/>
          <w:szCs w:val="24"/>
          <w:lang w:val="en-US" w:eastAsia="en-GB"/>
        </w:rPr>
        <w:t xml:space="preserve"> Stevie bought </w:t>
      </w:r>
      <w:r w:rsidRPr="00B10BE1">
        <w:rPr>
          <w:rFonts w:ascii="Times New Roman" w:eastAsia="Times New Roman" w:hAnsi="Times New Roman" w:cs="Times New Roman"/>
          <w:i/>
          <w:iCs/>
          <w:sz w:val="24"/>
          <w:szCs w:val="24"/>
          <w:lang w:val="en-US" w:eastAsia="en-GB"/>
        </w:rPr>
        <w:lastRenderedPageBreak/>
        <w:t xml:space="preserve">him’ ... </w:t>
      </w:r>
      <w:bookmarkStart w:id="12" w:name="_Hlk171256620"/>
      <w:r w:rsidRPr="00B10BE1">
        <w:rPr>
          <w:rFonts w:ascii="Times New Roman" w:eastAsia="Times New Roman" w:hAnsi="Times New Roman" w:cs="Times New Roman"/>
          <w:i/>
          <w:iCs/>
          <w:sz w:val="24"/>
          <w:szCs w:val="24"/>
          <w:lang w:val="en-US" w:eastAsia="en-GB"/>
        </w:rPr>
        <w:t>they really put it down a s a sob story and forgot about the campaigning part … and I thought from then on, they’re out of the picture. No matter what they do they’ll not get another interview with me.”</w:t>
      </w:r>
    </w:p>
    <w:p w14:paraId="695C8D7C" w14:textId="77777777" w:rsidR="00F8394E" w:rsidRPr="00B10BE1" w:rsidRDefault="00F8394E" w:rsidP="00DF448B">
      <w:pPr>
        <w:spacing w:after="0" w:line="480" w:lineRule="auto"/>
        <w:ind w:left="720"/>
        <w:textAlignment w:val="baseline"/>
        <w:rPr>
          <w:rFonts w:ascii="Times New Roman" w:eastAsia="Times New Roman" w:hAnsi="Times New Roman" w:cs="Times New Roman"/>
          <w:i/>
          <w:iCs/>
          <w:sz w:val="24"/>
          <w:szCs w:val="24"/>
          <w:lang w:val="en-US" w:eastAsia="en-GB"/>
        </w:rPr>
      </w:pPr>
    </w:p>
    <w:bookmarkEnd w:id="12"/>
    <w:p w14:paraId="1EACAC89" w14:textId="206C3577" w:rsidR="00F8394E" w:rsidRPr="00B10BE1" w:rsidRDefault="00F8394E" w:rsidP="00DF448B">
      <w:pPr>
        <w:spacing w:after="0" w:line="480" w:lineRule="auto"/>
        <w:jc w:val="both"/>
        <w:textAlignment w:val="baseline"/>
        <w:rPr>
          <w:rFonts w:ascii="Times New Roman" w:eastAsia="Times New Roman" w:hAnsi="Times New Roman" w:cs="Times New Roman"/>
          <w:sz w:val="24"/>
          <w:szCs w:val="24"/>
          <w:lang w:val="en-US" w:eastAsia="en-GB"/>
        </w:rPr>
      </w:pPr>
      <w:r w:rsidRPr="00B10BE1">
        <w:rPr>
          <w:rFonts w:ascii="Times New Roman" w:eastAsia="Times New Roman" w:hAnsi="Times New Roman" w:cs="Times New Roman"/>
          <w:sz w:val="24"/>
          <w:szCs w:val="24"/>
          <w:lang w:val="en-US" w:eastAsia="en-GB"/>
        </w:rPr>
        <w:t xml:space="preserve">Chris recalls being powerless to challenge the </w:t>
      </w:r>
      <w:r w:rsidR="007829D3" w:rsidRPr="00B10BE1">
        <w:rPr>
          <w:rFonts w:ascii="Times New Roman" w:eastAsia="Times New Roman" w:hAnsi="Times New Roman" w:cs="Times New Roman"/>
          <w:sz w:val="24"/>
          <w:szCs w:val="24"/>
          <w:lang w:val="en-US" w:eastAsia="en-GB"/>
        </w:rPr>
        <w:t>in</w:t>
      </w:r>
      <w:r w:rsidRPr="00B10BE1">
        <w:rPr>
          <w:rFonts w:ascii="Times New Roman" w:eastAsia="Times New Roman" w:hAnsi="Times New Roman" w:cs="Times New Roman"/>
          <w:sz w:val="24"/>
          <w:szCs w:val="24"/>
          <w:lang w:val="en-US" w:eastAsia="en-GB"/>
        </w:rPr>
        <w:t>accuracy and timing of a newspaper article about his late wife’s death. </w:t>
      </w:r>
    </w:p>
    <w:p w14:paraId="6163B91E" w14:textId="77777777" w:rsidR="00F8394E" w:rsidRPr="00B10BE1" w:rsidRDefault="00F8394E"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w:t>
      </w:r>
    </w:p>
    <w:p w14:paraId="49C19A53" w14:textId="43C7784A" w:rsidR="00F8394E" w:rsidRPr="00B10BE1" w:rsidRDefault="00F8394E" w:rsidP="00DF448B">
      <w:pPr>
        <w:spacing w:after="0" w:line="480" w:lineRule="auto"/>
        <w:ind w:left="720"/>
        <w:textAlignment w:val="baseline"/>
        <w:rPr>
          <w:rFonts w:ascii="Times New Roman" w:eastAsia="Times New Roman" w:hAnsi="Times New Roman" w:cs="Times New Roman"/>
          <w:i/>
          <w:iCs/>
          <w:sz w:val="24"/>
          <w:szCs w:val="24"/>
          <w:lang w:val="en-US" w:eastAsia="en-GB"/>
        </w:rPr>
      </w:pPr>
      <w:r w:rsidRPr="00B10BE1">
        <w:rPr>
          <w:rFonts w:ascii="Times New Roman" w:eastAsia="Times New Roman" w:hAnsi="Times New Roman" w:cs="Times New Roman"/>
          <w:i/>
          <w:iCs/>
          <w:sz w:val="24"/>
          <w:szCs w:val="24"/>
          <w:lang w:val="en-US" w:eastAsia="en-GB"/>
        </w:rPr>
        <w:t>“The Herald had done a piece about Claire</w:t>
      </w:r>
      <w:r w:rsidR="00283F46" w:rsidRPr="00B10BE1">
        <w:rPr>
          <w:rFonts w:ascii="Times New Roman" w:eastAsia="Times New Roman" w:hAnsi="Times New Roman" w:cs="Times New Roman"/>
          <w:i/>
          <w:iCs/>
          <w:sz w:val="24"/>
          <w:szCs w:val="24"/>
          <w:lang w:val="en-US" w:eastAsia="en-GB"/>
        </w:rPr>
        <w:t xml:space="preserve"> …</w:t>
      </w:r>
      <w:r w:rsidRPr="00B10BE1">
        <w:rPr>
          <w:rFonts w:ascii="Times New Roman" w:eastAsia="Times New Roman" w:hAnsi="Times New Roman" w:cs="Times New Roman"/>
          <w:i/>
          <w:iCs/>
          <w:sz w:val="24"/>
          <w:szCs w:val="24"/>
          <w:lang w:val="en-US" w:eastAsia="en-GB"/>
        </w:rPr>
        <w:t xml:space="preserve"> and they tried to release it on the day that my daughter had started secondary school. They wanted to put it on the front page, and I asked them to take it down ... It wasn't even correct or factual. They were putting the method of suicide in there, and Cassie [my daughter] didn't even know. She knew she [her mum] died from suicide, but she didn't know how and where</w:t>
      </w:r>
      <w:r w:rsidR="00283F46" w:rsidRPr="00B10BE1">
        <w:rPr>
          <w:rFonts w:ascii="Times New Roman" w:eastAsia="Times New Roman" w:hAnsi="Times New Roman" w:cs="Times New Roman"/>
          <w:i/>
          <w:iCs/>
          <w:sz w:val="24"/>
          <w:szCs w:val="24"/>
          <w:lang w:val="en-US" w:eastAsia="en-GB"/>
        </w:rPr>
        <w:t xml:space="preserve"> … </w:t>
      </w:r>
      <w:r w:rsidR="00F2222A" w:rsidRPr="00B10BE1">
        <w:rPr>
          <w:rFonts w:ascii="Times New Roman" w:eastAsia="Times New Roman" w:hAnsi="Times New Roman" w:cs="Times New Roman"/>
          <w:i/>
          <w:iCs/>
          <w:sz w:val="24"/>
          <w:szCs w:val="24"/>
          <w:lang w:val="en-US" w:eastAsia="en-GB"/>
        </w:rPr>
        <w:t>s</w:t>
      </w:r>
      <w:r w:rsidRPr="00B10BE1">
        <w:rPr>
          <w:rFonts w:ascii="Times New Roman" w:eastAsia="Times New Roman" w:hAnsi="Times New Roman" w:cs="Times New Roman"/>
          <w:i/>
          <w:iCs/>
          <w:sz w:val="24"/>
          <w:szCs w:val="24"/>
          <w:lang w:val="en-US" w:eastAsia="en-GB"/>
        </w:rPr>
        <w:t xml:space="preserve">o I had to get the lawyers involved, and they [the newspaper] were basically like, ‘we'll do whatever we want’”. </w:t>
      </w:r>
    </w:p>
    <w:p w14:paraId="39A3CE2E" w14:textId="77777777" w:rsidR="006E0B73" w:rsidRPr="00B10BE1" w:rsidRDefault="006E0B73" w:rsidP="00DF448B">
      <w:pPr>
        <w:spacing w:after="0" w:line="480" w:lineRule="auto"/>
        <w:ind w:left="720"/>
        <w:textAlignment w:val="baseline"/>
        <w:rPr>
          <w:rFonts w:ascii="Times New Roman" w:eastAsia="Times New Roman" w:hAnsi="Times New Roman" w:cs="Times New Roman"/>
          <w:sz w:val="24"/>
          <w:szCs w:val="24"/>
          <w:lang w:eastAsia="en-GB"/>
        </w:rPr>
      </w:pPr>
    </w:p>
    <w:p w14:paraId="234A479B" w14:textId="77777777" w:rsidR="00F8394E" w:rsidRPr="00B10BE1" w:rsidRDefault="00F8394E" w:rsidP="00DF448B">
      <w:pPr>
        <w:spacing w:after="0" w:line="480" w:lineRule="auto"/>
        <w:ind w:left="720"/>
        <w:textAlignment w:val="baseline"/>
        <w:rPr>
          <w:rFonts w:ascii="Times New Roman" w:eastAsia="Times New Roman" w:hAnsi="Times New Roman" w:cs="Times New Roman"/>
          <w:sz w:val="24"/>
          <w:szCs w:val="24"/>
          <w:lang w:eastAsia="en-GB"/>
        </w:rPr>
      </w:pPr>
    </w:p>
    <w:p w14:paraId="3FA3D542" w14:textId="77777777" w:rsidR="00DF31BD" w:rsidRPr="00B10BE1" w:rsidRDefault="00DF31BD" w:rsidP="00DF448B">
      <w:pPr>
        <w:spacing w:line="480" w:lineRule="auto"/>
        <w:jc w:val="both"/>
        <w:rPr>
          <w:rFonts w:ascii="Times New Roman" w:eastAsia="Aptos" w:hAnsi="Times New Roman" w:cs="Times New Roman"/>
          <w:kern w:val="2"/>
          <w:sz w:val="24"/>
          <w:szCs w:val="24"/>
          <w14:ligatures w14:val="standardContextual"/>
        </w:rPr>
      </w:pPr>
    </w:p>
    <w:p w14:paraId="10C0CAF0" w14:textId="34867DC7" w:rsidR="00474354" w:rsidRPr="00B10BE1" w:rsidRDefault="00474354" w:rsidP="00DF448B">
      <w:pPr>
        <w:spacing w:line="480" w:lineRule="auto"/>
        <w:jc w:val="both"/>
        <w:rPr>
          <w:rFonts w:ascii="Times New Roman" w:eastAsia="Aptos" w:hAnsi="Times New Roman" w:cs="Times New Roman"/>
          <w:kern w:val="2"/>
          <w:sz w:val="24"/>
          <w:szCs w:val="24"/>
          <w:lang w:val="en-US"/>
          <w14:ligatures w14:val="standardContextual"/>
        </w:rPr>
      </w:pPr>
      <w:r w:rsidRPr="00B10BE1">
        <w:rPr>
          <w:rFonts w:ascii="Times New Roman" w:eastAsia="Aptos" w:hAnsi="Times New Roman" w:cs="Times New Roman"/>
          <w:kern w:val="2"/>
          <w:sz w:val="24"/>
          <w:szCs w:val="24"/>
          <w:lang w:val="en-US"/>
          <w14:ligatures w14:val="standardContextual"/>
        </w:rPr>
        <w:t>Media engagement presented a further shadow side.  All participants believed gambling harm was the sole cause of their loved one’s suicide</w:t>
      </w:r>
      <w:r w:rsidR="00AD0F2A" w:rsidRPr="00B10BE1">
        <w:rPr>
          <w:rFonts w:ascii="Times New Roman" w:eastAsia="Aptos" w:hAnsi="Times New Roman" w:cs="Times New Roman"/>
          <w:kern w:val="2"/>
          <w:sz w:val="24"/>
          <w:szCs w:val="24"/>
          <w:lang w:val="en-US"/>
          <w14:ligatures w14:val="standardContextual"/>
        </w:rPr>
        <w:t>,</w:t>
      </w:r>
      <w:r w:rsidRPr="00B10BE1">
        <w:rPr>
          <w:rFonts w:ascii="Times New Roman" w:eastAsia="Aptos" w:hAnsi="Times New Roman" w:cs="Times New Roman"/>
          <w:kern w:val="2"/>
          <w:sz w:val="24"/>
          <w:szCs w:val="24"/>
          <w:lang w:val="en-US"/>
          <w14:ligatures w14:val="standardContextual"/>
        </w:rPr>
        <w:t xml:space="preserve"> and the pursuit of accountability became central to their campaign goals. Yet public exposure invoked challenges to participant’s framing of gambling harm generally, and as a cause of  the suicide specifically. Here, Ashley criticises the characterisation of gambling as an innocuous leisure activity.</w:t>
      </w:r>
    </w:p>
    <w:p w14:paraId="09C844B5" w14:textId="77777777" w:rsidR="00474354" w:rsidRPr="00B10BE1" w:rsidRDefault="00474354" w:rsidP="00DF448B">
      <w:pPr>
        <w:spacing w:line="480" w:lineRule="auto"/>
        <w:rPr>
          <w:rFonts w:ascii="Times New Roman" w:eastAsia="Aptos" w:hAnsi="Times New Roman" w:cs="Times New Roman"/>
          <w:i/>
          <w:iCs/>
          <w:kern w:val="2"/>
          <w:sz w:val="24"/>
          <w:szCs w:val="24"/>
          <w:lang w:val="en-US"/>
          <w14:ligatures w14:val="standardContextual"/>
        </w:rPr>
      </w:pPr>
    </w:p>
    <w:p w14:paraId="65B93CA3" w14:textId="3E2E1AD5" w:rsidR="00474354" w:rsidRPr="00B10BE1" w:rsidRDefault="00474354" w:rsidP="00DF448B">
      <w:pPr>
        <w:spacing w:line="480" w:lineRule="auto"/>
        <w:ind w:left="720"/>
        <w:rPr>
          <w:rFonts w:ascii="Times New Roman" w:eastAsia="Aptos" w:hAnsi="Times New Roman" w:cs="Times New Roman"/>
          <w:i/>
          <w:iCs/>
          <w:kern w:val="2"/>
          <w:sz w:val="24"/>
          <w:szCs w:val="24"/>
          <w:lang w:val="en-US"/>
          <w14:ligatures w14:val="standardContextual"/>
        </w:rPr>
      </w:pPr>
      <w:r w:rsidRPr="00B10BE1">
        <w:rPr>
          <w:rFonts w:ascii="Times New Roman" w:eastAsia="Aptos" w:hAnsi="Times New Roman" w:cs="Times New Roman"/>
          <w:i/>
          <w:iCs/>
          <w:kern w:val="2"/>
          <w:sz w:val="24"/>
          <w:szCs w:val="24"/>
          <w:lang w:val="en-US"/>
          <w14:ligatures w14:val="standardContextual"/>
        </w:rPr>
        <w:lastRenderedPageBreak/>
        <w:t xml:space="preserve">“... if you didn't know my brother very well, like the coroner and you didn't have very much of an insight into how destructive gambling is ... the services and the products and  the wolf in sheep's clothing, [the] bloody leisure activity bollocks about it… you would think ‘Oh yeah, it [gambling] had something to do with it [the suicide], yeah, maybe 50%’ … but I would say 100%”. </w:t>
      </w:r>
    </w:p>
    <w:p w14:paraId="0E582A49" w14:textId="77777777" w:rsidR="00474354" w:rsidRPr="00B10BE1" w:rsidRDefault="00474354" w:rsidP="00DF448B">
      <w:pPr>
        <w:spacing w:line="480" w:lineRule="auto"/>
        <w:jc w:val="both"/>
        <w:rPr>
          <w:rFonts w:ascii="Times New Roman" w:eastAsia="Aptos" w:hAnsi="Times New Roman" w:cs="Times New Roman"/>
          <w:i/>
          <w:iCs/>
          <w:kern w:val="2"/>
          <w:sz w:val="24"/>
          <w:szCs w:val="24"/>
          <w:lang w:val="en-US"/>
          <w14:ligatures w14:val="standardContextual"/>
        </w:rPr>
      </w:pPr>
    </w:p>
    <w:p w14:paraId="675AE9AA" w14:textId="4A68F694" w:rsidR="00474354" w:rsidRPr="00B10BE1" w:rsidRDefault="00474354" w:rsidP="00DF448B">
      <w:pPr>
        <w:spacing w:line="480" w:lineRule="auto"/>
        <w:jc w:val="both"/>
        <w:rPr>
          <w:rFonts w:ascii="Times New Roman" w:eastAsia="Aptos" w:hAnsi="Times New Roman" w:cs="Times New Roman"/>
          <w:kern w:val="2"/>
          <w:sz w:val="24"/>
          <w:szCs w:val="24"/>
          <w:lang w:val="en-US"/>
          <w14:ligatures w14:val="standardContextual"/>
        </w:rPr>
      </w:pPr>
      <w:r w:rsidRPr="00B10BE1">
        <w:rPr>
          <w:rFonts w:ascii="Times New Roman" w:eastAsia="Aptos" w:hAnsi="Times New Roman" w:cs="Times New Roman"/>
          <w:kern w:val="2"/>
          <w:sz w:val="24"/>
          <w:szCs w:val="24"/>
          <w:lang w:val="en-US"/>
          <w14:ligatures w14:val="standardContextual"/>
        </w:rPr>
        <w:t xml:space="preserve">Bill reflected upon his surprise when realising that criticism of the industry was not universal. Political opposition to tighter gambling regulation challenged his assumption of </w:t>
      </w:r>
      <w:r w:rsidR="00AD0F2A" w:rsidRPr="00B10BE1">
        <w:rPr>
          <w:rFonts w:ascii="Times New Roman" w:eastAsia="Aptos" w:hAnsi="Times New Roman" w:cs="Times New Roman"/>
          <w:kern w:val="2"/>
          <w:sz w:val="24"/>
          <w:szCs w:val="24"/>
          <w:lang w:val="en-US"/>
          <w14:ligatures w14:val="standardContextual"/>
        </w:rPr>
        <w:t xml:space="preserve">unanimous </w:t>
      </w:r>
      <w:r w:rsidRPr="00B10BE1">
        <w:rPr>
          <w:rFonts w:ascii="Times New Roman" w:eastAsia="Aptos" w:hAnsi="Times New Roman" w:cs="Times New Roman"/>
          <w:kern w:val="2"/>
          <w:sz w:val="24"/>
          <w:szCs w:val="24"/>
          <w:lang w:val="en-US"/>
          <w14:ligatures w14:val="standardContextual"/>
        </w:rPr>
        <w:t xml:space="preserve">support for his campaign points. </w:t>
      </w:r>
    </w:p>
    <w:p w14:paraId="25C312F9" w14:textId="77777777" w:rsidR="00474354" w:rsidRPr="00B10BE1" w:rsidRDefault="00474354" w:rsidP="00DF448B">
      <w:pPr>
        <w:spacing w:line="480" w:lineRule="auto"/>
        <w:ind w:left="720"/>
        <w:rPr>
          <w:rFonts w:ascii="Times New Roman" w:eastAsia="Aptos" w:hAnsi="Times New Roman" w:cs="Times New Roman"/>
          <w:kern w:val="2"/>
          <w:sz w:val="24"/>
          <w:szCs w:val="24"/>
          <w:lang w:val="en-US"/>
          <w14:ligatures w14:val="standardContextual"/>
        </w:rPr>
      </w:pPr>
    </w:p>
    <w:p w14:paraId="47BBA9BB" w14:textId="77777777" w:rsidR="00474354" w:rsidRPr="00B10BE1" w:rsidRDefault="00474354" w:rsidP="00DF448B">
      <w:pPr>
        <w:spacing w:line="480" w:lineRule="auto"/>
        <w:ind w:left="720"/>
        <w:rPr>
          <w:rFonts w:ascii="Times New Roman" w:eastAsia="Aptos" w:hAnsi="Times New Roman" w:cs="Times New Roman"/>
          <w:i/>
          <w:iCs/>
          <w:kern w:val="2"/>
          <w:sz w:val="24"/>
          <w:szCs w:val="24"/>
          <w14:ligatures w14:val="standardContextual"/>
        </w:rPr>
      </w:pPr>
      <w:r w:rsidRPr="00B10BE1">
        <w:rPr>
          <w:rFonts w:ascii="Times New Roman" w:eastAsia="Aptos" w:hAnsi="Times New Roman" w:cs="Times New Roman"/>
          <w:i/>
          <w:iCs/>
          <w:kern w:val="2"/>
          <w:sz w:val="24"/>
          <w:szCs w:val="24"/>
          <w:lang w:val="en-US"/>
          <w14:ligatures w14:val="standardContextual"/>
        </w:rPr>
        <w:t>“The House of Lords was very informal, just the families and Lords sat at the table. Only afterwards did I realise that not all these people are actually supporting gambling reform, some of these people are supporting gambling … that took me slightly aback. They were polite and courteous but you could see they had a different agenda.”</w:t>
      </w:r>
      <w:r w:rsidRPr="00B10BE1">
        <w:rPr>
          <w:rFonts w:ascii="Times New Roman" w:eastAsia="Aptos" w:hAnsi="Times New Roman" w:cs="Times New Roman"/>
          <w:i/>
          <w:iCs/>
          <w:kern w:val="2"/>
          <w:sz w:val="24"/>
          <w:szCs w:val="24"/>
          <w14:ligatures w14:val="standardContextual"/>
        </w:rPr>
        <w:t> </w:t>
      </w:r>
    </w:p>
    <w:p w14:paraId="056B4B85" w14:textId="77777777" w:rsidR="00474354" w:rsidRPr="00B10BE1" w:rsidRDefault="00474354" w:rsidP="00DF448B">
      <w:pPr>
        <w:spacing w:line="480" w:lineRule="auto"/>
        <w:rPr>
          <w:rFonts w:ascii="Times New Roman" w:eastAsia="Aptos" w:hAnsi="Times New Roman" w:cs="Times New Roman"/>
          <w:i/>
          <w:iCs/>
          <w:kern w:val="2"/>
          <w:sz w:val="24"/>
          <w:szCs w:val="24"/>
          <w14:ligatures w14:val="standardContextual"/>
        </w:rPr>
      </w:pPr>
    </w:p>
    <w:p w14:paraId="003CE5F7" w14:textId="3BC3F3FA" w:rsidR="00474354" w:rsidRPr="00B10BE1" w:rsidRDefault="00474354" w:rsidP="00DF448B">
      <w:pPr>
        <w:spacing w:line="480" w:lineRule="auto"/>
        <w:jc w:val="both"/>
        <w:rPr>
          <w:rFonts w:ascii="Times New Roman" w:eastAsia="Aptos" w:hAnsi="Times New Roman" w:cs="Times New Roman"/>
          <w:kern w:val="2"/>
          <w:sz w:val="24"/>
          <w:szCs w:val="24"/>
          <w:lang w:val="en-US"/>
          <w14:ligatures w14:val="standardContextual"/>
        </w:rPr>
      </w:pPr>
      <w:r w:rsidRPr="00B10BE1">
        <w:rPr>
          <w:rFonts w:ascii="Times New Roman" w:eastAsia="Aptos" w:hAnsi="Times New Roman" w:cs="Times New Roman"/>
          <w:kern w:val="2"/>
          <w:sz w:val="24"/>
          <w:szCs w:val="24"/>
          <w:lang w:val="en-US"/>
          <w14:ligatures w14:val="standardContextual"/>
        </w:rPr>
        <w:t xml:space="preserve">Rebuttals of participant’s campaign points were not always </w:t>
      </w:r>
      <w:r w:rsidR="00B66A50" w:rsidRPr="00B10BE1">
        <w:rPr>
          <w:rFonts w:ascii="Times New Roman" w:eastAsia="Aptos" w:hAnsi="Times New Roman" w:cs="Times New Roman"/>
          <w:kern w:val="2"/>
          <w:sz w:val="24"/>
          <w:szCs w:val="24"/>
          <w:lang w:val="en-US"/>
          <w14:ligatures w14:val="standardContextual"/>
        </w:rPr>
        <w:t>advanced</w:t>
      </w:r>
      <w:r w:rsidRPr="00B10BE1">
        <w:rPr>
          <w:rFonts w:ascii="Times New Roman" w:eastAsia="Aptos" w:hAnsi="Times New Roman" w:cs="Times New Roman"/>
          <w:kern w:val="2"/>
          <w:sz w:val="24"/>
          <w:szCs w:val="24"/>
          <w:lang w:val="en-US"/>
          <w14:ligatures w14:val="standardContextual"/>
        </w:rPr>
        <w:t xml:space="preserve"> with such courtesy.  </w:t>
      </w:r>
      <w:r w:rsidR="00B66A50" w:rsidRPr="00B10BE1">
        <w:rPr>
          <w:rFonts w:ascii="Times New Roman" w:eastAsia="Aptos" w:hAnsi="Times New Roman" w:cs="Times New Roman"/>
          <w:kern w:val="2"/>
          <w:sz w:val="24"/>
          <w:szCs w:val="24"/>
          <w:lang w:val="en-US"/>
          <w14:ligatures w14:val="standardContextual"/>
        </w:rPr>
        <w:t>Open</w:t>
      </w:r>
      <w:r w:rsidRPr="00B10BE1">
        <w:rPr>
          <w:rFonts w:ascii="Times New Roman" w:eastAsia="Aptos" w:hAnsi="Times New Roman" w:cs="Times New Roman"/>
          <w:kern w:val="2"/>
          <w:sz w:val="24"/>
          <w:szCs w:val="24"/>
          <w:lang w:val="en-US"/>
          <w14:ligatures w14:val="standardContextual"/>
        </w:rPr>
        <w:t xml:space="preserve"> criticism</w:t>
      </w:r>
      <w:r w:rsidR="00B66A50" w:rsidRPr="00B10BE1">
        <w:rPr>
          <w:rFonts w:ascii="Times New Roman" w:eastAsia="Aptos" w:hAnsi="Times New Roman" w:cs="Times New Roman"/>
          <w:kern w:val="2"/>
          <w:sz w:val="24"/>
          <w:szCs w:val="24"/>
          <w:lang w:val="en-US"/>
          <w14:ligatures w14:val="standardContextual"/>
        </w:rPr>
        <w:t xml:space="preserve"> of the gambling establishment</w:t>
      </w:r>
      <w:r w:rsidRPr="00B10BE1">
        <w:rPr>
          <w:rFonts w:ascii="Times New Roman" w:eastAsia="Aptos" w:hAnsi="Times New Roman" w:cs="Times New Roman"/>
          <w:kern w:val="2"/>
          <w:sz w:val="24"/>
          <w:szCs w:val="24"/>
          <w:lang w:val="en-US"/>
          <w14:ligatures w14:val="standardContextual"/>
        </w:rPr>
        <w:t xml:space="preserve"> was mirrored back at participants on social media. Here Chris recalls how some advocates of a liberal approach to gambling regulation, criticized him and</w:t>
      </w:r>
      <w:r w:rsidR="00B66A50" w:rsidRPr="00B10BE1">
        <w:rPr>
          <w:rFonts w:ascii="Times New Roman" w:eastAsia="Aptos" w:hAnsi="Times New Roman" w:cs="Times New Roman"/>
          <w:kern w:val="2"/>
          <w:sz w:val="24"/>
          <w:szCs w:val="24"/>
          <w:lang w:val="en-US"/>
          <w14:ligatures w14:val="standardContextual"/>
        </w:rPr>
        <w:t xml:space="preserve"> even</w:t>
      </w:r>
      <w:r w:rsidRPr="00B10BE1">
        <w:rPr>
          <w:rFonts w:ascii="Times New Roman" w:eastAsia="Aptos" w:hAnsi="Times New Roman" w:cs="Times New Roman"/>
          <w:kern w:val="2"/>
          <w:sz w:val="24"/>
          <w:szCs w:val="24"/>
          <w:lang w:val="en-US"/>
          <w14:ligatures w14:val="standardContextual"/>
        </w:rPr>
        <w:t xml:space="preserve"> blamed him for the death of his wife.  He explains how this motivated him to continue campaigning for increased regulation of the gambling industry.</w:t>
      </w:r>
    </w:p>
    <w:p w14:paraId="3B4EF47F" w14:textId="77777777" w:rsidR="00474354" w:rsidRPr="00B10BE1" w:rsidRDefault="00474354" w:rsidP="00DF448B">
      <w:pPr>
        <w:spacing w:line="480" w:lineRule="auto"/>
        <w:jc w:val="both"/>
        <w:rPr>
          <w:rFonts w:ascii="Times New Roman" w:eastAsia="Aptos" w:hAnsi="Times New Roman" w:cs="Times New Roman"/>
          <w:kern w:val="2"/>
          <w:sz w:val="24"/>
          <w:szCs w:val="24"/>
          <w:lang w:val="en-US"/>
          <w14:ligatures w14:val="standardContextual"/>
        </w:rPr>
      </w:pPr>
    </w:p>
    <w:p w14:paraId="5F0675B7" w14:textId="77777777" w:rsidR="00474354" w:rsidRPr="00B10BE1" w:rsidRDefault="00474354" w:rsidP="00DF448B">
      <w:pPr>
        <w:spacing w:line="480" w:lineRule="auto"/>
        <w:ind w:left="720"/>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i/>
          <w:iCs/>
          <w:kern w:val="2"/>
          <w:sz w:val="24"/>
          <w:szCs w:val="24"/>
          <w:lang w:val="en-US"/>
          <w14:ligatures w14:val="standardContextual"/>
        </w:rPr>
        <w:lastRenderedPageBreak/>
        <w:t>“Oh, they were so insulting. At first they were saying ‘it's your fault he died just because you wasn't (sic.) a good husband’ ... I’m very thick skinned. Like you'd expect someone to get really upset about it, I didn’t. It just made me even more determined to kind of prove them wrong.”</w:t>
      </w:r>
      <w:r w:rsidRPr="00B10BE1">
        <w:rPr>
          <w:rFonts w:ascii="Times New Roman" w:eastAsia="Aptos" w:hAnsi="Times New Roman" w:cs="Times New Roman"/>
          <w:kern w:val="2"/>
          <w:sz w:val="24"/>
          <w:szCs w:val="24"/>
          <w14:ligatures w14:val="standardContextual"/>
        </w:rPr>
        <w:t> </w:t>
      </w:r>
    </w:p>
    <w:p w14:paraId="58051F03" w14:textId="77777777" w:rsidR="00940AE3" w:rsidRDefault="00940AE3" w:rsidP="00D62EEA">
      <w:pPr>
        <w:pStyle w:val="Heading2"/>
        <w:rPr>
          <w:rFonts w:eastAsia="Times New Roman"/>
          <w:lang w:val="en-US" w:eastAsia="en-GB"/>
        </w:rPr>
      </w:pPr>
    </w:p>
    <w:p w14:paraId="38A9A45B" w14:textId="21F53BD5" w:rsidR="00F2222A" w:rsidRDefault="00564D9D" w:rsidP="00D62EEA">
      <w:pPr>
        <w:pStyle w:val="Heading2"/>
        <w:rPr>
          <w:rFonts w:eastAsia="Times New Roman"/>
          <w:lang w:val="en-US" w:eastAsia="en-GB"/>
        </w:rPr>
      </w:pPr>
      <w:r w:rsidRPr="00B10BE1">
        <w:rPr>
          <w:rFonts w:eastAsia="Times New Roman"/>
          <w:lang w:val="en-US" w:eastAsia="en-GB"/>
        </w:rPr>
        <w:t>Emotional impacts of campaign</w:t>
      </w:r>
      <w:r w:rsidR="00C2466F" w:rsidRPr="00B10BE1">
        <w:rPr>
          <w:rFonts w:eastAsia="Times New Roman"/>
          <w:lang w:val="en-US" w:eastAsia="en-GB"/>
        </w:rPr>
        <w:t>ing</w:t>
      </w:r>
    </w:p>
    <w:p w14:paraId="4CBA4BA8" w14:textId="77777777" w:rsidR="00940AE3" w:rsidRPr="00940AE3" w:rsidRDefault="00940AE3" w:rsidP="00940AE3">
      <w:pPr>
        <w:rPr>
          <w:lang w:val="en-US" w:eastAsia="en-GB"/>
        </w:rPr>
      </w:pPr>
    </w:p>
    <w:p w14:paraId="70FBA01D" w14:textId="1BD67303"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Participants reported a range of </w:t>
      </w:r>
      <w:r w:rsidR="00BE5D4C" w:rsidRPr="00B10BE1">
        <w:rPr>
          <w:rFonts w:ascii="Times New Roman" w:eastAsia="Times New Roman" w:hAnsi="Times New Roman" w:cs="Times New Roman"/>
          <w:sz w:val="24"/>
          <w:szCs w:val="24"/>
          <w:lang w:val="en-US" w:eastAsia="en-GB"/>
        </w:rPr>
        <w:t xml:space="preserve">emotional </w:t>
      </w:r>
      <w:r w:rsidRPr="00B10BE1">
        <w:rPr>
          <w:rFonts w:ascii="Times New Roman" w:eastAsia="Times New Roman" w:hAnsi="Times New Roman" w:cs="Times New Roman"/>
          <w:sz w:val="24"/>
          <w:szCs w:val="24"/>
          <w:lang w:val="en-US" w:eastAsia="en-GB"/>
        </w:rPr>
        <w:t xml:space="preserve">impacts from campaigning, some felt that campaigning assuaged strong negative feelings connected with the suicide of their loved one. Yet even where campaigning was successful in achieving its primary aim, the emotional outcomes could be challenging. Ashley expressed how campaigning constitutes a lifeline for him. He seeks to alleviate the guilt he experiences due to his belief that he did not do enough to prevent his brother’s suicide. </w:t>
      </w:r>
    </w:p>
    <w:p w14:paraId="003A68EF" w14:textId="77777777" w:rsidR="00564D9D" w:rsidRPr="00B10BE1" w:rsidRDefault="00564D9D" w:rsidP="00DF448B">
      <w:pPr>
        <w:spacing w:after="0" w:line="480" w:lineRule="auto"/>
        <w:textAlignment w:val="baseline"/>
        <w:rPr>
          <w:rFonts w:ascii="Times New Roman" w:eastAsia="Times New Roman" w:hAnsi="Times New Roman" w:cs="Times New Roman"/>
          <w:sz w:val="24"/>
          <w:szCs w:val="24"/>
          <w:lang w:eastAsia="en-GB"/>
        </w:rPr>
      </w:pPr>
    </w:p>
    <w:p w14:paraId="5BD8379E"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t>“It's the only way I can stay alive and be sane. This is because at the root of it I know I could have done more, and I accept that. I don't want [people saying] ‘you did all you could, it was his choice,’ if he was in the right frame of mind, he wouldn't have done what he did.”</w:t>
      </w:r>
      <w:r w:rsidRPr="00B10BE1">
        <w:rPr>
          <w:rFonts w:ascii="Times New Roman" w:eastAsia="Times New Roman" w:hAnsi="Times New Roman" w:cs="Times New Roman"/>
          <w:sz w:val="24"/>
          <w:szCs w:val="24"/>
          <w:lang w:eastAsia="en-GB"/>
        </w:rPr>
        <w:t> </w:t>
      </w:r>
    </w:p>
    <w:p w14:paraId="10DA9B58"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p>
    <w:p w14:paraId="2D8632E5"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Greg experienced joy and satisfaction when his campaigning was successful in its aim of changing lives by preventing future gambling-related suicides. </w:t>
      </w:r>
    </w:p>
    <w:p w14:paraId="105B5050" w14:textId="77777777" w:rsidR="00564D9D" w:rsidRPr="00B10BE1" w:rsidRDefault="00564D9D" w:rsidP="00DF448B">
      <w:pPr>
        <w:spacing w:after="0" w:line="480" w:lineRule="auto"/>
        <w:textAlignment w:val="baseline"/>
        <w:rPr>
          <w:rFonts w:ascii="Times New Roman" w:eastAsia="Times New Roman" w:hAnsi="Times New Roman" w:cs="Times New Roman"/>
          <w:sz w:val="24"/>
          <w:szCs w:val="24"/>
          <w:lang w:eastAsia="en-GB"/>
        </w:rPr>
      </w:pPr>
    </w:p>
    <w:p w14:paraId="1A24CDBA" w14:textId="77777777" w:rsidR="00564D9D" w:rsidRPr="00B10BE1" w:rsidRDefault="00564D9D" w:rsidP="00DF448B">
      <w:pPr>
        <w:spacing w:after="0" w:line="480" w:lineRule="auto"/>
        <w:ind w:left="720"/>
        <w:textAlignment w:val="baseline"/>
        <w:rPr>
          <w:rFonts w:ascii="Times New Roman" w:eastAsia="Times New Roman" w:hAnsi="Times New Roman" w:cs="Times New Roman"/>
          <w:i/>
          <w:iCs/>
          <w:sz w:val="24"/>
          <w:szCs w:val="24"/>
          <w:lang w:val="en-US" w:eastAsia="en-GB"/>
        </w:rPr>
      </w:pPr>
      <w:r w:rsidRPr="00B10BE1">
        <w:rPr>
          <w:rFonts w:ascii="Times New Roman" w:eastAsia="Times New Roman" w:hAnsi="Times New Roman" w:cs="Times New Roman"/>
          <w:i/>
          <w:iCs/>
          <w:sz w:val="24"/>
          <w:szCs w:val="24"/>
          <w:lang w:val="en-US" w:eastAsia="en-GB"/>
        </w:rPr>
        <w:t>“Brilliant. Fantastic ... I’m not being big headed or anything, but I think that because of something I’ve said, some people have stepped back [from suicide] because of what they’ve heard.”   </w:t>
      </w:r>
    </w:p>
    <w:p w14:paraId="10F5290C"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 </w:t>
      </w:r>
    </w:p>
    <w:p w14:paraId="283467FC"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Here Bill explains how he only shares selected aspects of Karl’s story. He describes how he manages the emotional challenges that this invokes. </w:t>
      </w:r>
    </w:p>
    <w:p w14:paraId="7D85F1FB"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p>
    <w:p w14:paraId="16A1164F"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t>“… if you've seen me on zooms or teams or most meetings, I would talk about Karl at a superficial level and just give the highlights of, ‘he gambled for six years, he tried treatment in various places, and it wasn't enough.’  I will generally choke up to some extent and just take a second, and say ‘just give me a minute, I'll be OK’...” </w:t>
      </w:r>
      <w:r w:rsidRPr="00B10BE1">
        <w:rPr>
          <w:rFonts w:ascii="Times New Roman" w:eastAsia="Times New Roman" w:hAnsi="Times New Roman" w:cs="Times New Roman"/>
          <w:sz w:val="24"/>
          <w:szCs w:val="24"/>
          <w:lang w:eastAsia="en-GB"/>
        </w:rPr>
        <w:t> </w:t>
      </w:r>
    </w:p>
    <w:p w14:paraId="3CE18C5F"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p>
    <w:p w14:paraId="33D2F0C7"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Chris explained how his successful campaign outcomes sometimes impacted other campaigners emotionally. At times this induced unexpectedly difficult feelings for him, and these could take time to overcome. </w:t>
      </w:r>
    </w:p>
    <w:p w14:paraId="3E6BDB15" w14:textId="77777777" w:rsidR="00564D9D" w:rsidRPr="00B10BE1" w:rsidRDefault="00564D9D" w:rsidP="00DF448B">
      <w:pPr>
        <w:spacing w:after="0" w:line="480" w:lineRule="auto"/>
        <w:textAlignment w:val="baseline"/>
        <w:rPr>
          <w:rFonts w:ascii="Times New Roman" w:eastAsia="Times New Roman" w:hAnsi="Times New Roman" w:cs="Times New Roman"/>
          <w:sz w:val="24"/>
          <w:szCs w:val="24"/>
          <w:lang w:eastAsia="en-GB"/>
        </w:rPr>
      </w:pPr>
    </w:p>
    <w:p w14:paraId="4AC097D5" w14:textId="77777777" w:rsidR="00564D9D" w:rsidRPr="00B10BE1" w:rsidRDefault="00564D9D" w:rsidP="00DF448B">
      <w:pPr>
        <w:spacing w:after="0" w:line="480" w:lineRule="auto"/>
        <w:ind w:left="720"/>
        <w:textAlignment w:val="baseline"/>
        <w:rPr>
          <w:rFonts w:ascii="Times New Roman" w:eastAsia="Times New Roman" w:hAnsi="Times New Roman" w:cs="Times New Roman"/>
          <w:i/>
          <w:iCs/>
          <w:sz w:val="24"/>
          <w:szCs w:val="24"/>
          <w:lang w:val="en-US" w:eastAsia="en-GB"/>
        </w:rPr>
      </w:pPr>
      <w:r w:rsidRPr="00B10BE1">
        <w:rPr>
          <w:rFonts w:ascii="Times New Roman" w:eastAsia="Times New Roman" w:hAnsi="Times New Roman" w:cs="Times New Roman"/>
          <w:i/>
          <w:iCs/>
          <w:sz w:val="24"/>
          <w:szCs w:val="24"/>
          <w:lang w:val="en-US" w:eastAsia="en-GB"/>
        </w:rPr>
        <w:t>“... everyone else was going home and telling their husbands and ringing people up. And then I went home, and I was just sat there and I was looking at a picture [of Claire] and that was it ... that hit me sideways, that went on for a long time. I didn't realise I was gonna (sic) feel like that, I had no idea.” </w:t>
      </w:r>
    </w:p>
    <w:p w14:paraId="598DB319"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t> </w:t>
      </w:r>
      <w:r w:rsidRPr="00B10BE1">
        <w:rPr>
          <w:rFonts w:ascii="Times New Roman" w:eastAsia="Times New Roman" w:hAnsi="Times New Roman" w:cs="Times New Roman"/>
          <w:sz w:val="24"/>
          <w:szCs w:val="24"/>
          <w:lang w:eastAsia="en-GB"/>
        </w:rPr>
        <w:t> </w:t>
      </w:r>
    </w:p>
    <w:p w14:paraId="2C1CB56D"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Chris explored the emotional impacts of campaigning in personal therapy. This enabled him to manage his campaigning activity and the effect it had upon everyday life. </w:t>
      </w:r>
    </w:p>
    <w:p w14:paraId="6468ED4A"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p>
    <w:p w14:paraId="28640FCB" w14:textId="7B30F263"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t>“Yeah, I mean, we looked into ... being able to kind of manage expectations, and how I've changed ... Because [of] what happened when I was campaigning there was a lot that I felt was overwhelming. So, it was kind of like, taking a step back from going on social media.”</w:t>
      </w:r>
      <w:r w:rsidRPr="00B10BE1">
        <w:rPr>
          <w:rFonts w:ascii="Times New Roman" w:eastAsia="Times New Roman" w:hAnsi="Times New Roman" w:cs="Times New Roman"/>
          <w:sz w:val="24"/>
          <w:szCs w:val="24"/>
          <w:lang w:eastAsia="en-GB"/>
        </w:rPr>
        <w:t> </w:t>
      </w:r>
    </w:p>
    <w:p w14:paraId="21BEA568"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p>
    <w:p w14:paraId="29DC4546"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p>
    <w:p w14:paraId="5E6DD29F" w14:textId="000D5C87" w:rsidR="00564D9D" w:rsidRDefault="00564D9D" w:rsidP="00D62EEA">
      <w:pPr>
        <w:pStyle w:val="Heading2"/>
        <w:rPr>
          <w:rFonts w:eastAsia="Times New Roman"/>
          <w:lang w:val="en-US" w:eastAsia="en-GB"/>
        </w:rPr>
      </w:pPr>
      <w:r w:rsidRPr="00B10BE1">
        <w:rPr>
          <w:rFonts w:eastAsia="Times New Roman"/>
          <w:lang w:val="en-US" w:eastAsia="en-GB"/>
        </w:rPr>
        <w:t>The relationship following the suicide.</w:t>
      </w:r>
    </w:p>
    <w:p w14:paraId="6217118B" w14:textId="77777777" w:rsidR="00D62EEA" w:rsidRPr="00D62EEA" w:rsidRDefault="00D62EEA" w:rsidP="00D62EEA">
      <w:pPr>
        <w:rPr>
          <w:lang w:val="en-US" w:eastAsia="en-GB"/>
        </w:rPr>
      </w:pPr>
    </w:p>
    <w:p w14:paraId="3635FCB3"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Three participants reflected on a strong ongoing connection with their loved one following the suicide. They described how they campaigned on behalf of their late close relative, and how this helped to maintain the bond they shared prior to the death of their loved-one. </w:t>
      </w:r>
    </w:p>
    <w:p w14:paraId="502C2ED3"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Chris describes a strong belief that his wife would support his campaigns. He feels that campaigning brings them together and provides their post-suicide relationship with a shared purpose. </w:t>
      </w:r>
    </w:p>
    <w:p w14:paraId="4A0D3FA6" w14:textId="77777777" w:rsidR="00564D9D" w:rsidRPr="00B10BE1" w:rsidRDefault="00564D9D" w:rsidP="00DF448B">
      <w:pPr>
        <w:spacing w:after="0" w:line="480" w:lineRule="auto"/>
        <w:textAlignment w:val="baseline"/>
        <w:rPr>
          <w:rFonts w:ascii="Times New Roman" w:eastAsia="Times New Roman" w:hAnsi="Times New Roman" w:cs="Times New Roman"/>
          <w:sz w:val="24"/>
          <w:szCs w:val="24"/>
          <w:lang w:eastAsia="en-GB"/>
        </w:rPr>
      </w:pPr>
    </w:p>
    <w:p w14:paraId="794FABD4" w14:textId="77777777" w:rsidR="00564D9D" w:rsidRPr="00B10BE1" w:rsidRDefault="00564D9D" w:rsidP="00DF448B">
      <w:pPr>
        <w:spacing w:after="0" w:line="480" w:lineRule="auto"/>
        <w:ind w:left="720"/>
        <w:textAlignment w:val="baseline"/>
        <w:rPr>
          <w:rFonts w:ascii="Times New Roman" w:eastAsia="Times New Roman" w:hAnsi="Times New Roman" w:cs="Times New Roman"/>
          <w:i/>
          <w:iCs/>
          <w:color w:val="000000"/>
          <w:sz w:val="24"/>
          <w:szCs w:val="24"/>
          <w:lang w:val="en-US" w:eastAsia="en-GB"/>
        </w:rPr>
      </w:pPr>
      <w:r w:rsidRPr="00B10BE1">
        <w:rPr>
          <w:rFonts w:ascii="Times New Roman" w:eastAsia="Times New Roman" w:hAnsi="Times New Roman" w:cs="Times New Roman"/>
          <w:i/>
          <w:iCs/>
          <w:color w:val="000000"/>
          <w:sz w:val="24"/>
          <w:szCs w:val="24"/>
          <w:lang w:eastAsia="en-GB"/>
        </w:rPr>
        <w:t>“I felt like I was doing something for her and I felt like she was proud of it. So there was never a moment where I felt like she wouldn’t have agreed with what was happening ... It [campaigning] was like something that we were doing together. So I still felt very much part of Claire's life and her part of mine”.  </w:t>
      </w:r>
      <w:r w:rsidRPr="00B10BE1">
        <w:rPr>
          <w:rFonts w:ascii="Times New Roman" w:eastAsia="Times New Roman" w:hAnsi="Times New Roman" w:cs="Times New Roman"/>
          <w:i/>
          <w:iCs/>
          <w:color w:val="000000"/>
          <w:sz w:val="24"/>
          <w:szCs w:val="24"/>
          <w:lang w:val="en-US" w:eastAsia="en-GB"/>
        </w:rPr>
        <w:t> </w:t>
      </w:r>
    </w:p>
    <w:p w14:paraId="007FCCC5"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color w:val="000000"/>
          <w:sz w:val="24"/>
          <w:szCs w:val="24"/>
          <w:lang w:eastAsia="en-GB"/>
        </w:rPr>
        <w:t> </w:t>
      </w:r>
    </w:p>
    <w:p w14:paraId="41DF52A5" w14:textId="552D511A" w:rsidR="00564D9D" w:rsidRPr="00B10BE1" w:rsidRDefault="00BE5D4C" w:rsidP="00DF448B">
      <w:pPr>
        <w:spacing w:after="0" w:line="480" w:lineRule="auto"/>
        <w:jc w:val="both"/>
        <w:textAlignment w:val="baseline"/>
        <w:rPr>
          <w:rFonts w:ascii="Times New Roman" w:eastAsia="Times New Roman" w:hAnsi="Times New Roman" w:cs="Times New Roman"/>
          <w:color w:val="000000"/>
          <w:sz w:val="24"/>
          <w:szCs w:val="24"/>
          <w:lang w:eastAsia="en-GB"/>
        </w:rPr>
      </w:pPr>
      <w:r w:rsidRPr="00B10BE1">
        <w:rPr>
          <w:rFonts w:ascii="Times New Roman" w:eastAsia="Times New Roman" w:hAnsi="Times New Roman" w:cs="Times New Roman"/>
          <w:color w:val="000000"/>
          <w:sz w:val="24"/>
          <w:szCs w:val="24"/>
          <w:lang w:val="en-US" w:eastAsia="en-GB"/>
        </w:rPr>
        <w:t xml:space="preserve">When reflecting on his own campaigning activity, </w:t>
      </w:r>
      <w:r w:rsidR="00564D9D" w:rsidRPr="00B10BE1">
        <w:rPr>
          <w:rFonts w:ascii="Times New Roman" w:eastAsia="Times New Roman" w:hAnsi="Times New Roman" w:cs="Times New Roman"/>
          <w:color w:val="000000"/>
          <w:sz w:val="24"/>
          <w:szCs w:val="24"/>
          <w:lang w:val="en-US" w:eastAsia="en-GB"/>
        </w:rPr>
        <w:t xml:space="preserve"> Ashley </w:t>
      </w:r>
      <w:r w:rsidRPr="00B10BE1">
        <w:rPr>
          <w:rFonts w:ascii="Times New Roman" w:eastAsia="Times New Roman" w:hAnsi="Times New Roman" w:cs="Times New Roman"/>
          <w:color w:val="000000"/>
          <w:sz w:val="24"/>
          <w:szCs w:val="24"/>
          <w:lang w:val="en-US" w:eastAsia="en-GB"/>
        </w:rPr>
        <w:t>cites the</w:t>
      </w:r>
      <w:r w:rsidR="00564D9D" w:rsidRPr="00B10BE1">
        <w:rPr>
          <w:rFonts w:ascii="Times New Roman" w:eastAsia="Times New Roman" w:hAnsi="Times New Roman" w:cs="Times New Roman"/>
          <w:color w:val="000000"/>
          <w:sz w:val="24"/>
          <w:szCs w:val="24"/>
          <w:lang w:val="en-US" w:eastAsia="en-GB"/>
        </w:rPr>
        <w:t xml:space="preserve"> vicarious fulfilment of his late brother’s wishes</w:t>
      </w:r>
      <w:r w:rsidRPr="00B10BE1">
        <w:rPr>
          <w:rFonts w:ascii="Times New Roman" w:eastAsia="Times New Roman" w:hAnsi="Times New Roman" w:cs="Times New Roman"/>
          <w:color w:val="000000"/>
          <w:sz w:val="24"/>
          <w:szCs w:val="24"/>
          <w:lang w:val="en-US" w:eastAsia="en-GB"/>
        </w:rPr>
        <w:t xml:space="preserve"> as his motivation</w:t>
      </w:r>
      <w:r w:rsidR="00564D9D" w:rsidRPr="00B10BE1">
        <w:rPr>
          <w:rFonts w:ascii="Times New Roman" w:eastAsia="Times New Roman" w:hAnsi="Times New Roman" w:cs="Times New Roman"/>
          <w:color w:val="000000"/>
          <w:sz w:val="24"/>
          <w:szCs w:val="24"/>
          <w:lang w:val="en-US" w:eastAsia="en-GB"/>
        </w:rPr>
        <w:t>. He experiences his brother as an encouraging presence.</w:t>
      </w:r>
      <w:r w:rsidR="00564D9D" w:rsidRPr="00B10BE1">
        <w:rPr>
          <w:rFonts w:ascii="Times New Roman" w:eastAsia="Times New Roman" w:hAnsi="Times New Roman" w:cs="Times New Roman"/>
          <w:color w:val="000000"/>
          <w:sz w:val="24"/>
          <w:szCs w:val="24"/>
          <w:lang w:eastAsia="en-GB"/>
        </w:rPr>
        <w:t> </w:t>
      </w:r>
    </w:p>
    <w:p w14:paraId="2F725CCF"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p>
    <w:p w14:paraId="515F4079" w14:textId="77777777" w:rsidR="00564D9D" w:rsidRPr="00B10BE1" w:rsidRDefault="00564D9D" w:rsidP="00DF448B">
      <w:pPr>
        <w:spacing w:after="0" w:line="480" w:lineRule="auto"/>
        <w:ind w:left="720"/>
        <w:textAlignment w:val="baseline"/>
        <w:rPr>
          <w:rFonts w:ascii="Times New Roman" w:eastAsia="Times New Roman" w:hAnsi="Times New Roman" w:cs="Times New Roman"/>
          <w:color w:val="000000"/>
          <w:sz w:val="24"/>
          <w:szCs w:val="24"/>
          <w:lang w:eastAsia="en-GB"/>
        </w:rPr>
      </w:pPr>
      <w:r w:rsidRPr="00B10BE1">
        <w:rPr>
          <w:rFonts w:ascii="Times New Roman" w:eastAsia="Times New Roman" w:hAnsi="Times New Roman" w:cs="Times New Roman"/>
          <w:i/>
          <w:iCs/>
          <w:color w:val="000000"/>
          <w:sz w:val="24"/>
          <w:szCs w:val="24"/>
          <w:lang w:val="en-US" w:eastAsia="en-GB"/>
        </w:rPr>
        <w:t>“And I'm doing this because again, I feel like my brother is here going, ‘bro’ (sic.) if I was alive, this is what I'd be doing.’ You know, I feel him. He's like, ‘come on, let's go for it bro, let's go for it’ ....”</w:t>
      </w:r>
      <w:r w:rsidRPr="00B10BE1">
        <w:rPr>
          <w:rFonts w:ascii="Times New Roman" w:eastAsia="Times New Roman" w:hAnsi="Times New Roman" w:cs="Times New Roman"/>
          <w:color w:val="000000"/>
          <w:sz w:val="24"/>
          <w:szCs w:val="24"/>
          <w:lang w:eastAsia="en-GB"/>
        </w:rPr>
        <w:t> </w:t>
      </w:r>
    </w:p>
    <w:p w14:paraId="4E39428A"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p>
    <w:p w14:paraId="05BA8725"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lastRenderedPageBreak/>
        <w:t>Greg explained how his campaigning includes sharing the story of his son’s suicide with people currently experiencing gambling harm. Here he describes how this connects him with his late son.</w:t>
      </w:r>
      <w:r w:rsidRPr="00B10BE1">
        <w:rPr>
          <w:rFonts w:ascii="Times New Roman" w:eastAsia="Times New Roman" w:hAnsi="Times New Roman" w:cs="Times New Roman"/>
          <w:sz w:val="24"/>
          <w:szCs w:val="24"/>
          <w:lang w:eastAsia="en-GB"/>
        </w:rPr>
        <w:t> </w:t>
      </w:r>
    </w:p>
    <w:p w14:paraId="5FDF5634" w14:textId="77777777" w:rsidR="00564D9D" w:rsidRPr="00B10BE1" w:rsidRDefault="00564D9D" w:rsidP="00DF448B">
      <w:pPr>
        <w:spacing w:after="0" w:line="480" w:lineRule="auto"/>
        <w:textAlignment w:val="baseline"/>
        <w:rPr>
          <w:rFonts w:ascii="Times New Roman" w:eastAsia="Times New Roman" w:hAnsi="Times New Roman" w:cs="Times New Roman"/>
          <w:sz w:val="24"/>
          <w:szCs w:val="24"/>
          <w:lang w:eastAsia="en-GB"/>
        </w:rPr>
      </w:pPr>
    </w:p>
    <w:p w14:paraId="15FAF8D6"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t>“I was invited to the GA [Gamblers Anonymous] AGM and I did my thing. I talked about Stevie ... I sat down and this young lad came up. His name was Craig, and he came up and just sat like that ...  and he was in a bad place ...   I saw our Stevie in him ....”</w:t>
      </w:r>
      <w:r w:rsidRPr="00B10BE1">
        <w:rPr>
          <w:rFonts w:ascii="Times New Roman" w:eastAsia="Times New Roman" w:hAnsi="Times New Roman" w:cs="Times New Roman"/>
          <w:sz w:val="24"/>
          <w:szCs w:val="24"/>
          <w:lang w:val="en-US" w:eastAsia="en-GB"/>
        </w:rPr>
        <w:t> </w:t>
      </w:r>
      <w:r w:rsidRPr="00B10BE1">
        <w:rPr>
          <w:rFonts w:ascii="Times New Roman" w:eastAsia="Times New Roman" w:hAnsi="Times New Roman" w:cs="Times New Roman"/>
          <w:sz w:val="24"/>
          <w:szCs w:val="24"/>
          <w:lang w:eastAsia="en-GB"/>
        </w:rPr>
        <w:t> </w:t>
      </w:r>
    </w:p>
    <w:p w14:paraId="5828EB74" w14:textId="77777777" w:rsidR="00564D9D" w:rsidRPr="00B10BE1" w:rsidRDefault="00564D9D" w:rsidP="00DF448B">
      <w:pPr>
        <w:spacing w:after="0" w:line="480" w:lineRule="auto"/>
        <w:jc w:val="both"/>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val="en-US" w:eastAsia="en-GB"/>
        </w:rPr>
        <w:t xml:space="preserve">Greg detailed how campaigning had also given him a greater understanding of the effects of gambling harm. This assuaged his perception of shortcomings in his pre-suicide relationship with his son, and his initial belief that he could have done more to help him. This knowledge facilitated a different perspective within his post-suicide relationship with his son. </w:t>
      </w:r>
    </w:p>
    <w:p w14:paraId="34DDA672" w14:textId="77777777" w:rsidR="00564D9D" w:rsidRPr="00B10BE1" w:rsidRDefault="00564D9D" w:rsidP="00DF448B">
      <w:pPr>
        <w:spacing w:after="0" w:line="480" w:lineRule="auto"/>
        <w:textAlignment w:val="baseline"/>
        <w:rPr>
          <w:rFonts w:ascii="Times New Roman" w:eastAsia="Times New Roman" w:hAnsi="Times New Roman" w:cs="Times New Roman"/>
          <w:sz w:val="24"/>
          <w:szCs w:val="24"/>
          <w:lang w:eastAsia="en-GB"/>
        </w:rPr>
      </w:pPr>
    </w:p>
    <w:p w14:paraId="36472D12" w14:textId="77777777" w:rsidR="00564D9D" w:rsidRPr="00B10BE1" w:rsidRDefault="00564D9D" w:rsidP="00DF448B">
      <w:pPr>
        <w:spacing w:after="0" w:line="480" w:lineRule="auto"/>
        <w:ind w:left="720"/>
        <w:textAlignment w:val="baseline"/>
        <w:rPr>
          <w:rFonts w:ascii="Times New Roman" w:eastAsia="Times New Roman" w:hAnsi="Times New Roman" w:cs="Times New Roman"/>
          <w:sz w:val="24"/>
          <w:szCs w:val="24"/>
          <w:lang w:eastAsia="en-GB"/>
        </w:rPr>
      </w:pPr>
      <w:r w:rsidRPr="00B10BE1">
        <w:rPr>
          <w:rFonts w:ascii="Times New Roman" w:eastAsia="Times New Roman" w:hAnsi="Times New Roman" w:cs="Times New Roman"/>
          <w:i/>
          <w:iCs/>
          <w:sz w:val="24"/>
          <w:szCs w:val="24"/>
          <w:lang w:val="en-US" w:eastAsia="en-GB"/>
        </w:rPr>
        <w:t>“I think just looking at things and talking to other people ... hearing the similar type of things and talking to ex addicts. And I remember the thing my brother said to me ‘there are things that I did when I was gambling, that nobody will ever know, I’m too ashamed to tell anybody’ ...  And you realise then that it wasn’t you that didn’t see it, it was that they did so well at hiding it.”</w:t>
      </w:r>
      <w:r w:rsidRPr="00B10BE1">
        <w:rPr>
          <w:rFonts w:ascii="Times New Roman" w:eastAsia="Times New Roman" w:hAnsi="Times New Roman" w:cs="Times New Roman"/>
          <w:sz w:val="24"/>
          <w:szCs w:val="24"/>
          <w:lang w:eastAsia="en-GB"/>
        </w:rPr>
        <w:t> </w:t>
      </w:r>
    </w:p>
    <w:p w14:paraId="31A0FBE8" w14:textId="77777777" w:rsidR="005D08E9" w:rsidRPr="00B10BE1" w:rsidRDefault="005D08E9" w:rsidP="00DF448B">
      <w:pPr>
        <w:spacing w:after="0" w:line="480" w:lineRule="auto"/>
        <w:ind w:left="720"/>
        <w:textAlignment w:val="baseline"/>
        <w:rPr>
          <w:rFonts w:ascii="Times New Roman" w:eastAsia="Times New Roman" w:hAnsi="Times New Roman" w:cs="Times New Roman"/>
          <w:sz w:val="24"/>
          <w:szCs w:val="24"/>
          <w:lang w:eastAsia="en-GB"/>
        </w:rPr>
      </w:pPr>
    </w:p>
    <w:p w14:paraId="5190E83B" w14:textId="77777777" w:rsidR="009D052A" w:rsidRDefault="009D052A" w:rsidP="00940AE3">
      <w:pPr>
        <w:pStyle w:val="Heading1"/>
        <w:rPr>
          <w:rFonts w:eastAsia="Aptos"/>
        </w:rPr>
      </w:pPr>
      <w:r w:rsidRPr="00B10BE1">
        <w:rPr>
          <w:rFonts w:eastAsia="Aptos"/>
        </w:rPr>
        <w:t xml:space="preserve">Discussion. </w:t>
      </w:r>
    </w:p>
    <w:p w14:paraId="15E83939" w14:textId="77777777" w:rsidR="00940AE3" w:rsidRPr="00940AE3" w:rsidRDefault="00940AE3" w:rsidP="00940AE3"/>
    <w:p w14:paraId="3F2A0017" w14:textId="5D9B2616" w:rsidR="009D052A" w:rsidRPr="00B10BE1" w:rsidRDefault="009D052A" w:rsidP="009D052A">
      <w:pPr>
        <w:spacing w:line="480" w:lineRule="auto"/>
        <w:jc w:val="both"/>
        <w:rPr>
          <w:rFonts w:ascii="Times New Roman" w:eastAsia="Times New Roman" w:hAnsi="Times New Roman" w:cs="Times New Roman"/>
          <w:color w:val="000000"/>
          <w:kern w:val="2"/>
          <w:sz w:val="24"/>
          <w:szCs w:val="24"/>
          <w:lang w:val="en-US"/>
          <w14:ligatures w14:val="standardContextual"/>
        </w:rPr>
      </w:pPr>
      <w:r w:rsidRPr="00B10BE1">
        <w:rPr>
          <w:rFonts w:ascii="Times New Roman" w:eastAsia="Times New Roman" w:hAnsi="Times New Roman" w:cs="Times New Roman"/>
          <w:kern w:val="2"/>
          <w:sz w:val="24"/>
          <w:szCs w:val="24"/>
          <w:lang w:val="en-US"/>
          <w14:ligatures w14:val="standardContextual"/>
        </w:rPr>
        <w:t xml:space="preserve">Participants in the current study experienced manifold positive and negative outcomes through their activism. </w:t>
      </w:r>
      <w:r w:rsidRPr="00B10BE1">
        <w:rPr>
          <w:rFonts w:ascii="Times New Roman" w:eastAsia="Times New Roman" w:hAnsi="Times New Roman" w:cs="Times New Roman"/>
          <w:color w:val="000000"/>
          <w:kern w:val="2"/>
          <w:sz w:val="24"/>
          <w:szCs w:val="24"/>
          <w:lang w:val="en-US"/>
          <w14:ligatures w14:val="standardContextual"/>
        </w:rPr>
        <w:t xml:space="preserve">Although they experienced difficulties and sometimes relational ruptures, participants all reported close, communicative relationships with their loved one prior to their </w:t>
      </w:r>
      <w:proofErr w:type="gramStart"/>
      <w:r w:rsidRPr="00B10BE1">
        <w:rPr>
          <w:rFonts w:ascii="Times New Roman" w:eastAsia="Times New Roman" w:hAnsi="Times New Roman" w:cs="Times New Roman"/>
          <w:color w:val="000000"/>
          <w:kern w:val="2"/>
          <w:sz w:val="24"/>
          <w:szCs w:val="24"/>
          <w:lang w:val="en-US"/>
          <w14:ligatures w14:val="standardContextual"/>
        </w:rPr>
        <w:t>suicide-loss</w:t>
      </w:r>
      <w:proofErr w:type="gramEnd"/>
      <w:r w:rsidRPr="00B10BE1">
        <w:rPr>
          <w:rFonts w:ascii="Times New Roman" w:eastAsia="Times New Roman" w:hAnsi="Times New Roman" w:cs="Times New Roman"/>
          <w:color w:val="000000"/>
          <w:kern w:val="2"/>
          <w:sz w:val="24"/>
          <w:szCs w:val="24"/>
          <w:lang w:val="en-US"/>
          <w14:ligatures w14:val="standardContextual"/>
        </w:rPr>
        <w:t xml:space="preserve">. Three participants were aware of their loved </w:t>
      </w:r>
      <w:proofErr w:type="gramStart"/>
      <w:r w:rsidRPr="00B10BE1">
        <w:rPr>
          <w:rFonts w:ascii="Times New Roman" w:eastAsia="Times New Roman" w:hAnsi="Times New Roman" w:cs="Times New Roman"/>
          <w:color w:val="000000"/>
          <w:kern w:val="2"/>
          <w:sz w:val="24"/>
          <w:szCs w:val="24"/>
          <w:lang w:val="en-US"/>
          <w14:ligatures w14:val="standardContextual"/>
        </w:rPr>
        <w:t>one’s</w:t>
      </w:r>
      <w:proofErr w:type="gramEnd"/>
      <w:r w:rsidRPr="00B10BE1">
        <w:rPr>
          <w:rFonts w:ascii="Times New Roman" w:eastAsia="Times New Roman" w:hAnsi="Times New Roman" w:cs="Times New Roman"/>
          <w:color w:val="000000"/>
          <w:kern w:val="2"/>
          <w:sz w:val="24"/>
          <w:szCs w:val="24"/>
          <w:lang w:val="en-US"/>
          <w14:ligatures w14:val="standardContextual"/>
        </w:rPr>
        <w:t xml:space="preserve"> gambling difficulties, and the </w:t>
      </w:r>
      <w:r w:rsidRPr="00B10BE1">
        <w:rPr>
          <w:rFonts w:ascii="Times New Roman" w:eastAsia="Times New Roman" w:hAnsi="Times New Roman" w:cs="Times New Roman"/>
          <w:color w:val="000000"/>
          <w:kern w:val="2"/>
          <w:sz w:val="24"/>
          <w:szCs w:val="24"/>
          <w:lang w:val="en-US"/>
          <w14:ligatures w14:val="standardContextual"/>
        </w:rPr>
        <w:lastRenderedPageBreak/>
        <w:t xml:space="preserve">support this </w:t>
      </w:r>
      <w:proofErr w:type="gramStart"/>
      <w:r w:rsidRPr="00B10BE1">
        <w:rPr>
          <w:rFonts w:ascii="Times New Roman" w:eastAsia="Times New Roman" w:hAnsi="Times New Roman" w:cs="Times New Roman"/>
          <w:color w:val="000000"/>
          <w:kern w:val="2"/>
          <w:sz w:val="24"/>
          <w:szCs w:val="24"/>
          <w:lang w:val="en-US"/>
          <w14:ligatures w14:val="standardContextual"/>
        </w:rPr>
        <w:t>invoked,</w:t>
      </w:r>
      <w:proofErr w:type="gramEnd"/>
      <w:r w:rsidRPr="00B10BE1">
        <w:rPr>
          <w:rFonts w:ascii="Times New Roman" w:eastAsia="Times New Roman" w:hAnsi="Times New Roman" w:cs="Times New Roman"/>
          <w:color w:val="000000"/>
          <w:kern w:val="2"/>
          <w:sz w:val="24"/>
          <w:szCs w:val="24"/>
          <w:lang w:val="en-US"/>
          <w14:ligatures w14:val="standardContextual"/>
        </w:rPr>
        <w:t xml:space="preserve"> increased the emotional dimensions of their pre-suicide relationship. This contrasts with existing research that suggests pre-suicide relationships possess less emotional and physical engagement (Levi-Belz, 2017) when compared to relationships prior to other sudden deaths. The contrast between current findings and existing research may be attributable in part to the respective methodologies. The previous study was a quantitative survey of 159 participants, the current study is a qualitative enquiry comprising four participants, using in-depth semi-structured interviews.</w:t>
      </w:r>
    </w:p>
    <w:p w14:paraId="7E268E75" w14:textId="6877EA5A" w:rsidR="00007283" w:rsidRPr="00B10BE1" w:rsidRDefault="00007283"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lang w:val="en-US"/>
          <w14:ligatures w14:val="standardContextual"/>
        </w:rPr>
        <w:t xml:space="preserve">Levi-Belz (2017) describes how emotions such as shame and guilt can contribute to a </w:t>
      </w:r>
      <w:proofErr w:type="gramStart"/>
      <w:r w:rsidRPr="00B10BE1">
        <w:rPr>
          <w:rFonts w:ascii="Times New Roman" w:eastAsia="Aptos" w:hAnsi="Times New Roman" w:cs="Times New Roman"/>
          <w:kern w:val="2"/>
          <w:sz w:val="24"/>
          <w:szCs w:val="24"/>
          <w:lang w:val="en-US"/>
          <w14:ligatures w14:val="standardContextual"/>
        </w:rPr>
        <w:t>survivor’s  negative</w:t>
      </w:r>
      <w:proofErr w:type="gramEnd"/>
      <w:r w:rsidRPr="00B10BE1">
        <w:rPr>
          <w:rFonts w:ascii="Times New Roman" w:eastAsia="Aptos" w:hAnsi="Times New Roman" w:cs="Times New Roman"/>
          <w:kern w:val="2"/>
          <w:sz w:val="24"/>
          <w:szCs w:val="24"/>
          <w:lang w:val="en-US"/>
          <w14:ligatures w14:val="standardContextual"/>
        </w:rPr>
        <w:t xml:space="preserve">, retrospective evaluation of the pre-suicide relationship. Current </w:t>
      </w:r>
      <w:proofErr w:type="gramStart"/>
      <w:r w:rsidRPr="00B10BE1">
        <w:rPr>
          <w:rFonts w:ascii="Times New Roman" w:eastAsia="Aptos" w:hAnsi="Times New Roman" w:cs="Times New Roman"/>
          <w:kern w:val="2"/>
          <w:sz w:val="24"/>
          <w:szCs w:val="24"/>
          <w:lang w:val="en-US"/>
          <w14:ligatures w14:val="standardContextual"/>
        </w:rPr>
        <w:t>participants</w:t>
      </w:r>
      <w:proofErr w:type="gramEnd"/>
      <w:r w:rsidRPr="00B10BE1">
        <w:rPr>
          <w:rFonts w:ascii="Times New Roman" w:eastAsia="Aptos" w:hAnsi="Times New Roman" w:cs="Times New Roman"/>
          <w:kern w:val="2"/>
          <w:sz w:val="24"/>
          <w:szCs w:val="24"/>
          <w:lang w:val="en-US"/>
          <w14:ligatures w14:val="standardContextual"/>
        </w:rPr>
        <w:t xml:space="preserve"> </w:t>
      </w:r>
      <w:proofErr w:type="gramStart"/>
      <w:r w:rsidRPr="00B10BE1">
        <w:rPr>
          <w:rFonts w:ascii="Times New Roman" w:eastAsia="Aptos" w:hAnsi="Times New Roman" w:cs="Times New Roman"/>
          <w:kern w:val="2"/>
          <w:sz w:val="24"/>
          <w:szCs w:val="24"/>
          <w:lang w:val="en-US"/>
          <w14:ligatures w14:val="standardContextual"/>
        </w:rPr>
        <w:t>however,  described</w:t>
      </w:r>
      <w:proofErr w:type="gramEnd"/>
      <w:r w:rsidRPr="00B10BE1">
        <w:rPr>
          <w:rFonts w:ascii="Times New Roman" w:eastAsia="Aptos" w:hAnsi="Times New Roman" w:cs="Times New Roman"/>
          <w:kern w:val="2"/>
          <w:sz w:val="24"/>
          <w:szCs w:val="24"/>
          <w:lang w:val="en-US"/>
          <w14:ligatures w14:val="standardContextual"/>
        </w:rPr>
        <w:t xml:space="preserve"> how knowledge of their loved one’s difficulties invoked empathy in the relationship, and a desire to face challenges together, even where there had been an erosion of trust.</w:t>
      </w:r>
    </w:p>
    <w:p w14:paraId="5778C57E" w14:textId="5B66613A" w:rsidR="005D08E9" w:rsidRPr="00B10BE1" w:rsidRDefault="005D08E9" w:rsidP="00DF448B">
      <w:pPr>
        <w:spacing w:line="480" w:lineRule="auto"/>
        <w:jc w:val="both"/>
        <w:rPr>
          <w:rFonts w:ascii="Times New Roman" w:eastAsia="Times New Roman" w:hAnsi="Times New Roman" w:cs="Times New Roman"/>
          <w:color w:val="000000"/>
          <w:kern w:val="2"/>
          <w:sz w:val="24"/>
          <w:szCs w:val="24"/>
          <w:lang w:val="en-US"/>
          <w14:ligatures w14:val="standardContextual"/>
        </w:rPr>
      </w:pPr>
      <w:r w:rsidRPr="00B10BE1">
        <w:rPr>
          <w:rFonts w:ascii="Times New Roman" w:eastAsia="Aptos" w:hAnsi="Times New Roman" w:cs="Times New Roman"/>
          <w:kern w:val="2"/>
          <w:sz w:val="24"/>
          <w:szCs w:val="24"/>
          <w14:ligatures w14:val="standardContextual"/>
        </w:rPr>
        <w:t>Sense-making following suicide</w:t>
      </w:r>
      <w:r w:rsidR="00007283" w:rsidRPr="00B10BE1">
        <w:rPr>
          <w:rFonts w:ascii="Times New Roman" w:eastAsia="Aptos" w:hAnsi="Times New Roman" w:cs="Times New Roman"/>
          <w:kern w:val="2"/>
          <w:sz w:val="24"/>
          <w:szCs w:val="24"/>
          <w14:ligatures w14:val="standardContextual"/>
        </w:rPr>
        <w:t xml:space="preserve"> involves</w:t>
      </w:r>
      <w:r w:rsidRPr="00B10BE1">
        <w:rPr>
          <w:rFonts w:ascii="Times New Roman" w:eastAsia="Aptos" w:hAnsi="Times New Roman" w:cs="Times New Roman"/>
          <w:kern w:val="2"/>
          <w:sz w:val="24"/>
          <w:szCs w:val="24"/>
          <w14:ligatures w14:val="standardContextual"/>
        </w:rPr>
        <w:t xml:space="preserve"> </w:t>
      </w:r>
      <w:r w:rsidR="00007283" w:rsidRPr="00B10BE1">
        <w:rPr>
          <w:rFonts w:ascii="Times New Roman" w:eastAsia="Aptos" w:hAnsi="Times New Roman" w:cs="Times New Roman"/>
          <w:kern w:val="2"/>
          <w:sz w:val="24"/>
          <w:szCs w:val="24"/>
          <w14:ligatures w14:val="standardContextual"/>
        </w:rPr>
        <w:t xml:space="preserve">striving to understand </w:t>
      </w:r>
      <w:r w:rsidRPr="00B10BE1">
        <w:rPr>
          <w:rFonts w:ascii="Times New Roman" w:eastAsia="Aptos" w:hAnsi="Times New Roman" w:cs="Times New Roman"/>
          <w:kern w:val="2"/>
          <w:sz w:val="24"/>
          <w:szCs w:val="24"/>
          <w14:ligatures w14:val="standardContextual"/>
        </w:rPr>
        <w:t>the reasons</w:t>
      </w:r>
      <w:r w:rsidR="00007283" w:rsidRPr="00B10BE1">
        <w:rPr>
          <w:rFonts w:ascii="Times New Roman" w:eastAsia="Aptos" w:hAnsi="Times New Roman" w:cs="Times New Roman"/>
          <w:kern w:val="2"/>
          <w:sz w:val="24"/>
          <w:szCs w:val="24"/>
          <w14:ligatures w14:val="standardContextual"/>
        </w:rPr>
        <w:t>,</w:t>
      </w:r>
      <w:r w:rsidRPr="00B10BE1">
        <w:rPr>
          <w:rFonts w:ascii="Times New Roman" w:eastAsia="Aptos" w:hAnsi="Times New Roman" w:cs="Times New Roman"/>
          <w:kern w:val="2"/>
          <w:sz w:val="24"/>
          <w:szCs w:val="24"/>
          <w14:ligatures w14:val="standardContextual"/>
        </w:rPr>
        <w:t xml:space="preserve"> and</w:t>
      </w:r>
      <w:r w:rsidR="00007283" w:rsidRPr="00B10BE1">
        <w:rPr>
          <w:rFonts w:ascii="Times New Roman" w:eastAsia="Aptos" w:hAnsi="Times New Roman" w:cs="Times New Roman"/>
          <w:kern w:val="2"/>
          <w:sz w:val="24"/>
          <w:szCs w:val="24"/>
          <w14:ligatures w14:val="standardContextual"/>
        </w:rPr>
        <w:t xml:space="preserve"> to</w:t>
      </w:r>
      <w:r w:rsidRPr="00B10BE1">
        <w:rPr>
          <w:rFonts w:ascii="Times New Roman" w:eastAsia="Aptos" w:hAnsi="Times New Roman" w:cs="Times New Roman"/>
          <w:kern w:val="2"/>
          <w:sz w:val="24"/>
          <w:szCs w:val="24"/>
          <w14:ligatures w14:val="standardContextual"/>
        </w:rPr>
        <w:t xml:space="preserve"> reconstruct the route leading to the suicide </w:t>
      </w:r>
      <w:sdt>
        <w:sdtPr>
          <w:rPr>
            <w:rFonts w:ascii="Times New Roman" w:eastAsia="Aptos" w:hAnsi="Times New Roman" w:cs="Times New Roman"/>
            <w:color w:val="000000"/>
            <w:kern w:val="2"/>
            <w:sz w:val="24"/>
            <w:szCs w:val="24"/>
            <w14:ligatures w14:val="standardContextual"/>
          </w:rPr>
          <w:alias w:val="Citation"/>
          <w:tag w:val="{&quot;referencesIds&quot;:[&quot;doc:66b62f9f5fdfe24075ad7450&quot;],&quot;referencesOptions&quot;:{&quot;doc:66b62f9f5fdfe24075ad7450&quot;:{&quot;author&quot;:true,&quot;year&quot;:true,&quot;pageReplace&quot;:&quot;&quot;,&quot;prefix&quot;:&quot;&quot;,&quot;suffix&quot;:&quot;&quot;}},&quot;hasBrokenReferences&quot;:false,&quot;hasManualEdits&quot;:false,&quot;citationType&quot;:&quot;inline&quot;}"/>
          <w:id w:val="1986122924"/>
          <w:placeholder>
            <w:docPart w:val="6E9088293160441EA5A856B66CA2B6A1"/>
          </w:placeholder>
        </w:sdtPr>
        <w:sdtEndPr/>
        <w:sdtContent>
          <w:r w:rsidRPr="00B10BE1">
            <w:rPr>
              <w:rFonts w:ascii="Times New Roman" w:eastAsia="Times New Roman" w:hAnsi="Times New Roman" w:cs="Times New Roman"/>
              <w:color w:val="000000"/>
              <w:kern w:val="2"/>
              <w:sz w:val="24"/>
              <w:szCs w:val="24"/>
              <w14:ligatures w14:val="standardContextual"/>
            </w:rPr>
            <w:t>(Dransart, 2013)</w:t>
          </w:r>
          <w:r w:rsidR="00453D6E" w:rsidRPr="00B10BE1">
            <w:rPr>
              <w:rFonts w:ascii="Times New Roman" w:eastAsia="Times New Roman" w:hAnsi="Times New Roman" w:cs="Times New Roman"/>
              <w:color w:val="000000"/>
              <w:kern w:val="2"/>
              <w:sz w:val="24"/>
              <w:szCs w:val="24"/>
              <w14:ligatures w14:val="standardContextual"/>
            </w:rPr>
            <w:t>.</w:t>
          </w:r>
        </w:sdtContent>
      </w:sdt>
      <w:r w:rsidRPr="00B10BE1">
        <w:rPr>
          <w:rFonts w:ascii="Times New Roman" w:eastAsia="Aptos" w:hAnsi="Times New Roman" w:cs="Times New Roman"/>
          <w:kern w:val="2"/>
          <w:sz w:val="24"/>
          <w:szCs w:val="24"/>
          <w14:ligatures w14:val="standardContextual"/>
        </w:rPr>
        <w:t xml:space="preserve"> </w:t>
      </w:r>
      <w:r w:rsidRPr="00B10BE1">
        <w:rPr>
          <w:rFonts w:ascii="Times New Roman" w:eastAsia="Times New Roman" w:hAnsi="Times New Roman" w:cs="Times New Roman"/>
          <w:kern w:val="2"/>
          <w:sz w:val="24"/>
          <w:szCs w:val="24"/>
          <w:lang w:val="en-US"/>
          <w14:ligatures w14:val="standardContextual"/>
        </w:rPr>
        <w:t>Making sense of the loss is pivotal in the grieving process (Hunt et al., 2019; Neimeyer, 2009)</w:t>
      </w:r>
      <w:r w:rsidRPr="00B10BE1">
        <w:rPr>
          <w:rFonts w:ascii="Times New Roman" w:eastAsia="Times New Roman" w:hAnsi="Times New Roman" w:cs="Times New Roman"/>
          <w:color w:val="000000"/>
          <w:kern w:val="2"/>
          <w:sz w:val="24"/>
          <w:szCs w:val="24"/>
          <w:lang w:val="en-US"/>
          <w14:ligatures w14:val="standardContextual"/>
        </w:rPr>
        <w:t>. Ross et al.</w:t>
      </w:r>
      <w:r w:rsidRPr="00B10BE1">
        <w:rPr>
          <w:rFonts w:ascii="Times New Roman" w:eastAsia="Aptos" w:hAnsi="Times New Roman" w:cs="Times New Roman"/>
          <w:kern w:val="2"/>
          <w:sz w:val="24"/>
          <w:szCs w:val="24"/>
          <w14:ligatures w14:val="standardContextual"/>
        </w:rPr>
        <w:t xml:space="preserve"> (2018) </w:t>
      </w:r>
      <w:r w:rsidRPr="00B10BE1">
        <w:rPr>
          <w:rFonts w:ascii="Times New Roman" w:eastAsia="Times New Roman" w:hAnsi="Times New Roman" w:cs="Times New Roman"/>
          <w:color w:val="000000"/>
          <w:kern w:val="2"/>
          <w:sz w:val="24"/>
          <w:szCs w:val="24"/>
          <w:lang w:val="en-US"/>
          <w14:ligatures w14:val="standardContextual"/>
        </w:rPr>
        <w:t xml:space="preserve">describe how attempting to make sense of suicide-loss invokes manifold questions about the reasons for the death. Lengthy or unsuccessful attempts to understand the reasons for the suicide can exacerbate distress (Davis et al., 2000). Conversely, earlier ability to make sense of the loss can alleviate some of the distress (Davis et al., 1998). </w:t>
      </w:r>
      <w:bookmarkStart w:id="13" w:name="_Hlk188369228"/>
      <w:r w:rsidRPr="00B10BE1">
        <w:rPr>
          <w:rFonts w:ascii="Times New Roman" w:eastAsia="Aptos" w:hAnsi="Times New Roman" w:cs="Times New Roman"/>
          <w:kern w:val="2"/>
          <w:sz w:val="24"/>
          <w:szCs w:val="24"/>
          <w14:ligatures w14:val="standardContextual"/>
        </w:rPr>
        <w:t xml:space="preserve">Three </w:t>
      </w:r>
      <w:r w:rsidRPr="00B10BE1">
        <w:rPr>
          <w:rFonts w:ascii="Times New Roman" w:eastAsia="Times New Roman" w:hAnsi="Times New Roman" w:cs="Times New Roman"/>
          <w:color w:val="000000"/>
          <w:kern w:val="2"/>
          <w:sz w:val="24"/>
          <w:szCs w:val="24"/>
          <w:lang w:val="en-US"/>
          <w14:ligatures w14:val="standardContextual"/>
        </w:rPr>
        <w:t xml:space="preserve">participants in the current study had been aware of the harmful extent of their loved one's gambling activity prior to the suicide. The fourth participant became aware almost immediately discovering the death. </w:t>
      </w:r>
      <w:r w:rsidRPr="00B10BE1">
        <w:rPr>
          <w:rFonts w:ascii="Times New Roman" w:eastAsia="Times New Roman" w:hAnsi="Times New Roman" w:cs="Times New Roman"/>
          <w:kern w:val="2"/>
          <w:sz w:val="24"/>
          <w:szCs w:val="24"/>
          <w:lang w:val="en-US"/>
          <w14:ligatures w14:val="standardContextual"/>
        </w:rPr>
        <w:t>Due to the absence of any other identifiable</w:t>
      </w:r>
      <w:r w:rsidR="005073C4" w:rsidRPr="00B10BE1">
        <w:rPr>
          <w:rFonts w:ascii="Times New Roman" w:eastAsia="Times New Roman" w:hAnsi="Times New Roman" w:cs="Times New Roman"/>
          <w:kern w:val="2"/>
          <w:sz w:val="24"/>
          <w:szCs w:val="24"/>
          <w:lang w:val="en-US"/>
          <w14:ligatures w14:val="standardContextual"/>
        </w:rPr>
        <w:t xml:space="preserve"> behaviors or contributory factors</w:t>
      </w:r>
      <w:r w:rsidRPr="00B10BE1">
        <w:rPr>
          <w:rFonts w:ascii="Times New Roman" w:eastAsia="Times New Roman" w:hAnsi="Times New Roman" w:cs="Times New Roman"/>
          <w:kern w:val="2"/>
          <w:sz w:val="24"/>
          <w:szCs w:val="24"/>
          <w:lang w:val="en-US"/>
          <w14:ligatures w14:val="standardContextual"/>
        </w:rPr>
        <w:t xml:space="preserve">, all participants formed an early belief that gambling was the sole cause of their loved one’s death. </w:t>
      </w:r>
      <w:r w:rsidRPr="00B10BE1">
        <w:rPr>
          <w:rFonts w:ascii="Times New Roman" w:eastAsia="Times New Roman" w:hAnsi="Times New Roman" w:cs="Times New Roman"/>
          <w:color w:val="000000"/>
          <w:kern w:val="2"/>
          <w:sz w:val="24"/>
          <w:szCs w:val="24"/>
          <w:lang w:val="en-US"/>
          <w14:ligatures w14:val="standardContextual"/>
        </w:rPr>
        <w:t xml:space="preserve">Awareness gained through activism swiftly galvanized this belief. </w:t>
      </w:r>
      <w:bookmarkEnd w:id="13"/>
      <w:r w:rsidRPr="00B10BE1">
        <w:rPr>
          <w:rFonts w:ascii="Times New Roman" w:eastAsia="Times New Roman" w:hAnsi="Times New Roman" w:cs="Times New Roman"/>
          <w:color w:val="000000"/>
          <w:kern w:val="2"/>
          <w:sz w:val="24"/>
          <w:szCs w:val="24"/>
          <w:lang w:val="en-US"/>
          <w14:ligatures w14:val="standardContextual"/>
        </w:rPr>
        <w:t xml:space="preserve">It gifted participants knowledge of certain industry practices and their propensity to cause harm. This accelerated their ability to make sense of their suicide-loss. </w:t>
      </w:r>
    </w:p>
    <w:p w14:paraId="4F3D578D" w14:textId="77777777" w:rsidR="005D08E9" w:rsidRPr="00B10BE1" w:rsidRDefault="005D08E9" w:rsidP="00DF448B">
      <w:pPr>
        <w:spacing w:line="480" w:lineRule="auto"/>
        <w:jc w:val="both"/>
        <w:rPr>
          <w:rFonts w:ascii="Times New Roman" w:eastAsia="Times New Roman" w:hAnsi="Times New Roman" w:cs="Times New Roman"/>
          <w:color w:val="000000"/>
          <w:kern w:val="2"/>
          <w:sz w:val="24"/>
          <w:szCs w:val="24"/>
          <w:lang w:val="en-US"/>
          <w14:ligatures w14:val="standardContextual"/>
        </w:rPr>
      </w:pPr>
      <w:r w:rsidRPr="00B10BE1">
        <w:rPr>
          <w:rFonts w:ascii="Times New Roman" w:eastAsia="Times New Roman" w:hAnsi="Times New Roman" w:cs="Times New Roman"/>
          <w:color w:val="000000"/>
          <w:kern w:val="2"/>
          <w:sz w:val="24"/>
          <w:szCs w:val="24"/>
          <w:lang w:val="en-US"/>
          <w14:ligatures w14:val="standardContextual"/>
        </w:rPr>
        <w:lastRenderedPageBreak/>
        <w:t>This contrasts with existing research that suggests making sense of suicide loss can be a lengthy process.</w:t>
      </w:r>
      <w:r w:rsidRPr="00B10BE1">
        <w:rPr>
          <w:rFonts w:ascii="Times New Roman" w:eastAsia="Aptos" w:hAnsi="Times New Roman" w:cs="Times New Roman"/>
          <w:kern w:val="2"/>
          <w:sz w:val="24"/>
          <w:szCs w:val="24"/>
          <w14:ligatures w14:val="standardContextual"/>
        </w:rPr>
        <w:t xml:space="preserve"> </w:t>
      </w:r>
      <w:r w:rsidRPr="00B10BE1">
        <w:rPr>
          <w:rFonts w:ascii="Times New Roman" w:eastAsia="Times New Roman" w:hAnsi="Times New Roman" w:cs="Times New Roman"/>
          <w:color w:val="000000"/>
          <w:kern w:val="2"/>
          <w:sz w:val="24"/>
          <w:szCs w:val="24"/>
          <w:lang w:val="en-US"/>
          <w14:ligatures w14:val="standardContextual"/>
        </w:rPr>
        <w:t>Moore et al. (2015)</w:t>
      </w:r>
      <w:r w:rsidRPr="00B10BE1">
        <w:rPr>
          <w:rFonts w:ascii="Times New Roman" w:eastAsia="Aptos" w:hAnsi="Times New Roman" w:cs="Times New Roman"/>
          <w:kern w:val="2"/>
          <w:sz w:val="24"/>
          <w:szCs w:val="24"/>
          <w14:ligatures w14:val="standardContextual"/>
        </w:rPr>
        <w:t xml:space="preserve"> describe a period of oscillation between “brooding” (p. 246) and finding a reason for the death that is acceptable to the surviving relative. </w:t>
      </w:r>
      <w:r w:rsidRPr="00B10BE1">
        <w:rPr>
          <w:rFonts w:ascii="Times New Roman" w:eastAsia="Times New Roman" w:hAnsi="Times New Roman" w:cs="Times New Roman"/>
          <w:color w:val="000000"/>
          <w:kern w:val="2"/>
          <w:sz w:val="24"/>
          <w:szCs w:val="24"/>
          <w:lang w:val="en-US"/>
          <w14:ligatures w14:val="standardContextual"/>
        </w:rPr>
        <w:t xml:space="preserve">A longitudinal study by Entilli et al. (2021) reported that making sense of suicide-loss occurred between six and 24 months and sometimes longer. </w:t>
      </w:r>
    </w:p>
    <w:p w14:paraId="29272059" w14:textId="504E9EB0" w:rsidR="005D08E9" w:rsidRPr="00B10BE1" w:rsidRDefault="005D08E9" w:rsidP="00DF448B">
      <w:pPr>
        <w:spacing w:line="480" w:lineRule="auto"/>
        <w:jc w:val="both"/>
        <w:rPr>
          <w:rFonts w:ascii="Times New Roman" w:eastAsia="Times New Roman" w:hAnsi="Times New Roman" w:cs="Times New Roman"/>
          <w:color w:val="000000"/>
          <w:kern w:val="2"/>
          <w:sz w:val="24"/>
          <w:szCs w:val="24"/>
          <w:lang w:val="en-US"/>
          <w14:ligatures w14:val="standardContextual"/>
        </w:rPr>
      </w:pPr>
      <w:r w:rsidRPr="00B10BE1">
        <w:rPr>
          <w:rFonts w:ascii="Times New Roman" w:eastAsia="Times New Roman" w:hAnsi="Times New Roman" w:cs="Times New Roman"/>
          <w:color w:val="000000"/>
          <w:kern w:val="2"/>
          <w:sz w:val="24"/>
          <w:szCs w:val="24"/>
          <w:lang w:val="en-US"/>
          <w14:ligatures w14:val="standardContextual"/>
        </w:rPr>
        <w:t xml:space="preserve">Making meaning following the loss is a central aspect of post-suicide grief. Survivors seek to integrate the past relationships with present and future experiences to facilitate personal growth </w:t>
      </w:r>
      <w:sdt>
        <w:sdtPr>
          <w:rPr>
            <w:rFonts w:ascii="Times New Roman" w:eastAsia="Times New Roman" w:hAnsi="Times New Roman" w:cs="Times New Roman"/>
            <w:color w:val="000000"/>
            <w:kern w:val="2"/>
            <w:sz w:val="24"/>
            <w:szCs w:val="24"/>
            <w:lang w:val="en-US"/>
            <w14:ligatures w14:val="standardContextual"/>
          </w:rPr>
          <w:alias w:val="Citation"/>
          <w:tag w:val="{&quot;referencesIds&quot;:[&quot;doc:659196c2b898885781662d76&quot;],&quot;referencesOptions&quot;:{&quot;doc:659196c2b898885781662d76&quot;:{&quot;author&quot;:true,&quot;year&quot;:true,&quot;pageReplace&quot;:&quot;&quot;,&quot;prefix&quot;:&quot;&quot;,&quot;suffix&quot;:&quot;&quot;}},&quot;hasBrokenReferences&quot;:false,&quot;hasManualEdits&quot;:false,&quot;citationType&quot;:&quot;inline&quot;,&quot;id&quot;:73398635,&quot;citationText&quot;:&quot;&lt;span style=\&quot;font-family:Verdana;font-size:14.666666666666666px;color:#000000\&quot;&gt;(Neimeyer, 2009)&lt;/span&gt;&quot;}"/>
          <w:id w:val="73398635"/>
          <w:placeholder>
            <w:docPart w:val="EB439F3A3121444495F121A0C0EACC5F"/>
          </w:placeholder>
        </w:sdtPr>
        <w:sdtEndPr/>
        <w:sdtContent>
          <w:r w:rsidRPr="00B10BE1">
            <w:rPr>
              <w:rFonts w:ascii="Times New Roman" w:eastAsia="Times New Roman" w:hAnsi="Times New Roman" w:cs="Times New Roman"/>
              <w:color w:val="000000"/>
              <w:kern w:val="2"/>
              <w:sz w:val="24"/>
              <w:szCs w:val="24"/>
              <w14:ligatures w14:val="standardContextual"/>
            </w:rPr>
            <w:t>(Neimeyer, 2009)</w:t>
          </w:r>
        </w:sdtContent>
      </w:sdt>
      <w:r w:rsidRPr="00B10BE1">
        <w:rPr>
          <w:rFonts w:ascii="Times New Roman" w:eastAsia="Times New Roman" w:hAnsi="Times New Roman" w:cs="Times New Roman"/>
          <w:color w:val="000000"/>
          <w:kern w:val="2"/>
          <w:sz w:val="24"/>
          <w:szCs w:val="24"/>
          <w:lang w:val="en-US"/>
          <w14:ligatures w14:val="standardContextual"/>
        </w:rPr>
        <w:t xml:space="preserve">. Current participants exemplified this through goals of postvention, public policy change and a shift in public perceptions of gambling harm. </w:t>
      </w:r>
    </w:p>
    <w:p w14:paraId="5D10B9B1" w14:textId="77777777" w:rsidR="005D08E9" w:rsidRPr="00B10BE1" w:rsidRDefault="005D08E9" w:rsidP="00DF448B">
      <w:pPr>
        <w:spacing w:line="480" w:lineRule="auto"/>
        <w:jc w:val="both"/>
        <w:rPr>
          <w:rFonts w:ascii="Times New Roman" w:eastAsia="Times New Roman" w:hAnsi="Times New Roman" w:cs="Times New Roman"/>
          <w:kern w:val="2"/>
          <w:sz w:val="24"/>
          <w:szCs w:val="24"/>
          <w:lang w:val="en-US"/>
          <w14:ligatures w14:val="standardContextual"/>
        </w:rPr>
      </w:pPr>
      <w:r w:rsidRPr="00B10BE1">
        <w:rPr>
          <w:rFonts w:ascii="Times New Roman" w:eastAsia="Times New Roman" w:hAnsi="Times New Roman" w:cs="Times New Roman"/>
          <w:color w:val="000000"/>
          <w:kern w:val="2"/>
          <w:sz w:val="24"/>
          <w:szCs w:val="24"/>
          <w:lang w:val="en-US"/>
          <w14:ligatures w14:val="standardContextual"/>
        </w:rPr>
        <w:t xml:space="preserve">Activities ranged from providing emotional and practical support to individuals currently experiencing gambling harm, to involvement in campaigns to raise awareness or facilitate regulatory change. </w:t>
      </w:r>
      <w:r w:rsidRPr="00B10BE1">
        <w:rPr>
          <w:rFonts w:ascii="Times New Roman" w:eastAsia="Times New Roman" w:hAnsi="Times New Roman" w:cs="Times New Roman"/>
          <w:kern w:val="2"/>
          <w:sz w:val="24"/>
          <w:szCs w:val="24"/>
          <w:lang w:val="en-US"/>
          <w14:ligatures w14:val="standardContextual"/>
        </w:rPr>
        <w:t>Doka (1999) suggests that where suicide loss is openly acknowledged and socially supported in this way, the potential for growth of the survivor is promoted and the likelihood of disenfranchised grief is reduced.</w:t>
      </w:r>
    </w:p>
    <w:p w14:paraId="5964FB10" w14:textId="77777777" w:rsidR="00007283" w:rsidRPr="00B10BE1" w:rsidRDefault="00007283" w:rsidP="00DF448B">
      <w:pPr>
        <w:spacing w:line="480" w:lineRule="auto"/>
        <w:jc w:val="both"/>
        <w:rPr>
          <w:rFonts w:ascii="Times New Roman" w:eastAsia="Times New Roman" w:hAnsi="Times New Roman" w:cs="Times New Roman"/>
          <w:color w:val="000000"/>
          <w:kern w:val="2"/>
          <w:sz w:val="24"/>
          <w:szCs w:val="24"/>
          <w:lang w:val="en-US"/>
          <w14:ligatures w14:val="standardContextual"/>
        </w:rPr>
      </w:pPr>
    </w:p>
    <w:p w14:paraId="55D393EC" w14:textId="28C1AB8E" w:rsidR="005D08E9" w:rsidRPr="00B10BE1" w:rsidRDefault="005D08E9" w:rsidP="00DF448B">
      <w:pPr>
        <w:spacing w:line="480" w:lineRule="auto"/>
        <w:jc w:val="both"/>
        <w:rPr>
          <w:rFonts w:ascii="Times New Roman" w:eastAsia="Times New Roman" w:hAnsi="Times New Roman" w:cs="Times New Roman"/>
          <w:color w:val="000000"/>
          <w:kern w:val="2"/>
          <w:sz w:val="24"/>
          <w:szCs w:val="24"/>
          <w:lang w:val="en-US"/>
          <w14:ligatures w14:val="standardContextual"/>
        </w:rPr>
      </w:pPr>
      <w:r w:rsidRPr="00B10BE1">
        <w:rPr>
          <w:rFonts w:ascii="Times New Roman" w:eastAsia="Times New Roman" w:hAnsi="Times New Roman" w:cs="Times New Roman"/>
          <w:color w:val="000000"/>
          <w:kern w:val="2"/>
          <w:sz w:val="24"/>
          <w:szCs w:val="24"/>
          <w:lang w:val="en-US"/>
          <w14:ligatures w14:val="standardContextual"/>
        </w:rPr>
        <w:t>Media engagement</w:t>
      </w:r>
      <w:r w:rsidR="00A60633" w:rsidRPr="00B10BE1">
        <w:rPr>
          <w:rFonts w:ascii="Times New Roman" w:eastAsia="Times New Roman" w:hAnsi="Times New Roman" w:cs="Times New Roman"/>
          <w:color w:val="000000"/>
          <w:kern w:val="2"/>
          <w:sz w:val="24"/>
          <w:szCs w:val="24"/>
          <w:lang w:val="en-US"/>
          <w14:ligatures w14:val="standardContextual"/>
        </w:rPr>
        <w:t xml:space="preserve"> was pivotal</w:t>
      </w:r>
      <w:r w:rsidRPr="00B10BE1">
        <w:rPr>
          <w:rFonts w:ascii="Times New Roman" w:eastAsia="Times New Roman" w:hAnsi="Times New Roman" w:cs="Times New Roman"/>
          <w:color w:val="000000"/>
          <w:kern w:val="2"/>
          <w:sz w:val="24"/>
          <w:szCs w:val="24"/>
          <w:lang w:val="en-US"/>
          <w14:ligatures w14:val="standardContextual"/>
        </w:rPr>
        <w:t xml:space="preserve"> in advancing the current participant’s</w:t>
      </w:r>
      <w:r w:rsidR="001A6829" w:rsidRPr="00B10BE1">
        <w:rPr>
          <w:rFonts w:ascii="Times New Roman" w:eastAsia="Times New Roman" w:hAnsi="Times New Roman" w:cs="Times New Roman"/>
          <w:color w:val="000000"/>
          <w:kern w:val="2"/>
          <w:sz w:val="24"/>
          <w:szCs w:val="24"/>
          <w:lang w:val="en-US"/>
          <w14:ligatures w14:val="standardContextual"/>
        </w:rPr>
        <w:t xml:space="preserve"> campaign</w:t>
      </w:r>
      <w:r w:rsidRPr="00B10BE1">
        <w:rPr>
          <w:rFonts w:ascii="Times New Roman" w:eastAsia="Times New Roman" w:hAnsi="Times New Roman" w:cs="Times New Roman"/>
          <w:color w:val="000000"/>
          <w:kern w:val="2"/>
          <w:sz w:val="24"/>
          <w:szCs w:val="24"/>
          <w:lang w:val="en-US"/>
          <w14:ligatures w14:val="standardContextual"/>
        </w:rPr>
        <w:t xml:space="preserve"> narratives. </w:t>
      </w:r>
      <w:r w:rsidR="001A6829" w:rsidRPr="00B10BE1">
        <w:rPr>
          <w:rFonts w:ascii="Times New Roman" w:eastAsia="Times New Roman" w:hAnsi="Times New Roman" w:cs="Times New Roman"/>
          <w:color w:val="000000"/>
          <w:kern w:val="2"/>
          <w:sz w:val="24"/>
          <w:szCs w:val="24"/>
          <w:lang w:val="en-US"/>
          <w14:ligatures w14:val="standardContextual"/>
        </w:rPr>
        <w:t xml:space="preserve">Open acknowledgement of suicide loss invokes risks, however. </w:t>
      </w:r>
      <w:r w:rsidRPr="00B10BE1">
        <w:rPr>
          <w:rFonts w:ascii="Times New Roman" w:eastAsia="Times New Roman" w:hAnsi="Times New Roman" w:cs="Times New Roman"/>
          <w:color w:val="000000"/>
          <w:kern w:val="2"/>
          <w:sz w:val="24"/>
          <w:szCs w:val="24"/>
          <w:lang w:val="en-US"/>
          <w14:ligatures w14:val="standardContextual"/>
        </w:rPr>
        <w:t xml:space="preserve">The personal </w:t>
      </w:r>
      <w:r w:rsidR="00A60633" w:rsidRPr="00B10BE1">
        <w:rPr>
          <w:rFonts w:ascii="Times New Roman" w:eastAsia="Times New Roman" w:hAnsi="Times New Roman" w:cs="Times New Roman"/>
          <w:color w:val="000000"/>
          <w:kern w:val="2"/>
          <w:sz w:val="24"/>
          <w:szCs w:val="24"/>
          <w:lang w:val="en-US"/>
          <w14:ligatures w14:val="standardContextual"/>
        </w:rPr>
        <w:t>impact</w:t>
      </w:r>
      <w:r w:rsidRPr="00B10BE1">
        <w:rPr>
          <w:rFonts w:ascii="Times New Roman" w:eastAsia="Times New Roman" w:hAnsi="Times New Roman" w:cs="Times New Roman"/>
          <w:color w:val="000000"/>
          <w:kern w:val="2"/>
          <w:sz w:val="24"/>
          <w:szCs w:val="24"/>
          <w:lang w:val="en-US"/>
          <w14:ligatures w14:val="standardContextual"/>
        </w:rPr>
        <w:t xml:space="preserve"> of media-based advocacy in response to gambling </w:t>
      </w:r>
      <w:r w:rsidR="000B6E4E" w:rsidRPr="00B10BE1">
        <w:rPr>
          <w:rFonts w:ascii="Times New Roman" w:eastAsia="Times New Roman" w:hAnsi="Times New Roman" w:cs="Times New Roman"/>
          <w:color w:val="000000"/>
          <w:kern w:val="2"/>
          <w:sz w:val="24"/>
          <w:szCs w:val="24"/>
          <w:lang w:val="en-US"/>
          <w14:ligatures w14:val="standardContextual"/>
        </w:rPr>
        <w:t>suicide</w:t>
      </w:r>
      <w:r w:rsidRPr="00B10BE1">
        <w:rPr>
          <w:rFonts w:ascii="Times New Roman" w:eastAsia="Times New Roman" w:hAnsi="Times New Roman" w:cs="Times New Roman"/>
          <w:color w:val="000000"/>
          <w:kern w:val="2"/>
          <w:sz w:val="24"/>
          <w:szCs w:val="24"/>
          <w:lang w:val="en-US"/>
          <w14:ligatures w14:val="standardContextual"/>
        </w:rPr>
        <w:t xml:space="preserve"> is not represented in existing literature, something this study aims to address. Canadian research focusing on mothers bereaved by substance related deaths offers valuable parallels. Morris et al. (2021) describe</w:t>
      </w:r>
      <w:r w:rsidR="00A60633" w:rsidRPr="00B10BE1">
        <w:rPr>
          <w:rFonts w:ascii="Times New Roman" w:eastAsia="Times New Roman" w:hAnsi="Times New Roman" w:cs="Times New Roman"/>
          <w:color w:val="000000"/>
          <w:kern w:val="2"/>
          <w:sz w:val="24"/>
          <w:szCs w:val="24"/>
          <w:lang w:val="en-US"/>
          <w14:ligatures w14:val="standardContextual"/>
        </w:rPr>
        <w:t xml:space="preserve"> how</w:t>
      </w:r>
      <w:r w:rsidRPr="00B10BE1">
        <w:rPr>
          <w:rFonts w:ascii="Times New Roman" w:eastAsia="Times New Roman" w:hAnsi="Times New Roman" w:cs="Times New Roman"/>
          <w:color w:val="000000"/>
          <w:kern w:val="2"/>
          <w:sz w:val="24"/>
          <w:szCs w:val="24"/>
          <w:lang w:val="en-US"/>
          <w14:ligatures w14:val="standardContextual"/>
        </w:rPr>
        <w:t xml:space="preserve"> the survivor’s campaign aims can be subjugated or omitted entirely by sensationalist reporting which </w:t>
      </w:r>
      <w:r w:rsidR="00A60633" w:rsidRPr="00B10BE1">
        <w:rPr>
          <w:rFonts w:ascii="Times New Roman" w:eastAsia="Times New Roman" w:hAnsi="Times New Roman" w:cs="Times New Roman"/>
          <w:color w:val="000000"/>
          <w:kern w:val="2"/>
          <w:sz w:val="24"/>
          <w:szCs w:val="24"/>
          <w:lang w:val="en-US"/>
          <w14:ligatures w14:val="standardContextual"/>
        </w:rPr>
        <w:t>prioritises</w:t>
      </w:r>
      <w:r w:rsidRPr="00B10BE1">
        <w:rPr>
          <w:rFonts w:ascii="Times New Roman" w:eastAsia="Times New Roman" w:hAnsi="Times New Roman" w:cs="Times New Roman"/>
          <w:color w:val="000000"/>
          <w:kern w:val="2"/>
          <w:sz w:val="24"/>
          <w:szCs w:val="24"/>
          <w:lang w:val="en-US"/>
          <w14:ligatures w14:val="standardContextual"/>
        </w:rPr>
        <w:t xml:space="preserve"> the “sad story” (p.4)</w:t>
      </w:r>
      <w:r w:rsidR="00A60633" w:rsidRPr="00B10BE1">
        <w:rPr>
          <w:rFonts w:ascii="Times New Roman" w:eastAsia="Times New Roman" w:hAnsi="Times New Roman" w:cs="Times New Roman"/>
          <w:color w:val="000000"/>
          <w:kern w:val="2"/>
          <w:sz w:val="24"/>
          <w:szCs w:val="24"/>
          <w:lang w:val="en-US"/>
          <w14:ligatures w14:val="standardContextual"/>
        </w:rPr>
        <w:t xml:space="preserve"> and</w:t>
      </w:r>
      <w:r w:rsidRPr="00B10BE1">
        <w:rPr>
          <w:rFonts w:ascii="Times New Roman" w:eastAsia="Times New Roman" w:hAnsi="Times New Roman" w:cs="Times New Roman"/>
          <w:color w:val="000000"/>
          <w:kern w:val="2"/>
          <w:sz w:val="24"/>
          <w:szCs w:val="24"/>
          <w:lang w:val="en-US"/>
          <w14:ligatures w14:val="standardContextual"/>
        </w:rPr>
        <w:t xml:space="preserve"> often </w:t>
      </w:r>
      <w:r w:rsidR="001A6829" w:rsidRPr="00B10BE1">
        <w:rPr>
          <w:rFonts w:ascii="Times New Roman" w:eastAsia="Times New Roman" w:hAnsi="Times New Roman" w:cs="Times New Roman"/>
          <w:color w:val="000000"/>
          <w:kern w:val="2"/>
          <w:sz w:val="24"/>
          <w:szCs w:val="24"/>
          <w:lang w:val="en-US"/>
          <w14:ligatures w14:val="standardContextual"/>
        </w:rPr>
        <w:t>compels</w:t>
      </w:r>
      <w:r w:rsidRPr="00B10BE1">
        <w:rPr>
          <w:rFonts w:ascii="Times New Roman" w:eastAsia="Times New Roman" w:hAnsi="Times New Roman" w:cs="Times New Roman"/>
          <w:color w:val="000000"/>
          <w:kern w:val="2"/>
          <w:sz w:val="24"/>
          <w:szCs w:val="24"/>
          <w:lang w:val="en-US"/>
          <w14:ligatures w14:val="standardContextual"/>
        </w:rPr>
        <w:t xml:space="preserve"> survivors to be emotional (</w:t>
      </w:r>
      <w:bookmarkStart w:id="14" w:name="_Int_Va0IKMr2"/>
      <w:r w:rsidRPr="00B10BE1">
        <w:rPr>
          <w:rFonts w:ascii="Times New Roman" w:eastAsia="Times New Roman" w:hAnsi="Times New Roman" w:cs="Times New Roman"/>
          <w:color w:val="000000"/>
          <w:kern w:val="2"/>
          <w:sz w:val="24"/>
          <w:szCs w:val="24"/>
          <w:lang w:val="en-US"/>
          <w14:ligatures w14:val="standardContextual"/>
        </w:rPr>
        <w:t>p</w:t>
      </w:r>
      <w:bookmarkEnd w:id="14"/>
      <w:r w:rsidRPr="00B10BE1">
        <w:rPr>
          <w:rFonts w:ascii="Times New Roman" w:eastAsia="Times New Roman" w:hAnsi="Times New Roman" w:cs="Times New Roman"/>
          <w:color w:val="000000"/>
          <w:kern w:val="2"/>
          <w:sz w:val="24"/>
          <w:szCs w:val="24"/>
          <w:lang w:val="en-US"/>
          <w14:ligatures w14:val="standardContextual"/>
        </w:rPr>
        <w:t xml:space="preserve"> 4). </w:t>
      </w:r>
    </w:p>
    <w:p w14:paraId="30DE95CF" w14:textId="7AF231D6" w:rsidR="005D08E9" w:rsidRPr="00B10BE1" w:rsidRDefault="005D08E9" w:rsidP="00DF448B">
      <w:pPr>
        <w:spacing w:line="480" w:lineRule="auto"/>
        <w:jc w:val="both"/>
        <w:rPr>
          <w:rFonts w:ascii="Times New Roman" w:eastAsia="Times New Roman" w:hAnsi="Times New Roman" w:cs="Times New Roman"/>
          <w:kern w:val="2"/>
          <w:sz w:val="24"/>
          <w:szCs w:val="24"/>
          <w:lang w:val="en-US"/>
          <w14:ligatures w14:val="standardContextual"/>
        </w:rPr>
      </w:pPr>
      <w:r w:rsidRPr="00B10BE1">
        <w:rPr>
          <w:rFonts w:ascii="Times New Roman" w:eastAsia="Times New Roman" w:hAnsi="Times New Roman" w:cs="Times New Roman"/>
          <w:kern w:val="2"/>
          <w:sz w:val="24"/>
          <w:szCs w:val="24"/>
          <w:lang w:val="en-US"/>
          <w14:ligatures w14:val="standardContextual"/>
        </w:rPr>
        <w:t xml:space="preserve">The current study reported a similarly ambivalent relationship with media. </w:t>
      </w:r>
      <w:r w:rsidRPr="00B10BE1">
        <w:rPr>
          <w:rFonts w:ascii="Times New Roman" w:eastAsia="Times New Roman" w:hAnsi="Times New Roman" w:cs="Times New Roman"/>
          <w:color w:val="000000"/>
          <w:kern w:val="2"/>
          <w:sz w:val="24"/>
          <w:szCs w:val="24"/>
          <w:lang w:val="en-US"/>
          <w14:ligatures w14:val="standardContextual"/>
        </w:rPr>
        <w:t xml:space="preserve">Survivors recognised an interdependence in their relationships with </w:t>
      </w:r>
      <w:r w:rsidR="000B6E4E" w:rsidRPr="00B10BE1">
        <w:rPr>
          <w:rFonts w:ascii="Times New Roman" w:eastAsia="Times New Roman" w:hAnsi="Times New Roman" w:cs="Times New Roman"/>
          <w:color w:val="000000"/>
          <w:kern w:val="2"/>
          <w:sz w:val="24"/>
          <w:szCs w:val="24"/>
          <w:lang w:val="en-US"/>
          <w14:ligatures w14:val="standardContextual"/>
        </w:rPr>
        <w:t>journalists and</w:t>
      </w:r>
      <w:r w:rsidRPr="00B10BE1">
        <w:rPr>
          <w:rFonts w:ascii="Times New Roman" w:eastAsia="Times New Roman" w:hAnsi="Times New Roman" w:cs="Times New Roman"/>
          <w:color w:val="000000"/>
          <w:kern w:val="2"/>
          <w:sz w:val="24"/>
          <w:szCs w:val="24"/>
          <w:lang w:val="en-US"/>
          <w14:ligatures w14:val="standardContextual"/>
        </w:rPr>
        <w:t xml:space="preserve"> sought a broadcast </w:t>
      </w:r>
      <w:r w:rsidRPr="00B10BE1">
        <w:rPr>
          <w:rFonts w:ascii="Times New Roman" w:eastAsia="Times New Roman" w:hAnsi="Times New Roman" w:cs="Times New Roman"/>
          <w:color w:val="000000"/>
          <w:kern w:val="2"/>
          <w:sz w:val="24"/>
          <w:szCs w:val="24"/>
          <w:lang w:val="en-US"/>
          <w14:ligatures w14:val="standardContextual"/>
        </w:rPr>
        <w:lastRenderedPageBreak/>
        <w:t xml:space="preserve">narrative that balanced their personal </w:t>
      </w:r>
      <w:r w:rsidR="00007283" w:rsidRPr="00B10BE1">
        <w:rPr>
          <w:rFonts w:ascii="Times New Roman" w:eastAsia="Times New Roman" w:hAnsi="Times New Roman" w:cs="Times New Roman"/>
          <w:color w:val="000000"/>
          <w:kern w:val="2"/>
          <w:sz w:val="24"/>
          <w:szCs w:val="24"/>
          <w:lang w:val="en-US"/>
          <w14:ligatures w14:val="standardContextual"/>
        </w:rPr>
        <w:t>story</w:t>
      </w:r>
      <w:r w:rsidRPr="00B10BE1">
        <w:rPr>
          <w:rFonts w:ascii="Times New Roman" w:eastAsia="Times New Roman" w:hAnsi="Times New Roman" w:cs="Times New Roman"/>
          <w:color w:val="000000"/>
          <w:kern w:val="2"/>
          <w:sz w:val="24"/>
          <w:szCs w:val="24"/>
          <w:lang w:val="en-US"/>
          <w14:ligatures w14:val="standardContextual"/>
        </w:rPr>
        <w:t xml:space="preserve"> with their campaign points. They </w:t>
      </w:r>
      <w:r w:rsidRPr="00B10BE1">
        <w:rPr>
          <w:rFonts w:ascii="Times New Roman" w:eastAsia="Times New Roman" w:hAnsi="Times New Roman" w:cs="Times New Roman"/>
          <w:kern w:val="2"/>
          <w:sz w:val="24"/>
          <w:szCs w:val="24"/>
          <w:lang w:val="en-US"/>
          <w14:ligatures w14:val="standardContextual"/>
        </w:rPr>
        <w:t xml:space="preserve">felt powerless against large media operators when their story was misrepresented, exaggerated, or exploited. This resulted in anger, a more selective approach towards subsequent media collaboration, and in some cases withdrawal. </w:t>
      </w:r>
    </w:p>
    <w:p w14:paraId="7708DA24" w14:textId="5F543174" w:rsidR="005D08E9" w:rsidRPr="00B10BE1" w:rsidRDefault="005D08E9" w:rsidP="00DF448B">
      <w:pPr>
        <w:spacing w:line="480" w:lineRule="auto"/>
        <w:jc w:val="both"/>
        <w:rPr>
          <w:rFonts w:ascii="Times New Roman" w:eastAsia="Times New Roman" w:hAnsi="Times New Roman" w:cs="Times New Roman"/>
          <w:kern w:val="2"/>
          <w:sz w:val="24"/>
          <w:szCs w:val="24"/>
          <w:lang w:val="en-US"/>
          <w14:ligatures w14:val="standardContextual"/>
        </w:rPr>
      </w:pPr>
      <w:r w:rsidRPr="00B10BE1">
        <w:rPr>
          <w:rFonts w:ascii="Times New Roman" w:eastAsia="Times New Roman" w:hAnsi="Times New Roman" w:cs="Times New Roman"/>
          <w:kern w:val="2"/>
          <w:sz w:val="24"/>
          <w:szCs w:val="24"/>
          <w:lang w:val="en-US"/>
          <w14:ligatures w14:val="standardContextual"/>
        </w:rPr>
        <w:t>Such</w:t>
      </w:r>
      <w:r w:rsidRPr="00B10BE1">
        <w:rPr>
          <w:rFonts w:ascii="Times New Roman" w:eastAsia="Times New Roman" w:hAnsi="Times New Roman" w:cs="Times New Roman"/>
          <w:color w:val="000000"/>
          <w:kern w:val="2"/>
          <w:sz w:val="24"/>
          <w:szCs w:val="24"/>
          <w:lang w:val="en-US"/>
          <w14:ligatures w14:val="standardContextual"/>
        </w:rPr>
        <w:t xml:space="preserve"> withdrawal from media engagement could inhibit both the achievement of campaign goals and the open acknowledgement of suicide (Doka, 1999) thereby limiting the potential for making meaning of the loss. Disempowerment experienced by current participants contrasts with the experiences of bereaved Canadian mothers reported in Morris et al. (2021). </w:t>
      </w:r>
      <w:r w:rsidRPr="00B10BE1">
        <w:rPr>
          <w:rFonts w:ascii="Times New Roman" w:eastAsia="Times New Roman" w:hAnsi="Times New Roman" w:cs="Times New Roman"/>
          <w:kern w:val="2"/>
          <w:sz w:val="24"/>
          <w:szCs w:val="24"/>
          <w:lang w:val="en-US"/>
          <w14:ligatures w14:val="standardContextual"/>
        </w:rPr>
        <w:t>The latter describe highly effective strategies for exerting control over the journalistic narrative and maintaining some power in potentially inequitable media relationships. Activism in response to gambling suicide is a nascent activity</w:t>
      </w:r>
      <w:r w:rsidR="00AF45C9" w:rsidRPr="00B10BE1">
        <w:rPr>
          <w:rFonts w:ascii="Times New Roman" w:eastAsia="Times New Roman" w:hAnsi="Times New Roman" w:cs="Times New Roman"/>
          <w:kern w:val="2"/>
          <w:sz w:val="24"/>
          <w:szCs w:val="24"/>
          <w:lang w:val="en-US"/>
          <w14:ligatures w14:val="standardContextual"/>
        </w:rPr>
        <w:t>. T</w:t>
      </w:r>
      <w:r w:rsidRPr="00B10BE1">
        <w:rPr>
          <w:rFonts w:ascii="Times New Roman" w:eastAsia="Times New Roman" w:hAnsi="Times New Roman" w:cs="Times New Roman"/>
          <w:kern w:val="2"/>
          <w:sz w:val="24"/>
          <w:szCs w:val="24"/>
          <w:lang w:val="en-US"/>
          <w14:ligatures w14:val="standardContextual"/>
        </w:rPr>
        <w:t xml:space="preserve">his contrasts </w:t>
      </w:r>
      <w:r w:rsidR="00FF6AF0" w:rsidRPr="00B10BE1">
        <w:rPr>
          <w:rFonts w:ascii="Times New Roman" w:eastAsia="Times New Roman" w:hAnsi="Times New Roman" w:cs="Times New Roman"/>
          <w:kern w:val="2"/>
          <w:sz w:val="24"/>
          <w:szCs w:val="24"/>
          <w:lang w:val="en-US"/>
          <w14:ligatures w14:val="standardContextual"/>
        </w:rPr>
        <w:t>with campaigning</w:t>
      </w:r>
      <w:r w:rsidRPr="00B10BE1">
        <w:rPr>
          <w:rFonts w:ascii="Times New Roman" w:eastAsia="Times New Roman" w:hAnsi="Times New Roman" w:cs="Times New Roman"/>
          <w:kern w:val="2"/>
          <w:sz w:val="24"/>
          <w:szCs w:val="24"/>
          <w:lang w:val="en-US"/>
          <w14:ligatures w14:val="standardContextual"/>
        </w:rPr>
        <w:t xml:space="preserve"> in relation to substance related bereavement. It is possible that people within the latter demographic have a greater collective experience upon which they can draw.</w:t>
      </w:r>
    </w:p>
    <w:p w14:paraId="4630C7E2" w14:textId="26F6ED5D" w:rsidR="005D08E9" w:rsidRPr="00B10BE1" w:rsidRDefault="005D08E9" w:rsidP="00DF448B">
      <w:pPr>
        <w:spacing w:line="480" w:lineRule="auto"/>
        <w:jc w:val="both"/>
        <w:rPr>
          <w:rFonts w:ascii="Times New Roman" w:eastAsia="Times New Roman" w:hAnsi="Times New Roman" w:cs="Times New Roman"/>
          <w:kern w:val="2"/>
          <w:sz w:val="24"/>
          <w:szCs w:val="24"/>
          <w:lang w:val="en-US"/>
          <w14:ligatures w14:val="standardContextual"/>
        </w:rPr>
      </w:pPr>
      <w:r w:rsidRPr="00B10BE1">
        <w:rPr>
          <w:rFonts w:ascii="Times New Roman" w:eastAsia="Times New Roman" w:hAnsi="Times New Roman" w:cs="Times New Roman"/>
          <w:kern w:val="2"/>
          <w:sz w:val="24"/>
          <w:szCs w:val="24"/>
          <w:lang w:val="en-US"/>
          <w14:ligatures w14:val="standardContextual"/>
        </w:rPr>
        <w:t xml:space="preserve">Mainstream and social media echoing of participant’s campaigning drew rebuttals from </w:t>
      </w:r>
      <w:r w:rsidR="000B6E4E" w:rsidRPr="00B10BE1">
        <w:rPr>
          <w:rFonts w:ascii="Times New Roman" w:eastAsia="Times New Roman" w:hAnsi="Times New Roman" w:cs="Times New Roman"/>
          <w:kern w:val="2"/>
          <w:sz w:val="24"/>
          <w:szCs w:val="24"/>
          <w:lang w:val="en-US"/>
          <w14:ligatures w14:val="standardContextual"/>
        </w:rPr>
        <w:t>politicians,</w:t>
      </w:r>
      <w:r w:rsidRPr="00B10BE1">
        <w:rPr>
          <w:rFonts w:ascii="Times New Roman" w:eastAsia="Times New Roman" w:hAnsi="Times New Roman" w:cs="Times New Roman"/>
          <w:kern w:val="2"/>
          <w:sz w:val="24"/>
          <w:szCs w:val="24"/>
          <w:lang w:val="en-US"/>
          <w14:ligatures w14:val="standardContextual"/>
        </w:rPr>
        <w:t xml:space="preserve"> gambling industry representatives and</w:t>
      </w:r>
      <w:r w:rsidR="005D7AA2" w:rsidRPr="00B10BE1">
        <w:rPr>
          <w:rFonts w:ascii="Times New Roman" w:eastAsia="Times New Roman" w:hAnsi="Times New Roman" w:cs="Times New Roman"/>
          <w:kern w:val="2"/>
          <w:sz w:val="24"/>
          <w:szCs w:val="24"/>
          <w:lang w:val="en-US"/>
          <w14:ligatures w14:val="standardContextual"/>
        </w:rPr>
        <w:t xml:space="preserve"> some</w:t>
      </w:r>
      <w:r w:rsidRPr="00B10BE1">
        <w:rPr>
          <w:rFonts w:ascii="Times New Roman" w:eastAsia="Times New Roman" w:hAnsi="Times New Roman" w:cs="Times New Roman"/>
          <w:kern w:val="2"/>
          <w:sz w:val="24"/>
          <w:szCs w:val="24"/>
          <w:lang w:val="en-US"/>
          <w14:ligatures w14:val="standardContextual"/>
        </w:rPr>
        <w:t xml:space="preserve"> members of the public</w:t>
      </w:r>
      <w:r w:rsidR="00B74A1F" w:rsidRPr="00B10BE1">
        <w:rPr>
          <w:rFonts w:ascii="Times New Roman" w:eastAsia="Times New Roman" w:hAnsi="Times New Roman" w:cs="Times New Roman"/>
          <w:kern w:val="2"/>
          <w:sz w:val="24"/>
          <w:szCs w:val="24"/>
          <w:lang w:val="en-US"/>
          <w14:ligatures w14:val="standardContextual"/>
        </w:rPr>
        <w:t>.</w:t>
      </w:r>
      <w:r w:rsidRPr="00B10BE1">
        <w:rPr>
          <w:rFonts w:ascii="Times New Roman" w:eastAsia="Times New Roman" w:hAnsi="Times New Roman" w:cs="Times New Roman"/>
          <w:kern w:val="2"/>
          <w:sz w:val="24"/>
          <w:szCs w:val="24"/>
          <w:lang w:val="en-US"/>
          <w14:ligatures w14:val="standardContextual"/>
        </w:rPr>
        <w:t xml:space="preserve"> </w:t>
      </w:r>
      <w:r w:rsidR="00B74A1F" w:rsidRPr="00B10BE1">
        <w:rPr>
          <w:rFonts w:ascii="Times New Roman" w:eastAsia="Times New Roman" w:hAnsi="Times New Roman" w:cs="Times New Roman"/>
          <w:kern w:val="2"/>
          <w:sz w:val="24"/>
          <w:szCs w:val="24"/>
          <w:lang w:val="en-US"/>
          <w14:ligatures w14:val="standardContextual"/>
        </w:rPr>
        <w:t>Some</w:t>
      </w:r>
      <w:r w:rsidRPr="00B10BE1">
        <w:rPr>
          <w:rFonts w:ascii="Times New Roman" w:eastAsia="Times New Roman" w:hAnsi="Times New Roman" w:cs="Times New Roman"/>
          <w:kern w:val="2"/>
          <w:sz w:val="24"/>
          <w:szCs w:val="24"/>
          <w:lang w:val="en-US"/>
          <w14:ligatures w14:val="standardContextual"/>
        </w:rPr>
        <w:t xml:space="preserve"> saw increased regulatory curbs as an incursion on their liberties. Dorfman and Krasnow (2014, p.296) describe “framing” as the way in which people interpret new information against their existing values. Understanding the “default frame” (p.296) of the recipient demographic is crucial to media-based campaigning. Dorfman and Krasnow (p.296) describe an American “rugged individualism,” characterised by a perception of personal responsibility. This is analogous with the libertarian approach adopted by many gambling industry proponents in Britain </w:t>
      </w:r>
      <w:sdt>
        <w:sdtPr>
          <w:rPr>
            <w:rFonts w:ascii="Times New Roman" w:eastAsia="Times New Roman" w:hAnsi="Times New Roman" w:cs="Times New Roman"/>
            <w:kern w:val="2"/>
            <w:sz w:val="24"/>
            <w:szCs w:val="24"/>
            <w:lang w:val="en-US"/>
            <w14:ligatures w14:val="standardContextual"/>
          </w:rPr>
          <w:alias w:val="Citation"/>
          <w:tag w:val="{&quot;referencesIds&quot;:[&quot;doc:6682a341f884bd7c440da06e&quot;],&quot;referencesOptions&quot;:{&quot;doc:6682a341f884bd7c440da06e&quot;:{&quot;author&quot;:true,&quot;year&quot;:true,&quot;pageReplace&quot;:&quot;&quot;,&quot;prefix&quot;:&quot;&quot;,&quot;suffix&quot;:&quot;&quot;}},&quot;hasBrokenReferences&quot;:false,&quot;hasManualEdits&quot;:false,&quot;citationType&quot;:&quot;inline&quot;,&quot;id&quot;:1712614406,&quot;citationText&quot;:&quot;&lt;span style=\&quot;font-family:Verdana;font-size:14.666666666666666px;color:#000000\&quot;&gt;(Reith &amp;amp; Wardle, 2022)&lt;/span&gt;&quot;}"/>
          <w:id w:val="1712614406"/>
          <w:placeholder>
            <w:docPart w:val="7DDC187811F441D987324AAE5CA99596"/>
          </w:placeholder>
        </w:sdtPr>
        <w:sdtEndPr/>
        <w:sdtContent>
          <w:r w:rsidRPr="00B10BE1">
            <w:rPr>
              <w:rFonts w:ascii="Times New Roman" w:eastAsia="Times New Roman" w:hAnsi="Times New Roman" w:cs="Times New Roman"/>
              <w:kern w:val="2"/>
              <w:sz w:val="24"/>
              <w:szCs w:val="24"/>
              <w14:ligatures w14:val="standardContextual"/>
            </w:rPr>
            <w:t>(Reith &amp; Wardle, 2022)</w:t>
          </w:r>
        </w:sdtContent>
      </w:sdt>
      <w:r w:rsidRPr="00B10BE1">
        <w:rPr>
          <w:rFonts w:ascii="Times New Roman" w:eastAsia="Times New Roman" w:hAnsi="Times New Roman" w:cs="Times New Roman"/>
          <w:kern w:val="2"/>
          <w:sz w:val="24"/>
          <w:szCs w:val="24"/>
          <w:lang w:val="en-US"/>
          <w14:ligatures w14:val="standardContextual"/>
        </w:rPr>
        <w:t xml:space="preserve">. </w:t>
      </w:r>
    </w:p>
    <w:p w14:paraId="7C6787C2" w14:textId="043C7D7C" w:rsidR="005D08E9" w:rsidRPr="00B10BE1" w:rsidRDefault="00F50925" w:rsidP="00DF448B">
      <w:pPr>
        <w:spacing w:line="480" w:lineRule="auto"/>
        <w:jc w:val="both"/>
        <w:rPr>
          <w:rFonts w:ascii="Times New Roman" w:eastAsia="Times New Roman" w:hAnsi="Times New Roman" w:cs="Times New Roman"/>
          <w:kern w:val="2"/>
          <w:sz w:val="24"/>
          <w:szCs w:val="24"/>
          <w:lang w:val="en-US"/>
          <w14:ligatures w14:val="standardContextual"/>
        </w:rPr>
      </w:pPr>
      <w:r w:rsidRPr="00B10BE1">
        <w:rPr>
          <w:rFonts w:ascii="Times New Roman" w:eastAsia="Times New Roman" w:hAnsi="Times New Roman" w:cs="Times New Roman"/>
          <w:kern w:val="2"/>
          <w:sz w:val="24"/>
          <w:szCs w:val="24"/>
          <w:lang w:val="en-US"/>
          <w14:ligatures w14:val="standardContextual"/>
        </w:rPr>
        <w:t xml:space="preserve">Participant’s criticism of the gambling establishment was often mirrored back at them via adversarial posts on social media. Counter arguments would </w:t>
      </w:r>
      <w:r w:rsidR="005D08E9" w:rsidRPr="00B10BE1">
        <w:rPr>
          <w:rFonts w:ascii="Times New Roman" w:eastAsia="Times New Roman" w:hAnsi="Times New Roman" w:cs="Times New Roman"/>
          <w:kern w:val="2"/>
          <w:sz w:val="24"/>
          <w:szCs w:val="24"/>
          <w:lang w:val="en-US"/>
          <w14:ligatures w14:val="standardContextual"/>
        </w:rPr>
        <w:t xml:space="preserve">reassert the frame of individual </w:t>
      </w:r>
      <w:r w:rsidR="005D08E9" w:rsidRPr="00B10BE1">
        <w:rPr>
          <w:rFonts w:ascii="Times New Roman" w:eastAsia="Times New Roman" w:hAnsi="Times New Roman" w:cs="Times New Roman"/>
          <w:kern w:val="2"/>
          <w:sz w:val="24"/>
          <w:szCs w:val="24"/>
          <w:lang w:val="en-US"/>
          <w14:ligatures w14:val="standardContextual"/>
        </w:rPr>
        <w:lastRenderedPageBreak/>
        <w:t xml:space="preserve">responsibility, challenging the survivor’s belief of gambling as the cause of death. This reflects experiences in the Canadian research (Morris et al. 2021), where participants experienced vulnerability following social media posts from “anonymous online trolls” (p.5). Although challenges to the reasons for the suicide could potentiate renewed distress in the survivor, the current study reported that it provided further motivation for activism, potentially enhancing growth and making meaning of their post-suicide life. </w:t>
      </w:r>
    </w:p>
    <w:p w14:paraId="31559993" w14:textId="77777777" w:rsidR="00FF6AF0" w:rsidRPr="00B10BE1" w:rsidRDefault="00FF6AF0" w:rsidP="00DF448B">
      <w:pPr>
        <w:spacing w:line="480" w:lineRule="auto"/>
        <w:jc w:val="both"/>
        <w:rPr>
          <w:rFonts w:ascii="Times New Roman" w:eastAsia="Times New Roman" w:hAnsi="Times New Roman" w:cs="Times New Roman"/>
          <w:color w:val="000000"/>
          <w:kern w:val="2"/>
          <w:sz w:val="24"/>
          <w:szCs w:val="24"/>
          <w:lang w:val="en-US"/>
          <w14:ligatures w14:val="standardContextual"/>
        </w:rPr>
      </w:pPr>
    </w:p>
    <w:p w14:paraId="5261E708" w14:textId="40B315BC" w:rsidR="005D08E9" w:rsidRPr="00B10BE1" w:rsidRDefault="005D08E9" w:rsidP="00DF448B">
      <w:pPr>
        <w:spacing w:line="480" w:lineRule="auto"/>
        <w:jc w:val="both"/>
        <w:rPr>
          <w:rFonts w:ascii="Times New Roman" w:eastAsia="Times New Roman" w:hAnsi="Times New Roman" w:cs="Times New Roman"/>
          <w:color w:val="000000"/>
          <w:kern w:val="2"/>
          <w:sz w:val="24"/>
          <w:szCs w:val="24"/>
          <w:lang w:val="en-US"/>
          <w14:ligatures w14:val="standardContextual"/>
        </w:rPr>
      </w:pPr>
      <w:r w:rsidRPr="00B10BE1">
        <w:rPr>
          <w:rFonts w:ascii="Times New Roman" w:eastAsia="Times New Roman" w:hAnsi="Times New Roman" w:cs="Times New Roman"/>
          <w:color w:val="000000"/>
          <w:kern w:val="2"/>
          <w:sz w:val="24"/>
          <w:szCs w:val="24"/>
          <w:lang w:val="en-US"/>
          <w14:ligatures w14:val="standardContextual"/>
        </w:rPr>
        <w:t xml:space="preserve">The current study pointed to strong ‘continuing bonds’ between survivors of the suicides and their late loved ones following the death. The continuing bonds approach to grief involves the survivor creating an evolving ongoing post-death relationship with the deceased (Klass et al., 1996). This challenges the belief initially posited by Freud (1917) that severing connections to the deceased facilitates adaptation to the loss. The fluid nature of the post-death relationship represents a shift from representations of grief as a linear process posited by Bowlby and Parkes (1970) and subsequently popularised by Kubler-Ross (1969). </w:t>
      </w:r>
    </w:p>
    <w:p w14:paraId="10E907C8" w14:textId="4F19D07D" w:rsidR="005D08E9" w:rsidRPr="00B10BE1" w:rsidRDefault="005D08E9" w:rsidP="00DF448B">
      <w:pPr>
        <w:spacing w:line="480" w:lineRule="auto"/>
        <w:jc w:val="both"/>
        <w:rPr>
          <w:rFonts w:ascii="Times New Roman" w:eastAsia="Aptos" w:hAnsi="Times New Roman" w:cs="Times New Roman"/>
          <w:color w:val="000000"/>
          <w:kern w:val="2"/>
          <w:sz w:val="24"/>
          <w:szCs w:val="24"/>
          <w:shd w:val="clear" w:color="auto" w:fill="FFFFFF"/>
          <w:lang w:val="en-US"/>
          <w14:ligatures w14:val="standardContextual"/>
        </w:rPr>
      </w:pPr>
      <w:r w:rsidRPr="00B10BE1">
        <w:rPr>
          <w:rFonts w:ascii="Times New Roman" w:eastAsia="Times New Roman" w:hAnsi="Times New Roman" w:cs="Times New Roman"/>
          <w:kern w:val="2"/>
          <w:sz w:val="24"/>
          <w:szCs w:val="24"/>
          <w:lang w:val="en-US"/>
          <w14:ligatures w14:val="standardContextual"/>
        </w:rPr>
        <w:t>Continuing bonds can manifest in manifold ways: keeping photographs</w:t>
      </w:r>
      <w:r w:rsidR="001A6829" w:rsidRPr="00B10BE1">
        <w:rPr>
          <w:rFonts w:ascii="Times New Roman" w:eastAsia="Times New Roman" w:hAnsi="Times New Roman" w:cs="Times New Roman"/>
          <w:kern w:val="2"/>
          <w:sz w:val="24"/>
          <w:szCs w:val="24"/>
          <w:lang w:val="en-US"/>
          <w14:ligatures w14:val="standardContextual"/>
        </w:rPr>
        <w:t xml:space="preserve"> or </w:t>
      </w:r>
      <w:r w:rsidRPr="00B10BE1">
        <w:rPr>
          <w:rFonts w:ascii="Times New Roman" w:eastAsia="Times New Roman" w:hAnsi="Times New Roman" w:cs="Times New Roman"/>
          <w:kern w:val="2"/>
          <w:sz w:val="24"/>
          <w:szCs w:val="24"/>
          <w:lang w:val="en-US"/>
          <w14:ligatures w14:val="standardContextual"/>
        </w:rPr>
        <w:t>treasured possession</w:t>
      </w:r>
      <w:r w:rsidR="001A6829" w:rsidRPr="00B10BE1">
        <w:rPr>
          <w:rFonts w:ascii="Times New Roman" w:eastAsia="Times New Roman" w:hAnsi="Times New Roman" w:cs="Times New Roman"/>
          <w:kern w:val="2"/>
          <w:sz w:val="24"/>
          <w:szCs w:val="24"/>
          <w:lang w:val="en-US"/>
          <w14:ligatures w14:val="standardContextual"/>
        </w:rPr>
        <w:t>s</w:t>
      </w:r>
      <w:r w:rsidRPr="00B10BE1">
        <w:rPr>
          <w:rFonts w:ascii="Times New Roman" w:eastAsia="Times New Roman" w:hAnsi="Times New Roman" w:cs="Times New Roman"/>
          <w:kern w:val="2"/>
          <w:sz w:val="24"/>
          <w:szCs w:val="24"/>
          <w:lang w:val="en-US"/>
          <w14:ligatures w14:val="standardContextual"/>
        </w:rPr>
        <w:t xml:space="preserve">; celebrating birthdays; attending events enjoyed by the late relative </w:t>
      </w:r>
      <w:sdt>
        <w:sdtPr>
          <w:rPr>
            <w:rFonts w:ascii="Times New Roman" w:eastAsia="Aptos" w:hAnsi="Times New Roman" w:cs="Times New Roman"/>
            <w:kern w:val="2"/>
            <w:sz w:val="24"/>
            <w:szCs w:val="24"/>
            <w14:ligatures w14:val="standardContextual"/>
          </w:rPr>
          <w:alias w:val="Citation"/>
          <w:tag w:val="{&quot;referencesIds&quot;:[&quot;doc:6666bf5441e0292cdc98ed23&quot;],&quot;referencesOptions&quot;:{&quot;doc:6666bf5441e0292cdc98ed23&quot;:{&quot;author&quot;:true,&quot;year&quot;:true,&quot;pageReplace&quot;:&quot;&quot;,&quot;prefix&quot;:&quot;&quot;,&quot;suffix&quot;:&quot;&quot;}},&quot;hasBrokenReferences&quot;:false,&quot;hasManualEdits&quot;:false,&quot;citationType&quot;:&quot;inline&quot;,&quot;id&quot;:848231432,&quot;citationText&quot;:&quot;&lt;span style=\&quot;font-family:Verdana;font-size:14.666666666666666px;color:#000000\&quot;&gt;(Lynn Gall et al., 2015)&lt;/span&gt;&quot;}"/>
          <w:id w:val="516422259"/>
          <w:placeholder>
            <w:docPart w:val="97A7C72B3A34420382F1661E213ED12F"/>
          </w:placeholder>
        </w:sdtPr>
        <w:sdtEndPr/>
        <w:sdtContent>
          <w:r w:rsidRPr="00B10BE1">
            <w:rPr>
              <w:rFonts w:ascii="Times New Roman" w:eastAsia="Times New Roman" w:hAnsi="Times New Roman" w:cs="Times New Roman"/>
              <w:color w:val="000000"/>
              <w:kern w:val="2"/>
              <w:sz w:val="24"/>
              <w:szCs w:val="24"/>
              <w14:ligatures w14:val="standardContextual"/>
            </w:rPr>
            <w:t>(Lynn Gall et al., 2015)</w:t>
          </w:r>
        </w:sdtContent>
      </w:sdt>
      <w:r w:rsidRPr="00B10BE1">
        <w:rPr>
          <w:rFonts w:ascii="Times New Roman" w:eastAsia="Aptos" w:hAnsi="Times New Roman" w:cs="Times New Roman"/>
          <w:kern w:val="2"/>
          <w:sz w:val="24"/>
          <w:szCs w:val="24"/>
          <w14:ligatures w14:val="standardContextual"/>
        </w:rPr>
        <w:t xml:space="preserve">, </w:t>
      </w:r>
      <w:r w:rsidRPr="00B10BE1">
        <w:rPr>
          <w:rFonts w:ascii="Times New Roman" w:eastAsia="Times New Roman" w:hAnsi="Times New Roman" w:cs="Times New Roman"/>
          <w:kern w:val="2"/>
          <w:sz w:val="24"/>
          <w:szCs w:val="24"/>
          <w:lang w:val="en-US"/>
          <w14:ligatures w14:val="standardContextual"/>
        </w:rPr>
        <w:t xml:space="preserve">or maintaining the loved one’s social media presence </w:t>
      </w:r>
      <w:sdt>
        <w:sdtPr>
          <w:rPr>
            <w:rFonts w:ascii="Times New Roman" w:eastAsia="Aptos" w:hAnsi="Times New Roman" w:cs="Times New Roman"/>
            <w:kern w:val="2"/>
            <w:sz w:val="24"/>
            <w:szCs w:val="24"/>
            <w14:ligatures w14:val="standardContextual"/>
          </w:rPr>
          <w:alias w:val="Citation"/>
          <w:tag w:val="{&quot;referencesIds&quot;:[&quot;doc:66680e4dc4c6096b89e0c8f8&quot;],&quot;referencesOptions&quot;:{&quot;doc:66680e4dc4c6096b89e0c8f8&quot;:{&quot;author&quot;:true,&quot;year&quot;:true,&quot;pageReplace&quot;:&quot;&quot;,&quot;prefix&quot;:&quot;&quot;,&quot;suffix&quot;:&quot;&quot;}},&quot;hasBrokenReferences&quot;:false,&quot;hasManualEdits&quot;:false,&quot;citationType&quot;:&quot;inline&quot;,&quot;id&quot;:1815784306,&quot;citationText&quot;:&quot;&lt;span style=\&quot;font-family:Verdana;font-size:14.666666666666666px;color:#000000\&quot;&gt;(Bell et al., 2015)&lt;/span&gt;&quot;}"/>
          <w:id w:val="2092886761"/>
          <w:placeholder>
            <w:docPart w:val="97A7C72B3A34420382F1661E213ED12F"/>
          </w:placeholder>
        </w:sdtPr>
        <w:sdtEndPr/>
        <w:sdtContent>
          <w:r w:rsidRPr="00B10BE1">
            <w:rPr>
              <w:rFonts w:ascii="Times New Roman" w:eastAsia="Times New Roman" w:hAnsi="Times New Roman" w:cs="Times New Roman"/>
              <w:color w:val="000000"/>
              <w:kern w:val="2"/>
              <w:sz w:val="24"/>
              <w:szCs w:val="24"/>
              <w14:ligatures w14:val="standardContextual"/>
            </w:rPr>
            <w:t>(Bell et al., 2015)</w:t>
          </w:r>
        </w:sdtContent>
      </w:sdt>
      <w:r w:rsidRPr="00B10BE1">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sz w:val="24"/>
          <w:szCs w:val="24"/>
          <w14:ligatures w14:val="standardContextual"/>
        </w:rPr>
        <w:t xml:space="preserve">Field and Filanosky (2009) describe two categories of continuing bonds. Externalised bonds may manifest as vividly </w:t>
      </w:r>
      <w:r w:rsidR="000B6E4E" w:rsidRPr="00B10BE1">
        <w:rPr>
          <w:rFonts w:ascii="Times New Roman" w:eastAsia="Aptos" w:hAnsi="Times New Roman" w:cs="Times New Roman"/>
          <w:sz w:val="24"/>
          <w:szCs w:val="24"/>
          <w14:ligatures w14:val="standardContextual"/>
        </w:rPr>
        <w:t>seeing or</w:t>
      </w:r>
      <w:r w:rsidRPr="00B10BE1">
        <w:rPr>
          <w:rFonts w:ascii="Times New Roman" w:eastAsia="Aptos" w:hAnsi="Times New Roman" w:cs="Times New Roman"/>
          <w:sz w:val="24"/>
          <w:szCs w:val="24"/>
          <w14:ligatures w14:val="standardContextual"/>
        </w:rPr>
        <w:t xml:space="preserve"> hearing the voice of the deceased. Internalised continuing bonds could include sharing memories of the deceased with other people or imagining sharing a special event with the deceased </w:t>
      </w:r>
      <w:sdt>
        <w:sdtPr>
          <w:rPr>
            <w:rFonts w:ascii="Times New Roman" w:eastAsia="Aptos" w:hAnsi="Times New Roman" w:cs="Times New Roman"/>
            <w:color w:val="000000"/>
            <w:sz w:val="24"/>
            <w:szCs w:val="24"/>
            <w14:ligatures w14:val="standardContextual"/>
          </w:rPr>
          <w:alias w:val="Citation"/>
          <w:tag w:val="{&quot;referencesIds&quot;:[&quot;doc:66b79570f85b9243a5053eb8&quot;],&quot;referencesOptions&quot;:{&quot;doc:66b79570f85b9243a5053eb8&quot;:{&quot;author&quot;:true,&quot;year&quot;:true,&quot;pageReplace&quot;:&quot;&quot;,&quot;prefix&quot;:&quot;&quot;,&quot;suffix&quot;:&quot;&quot;}},&quot;hasBrokenReferences&quot;:false,&quot;hasManualEdits&quot;:false,&quot;citationType&quot;:&quot;inline&quot;}"/>
          <w:id w:val="-1677958545"/>
          <w:placeholder>
            <w:docPart w:val="115B35AA06CD4EED8A9305FF212EE405"/>
          </w:placeholder>
        </w:sdtPr>
        <w:sdtEndPr/>
        <w:sdtContent>
          <w:r w:rsidRPr="00B10BE1">
            <w:rPr>
              <w:rFonts w:ascii="Times New Roman" w:eastAsia="Times New Roman" w:hAnsi="Times New Roman" w:cs="Times New Roman"/>
              <w:color w:val="000000"/>
              <w:kern w:val="2"/>
              <w:sz w:val="24"/>
              <w:szCs w:val="24"/>
              <w14:ligatures w14:val="standardContextual"/>
            </w:rPr>
            <w:t>(Black et al., 2022)</w:t>
          </w:r>
        </w:sdtContent>
      </w:sdt>
      <w:r w:rsidRPr="00B10BE1">
        <w:rPr>
          <w:rFonts w:ascii="Times New Roman" w:eastAsia="Aptos" w:hAnsi="Times New Roman" w:cs="Times New Roman"/>
          <w:sz w:val="24"/>
          <w:szCs w:val="24"/>
          <w14:ligatures w14:val="standardContextual"/>
        </w:rPr>
        <w:t xml:space="preserve"> Field and Filanosky (2009) suggest that internalised continuing bonds have a positive association with the post traumatic growth of the survivor.</w:t>
      </w:r>
      <w:r w:rsidRPr="00B10BE1">
        <w:rPr>
          <w:rFonts w:ascii="Times New Roman" w:eastAsia="Aptos" w:hAnsi="Times New Roman" w:cs="Times New Roman"/>
          <w:color w:val="000000"/>
          <w:kern w:val="2"/>
          <w:sz w:val="24"/>
          <w:szCs w:val="24"/>
          <w:shd w:val="clear" w:color="auto" w:fill="FFFFFF"/>
          <w:lang w:val="en-US"/>
          <w14:ligatures w14:val="standardContextual"/>
        </w:rPr>
        <w:t xml:space="preserve"> </w:t>
      </w:r>
    </w:p>
    <w:p w14:paraId="56DC5062" w14:textId="77777777" w:rsidR="005D08E9" w:rsidRPr="00B10BE1" w:rsidRDefault="005D08E9" w:rsidP="00DF448B">
      <w:pPr>
        <w:spacing w:line="480" w:lineRule="auto"/>
        <w:jc w:val="both"/>
        <w:rPr>
          <w:rFonts w:ascii="Times New Roman" w:eastAsia="Times New Roman" w:hAnsi="Times New Roman" w:cs="Times New Roman"/>
          <w:kern w:val="2"/>
          <w:sz w:val="24"/>
          <w:szCs w:val="24"/>
          <w:lang w:val="en-US"/>
          <w14:ligatures w14:val="standardContextual"/>
        </w:rPr>
      </w:pPr>
      <w:r w:rsidRPr="00B10BE1">
        <w:rPr>
          <w:rFonts w:ascii="Times New Roman" w:eastAsia="Aptos" w:hAnsi="Times New Roman" w:cs="Times New Roman"/>
          <w:color w:val="000000"/>
          <w:kern w:val="2"/>
          <w:sz w:val="24"/>
          <w:szCs w:val="24"/>
          <w:shd w:val="clear" w:color="auto" w:fill="FFFFFF"/>
          <w:lang w:val="en-US"/>
          <w14:ligatures w14:val="standardContextual"/>
        </w:rPr>
        <w:lastRenderedPageBreak/>
        <w:t>Root and Exline (2014) suggest that continuing bonds are most adaptive when the relationship between the survivor and their late loved one can evolve and be continually re-evaluated.</w:t>
      </w:r>
      <w:r w:rsidRPr="00B10BE1">
        <w:rPr>
          <w:rFonts w:ascii="Times New Roman" w:eastAsia="Aptos" w:hAnsi="Times New Roman" w:cs="Times New Roman"/>
          <w:sz w:val="24"/>
          <w:szCs w:val="24"/>
          <w14:ligatures w14:val="standardContextual"/>
        </w:rPr>
        <w:t xml:space="preserve"> Activism is not expressed as a continuing bond within existing research. </w:t>
      </w:r>
      <w:r w:rsidRPr="00B10BE1">
        <w:rPr>
          <w:rFonts w:ascii="Times New Roman" w:eastAsia="Times New Roman" w:hAnsi="Times New Roman" w:cs="Times New Roman"/>
          <w:kern w:val="2"/>
          <w:sz w:val="24"/>
          <w:szCs w:val="24"/>
          <w:lang w:val="en-US"/>
          <w14:ligatures w14:val="standardContextual"/>
        </w:rPr>
        <w:t xml:space="preserve">Findings from the current study, however, </w:t>
      </w:r>
      <w:bookmarkStart w:id="15" w:name="_Int_ibztBGDI"/>
      <w:r w:rsidRPr="00B10BE1">
        <w:rPr>
          <w:rFonts w:ascii="Times New Roman" w:eastAsia="Times New Roman" w:hAnsi="Times New Roman" w:cs="Times New Roman"/>
          <w:kern w:val="2"/>
          <w:sz w:val="24"/>
          <w:szCs w:val="24"/>
          <w:lang w:val="en-US"/>
          <w14:ligatures w14:val="standardContextual"/>
        </w:rPr>
        <w:t>illustrate</w:t>
      </w:r>
      <w:bookmarkEnd w:id="15"/>
      <w:r w:rsidRPr="00B10BE1">
        <w:rPr>
          <w:rFonts w:ascii="Times New Roman" w:eastAsia="Times New Roman" w:hAnsi="Times New Roman" w:cs="Times New Roman"/>
          <w:kern w:val="2"/>
          <w:sz w:val="24"/>
          <w:szCs w:val="24"/>
          <w:lang w:val="en-US"/>
          <w14:ligatures w14:val="standardContextual"/>
        </w:rPr>
        <w:t xml:space="preserve"> how the act of campaigning invokes a strong and dynamic presence of the late loved one in the life of the survivor, constituting a strong internalized continuing bond. </w:t>
      </w:r>
    </w:p>
    <w:p w14:paraId="5D049970" w14:textId="47282ECD" w:rsidR="005D08E9" w:rsidRPr="00B10BE1" w:rsidRDefault="005D08E9" w:rsidP="00DF448B">
      <w:pPr>
        <w:spacing w:line="480" w:lineRule="auto"/>
        <w:jc w:val="both"/>
        <w:rPr>
          <w:rFonts w:ascii="Times New Roman" w:eastAsia="Aptos" w:hAnsi="Times New Roman" w:cs="Times New Roman"/>
          <w:color w:val="000000"/>
          <w:kern w:val="2"/>
          <w:sz w:val="24"/>
          <w:szCs w:val="24"/>
          <w:shd w:val="clear" w:color="auto" w:fill="FFFFFF"/>
          <w:lang w:val="en-US"/>
          <w14:ligatures w14:val="standardContextual"/>
        </w:rPr>
      </w:pPr>
      <w:r w:rsidRPr="00B10BE1">
        <w:rPr>
          <w:rFonts w:ascii="Times New Roman" w:eastAsia="Aptos" w:hAnsi="Times New Roman" w:cs="Times New Roman"/>
          <w:kern w:val="2"/>
          <w:sz w:val="24"/>
          <w:szCs w:val="24"/>
          <w14:ligatures w14:val="standardContextual"/>
        </w:rPr>
        <w:t>Three participants in the current study saw activism as a joint enterprise with their late loved one. Two described having dialogues where they imagined their late relatives’</w:t>
      </w:r>
      <w:r w:rsidR="00B74A1F" w:rsidRPr="00B10BE1">
        <w:rPr>
          <w:rFonts w:ascii="Times New Roman" w:eastAsia="Aptos" w:hAnsi="Times New Roman" w:cs="Times New Roman"/>
          <w:kern w:val="2"/>
          <w:sz w:val="24"/>
          <w:szCs w:val="24"/>
          <w14:ligatures w14:val="standardContextual"/>
        </w:rPr>
        <w:t xml:space="preserve"> </w:t>
      </w:r>
      <w:r w:rsidRPr="00B10BE1">
        <w:rPr>
          <w:rFonts w:ascii="Times New Roman" w:eastAsia="Aptos" w:hAnsi="Times New Roman" w:cs="Times New Roman"/>
          <w:kern w:val="2"/>
          <w:sz w:val="24"/>
          <w:szCs w:val="24"/>
          <w14:ligatures w14:val="standardContextual"/>
        </w:rPr>
        <w:t xml:space="preserve">responses to their campaign activity. The postvention work of two participants invoked the perceived approval of their late relative.  </w:t>
      </w:r>
      <w:r w:rsidRPr="00B10BE1">
        <w:rPr>
          <w:rFonts w:ascii="Times New Roman" w:eastAsia="Aptos" w:hAnsi="Times New Roman" w:cs="Times New Roman"/>
          <w:color w:val="000000"/>
          <w:kern w:val="2"/>
          <w:sz w:val="24"/>
          <w:szCs w:val="24"/>
          <w:shd w:val="clear" w:color="auto" w:fill="FFFFFF"/>
          <w:lang w:val="en-US"/>
          <w14:ligatures w14:val="standardContextual"/>
        </w:rPr>
        <w:t xml:space="preserve">A large volume of research points to the normative nature and positive impacts of continuing bonds (Andriessen et al., 2022; Entilli et al., 2021). Levi​​-Belz, (2017)​, however, suggests that continuing bonds can foster a preoccupation with the deceased and impede the survivor’s access to new and helpful relationships. </w:t>
      </w:r>
    </w:p>
    <w:p w14:paraId="4C461759" w14:textId="77777777" w:rsidR="005147E1" w:rsidRPr="00B10BE1" w:rsidRDefault="005D08E9" w:rsidP="005147E1">
      <w:pPr>
        <w:spacing w:line="480" w:lineRule="auto"/>
        <w:jc w:val="both"/>
        <w:rPr>
          <w:rFonts w:ascii="Times New Roman" w:eastAsia="Aptos" w:hAnsi="Times New Roman" w:cs="Times New Roman"/>
          <w:color w:val="000000"/>
          <w:kern w:val="2"/>
          <w:sz w:val="24"/>
          <w:szCs w:val="24"/>
          <w:shd w:val="clear" w:color="auto" w:fill="FFFFFF"/>
          <w:lang w:val="en-US"/>
          <w14:ligatures w14:val="standardContextual"/>
        </w:rPr>
      </w:pPr>
      <w:r w:rsidRPr="00B10BE1">
        <w:rPr>
          <w:rFonts w:ascii="Times New Roman" w:eastAsia="Aptos" w:hAnsi="Times New Roman" w:cs="Times New Roman"/>
          <w:color w:val="000000"/>
          <w:kern w:val="2"/>
          <w:sz w:val="24"/>
          <w:szCs w:val="24"/>
          <w:shd w:val="clear" w:color="auto" w:fill="FFFFFF"/>
          <w:lang w:val="en-US"/>
          <w14:ligatures w14:val="standardContextual"/>
        </w:rPr>
        <w:t xml:space="preserve">Adams et al. </w:t>
      </w:r>
      <w:r w:rsidR="00B74A1F" w:rsidRPr="00B10BE1">
        <w:rPr>
          <w:rFonts w:ascii="Times New Roman" w:eastAsia="Aptos" w:hAnsi="Times New Roman" w:cs="Times New Roman"/>
          <w:color w:val="000000"/>
          <w:kern w:val="2"/>
          <w:sz w:val="24"/>
          <w:szCs w:val="24"/>
          <w:shd w:val="clear" w:color="auto" w:fill="FFFFFF"/>
          <w:lang w:val="en-US"/>
          <w14:ligatures w14:val="standardContextual"/>
        </w:rPr>
        <w:t>(</w:t>
      </w:r>
      <w:r w:rsidRPr="00B10BE1">
        <w:rPr>
          <w:rFonts w:ascii="Times New Roman" w:eastAsia="Aptos" w:hAnsi="Times New Roman" w:cs="Times New Roman"/>
          <w:color w:val="000000"/>
          <w:kern w:val="2"/>
          <w:sz w:val="24"/>
          <w:szCs w:val="24"/>
          <w:shd w:val="clear" w:color="auto" w:fill="FFFFFF"/>
          <w:lang w:val="en-US"/>
          <w14:ligatures w14:val="standardContextual"/>
        </w:rPr>
        <w:t xml:space="preserve">2019) point to the risk that survivors may perceive a responsibility to live vicariously for their loved one. Levi-Belz and Ben-Yaish (2022) identify the possibility that continuing bonds might prolong the feelings of guilt, regret and anger that characterize suicide loss, in particular. </w:t>
      </w:r>
    </w:p>
    <w:p w14:paraId="1AD94453" w14:textId="10E34E59" w:rsidR="005147E1" w:rsidRPr="00B10BE1" w:rsidRDefault="005147E1" w:rsidP="005147E1">
      <w:pPr>
        <w:spacing w:line="480" w:lineRule="auto"/>
        <w:jc w:val="both"/>
        <w:rPr>
          <w:rFonts w:ascii="Times New Roman" w:eastAsia="Aptos" w:hAnsi="Times New Roman" w:cs="Times New Roman"/>
          <w:kern w:val="2"/>
          <w:sz w:val="24"/>
          <w:szCs w:val="24"/>
          <w:shd w:val="clear" w:color="auto" w:fill="FFFFFF"/>
          <w:lang w:val="en-US"/>
          <w14:ligatures w14:val="standardContextual"/>
        </w:rPr>
      </w:pPr>
      <w:r w:rsidRPr="00B10BE1">
        <w:rPr>
          <w:rFonts w:ascii="Times New Roman" w:eastAsia="Aptos" w:hAnsi="Times New Roman" w:cs="Times New Roman"/>
          <w:sz w:val="24"/>
          <w:szCs w:val="24"/>
          <w14:ligatures w14:val="standardContextual"/>
        </w:rPr>
        <w:t>Goodall et al. (2022) recognise time since bereavement as a predictor of the efficacy of continuing bonds</w:t>
      </w:r>
      <w:r w:rsidRPr="00B10BE1">
        <w:rPr>
          <w:rFonts w:ascii="Times New Roman" w:eastAsia="Aptos" w:hAnsi="Times New Roman" w:cs="Times New Roman"/>
          <w:kern w:val="2"/>
          <w:sz w:val="24"/>
          <w:szCs w:val="24"/>
          <w:shd w:val="clear" w:color="auto" w:fill="FFFFFF"/>
          <w:lang w:val="en-US"/>
          <w14:ligatures w14:val="standardContextual"/>
        </w:rPr>
        <w:t xml:space="preserve">. In the current study, the activism of the most recently bereaved participant was </w:t>
      </w:r>
      <w:r w:rsidR="001551A5" w:rsidRPr="00B10BE1">
        <w:rPr>
          <w:rFonts w:ascii="Times New Roman" w:eastAsia="Aptos" w:hAnsi="Times New Roman" w:cs="Times New Roman"/>
          <w:kern w:val="2"/>
          <w:sz w:val="24"/>
          <w:szCs w:val="24"/>
          <w:shd w:val="clear" w:color="auto" w:fill="FFFFFF"/>
          <w:lang w:val="en-US"/>
          <w14:ligatures w14:val="standardContextual"/>
        </w:rPr>
        <w:t>motivated,</w:t>
      </w:r>
      <w:r w:rsidRPr="00B10BE1">
        <w:rPr>
          <w:rFonts w:ascii="Times New Roman" w:eastAsia="Aptos" w:hAnsi="Times New Roman" w:cs="Times New Roman"/>
          <w:kern w:val="2"/>
          <w:sz w:val="24"/>
          <w:szCs w:val="24"/>
          <w:shd w:val="clear" w:color="auto" w:fill="FFFFFF"/>
          <w:lang w:val="en-US"/>
          <w14:ligatures w14:val="standardContextual"/>
        </w:rPr>
        <w:t xml:space="preserve"> in part, by guilt and regret at not having done more for his brother while he was alive. </w:t>
      </w:r>
      <w:r w:rsidRPr="00B10BE1">
        <w:rPr>
          <w:rFonts w:ascii="Times New Roman" w:eastAsia="Aptos" w:hAnsi="Times New Roman" w:cs="Times New Roman"/>
          <w:sz w:val="24"/>
          <w:szCs w:val="24"/>
          <w14:ligatures w14:val="standardContextual"/>
        </w:rPr>
        <w:t xml:space="preserve">Jordan (2011, p.199) describes how suicide survivors often experience the “tyranny of hindsight”, repeatedly judging their pre-suicide actions against knowledge acquired post-suicide. </w:t>
      </w:r>
      <w:r w:rsidRPr="00B10BE1">
        <w:rPr>
          <w:rFonts w:ascii="Times New Roman" w:eastAsia="Aptos" w:hAnsi="Times New Roman" w:cs="Times New Roman"/>
          <w:kern w:val="2"/>
          <w:sz w:val="24"/>
          <w:szCs w:val="24"/>
          <w:shd w:val="clear" w:color="auto" w:fill="FFFFFF"/>
          <w:lang w:val="en-US"/>
          <w14:ligatures w14:val="standardContextual"/>
        </w:rPr>
        <w:t xml:space="preserve">Conversely, participants bereaved between three and 10 years prior, described a </w:t>
      </w:r>
      <w:r w:rsidRPr="00B10BE1">
        <w:rPr>
          <w:rFonts w:ascii="Times New Roman" w:eastAsia="Aptos" w:hAnsi="Times New Roman" w:cs="Times New Roman"/>
          <w:kern w:val="2"/>
          <w:sz w:val="24"/>
          <w:szCs w:val="24"/>
          <w:shd w:val="clear" w:color="auto" w:fill="FFFFFF"/>
          <w:lang w:val="en-US"/>
          <w14:ligatures w14:val="standardContextual"/>
        </w:rPr>
        <w:lastRenderedPageBreak/>
        <w:t>collaborative ongoing relationship, where the perceived support of their late loved one motivated them to undertake new and meaningful experiences through activism</w:t>
      </w:r>
      <w:bookmarkStart w:id="16" w:name="_Hlk188373035"/>
      <w:r w:rsidRPr="00B10BE1">
        <w:rPr>
          <w:rFonts w:ascii="Times New Roman" w:eastAsia="Aptos" w:hAnsi="Times New Roman" w:cs="Times New Roman"/>
          <w:kern w:val="2"/>
          <w:sz w:val="24"/>
          <w:szCs w:val="24"/>
          <w:shd w:val="clear" w:color="auto" w:fill="FFFFFF"/>
          <w:lang w:val="en-US"/>
          <w14:ligatures w14:val="standardContextual"/>
        </w:rPr>
        <w:t>.</w:t>
      </w:r>
    </w:p>
    <w:bookmarkEnd w:id="16"/>
    <w:p w14:paraId="69720AF3" w14:textId="77777777" w:rsidR="005D08E9" w:rsidRDefault="005D08E9" w:rsidP="00940AE3">
      <w:pPr>
        <w:pStyle w:val="Heading1"/>
        <w:rPr>
          <w:rFonts w:eastAsia="Aptos"/>
          <w:shd w:val="clear" w:color="auto" w:fill="FFFFFF"/>
          <w:lang w:val="en-US"/>
        </w:rPr>
      </w:pPr>
      <w:r w:rsidRPr="00B10BE1">
        <w:rPr>
          <w:rFonts w:eastAsia="Aptos"/>
          <w:shd w:val="clear" w:color="auto" w:fill="FFFFFF"/>
          <w:lang w:val="en-US"/>
        </w:rPr>
        <w:t>Conclusion.</w:t>
      </w:r>
    </w:p>
    <w:p w14:paraId="5B05A90E" w14:textId="77777777" w:rsidR="00940AE3" w:rsidRPr="00940AE3" w:rsidRDefault="00940AE3" w:rsidP="00940AE3">
      <w:pPr>
        <w:rPr>
          <w:lang w:val="en-US"/>
        </w:rPr>
      </w:pPr>
    </w:p>
    <w:p w14:paraId="7D64A1DC" w14:textId="0AF02507" w:rsidR="00536DAC" w:rsidRPr="00B10BE1" w:rsidRDefault="005D08E9" w:rsidP="00DF448B">
      <w:pPr>
        <w:spacing w:line="480" w:lineRule="auto"/>
        <w:jc w:val="both"/>
        <w:rPr>
          <w:rFonts w:ascii="Times New Roman" w:hAnsi="Times New Roman" w:cs="Times New Roman"/>
          <w:color w:val="000000"/>
          <w:kern w:val="2"/>
          <w:sz w:val="24"/>
          <w:szCs w:val="24"/>
          <w:shd w:val="clear" w:color="auto" w:fill="FFFFFF"/>
          <w:lang w:val="en-US"/>
          <w14:ligatures w14:val="standardContextual"/>
        </w:rPr>
      </w:pPr>
      <w:r w:rsidRPr="00B10BE1">
        <w:rPr>
          <w:rFonts w:ascii="Times New Roman" w:eastAsia="Aptos" w:hAnsi="Times New Roman" w:cs="Times New Roman"/>
          <w:color w:val="000000"/>
          <w:kern w:val="2"/>
          <w:sz w:val="24"/>
          <w:szCs w:val="24"/>
          <w:shd w:val="clear" w:color="auto" w:fill="FFFFFF"/>
          <w:lang w:val="en-US"/>
          <w14:ligatures w14:val="standardContextual"/>
        </w:rPr>
        <w:t xml:space="preserve">The benefits of continuing bonds following suicide bereavement are not universally accepted. Where they are externalised or symbolic, they can potentiate a preoccupation with feelings of regret and guilt. Those who campaign following a gambling-related suicide are often motivated internally by the experiences and memories of their lost loved ones. Such campaigning takes place in a </w:t>
      </w:r>
      <w:r w:rsidR="00536DAC" w:rsidRPr="00B10BE1">
        <w:rPr>
          <w:rFonts w:ascii="Times New Roman" w:eastAsia="Aptos" w:hAnsi="Times New Roman" w:cs="Times New Roman"/>
          <w:color w:val="000000"/>
          <w:kern w:val="2"/>
          <w:sz w:val="24"/>
          <w:szCs w:val="24"/>
          <w:shd w:val="clear" w:color="auto" w:fill="FFFFFF"/>
          <w:lang w:val="en-US"/>
          <w14:ligatures w14:val="standardContextual"/>
        </w:rPr>
        <w:t>highly</w:t>
      </w:r>
      <w:r w:rsidRPr="00B10BE1">
        <w:rPr>
          <w:rFonts w:ascii="Times New Roman" w:eastAsia="Aptos" w:hAnsi="Times New Roman" w:cs="Times New Roman"/>
          <w:color w:val="000000"/>
          <w:kern w:val="2"/>
          <w:sz w:val="24"/>
          <w:szCs w:val="24"/>
          <w:shd w:val="clear" w:color="auto" w:fill="FFFFFF"/>
          <w:lang w:val="en-US"/>
          <w14:ligatures w14:val="standardContextual"/>
        </w:rPr>
        <w:t xml:space="preserve"> dynamic socio-political environment. </w:t>
      </w:r>
      <w:r w:rsidR="00536DAC" w:rsidRPr="00B10BE1">
        <w:rPr>
          <w:rFonts w:ascii="Times New Roman" w:hAnsi="Times New Roman" w:cs="Times New Roman"/>
          <w:color w:val="000000"/>
          <w:kern w:val="2"/>
          <w:sz w:val="24"/>
          <w:szCs w:val="24"/>
          <w:shd w:val="clear" w:color="auto" w:fill="FFFFFF"/>
          <w:lang w:val="en-US"/>
          <w14:ligatures w14:val="standardContextual"/>
        </w:rPr>
        <w:t xml:space="preserve">This enables a fluid and ever-changing relationship with their lost loved one. Activism in response to gambling-related suicide can therefore facilitate the growth of the survivor through establishing a healthy continuing bond. </w:t>
      </w:r>
    </w:p>
    <w:p w14:paraId="3626C377" w14:textId="7589CD4E" w:rsidR="005D08E9" w:rsidRDefault="005D08E9" w:rsidP="00940AE3">
      <w:pPr>
        <w:pStyle w:val="Heading1"/>
        <w:rPr>
          <w:rFonts w:eastAsia="Aptos"/>
        </w:rPr>
      </w:pPr>
      <w:r w:rsidRPr="00B10BE1">
        <w:rPr>
          <w:rFonts w:eastAsia="Aptos"/>
        </w:rPr>
        <w:t>Limitations.</w:t>
      </w:r>
    </w:p>
    <w:p w14:paraId="5468C899" w14:textId="77777777" w:rsidR="00940AE3" w:rsidRPr="00940AE3" w:rsidRDefault="00940AE3" w:rsidP="00940AE3"/>
    <w:p w14:paraId="08258FF7" w14:textId="2AB98C55" w:rsidR="005D08E9" w:rsidRPr="00B10BE1" w:rsidRDefault="005D08E9" w:rsidP="00DF448B">
      <w:pPr>
        <w:spacing w:line="480" w:lineRule="auto"/>
        <w:jc w:val="both"/>
        <w:rPr>
          <w:rFonts w:ascii="Times New Roman" w:eastAsia="Aptos" w:hAnsi="Times New Roman" w:cs="Times New Roman"/>
          <w:kern w:val="2"/>
          <w:sz w:val="24"/>
          <w:szCs w:val="24"/>
          <w14:ligatures w14:val="standardContextual"/>
        </w:rPr>
      </w:pPr>
      <w:r w:rsidRPr="00B10BE1">
        <w:rPr>
          <w:rFonts w:ascii="Times New Roman" w:eastAsia="Aptos" w:hAnsi="Times New Roman" w:cs="Times New Roman"/>
          <w:kern w:val="2"/>
          <w:sz w:val="24"/>
          <w:szCs w:val="24"/>
          <w14:ligatures w14:val="standardContextual"/>
        </w:rPr>
        <w:t xml:space="preserve">The following limitations should be considered when interpreting the findings of this study: the sample size was relatively small and recruited by convenience sampling. The sample was taken from a small demographic where research-fatigue may have influenced willingness to participate. Although this potentially limited the volume of data, the study sought to elicit a rich qualitative account of experiences as opposed to a quantitative generalisable account. All participants were active campaigners, which may have resulted in an underrepresentation of any negative impacts of activism. </w:t>
      </w:r>
      <w:r w:rsidR="00003382" w:rsidRPr="00B10BE1">
        <w:rPr>
          <w:rFonts w:ascii="Times New Roman" w:eastAsia="Aptos" w:hAnsi="Times New Roman" w:cs="Times New Roman"/>
          <w:kern w:val="2"/>
          <w:sz w:val="24"/>
          <w:szCs w:val="24"/>
          <w14:ligatures w14:val="standardContextual"/>
        </w:rPr>
        <w:t xml:space="preserve">Participant anonymity was a high priority due to the highly sensitive information shared, and the public scrutiny that this issue attracts. This </w:t>
      </w:r>
      <w:proofErr w:type="gramStart"/>
      <w:r w:rsidR="00003382" w:rsidRPr="00B10BE1">
        <w:rPr>
          <w:rFonts w:ascii="Times New Roman" w:eastAsia="Aptos" w:hAnsi="Times New Roman" w:cs="Times New Roman"/>
          <w:kern w:val="2"/>
          <w:sz w:val="24"/>
          <w:szCs w:val="24"/>
          <w14:ligatures w14:val="standardContextual"/>
        </w:rPr>
        <w:t xml:space="preserve">presented </w:t>
      </w:r>
      <w:r w:rsidRPr="00B10BE1">
        <w:rPr>
          <w:rFonts w:ascii="Times New Roman" w:eastAsia="Aptos" w:hAnsi="Times New Roman" w:cs="Times New Roman"/>
          <w:kern w:val="2"/>
          <w:sz w:val="24"/>
          <w:szCs w:val="24"/>
          <w14:ligatures w14:val="standardContextual"/>
        </w:rPr>
        <w:t xml:space="preserve"> ethical</w:t>
      </w:r>
      <w:proofErr w:type="gramEnd"/>
      <w:r w:rsidRPr="00B10BE1">
        <w:rPr>
          <w:rFonts w:ascii="Times New Roman" w:eastAsia="Aptos" w:hAnsi="Times New Roman" w:cs="Times New Roman"/>
          <w:kern w:val="2"/>
          <w:sz w:val="24"/>
          <w:szCs w:val="24"/>
          <w14:ligatures w14:val="standardContextual"/>
        </w:rPr>
        <w:t>/analytical limitation</w:t>
      </w:r>
      <w:r w:rsidR="00003382" w:rsidRPr="00B10BE1">
        <w:rPr>
          <w:rFonts w:ascii="Times New Roman" w:eastAsia="Aptos" w:hAnsi="Times New Roman" w:cs="Times New Roman"/>
          <w:kern w:val="2"/>
          <w:sz w:val="24"/>
          <w:szCs w:val="24"/>
          <w14:ligatures w14:val="standardContextual"/>
        </w:rPr>
        <w:t xml:space="preserve">s, and it was necessary to </w:t>
      </w:r>
      <w:r w:rsidRPr="00B10BE1">
        <w:rPr>
          <w:rFonts w:ascii="Times New Roman" w:eastAsia="Aptos" w:hAnsi="Times New Roman" w:cs="Times New Roman"/>
          <w:kern w:val="2"/>
          <w:sz w:val="24"/>
          <w:szCs w:val="24"/>
          <w14:ligatures w14:val="standardContextual"/>
        </w:rPr>
        <w:t>exclude</w:t>
      </w:r>
      <w:r w:rsidR="00003382" w:rsidRPr="00B10BE1">
        <w:rPr>
          <w:rFonts w:ascii="Times New Roman" w:eastAsia="Aptos" w:hAnsi="Times New Roman" w:cs="Times New Roman"/>
          <w:kern w:val="2"/>
          <w:sz w:val="24"/>
          <w:szCs w:val="24"/>
          <w14:ligatures w14:val="standardContextual"/>
        </w:rPr>
        <w:t xml:space="preserve"> some participant accounts </w:t>
      </w:r>
      <w:proofErr w:type="gramStart"/>
      <w:r w:rsidR="00003382" w:rsidRPr="00B10BE1">
        <w:rPr>
          <w:rFonts w:ascii="Times New Roman" w:eastAsia="Aptos" w:hAnsi="Times New Roman" w:cs="Times New Roman"/>
          <w:kern w:val="2"/>
          <w:sz w:val="24"/>
          <w:szCs w:val="24"/>
          <w14:ligatures w14:val="standardContextual"/>
        </w:rPr>
        <w:t xml:space="preserve">from </w:t>
      </w:r>
      <w:r w:rsidRPr="00B10BE1">
        <w:rPr>
          <w:rFonts w:ascii="Times New Roman" w:eastAsia="Aptos" w:hAnsi="Times New Roman" w:cs="Times New Roman"/>
          <w:kern w:val="2"/>
          <w:sz w:val="24"/>
          <w:szCs w:val="24"/>
          <w14:ligatures w14:val="standardContextual"/>
        </w:rPr>
        <w:t xml:space="preserve"> the</w:t>
      </w:r>
      <w:proofErr w:type="gramEnd"/>
      <w:r w:rsidRPr="00B10BE1">
        <w:rPr>
          <w:rFonts w:ascii="Times New Roman" w:eastAsia="Aptos" w:hAnsi="Times New Roman" w:cs="Times New Roman"/>
          <w:kern w:val="2"/>
          <w:sz w:val="24"/>
          <w:szCs w:val="24"/>
          <w14:ligatures w14:val="standardContextual"/>
        </w:rPr>
        <w:t xml:space="preserve"> study.  </w:t>
      </w:r>
    </w:p>
    <w:p w14:paraId="2410A124" w14:textId="77777777" w:rsidR="005D08E9" w:rsidRPr="00B10BE1" w:rsidRDefault="005D08E9" w:rsidP="00DF448B">
      <w:pPr>
        <w:spacing w:line="480" w:lineRule="auto"/>
        <w:jc w:val="both"/>
        <w:rPr>
          <w:rFonts w:ascii="Times New Roman" w:eastAsia="Aptos" w:hAnsi="Times New Roman" w:cs="Times New Roman"/>
          <w:kern w:val="2"/>
          <w:sz w:val="24"/>
          <w:szCs w:val="24"/>
          <w14:ligatures w14:val="standardContextual"/>
        </w:rPr>
      </w:pPr>
    </w:p>
    <w:p w14:paraId="2D02B493" w14:textId="77777777" w:rsidR="005D08E9" w:rsidRDefault="005D08E9" w:rsidP="00940AE3">
      <w:pPr>
        <w:pStyle w:val="Heading1"/>
        <w:rPr>
          <w:rFonts w:eastAsia="Aptos"/>
        </w:rPr>
      </w:pPr>
      <w:r w:rsidRPr="00B10BE1">
        <w:rPr>
          <w:rFonts w:eastAsia="Aptos"/>
        </w:rPr>
        <w:lastRenderedPageBreak/>
        <w:t>Future research directions</w:t>
      </w:r>
    </w:p>
    <w:p w14:paraId="038A8F89" w14:textId="77777777" w:rsidR="00940AE3" w:rsidRPr="00940AE3" w:rsidRDefault="00940AE3" w:rsidP="00940AE3"/>
    <w:p w14:paraId="3130E7F1" w14:textId="4DD4D9C2" w:rsidR="008B409F" w:rsidRPr="00B10BE1" w:rsidRDefault="005D08E9" w:rsidP="00DF448B">
      <w:pPr>
        <w:spacing w:line="480" w:lineRule="auto"/>
        <w:jc w:val="both"/>
        <w:rPr>
          <w:rFonts w:ascii="Times New Roman" w:eastAsia="Aptos" w:hAnsi="Times New Roman" w:cs="Times New Roman"/>
          <w:kern w:val="2"/>
          <w:sz w:val="24"/>
          <w:szCs w:val="24"/>
          <w14:ligatures w14:val="standardContextual"/>
        </w:rPr>
      </w:pPr>
      <w:bookmarkStart w:id="17" w:name="_Hlk188883772"/>
      <w:r w:rsidRPr="00B10BE1">
        <w:rPr>
          <w:rFonts w:ascii="Times New Roman" w:eastAsia="Aptos" w:hAnsi="Times New Roman" w:cs="Times New Roman"/>
          <w:kern w:val="2"/>
          <w:sz w:val="24"/>
          <w:szCs w:val="24"/>
          <w14:ligatures w14:val="standardContextual"/>
        </w:rPr>
        <w:t>Future</w:t>
      </w:r>
      <w:bookmarkEnd w:id="4"/>
      <w:r w:rsidR="00A56B00" w:rsidRPr="00B10BE1">
        <w:rPr>
          <w:rFonts w:ascii="Times New Roman" w:eastAsia="Aptos" w:hAnsi="Times New Roman" w:cs="Times New Roman"/>
          <w:kern w:val="2"/>
          <w:sz w:val="24"/>
          <w:szCs w:val="24"/>
          <w14:ligatures w14:val="standardContextual"/>
        </w:rPr>
        <w:t xml:space="preserve"> research could expressly invite participants who ceased activism or elected not to campaign in the first instance, potentially identifying a wider range of negative impacts. </w:t>
      </w:r>
      <w:r w:rsidR="00070591">
        <w:rPr>
          <w:rFonts w:ascii="Times New Roman" w:eastAsia="Aptos" w:hAnsi="Times New Roman" w:cs="Times New Roman"/>
          <w:kern w:val="2"/>
          <w:sz w:val="24"/>
          <w:szCs w:val="24"/>
          <w14:ligatures w14:val="standardContextual"/>
        </w:rPr>
        <w:t xml:space="preserve">Future research might </w:t>
      </w:r>
      <w:r w:rsidR="00A56B00" w:rsidRPr="00B10BE1">
        <w:rPr>
          <w:rFonts w:ascii="Times New Roman" w:eastAsia="Aptos" w:hAnsi="Times New Roman" w:cs="Times New Roman"/>
          <w:kern w:val="2"/>
          <w:sz w:val="24"/>
          <w:szCs w:val="24"/>
          <w14:ligatures w14:val="standardContextual"/>
        </w:rPr>
        <w:t>also explore the impact of the gender of the lost loved one, or the bereaved relative, in relation to their activism.  Subsequent research may also explore the influence of time since bereavement in the context of suicide activism.  Beyond the subject</w:t>
      </w:r>
      <w:r w:rsidR="00003382" w:rsidRPr="00B10BE1">
        <w:rPr>
          <w:rFonts w:ascii="Times New Roman" w:eastAsia="Aptos" w:hAnsi="Times New Roman" w:cs="Times New Roman"/>
          <w:kern w:val="2"/>
          <w:sz w:val="24"/>
          <w:szCs w:val="24"/>
          <w14:ligatures w14:val="standardContextual"/>
        </w:rPr>
        <w:t xml:space="preserve"> of</w:t>
      </w:r>
      <w:r w:rsidR="00A56B00" w:rsidRPr="00B10BE1">
        <w:rPr>
          <w:rFonts w:ascii="Times New Roman" w:eastAsia="Aptos" w:hAnsi="Times New Roman" w:cs="Times New Roman"/>
          <w:kern w:val="2"/>
          <w:sz w:val="24"/>
          <w:szCs w:val="24"/>
          <w14:ligatures w14:val="standardContextual"/>
        </w:rPr>
        <w:t xml:space="preserve"> gambling</w:t>
      </w:r>
      <w:r w:rsidR="00070591">
        <w:rPr>
          <w:rFonts w:ascii="Times New Roman" w:eastAsia="Aptos" w:hAnsi="Times New Roman" w:cs="Times New Roman"/>
          <w:kern w:val="2"/>
          <w:sz w:val="24"/>
          <w:szCs w:val="24"/>
          <w14:ligatures w14:val="standardContextual"/>
        </w:rPr>
        <w:t>,</w:t>
      </w:r>
      <w:r w:rsidR="0096604D">
        <w:rPr>
          <w:rFonts w:ascii="Times New Roman" w:eastAsia="Aptos" w:hAnsi="Times New Roman" w:cs="Times New Roman"/>
          <w:kern w:val="2"/>
          <w:sz w:val="24"/>
          <w:szCs w:val="24"/>
          <w14:ligatures w14:val="standardContextual"/>
        </w:rPr>
        <w:t xml:space="preserve"> future research might consider</w:t>
      </w:r>
      <w:r w:rsidR="00A56B00" w:rsidRPr="00B10BE1">
        <w:rPr>
          <w:rFonts w:ascii="Times New Roman" w:eastAsia="Aptos" w:hAnsi="Times New Roman" w:cs="Times New Roman"/>
          <w:kern w:val="2"/>
          <w:sz w:val="24"/>
          <w:szCs w:val="24"/>
          <w14:ligatures w14:val="standardContextual"/>
        </w:rPr>
        <w:t xml:space="preserve"> other highly visible and publicly-tracked post-suicide activism and the potential for the development of continuing bonds. </w:t>
      </w:r>
    </w:p>
    <w:bookmarkEnd w:id="17"/>
    <w:p w14:paraId="58179611" w14:textId="77777777" w:rsidR="006C1A28" w:rsidRPr="00B10BE1" w:rsidRDefault="006C1A28" w:rsidP="00DF448B">
      <w:pPr>
        <w:spacing w:line="480" w:lineRule="auto"/>
        <w:jc w:val="both"/>
        <w:rPr>
          <w:rFonts w:ascii="Times New Roman" w:eastAsia="Aptos" w:hAnsi="Times New Roman" w:cs="Times New Roman"/>
          <w:kern w:val="2"/>
          <w:sz w:val="24"/>
          <w:szCs w:val="24"/>
          <w14:ligatures w14:val="standardContextual"/>
        </w:rPr>
      </w:pPr>
    </w:p>
    <w:p w14:paraId="6CE3F18D" w14:textId="77777777" w:rsidR="006C1A28" w:rsidRDefault="006C1A28" w:rsidP="00940AE3">
      <w:pPr>
        <w:pStyle w:val="Heading1"/>
        <w:rPr>
          <w:rFonts w:eastAsia="Times New Roman"/>
          <w:lang w:eastAsia="en-GB"/>
        </w:rPr>
      </w:pPr>
      <w:r w:rsidRPr="00B10BE1">
        <w:rPr>
          <w:rFonts w:eastAsia="Times New Roman"/>
          <w:lang w:eastAsia="en-GB"/>
        </w:rPr>
        <w:t>References.</w:t>
      </w:r>
    </w:p>
    <w:p w14:paraId="7E5563D1" w14:textId="77777777" w:rsidR="00940AE3" w:rsidRPr="00940AE3" w:rsidRDefault="00940AE3" w:rsidP="00940AE3">
      <w:pPr>
        <w:rPr>
          <w:lang w:eastAsia="en-GB"/>
        </w:rPr>
      </w:pPr>
    </w:p>
    <w:p w14:paraId="7FB68E5A"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Adams, E., Hawgood, J., Bundock, A., &amp; Kõlves, K. (2019). A phenomenological study of siblings bereaved by suicide: A shared experience.</w:t>
      </w:r>
      <w:r w:rsidRPr="00B10BE1">
        <w:rPr>
          <w:rFonts w:ascii="Times New Roman" w:eastAsia="Times New Roman" w:hAnsi="Times New Roman" w:cs="Times New Roman"/>
          <w:i/>
          <w:iCs/>
          <w:sz w:val="24"/>
          <w:szCs w:val="24"/>
          <w:lang w:eastAsia="en-GB"/>
        </w:rPr>
        <w:t> Death Studies, 43</w:t>
      </w:r>
      <w:r w:rsidRPr="00B10BE1">
        <w:rPr>
          <w:rFonts w:ascii="Times New Roman" w:eastAsia="Times New Roman" w:hAnsi="Times New Roman" w:cs="Times New Roman"/>
          <w:sz w:val="24"/>
          <w:szCs w:val="24"/>
          <w:lang w:eastAsia="en-GB"/>
        </w:rPr>
        <w:t>(5), 324–332.</w:t>
      </w:r>
      <w:r w:rsidRPr="00B10BE1">
        <w:rPr>
          <w:rFonts w:ascii="Times New Roman" w:eastAsia="Aptos" w:hAnsi="Times New Roman" w:cs="Times New Roman"/>
          <w:kern w:val="2"/>
          <w:sz w:val="24"/>
          <w:szCs w:val="24"/>
          <w14:ligatures w14:val="standardContextual"/>
        </w:rPr>
        <w:t xml:space="preserve"> </w:t>
      </w:r>
      <w:hyperlink r:id="rId7" w:history="1">
        <w:bookmarkStart w:id="18" w:name="_Hlk174400509"/>
        <w:r w:rsidRPr="00B10BE1">
          <w:rPr>
            <w:rFonts w:ascii="Times New Roman" w:eastAsia="Aptos" w:hAnsi="Times New Roman" w:cs="Times New Roman"/>
            <w:kern w:val="2"/>
            <w:sz w:val="24"/>
            <w:szCs w:val="24"/>
            <w14:ligatures w14:val="standardContextual"/>
          </w:rPr>
          <w:t>https://doi.org/</w:t>
        </w:r>
        <w:bookmarkEnd w:id="18"/>
        <w:r w:rsidRPr="00B10BE1">
          <w:rPr>
            <w:rFonts w:ascii="Times New Roman" w:eastAsia="Aptos" w:hAnsi="Times New Roman" w:cs="Times New Roman"/>
            <w:kern w:val="2"/>
            <w:sz w:val="24"/>
            <w:szCs w:val="24"/>
            <w14:ligatures w14:val="standardContextual"/>
          </w:rPr>
          <w:t>10.1080/07481187.2018.1469055</w:t>
        </w:r>
      </w:hyperlink>
    </w:p>
    <w:p w14:paraId="198014B3"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Allen, B. G., Calhoun, L. G., Cann, A., &amp; Tedeschi, R. G. (1994). The effect of cause of death on responses to the bereaved: Suicide compared to accident and natural causes.</w:t>
      </w:r>
      <w:r w:rsidRPr="00B10BE1">
        <w:rPr>
          <w:rFonts w:ascii="Times New Roman" w:eastAsia="Times New Roman" w:hAnsi="Times New Roman" w:cs="Times New Roman"/>
          <w:i/>
          <w:iCs/>
          <w:sz w:val="24"/>
          <w:szCs w:val="24"/>
          <w:lang w:eastAsia="en-GB"/>
        </w:rPr>
        <w:t> Omega: Journal of Death and Dying, 28</w:t>
      </w:r>
      <w:r w:rsidRPr="00B10BE1">
        <w:rPr>
          <w:rFonts w:ascii="Times New Roman" w:eastAsia="Times New Roman" w:hAnsi="Times New Roman" w:cs="Times New Roman"/>
          <w:sz w:val="24"/>
          <w:szCs w:val="24"/>
          <w:lang w:eastAsia="en-GB"/>
        </w:rPr>
        <w:t>(1), 39–48. https://doi.org/10.2190/T44K-L7UK-TB19-T9UV</w:t>
      </w:r>
    </w:p>
    <w:p w14:paraId="65ABFD99" w14:textId="77777777" w:rsidR="00480FF8" w:rsidRDefault="00480FF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p>
    <w:p w14:paraId="5C5B58A6" w14:textId="4D9D2FF0" w:rsidR="00480FF8" w:rsidRDefault="00480FF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480FF8">
        <w:rPr>
          <w:color w:val="222222"/>
          <w:shd w:val="clear" w:color="auto" w:fill="FFFFFF"/>
        </w:rPr>
        <w:t>Andriessen, K., &amp; </w:t>
      </w:r>
      <w:proofErr w:type="spellStart"/>
      <w:r w:rsidRPr="00480FF8">
        <w:rPr>
          <w:color w:val="222222"/>
          <w:shd w:val="clear" w:color="auto" w:fill="FFFFFF"/>
        </w:rPr>
        <w:t>Krysinska</w:t>
      </w:r>
      <w:proofErr w:type="spellEnd"/>
      <w:r w:rsidRPr="00480FF8">
        <w:rPr>
          <w:color w:val="222222"/>
          <w:shd w:val="clear" w:color="auto" w:fill="FFFFFF"/>
        </w:rPr>
        <w:t>, K. (2012). Essential questions on suicide bereavement and postvention. </w:t>
      </w:r>
      <w:r w:rsidRPr="00480FF8">
        <w:rPr>
          <w:i/>
          <w:iCs/>
          <w:color w:val="222222"/>
          <w:shd w:val="clear" w:color="auto" w:fill="FFFFFF"/>
        </w:rPr>
        <w:t>International Journal of Environmental Research and Public Health</w:t>
      </w:r>
      <w:r w:rsidRPr="00480FF8">
        <w:rPr>
          <w:color w:val="222222"/>
          <w:shd w:val="clear" w:color="auto" w:fill="FFFFFF"/>
        </w:rPr>
        <w:t>, </w:t>
      </w:r>
      <w:r w:rsidRPr="00480FF8">
        <w:rPr>
          <w:i/>
          <w:iCs/>
          <w:color w:val="222222"/>
          <w:shd w:val="clear" w:color="auto" w:fill="FFFFFF"/>
        </w:rPr>
        <w:t>9</w:t>
      </w:r>
      <w:r w:rsidRPr="00480FF8">
        <w:rPr>
          <w:color w:val="222222"/>
          <w:shd w:val="clear" w:color="auto" w:fill="FFFFFF"/>
        </w:rPr>
        <w:t>(1), 24–32.</w:t>
      </w:r>
      <w:r w:rsidRPr="00480FF8">
        <w:rPr>
          <w:color w:val="000000" w:themeColor="text1"/>
          <w:shd w:val="clear" w:color="auto" w:fill="FFFFFF"/>
        </w:rPr>
        <w:t> </w:t>
      </w:r>
      <w:hyperlink r:id="rId8" w:history="1">
        <w:r w:rsidRPr="00480FF8">
          <w:rPr>
            <w:color w:val="000000" w:themeColor="text1"/>
            <w:u w:val="single"/>
            <w:shd w:val="clear" w:color="auto" w:fill="FFFFFF"/>
          </w:rPr>
          <w:t>https://doi.org/10.3390/ijerph9010024</w:t>
        </w:r>
      </w:hyperlink>
    </w:p>
    <w:p w14:paraId="61A6D032" w14:textId="122CD105"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Andreeva, M., Audette-Chapdelaine, S., &amp; Brodeur, M. (2022). Gambling-related completed suicides: A scoping review.</w:t>
      </w:r>
      <w:r w:rsidRPr="00B10BE1">
        <w:rPr>
          <w:rFonts w:ascii="Times New Roman" w:eastAsia="Times New Roman" w:hAnsi="Times New Roman" w:cs="Times New Roman"/>
          <w:i/>
          <w:iCs/>
          <w:sz w:val="24"/>
          <w:szCs w:val="24"/>
          <w:lang w:eastAsia="en-GB"/>
        </w:rPr>
        <w:t> Addiction Research &amp; Theory, 30</w:t>
      </w:r>
      <w:r w:rsidRPr="00B10BE1">
        <w:rPr>
          <w:rFonts w:ascii="Times New Roman" w:eastAsia="Times New Roman" w:hAnsi="Times New Roman" w:cs="Times New Roman"/>
          <w:sz w:val="24"/>
          <w:szCs w:val="24"/>
          <w:lang w:eastAsia="en-GB"/>
        </w:rPr>
        <w:t>(6), 391–402. https://doi.org/10.1080/16066359.2022.2055001</w:t>
      </w:r>
    </w:p>
    <w:p w14:paraId="7D7138D9" w14:textId="77777777" w:rsidR="006C1A28" w:rsidRPr="00B10BE1" w:rsidRDefault="006C1A28" w:rsidP="00DF448B">
      <w:pPr>
        <w:shd w:val="clear" w:color="auto" w:fill="FFFFFF"/>
        <w:spacing w:after="173" w:line="480" w:lineRule="auto"/>
        <w:ind w:left="450" w:hanging="450"/>
        <w:rPr>
          <w:rFonts w:ascii="Times New Roman" w:eastAsia="Aptos" w:hAnsi="Times New Roman" w:cs="Times New Roman"/>
          <w:kern w:val="2"/>
          <w:sz w:val="24"/>
          <w:szCs w:val="24"/>
          <w:bdr w:val="none" w:sz="0" w:space="0" w:color="auto" w:frame="1"/>
          <w:shd w:val="clear" w:color="auto" w:fill="FFFFFF"/>
          <w14:ligatures w14:val="standardContextual"/>
        </w:rPr>
      </w:pPr>
      <w:r w:rsidRPr="00B10BE1">
        <w:rPr>
          <w:rFonts w:ascii="Times New Roman" w:eastAsia="Times New Roman" w:hAnsi="Times New Roman" w:cs="Times New Roman"/>
          <w:sz w:val="24"/>
          <w:szCs w:val="24"/>
          <w:lang w:eastAsia="en-GB"/>
        </w:rPr>
        <w:t>Atherton, F., &amp; Beynon, C. (2019). Is gambling an emerging public health issue for Wales, UK?</w:t>
      </w:r>
      <w:r w:rsidRPr="00B10BE1">
        <w:rPr>
          <w:rFonts w:ascii="Times New Roman" w:eastAsia="Times New Roman" w:hAnsi="Times New Roman" w:cs="Times New Roman"/>
          <w:i/>
          <w:iCs/>
          <w:sz w:val="24"/>
          <w:szCs w:val="24"/>
          <w:lang w:eastAsia="en-GB"/>
        </w:rPr>
        <w:t> Journal of Public Health, 41</w:t>
      </w:r>
      <w:r w:rsidRPr="00B10BE1">
        <w:rPr>
          <w:rFonts w:ascii="Times New Roman" w:eastAsia="Times New Roman" w:hAnsi="Times New Roman" w:cs="Times New Roman"/>
          <w:sz w:val="24"/>
          <w:szCs w:val="24"/>
          <w:lang w:eastAsia="en-GB"/>
        </w:rPr>
        <w:t xml:space="preserve">(4), 858–863. </w:t>
      </w:r>
      <w:hyperlink r:id="rId9" w:history="1">
        <w:r w:rsidRPr="00B10BE1">
          <w:rPr>
            <w:rFonts w:ascii="Times New Roman" w:eastAsia="Aptos" w:hAnsi="Times New Roman" w:cs="Times New Roman"/>
            <w:kern w:val="2"/>
            <w:sz w:val="24"/>
            <w:szCs w:val="24"/>
            <w:u w:val="single"/>
            <w:bdr w:val="none" w:sz="0" w:space="0" w:color="auto" w:frame="1"/>
            <w:shd w:val="clear" w:color="auto" w:fill="FFFFFF"/>
            <w14:ligatures w14:val="standardContextual"/>
          </w:rPr>
          <w:t>https://doi.org/10.1093/pubmed/fdy164</w:t>
        </w:r>
      </w:hyperlink>
    </w:p>
    <w:p w14:paraId="7B9EC787"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shd w:val="clear" w:color="auto" w:fill="FFFFFF"/>
          <w:lang w:eastAsia="en-GB"/>
        </w:rPr>
        <w:t>Attig, T. (2001). Relearning the world: Making and finding meanings. In R. A. Neimeyer (Ed.), </w:t>
      </w:r>
      <w:r w:rsidRPr="00B10BE1">
        <w:rPr>
          <w:rFonts w:ascii="Times New Roman" w:eastAsia="Times New Roman" w:hAnsi="Times New Roman" w:cs="Times New Roman"/>
          <w:i/>
          <w:iCs/>
          <w:sz w:val="24"/>
          <w:szCs w:val="24"/>
          <w:shd w:val="clear" w:color="auto" w:fill="FFFFFF"/>
          <w:lang w:eastAsia="en-GB"/>
        </w:rPr>
        <w:t>Meaning reconstruction &amp; the experience of loss</w:t>
      </w:r>
      <w:r w:rsidRPr="00B10BE1">
        <w:rPr>
          <w:rFonts w:ascii="Times New Roman" w:eastAsia="Times New Roman" w:hAnsi="Times New Roman" w:cs="Times New Roman"/>
          <w:sz w:val="24"/>
          <w:szCs w:val="24"/>
          <w:shd w:val="clear" w:color="auto" w:fill="FFFFFF"/>
          <w:lang w:eastAsia="en-GB"/>
        </w:rPr>
        <w:t> (pp. 33–53). American Psychological Association.</w:t>
      </w:r>
    </w:p>
    <w:p w14:paraId="24860766"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Azemi, F., Avdyli, M., &amp; Bytyqi, V. (2022). </w:t>
      </w:r>
      <w:r w:rsidRPr="00B10BE1">
        <w:rPr>
          <w:rFonts w:ascii="Times New Roman" w:eastAsia="Times New Roman" w:hAnsi="Times New Roman" w:cs="Times New Roman"/>
          <w:i/>
          <w:iCs/>
          <w:sz w:val="24"/>
          <w:szCs w:val="24"/>
          <w:lang w:eastAsia="en-GB"/>
        </w:rPr>
        <w:t>Understanding the phenomenology of gambling in the United Kingdom: A qualitative study on the experiences of gamblers’ families.</w:t>
      </w:r>
      <w:r w:rsidRPr="00B10BE1">
        <w:rPr>
          <w:rFonts w:ascii="Times New Roman" w:eastAsia="Times New Roman" w:hAnsi="Times New Roman" w:cs="Times New Roman"/>
          <w:sz w:val="24"/>
          <w:szCs w:val="24"/>
          <w:lang w:eastAsia="en-GB"/>
        </w:rPr>
        <w:t xml:space="preserve">  Research Square. </w:t>
      </w:r>
      <w:hyperlink r:id="rId10" w:tgtFrame="_blank" w:history="1">
        <w:r w:rsidRPr="00B10BE1">
          <w:rPr>
            <w:rFonts w:ascii="Times New Roman" w:eastAsia="Times New Roman" w:hAnsi="Times New Roman" w:cs="Times New Roman"/>
            <w:sz w:val="24"/>
            <w:szCs w:val="24"/>
            <w:lang w:eastAsia="en-GB"/>
          </w:rPr>
          <w:t>https://www.researchsquare.com/article/rs-1269843/v1</w:t>
        </w:r>
      </w:hyperlink>
    </w:p>
    <w:p w14:paraId="44D68A74"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Bell, J., Stanley, N., Mallon, S., &amp; Manthorpe, J. (2012). Life will never be the same again: Examining grief in survivors bereaved by young suicide.</w:t>
      </w:r>
      <w:r w:rsidRPr="00B10BE1">
        <w:rPr>
          <w:rFonts w:ascii="Times New Roman" w:eastAsia="Times New Roman" w:hAnsi="Times New Roman" w:cs="Times New Roman"/>
          <w:i/>
          <w:iCs/>
          <w:sz w:val="24"/>
          <w:szCs w:val="24"/>
          <w:lang w:eastAsia="en-GB"/>
        </w:rPr>
        <w:t> Illness, Crisis &amp; Loss, 20</w:t>
      </w:r>
      <w:r w:rsidRPr="00B10BE1">
        <w:rPr>
          <w:rFonts w:ascii="Times New Roman" w:eastAsia="Times New Roman" w:hAnsi="Times New Roman" w:cs="Times New Roman"/>
          <w:sz w:val="24"/>
          <w:szCs w:val="24"/>
          <w:lang w:eastAsia="en-GB"/>
        </w:rPr>
        <w:t>(1), 49–68.</w:t>
      </w:r>
      <w:r w:rsidRPr="00B10BE1">
        <w:rPr>
          <w:rFonts w:ascii="Times New Roman" w:eastAsia="Aptos" w:hAnsi="Times New Roman" w:cs="Times New Roman"/>
          <w:kern w:val="2"/>
          <w:sz w:val="24"/>
          <w:szCs w:val="24"/>
          <w14:ligatures w14:val="standardContextual"/>
        </w:rPr>
        <w:t xml:space="preserve"> </w:t>
      </w:r>
      <w:hyperlink r:id="rId11" w:history="1">
        <w:bookmarkStart w:id="19" w:name="_Hlk174401430"/>
        <w:r w:rsidRPr="00B10BE1">
          <w:rPr>
            <w:rFonts w:ascii="Times New Roman" w:eastAsia="Aptos" w:hAnsi="Times New Roman" w:cs="Times New Roman"/>
            <w:kern w:val="2"/>
            <w:sz w:val="24"/>
            <w:szCs w:val="24"/>
            <w:shd w:val="clear" w:color="auto" w:fill="FFFFFF"/>
            <w14:ligatures w14:val="standardContextual"/>
          </w:rPr>
          <w:t>https://doi.org/</w:t>
        </w:r>
        <w:bookmarkEnd w:id="19"/>
        <w:r w:rsidRPr="00B10BE1">
          <w:rPr>
            <w:rFonts w:ascii="Times New Roman" w:eastAsia="Aptos" w:hAnsi="Times New Roman" w:cs="Times New Roman"/>
            <w:kern w:val="2"/>
            <w:sz w:val="24"/>
            <w:szCs w:val="24"/>
            <w:shd w:val="clear" w:color="auto" w:fill="FFFFFF"/>
            <w14:ligatures w14:val="standardContextual"/>
          </w:rPr>
          <w:t>10.2190/IL.20.1.e</w:t>
        </w:r>
      </w:hyperlink>
    </w:p>
    <w:p w14:paraId="758A5908"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Black, J., Belicki, K., Emberley-Ralph, J., &amp; McCann, A. (2022). Internalized versus externalized continuing bonds: Relations to grief, trauma, attachment, openness to experience, and posttraumatic growth.</w:t>
      </w:r>
      <w:r w:rsidRPr="00B10BE1">
        <w:rPr>
          <w:rFonts w:ascii="Times New Roman" w:eastAsia="Times New Roman" w:hAnsi="Times New Roman" w:cs="Times New Roman"/>
          <w:i/>
          <w:iCs/>
          <w:sz w:val="24"/>
          <w:szCs w:val="24"/>
          <w:lang w:eastAsia="en-GB"/>
        </w:rPr>
        <w:t> Death Studies, 46</w:t>
      </w:r>
      <w:r w:rsidRPr="00B10BE1">
        <w:rPr>
          <w:rFonts w:ascii="Times New Roman" w:eastAsia="Times New Roman" w:hAnsi="Times New Roman" w:cs="Times New Roman"/>
          <w:sz w:val="24"/>
          <w:szCs w:val="24"/>
          <w:lang w:eastAsia="en-GB"/>
        </w:rPr>
        <w:t>(2), 399–414. https://doi.org/10.1080/07481187.2020.1737274</w:t>
      </w:r>
    </w:p>
    <w:p w14:paraId="57868064"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Bowlby, &amp;., J, &amp;., &amp; Parkes, C. (1970).  Separation and loss within the family. In &amp;. Anthony, &amp; E.J. (Eds.), </w:t>
      </w:r>
      <w:r w:rsidRPr="00B10BE1">
        <w:rPr>
          <w:rFonts w:ascii="Times New Roman" w:eastAsia="Times New Roman" w:hAnsi="Times New Roman" w:cs="Times New Roman"/>
          <w:i/>
          <w:iCs/>
          <w:sz w:val="24"/>
          <w:szCs w:val="24"/>
          <w:lang w:eastAsia="en-GB"/>
        </w:rPr>
        <w:t>The child in his family.</w:t>
      </w:r>
      <w:r w:rsidRPr="00B10BE1">
        <w:rPr>
          <w:rFonts w:ascii="Times New Roman" w:eastAsia="Times New Roman" w:hAnsi="Times New Roman" w:cs="Times New Roman"/>
          <w:sz w:val="24"/>
          <w:szCs w:val="24"/>
          <w:lang w:eastAsia="en-GB"/>
        </w:rPr>
        <w:t> (pp. 197–216). Wiley.</w:t>
      </w:r>
    </w:p>
    <w:p w14:paraId="5DF8592A" w14:textId="00427143"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Braun, V., Clarke, V., Hayfield, N., Davey, L., Jenkinson, E. (2022). Doing reflexive thematic analysis | SpringerLink. In Bager-Charleson, S., McBeath, A. (eds</w:t>
      </w:r>
      <w:r w:rsidR="000B6E4E" w:rsidRPr="00B10BE1">
        <w:rPr>
          <w:rFonts w:ascii="Times New Roman" w:eastAsia="Times New Roman" w:hAnsi="Times New Roman" w:cs="Times New Roman"/>
          <w:sz w:val="24"/>
          <w:szCs w:val="24"/>
          <w:lang w:eastAsia="en-GB"/>
        </w:rPr>
        <w:t>),</w:t>
      </w:r>
      <w:r w:rsidRPr="00B10BE1">
        <w:rPr>
          <w:rFonts w:ascii="Times New Roman" w:eastAsia="Times New Roman" w:hAnsi="Times New Roman" w:cs="Times New Roman"/>
          <w:sz w:val="24"/>
          <w:szCs w:val="24"/>
          <w:lang w:eastAsia="en-GB"/>
        </w:rPr>
        <w:t> </w:t>
      </w:r>
      <w:r w:rsidRPr="00B10BE1">
        <w:rPr>
          <w:rFonts w:ascii="Times New Roman" w:eastAsia="Times New Roman" w:hAnsi="Times New Roman" w:cs="Times New Roman"/>
          <w:i/>
          <w:iCs/>
          <w:sz w:val="24"/>
          <w:szCs w:val="24"/>
          <w:lang w:eastAsia="en-GB"/>
        </w:rPr>
        <w:t>Supporting research in counselling and psychotherapy .</w:t>
      </w:r>
      <w:r w:rsidRPr="00B10BE1">
        <w:rPr>
          <w:rFonts w:ascii="Times New Roman" w:eastAsia="Times New Roman" w:hAnsi="Times New Roman" w:cs="Times New Roman"/>
          <w:sz w:val="24"/>
          <w:szCs w:val="24"/>
          <w:lang w:eastAsia="en-GB"/>
        </w:rPr>
        <w:t> (pp. 19–38). Palgrave Macmillan.</w:t>
      </w:r>
    </w:p>
    <w:p w14:paraId="1B817C1F"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Braun, V., &amp; Clarke, V. (2022). </w:t>
      </w:r>
      <w:r w:rsidRPr="00B10BE1">
        <w:rPr>
          <w:rFonts w:ascii="Times New Roman" w:eastAsia="Times New Roman" w:hAnsi="Times New Roman" w:cs="Times New Roman"/>
          <w:i/>
          <w:iCs/>
          <w:sz w:val="24"/>
          <w:szCs w:val="24"/>
          <w:lang w:eastAsia="en-GB"/>
        </w:rPr>
        <w:t>Thematic analysis</w:t>
      </w:r>
      <w:r w:rsidRPr="00B10BE1">
        <w:rPr>
          <w:rFonts w:ascii="Times New Roman" w:eastAsia="Times New Roman" w:hAnsi="Times New Roman" w:cs="Times New Roman"/>
          <w:sz w:val="24"/>
          <w:szCs w:val="24"/>
          <w:lang w:eastAsia="en-GB"/>
        </w:rPr>
        <w:t>. Sage.</w:t>
      </w:r>
    </w:p>
    <w:p w14:paraId="51837F43"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Cassidy, R. (2020). </w:t>
      </w:r>
      <w:r w:rsidRPr="00B10BE1">
        <w:rPr>
          <w:rFonts w:ascii="Times New Roman" w:eastAsia="Times New Roman" w:hAnsi="Times New Roman" w:cs="Times New Roman"/>
          <w:i/>
          <w:iCs/>
          <w:sz w:val="24"/>
          <w:szCs w:val="24"/>
          <w:lang w:eastAsia="en-GB"/>
        </w:rPr>
        <w:t>Vicious games</w:t>
      </w:r>
      <w:r w:rsidRPr="00B10BE1">
        <w:rPr>
          <w:rFonts w:ascii="Times New Roman" w:eastAsia="Times New Roman" w:hAnsi="Times New Roman" w:cs="Times New Roman"/>
          <w:sz w:val="24"/>
          <w:szCs w:val="24"/>
          <w:lang w:eastAsia="en-GB"/>
        </w:rPr>
        <w:t> (1st ed.). Pluto Press.</w:t>
      </w:r>
    </w:p>
    <w:p w14:paraId="3CB60A8D"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p>
    <w:p w14:paraId="2EBF9B91"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b/>
          <w:bCs/>
          <w:sz w:val="24"/>
          <w:szCs w:val="24"/>
          <w:shd w:val="clear" w:color="auto" w:fill="FFFFFF"/>
          <w:lang w:eastAsia="en-GB"/>
        </w:rPr>
        <w:t> </w:t>
      </w:r>
      <w:r w:rsidRPr="00B10BE1">
        <w:rPr>
          <w:rFonts w:ascii="Times New Roman" w:eastAsia="Times New Roman" w:hAnsi="Times New Roman" w:cs="Times New Roman"/>
          <w:sz w:val="24"/>
          <w:szCs w:val="24"/>
          <w:shd w:val="clear" w:color="auto" w:fill="FFFFFF"/>
          <w:lang w:eastAsia="en-GB"/>
        </w:rPr>
        <w:t xml:space="preserve">Corfe, S., Bhattacharya, A., &amp; Shepherd, J. (2021). </w:t>
      </w:r>
      <w:r w:rsidRPr="00B10BE1">
        <w:rPr>
          <w:rFonts w:ascii="Times New Roman" w:eastAsia="Times New Roman" w:hAnsi="Times New Roman" w:cs="Times New Roman"/>
          <w:i/>
          <w:iCs/>
          <w:sz w:val="24"/>
          <w:szCs w:val="24"/>
          <w:shd w:val="clear" w:color="auto" w:fill="FFFFFF"/>
          <w:lang w:eastAsia="en-GB"/>
        </w:rPr>
        <w:t>Double or nothing?: Assessing the economic impact of gambling.</w:t>
      </w:r>
      <w:r w:rsidRPr="00B10BE1">
        <w:rPr>
          <w:rFonts w:ascii="Times New Roman" w:eastAsia="Times New Roman" w:hAnsi="Times New Roman" w:cs="Times New Roman"/>
          <w:sz w:val="24"/>
          <w:szCs w:val="24"/>
          <w:shd w:val="clear" w:color="auto" w:fill="FFFFFF"/>
          <w:lang w:eastAsia="en-GB"/>
        </w:rPr>
        <w:t xml:space="preserve"> Social Market Foundation. https://www.smf.co.uk/publications/double-or-nothing/</w:t>
      </w:r>
    </w:p>
    <w:p w14:paraId="07BFC313"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Creswell, J. W., &amp; Creswell, J. D. (2023). </w:t>
      </w:r>
      <w:r w:rsidRPr="00B10BE1">
        <w:rPr>
          <w:rFonts w:ascii="Times New Roman" w:eastAsia="Times New Roman" w:hAnsi="Times New Roman" w:cs="Times New Roman"/>
          <w:i/>
          <w:iCs/>
          <w:sz w:val="24"/>
          <w:szCs w:val="24"/>
          <w:lang w:eastAsia="en-GB"/>
        </w:rPr>
        <w:t>Research design qualitative, quantitative and mixed methods approaches (</w:t>
      </w:r>
      <w:r w:rsidRPr="00B10BE1">
        <w:rPr>
          <w:rFonts w:ascii="Times New Roman" w:eastAsia="Times New Roman" w:hAnsi="Times New Roman" w:cs="Times New Roman"/>
          <w:sz w:val="24"/>
          <w:szCs w:val="24"/>
          <w:lang w:eastAsia="en-GB"/>
        </w:rPr>
        <w:t>6th ed.). SAGE.</w:t>
      </w:r>
    </w:p>
    <w:p w14:paraId="62AB689F"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Davis, C. G., Nolen-Hoeksema, S., Larson, J. (1998). Making sense of loss and benefiting from the experience: Two construals of meaning.</w:t>
      </w:r>
      <w:r w:rsidRPr="00B10BE1">
        <w:rPr>
          <w:rFonts w:ascii="Times New Roman" w:eastAsia="Times New Roman" w:hAnsi="Times New Roman" w:cs="Times New Roman"/>
          <w:i/>
          <w:iCs/>
          <w:sz w:val="24"/>
          <w:szCs w:val="24"/>
          <w:lang w:eastAsia="en-GB"/>
        </w:rPr>
        <w:t> Journal of Personality and Social Psychology, 75</w:t>
      </w:r>
      <w:r w:rsidRPr="00B10BE1">
        <w:rPr>
          <w:rFonts w:ascii="Times New Roman" w:eastAsia="Times New Roman" w:hAnsi="Times New Roman" w:cs="Times New Roman"/>
          <w:sz w:val="24"/>
          <w:szCs w:val="24"/>
          <w:lang w:eastAsia="en-GB"/>
        </w:rPr>
        <w:t>(2), 561–574. https://doi.org/10.1037//0022-3514.75.2.561</w:t>
      </w:r>
    </w:p>
    <w:p w14:paraId="64D988DB"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Davis, C. G., Wortman, C. B., Lehman, D. R., &amp; Silver, R. C. (2000). Searching for meaning in loss: Are clinical assumptions correct?</w:t>
      </w:r>
      <w:r w:rsidRPr="00B10BE1">
        <w:rPr>
          <w:rFonts w:ascii="Times New Roman" w:eastAsia="Times New Roman" w:hAnsi="Times New Roman" w:cs="Times New Roman"/>
          <w:i/>
          <w:iCs/>
          <w:sz w:val="24"/>
          <w:szCs w:val="24"/>
          <w:lang w:eastAsia="en-GB"/>
        </w:rPr>
        <w:t> Death Studies, 24</w:t>
      </w:r>
      <w:r w:rsidRPr="00B10BE1">
        <w:rPr>
          <w:rFonts w:ascii="Times New Roman" w:eastAsia="Times New Roman" w:hAnsi="Times New Roman" w:cs="Times New Roman"/>
          <w:sz w:val="24"/>
          <w:szCs w:val="24"/>
          <w:lang w:eastAsia="en-GB"/>
        </w:rPr>
        <w:t>(6), 497–540. https://doi.org/10.1080/07481180050121471</w:t>
      </w:r>
    </w:p>
    <w:p w14:paraId="08642562"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Doka, K. J. (1999). Disenfranchised grief.</w:t>
      </w:r>
      <w:r w:rsidRPr="00B10BE1">
        <w:rPr>
          <w:rFonts w:ascii="Times New Roman" w:eastAsia="Times New Roman" w:hAnsi="Times New Roman" w:cs="Times New Roman"/>
          <w:i/>
          <w:iCs/>
          <w:sz w:val="24"/>
          <w:szCs w:val="24"/>
          <w:lang w:eastAsia="en-GB"/>
        </w:rPr>
        <w:t> Bereavement Care, 18</w:t>
      </w:r>
      <w:r w:rsidRPr="00B10BE1">
        <w:rPr>
          <w:rFonts w:ascii="Times New Roman" w:eastAsia="Times New Roman" w:hAnsi="Times New Roman" w:cs="Times New Roman"/>
          <w:sz w:val="24"/>
          <w:szCs w:val="24"/>
          <w:lang w:eastAsia="en-GB"/>
        </w:rPr>
        <w:t xml:space="preserve">(3), 37–39 </w:t>
      </w:r>
      <w:bookmarkStart w:id="20" w:name="_Hlk174402073"/>
      <w:r w:rsidRPr="00B10BE1">
        <w:rPr>
          <w:rFonts w:ascii="Times New Roman" w:eastAsia="Times New Roman" w:hAnsi="Times New Roman" w:cs="Times New Roman"/>
          <w:sz w:val="24"/>
          <w:szCs w:val="24"/>
          <w:lang w:eastAsia="en-GB"/>
        </w:rPr>
        <w:t>https://doi.org/</w:t>
      </w:r>
      <w:bookmarkEnd w:id="20"/>
      <w:r w:rsidRPr="00B10BE1">
        <w:rPr>
          <w:rFonts w:ascii="Times New Roman" w:eastAsia="Times New Roman" w:hAnsi="Times New Roman" w:cs="Times New Roman"/>
          <w:sz w:val="24"/>
          <w:szCs w:val="24"/>
          <w:lang w:eastAsia="en-GB"/>
        </w:rPr>
        <w:t>10.1080/02682629908657467</w:t>
      </w:r>
    </w:p>
    <w:p w14:paraId="04FAE2B1"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Dorfman, L., &amp; Krasnow, I. D. (2014). Public health and media advocacy.</w:t>
      </w:r>
      <w:r w:rsidRPr="00B10BE1">
        <w:rPr>
          <w:rFonts w:ascii="Times New Roman" w:eastAsia="Times New Roman" w:hAnsi="Times New Roman" w:cs="Times New Roman"/>
          <w:i/>
          <w:iCs/>
          <w:sz w:val="24"/>
          <w:szCs w:val="24"/>
          <w:lang w:eastAsia="en-GB"/>
        </w:rPr>
        <w:t> Annual Review of Public Health, 35</w:t>
      </w:r>
      <w:r w:rsidRPr="00B10BE1">
        <w:rPr>
          <w:rFonts w:ascii="Times New Roman" w:eastAsia="Times New Roman" w:hAnsi="Times New Roman" w:cs="Times New Roman"/>
          <w:sz w:val="24"/>
          <w:szCs w:val="24"/>
          <w:lang w:eastAsia="en-GB"/>
        </w:rPr>
        <w:t>, 293–306. https://www.annualreviews.org/content/journals/10.1146/annurev-publhealth-032013-182503</w:t>
      </w:r>
    </w:p>
    <w:p w14:paraId="27D75BB9"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Dowling, N. A., Suomi, A., Jackson, A. C., &amp; Lavis, T. (2016). Problem gambling family impacts: Development of the problem gambling family impact scale.</w:t>
      </w:r>
      <w:r w:rsidRPr="00B10BE1">
        <w:rPr>
          <w:rFonts w:ascii="Times New Roman" w:eastAsia="Times New Roman" w:hAnsi="Times New Roman" w:cs="Times New Roman"/>
          <w:i/>
          <w:iCs/>
          <w:sz w:val="24"/>
          <w:szCs w:val="24"/>
          <w:lang w:eastAsia="en-GB"/>
        </w:rPr>
        <w:t> Journal of Gambling Studies, 32</w:t>
      </w:r>
      <w:r w:rsidRPr="00B10BE1">
        <w:rPr>
          <w:rFonts w:ascii="Times New Roman" w:eastAsia="Times New Roman" w:hAnsi="Times New Roman" w:cs="Times New Roman"/>
          <w:sz w:val="24"/>
          <w:szCs w:val="24"/>
          <w:lang w:eastAsia="en-GB"/>
        </w:rPr>
        <w:t>, 935–955.</w:t>
      </w:r>
    </w:p>
    <w:p w14:paraId="0BE67D43"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Dransart, D. A. C. (2013). From sense-making to meaning-making: Understanding and supporting survivors of suicide.</w:t>
      </w:r>
      <w:r w:rsidRPr="00B10BE1">
        <w:rPr>
          <w:rFonts w:ascii="Times New Roman" w:eastAsia="Times New Roman" w:hAnsi="Times New Roman" w:cs="Times New Roman"/>
          <w:i/>
          <w:iCs/>
          <w:sz w:val="24"/>
          <w:szCs w:val="24"/>
          <w:lang w:eastAsia="en-GB"/>
        </w:rPr>
        <w:t> The British Journal of Social Work, 43</w:t>
      </w:r>
      <w:r w:rsidRPr="00B10BE1">
        <w:rPr>
          <w:rFonts w:ascii="Times New Roman" w:eastAsia="Times New Roman" w:hAnsi="Times New Roman" w:cs="Times New Roman"/>
          <w:sz w:val="24"/>
          <w:szCs w:val="24"/>
          <w:lang w:eastAsia="en-GB"/>
        </w:rPr>
        <w:t>(2), 317–335. https://doi.org/10.1093/bjsw/bct026</w:t>
      </w:r>
    </w:p>
    <w:p w14:paraId="24601788"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xml:space="preserve">Entilli, L., Ross, V., De Leo, D., Cipolletta, S., &amp; Kõlves, K. (2021). </w:t>
      </w:r>
      <w:bookmarkStart w:id="21" w:name="_Hlk174402428"/>
      <w:r w:rsidRPr="00B10BE1">
        <w:rPr>
          <w:rFonts w:ascii="Times New Roman" w:eastAsia="Times New Roman" w:hAnsi="Times New Roman" w:cs="Times New Roman"/>
          <w:sz w:val="24"/>
          <w:szCs w:val="24"/>
          <w:lang w:eastAsia="en-GB"/>
        </w:rPr>
        <w:t>Experiences of parental suicide-bereavement: A longitudinal qualitative analysis over two years.</w:t>
      </w:r>
      <w:r w:rsidRPr="00B10BE1">
        <w:rPr>
          <w:rFonts w:ascii="Times New Roman" w:eastAsia="Times New Roman" w:hAnsi="Times New Roman" w:cs="Times New Roman"/>
          <w:i/>
          <w:iCs/>
          <w:sz w:val="24"/>
          <w:szCs w:val="24"/>
          <w:lang w:eastAsia="en-GB"/>
        </w:rPr>
        <w:t> International Journal of Environmental Research and Public Health, </w:t>
      </w:r>
      <w:bookmarkEnd w:id="21"/>
      <w:r w:rsidRPr="00B10BE1">
        <w:rPr>
          <w:rFonts w:ascii="Times New Roman" w:eastAsia="Times New Roman" w:hAnsi="Times New Roman" w:cs="Times New Roman"/>
          <w:i/>
          <w:iCs/>
          <w:sz w:val="24"/>
          <w:szCs w:val="24"/>
          <w:lang w:eastAsia="en-GB"/>
        </w:rPr>
        <w:t>18</w:t>
      </w:r>
      <w:r w:rsidRPr="00B10BE1">
        <w:rPr>
          <w:rFonts w:ascii="Times New Roman" w:eastAsia="Times New Roman" w:hAnsi="Times New Roman" w:cs="Times New Roman"/>
          <w:sz w:val="24"/>
          <w:szCs w:val="24"/>
          <w:lang w:eastAsia="en-GB"/>
        </w:rPr>
        <w:t xml:space="preserve">(2), 1-13. </w:t>
      </w:r>
      <w:bookmarkStart w:id="22" w:name="_Hlk174402442"/>
      <w:r w:rsidRPr="00B10BE1">
        <w:rPr>
          <w:rFonts w:ascii="Times New Roman" w:eastAsia="Times New Roman" w:hAnsi="Times New Roman" w:cs="Times New Roman"/>
          <w:sz w:val="24"/>
          <w:szCs w:val="24"/>
          <w:lang w:eastAsia="en-GB"/>
        </w:rPr>
        <w:t>https://doi.org/</w:t>
      </w:r>
      <w:bookmarkEnd w:id="22"/>
      <w:r w:rsidRPr="00B10BE1">
        <w:rPr>
          <w:rFonts w:ascii="Times New Roman" w:eastAsia="Times New Roman" w:hAnsi="Times New Roman" w:cs="Times New Roman"/>
          <w:sz w:val="24"/>
          <w:szCs w:val="24"/>
          <w:lang w:eastAsia="en-GB"/>
        </w:rPr>
        <w:t>10.3390/ijerph18020564</w:t>
      </w:r>
    </w:p>
    <w:p w14:paraId="15738BFC"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Etherington, K. (2004). </w:t>
      </w:r>
      <w:r w:rsidRPr="00B10BE1">
        <w:rPr>
          <w:rFonts w:ascii="Times New Roman" w:eastAsia="Times New Roman" w:hAnsi="Times New Roman" w:cs="Times New Roman"/>
          <w:i/>
          <w:iCs/>
          <w:sz w:val="24"/>
          <w:szCs w:val="24"/>
          <w:lang w:eastAsia="en-GB"/>
        </w:rPr>
        <w:t>Becoming a reflexive researcher - using ourselves in research</w:t>
      </w:r>
      <w:r w:rsidRPr="00B10BE1">
        <w:rPr>
          <w:rFonts w:ascii="Times New Roman" w:eastAsia="Times New Roman" w:hAnsi="Times New Roman" w:cs="Times New Roman"/>
          <w:sz w:val="24"/>
          <w:szCs w:val="24"/>
          <w:lang w:eastAsia="en-GB"/>
        </w:rPr>
        <w:t> (1st ed.). Jessica Kingsley Publishers.</w:t>
      </w:r>
    </w:p>
    <w:p w14:paraId="0CCDF248"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Feigelman, W., Feigelman, B., &amp; Range, L. M. (2020). Grief and healing trajectories of drug-death-bereaved parents.</w:t>
      </w:r>
      <w:r w:rsidRPr="00B10BE1">
        <w:rPr>
          <w:rFonts w:ascii="Times New Roman" w:eastAsia="Times New Roman" w:hAnsi="Times New Roman" w:cs="Times New Roman"/>
          <w:i/>
          <w:iCs/>
          <w:sz w:val="24"/>
          <w:szCs w:val="24"/>
          <w:lang w:eastAsia="en-GB"/>
        </w:rPr>
        <w:t> Omega: Journal of Death and Dying, 80</w:t>
      </w:r>
      <w:r w:rsidRPr="00B10BE1">
        <w:rPr>
          <w:rFonts w:ascii="Times New Roman" w:eastAsia="Times New Roman" w:hAnsi="Times New Roman" w:cs="Times New Roman"/>
          <w:sz w:val="24"/>
          <w:szCs w:val="24"/>
          <w:lang w:eastAsia="en-GB"/>
        </w:rPr>
        <w:t xml:space="preserve">(4), 629–647. </w:t>
      </w:r>
      <w:bookmarkStart w:id="23" w:name="_Hlk174403070"/>
      <w:r w:rsidRPr="00B10BE1">
        <w:rPr>
          <w:rFonts w:ascii="Times New Roman" w:eastAsia="Times New Roman" w:hAnsi="Times New Roman" w:cs="Times New Roman"/>
          <w:sz w:val="24"/>
          <w:szCs w:val="24"/>
          <w:lang w:eastAsia="en-GB"/>
        </w:rPr>
        <w:t>https://doi.org/</w:t>
      </w:r>
      <w:bookmarkEnd w:id="23"/>
      <w:r w:rsidRPr="00B10BE1">
        <w:rPr>
          <w:rFonts w:ascii="Times New Roman" w:eastAsia="Times New Roman" w:hAnsi="Times New Roman" w:cs="Times New Roman"/>
          <w:sz w:val="24"/>
          <w:szCs w:val="24"/>
          <w:lang w:eastAsia="en-GB"/>
        </w:rPr>
        <w:t>10.1177/0030222818754669</w:t>
      </w:r>
    </w:p>
    <w:p w14:paraId="53D45C51"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Field, N. P., &amp; Filanosky, C. (2010). Continuing bonds, risk factors for complicated grief, and adjustment to bereavement.</w:t>
      </w:r>
      <w:r w:rsidRPr="00B10BE1">
        <w:rPr>
          <w:rFonts w:ascii="Times New Roman" w:eastAsia="Times New Roman" w:hAnsi="Times New Roman" w:cs="Times New Roman"/>
          <w:i/>
          <w:iCs/>
          <w:sz w:val="24"/>
          <w:szCs w:val="24"/>
          <w:lang w:eastAsia="en-GB"/>
        </w:rPr>
        <w:t> Death Studies, 34</w:t>
      </w:r>
      <w:r w:rsidRPr="00B10BE1">
        <w:rPr>
          <w:rFonts w:ascii="Times New Roman" w:eastAsia="Times New Roman" w:hAnsi="Times New Roman" w:cs="Times New Roman"/>
          <w:sz w:val="24"/>
          <w:szCs w:val="24"/>
          <w:lang w:eastAsia="en-GB"/>
        </w:rPr>
        <w:t>(1), 1–29. https://doi.org/10.1080/07481180903372269</w:t>
      </w:r>
      <w:r w:rsidRPr="00B10BE1">
        <w:rPr>
          <w:rFonts w:ascii="Times New Roman" w:eastAsia="Times New Roman" w:hAnsi="Times New Roman" w:cs="Times New Roman"/>
          <w:sz w:val="24"/>
          <w:szCs w:val="24"/>
          <w:shd w:val="clear" w:color="auto" w:fill="FFFFFF"/>
          <w:lang w:eastAsia="en-GB"/>
        </w:rPr>
        <w:t>.</w:t>
      </w:r>
    </w:p>
    <w:p w14:paraId="14E6770E"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Freud, S. (1917). Mourning and melancholia.</w:t>
      </w:r>
      <w:r w:rsidRPr="00B10BE1">
        <w:rPr>
          <w:rFonts w:ascii="Times New Roman" w:eastAsia="Times New Roman" w:hAnsi="Times New Roman" w:cs="Times New Roman"/>
          <w:i/>
          <w:iCs/>
          <w:sz w:val="24"/>
          <w:szCs w:val="24"/>
          <w:lang w:eastAsia="en-GB"/>
        </w:rPr>
        <w:t> The Standard Edition of the Complete Psychological Works of Sigmund Freud, 14</w:t>
      </w:r>
      <w:r w:rsidRPr="00B10BE1">
        <w:rPr>
          <w:rFonts w:ascii="Times New Roman" w:eastAsia="Times New Roman" w:hAnsi="Times New Roman" w:cs="Times New Roman"/>
          <w:sz w:val="24"/>
          <w:szCs w:val="24"/>
          <w:lang w:eastAsia="en-GB"/>
        </w:rPr>
        <w:t>(1914-1916), 237–258. The Hogarth Press.</w:t>
      </w:r>
    </w:p>
    <w:p w14:paraId="68720F94"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xml:space="preserve">Gambling Commission. (2021) </w:t>
      </w:r>
      <w:r w:rsidRPr="00B10BE1">
        <w:rPr>
          <w:rFonts w:ascii="Times New Roman" w:eastAsia="Times New Roman" w:hAnsi="Times New Roman" w:cs="Times New Roman"/>
          <w:i/>
          <w:iCs/>
          <w:sz w:val="24"/>
          <w:szCs w:val="24"/>
          <w:lang w:eastAsia="en-GB"/>
        </w:rPr>
        <w:t>Problem gambling screens.</w:t>
      </w:r>
      <w:r w:rsidRPr="00B10BE1">
        <w:rPr>
          <w:rFonts w:ascii="Times New Roman" w:eastAsia="Times New Roman" w:hAnsi="Times New Roman" w:cs="Times New Roman"/>
          <w:sz w:val="24"/>
          <w:szCs w:val="24"/>
          <w:lang w:eastAsia="en-GB"/>
        </w:rPr>
        <w:t xml:space="preserve">  Gambling Commission. </w:t>
      </w:r>
      <w:hyperlink r:id="rId12" w:history="1">
        <w:r w:rsidRPr="00B10BE1">
          <w:rPr>
            <w:rFonts w:ascii="Times New Roman" w:eastAsia="Times New Roman" w:hAnsi="Times New Roman" w:cs="Times New Roman"/>
            <w:sz w:val="24"/>
            <w:szCs w:val="24"/>
            <w:u w:val="single"/>
            <w:lang w:eastAsia="en-GB"/>
          </w:rPr>
          <w:t>https://www.gamblingcommission.gov.uk/statistics-and-research/publication/problem-gambling-screens</w:t>
        </w:r>
      </w:hyperlink>
    </w:p>
    <w:p w14:paraId="7ACC8325"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George, S., &amp; Bowden-Jones, H. (2016). Treatment provision for gambling disorder in Britain: Call for an integrated addictions treatment and commissioning model.</w:t>
      </w:r>
      <w:r w:rsidRPr="00B10BE1">
        <w:rPr>
          <w:rFonts w:ascii="Times New Roman" w:eastAsia="Times New Roman" w:hAnsi="Times New Roman" w:cs="Times New Roman"/>
          <w:i/>
          <w:iCs/>
          <w:sz w:val="24"/>
          <w:szCs w:val="24"/>
          <w:lang w:eastAsia="en-GB"/>
        </w:rPr>
        <w:t> BJPsych Bulletin, 40</w:t>
      </w:r>
      <w:r w:rsidRPr="00B10BE1">
        <w:rPr>
          <w:rFonts w:ascii="Times New Roman" w:eastAsia="Times New Roman" w:hAnsi="Times New Roman" w:cs="Times New Roman"/>
          <w:sz w:val="24"/>
          <w:szCs w:val="24"/>
          <w:lang w:eastAsia="en-GB"/>
        </w:rPr>
        <w:t xml:space="preserve">(3), 113–115. </w:t>
      </w:r>
      <w:bookmarkStart w:id="24" w:name="_Hlk174403381"/>
      <w:r w:rsidRPr="00B10BE1">
        <w:rPr>
          <w:rFonts w:ascii="Times New Roman" w:eastAsia="Times New Roman" w:hAnsi="Times New Roman" w:cs="Times New Roman"/>
          <w:sz w:val="24"/>
          <w:szCs w:val="24"/>
          <w:lang w:eastAsia="en-GB"/>
        </w:rPr>
        <w:t>https://doi.org/</w:t>
      </w:r>
      <w:bookmarkEnd w:id="24"/>
      <w:r w:rsidRPr="00B10BE1">
        <w:rPr>
          <w:rFonts w:ascii="Times New Roman" w:eastAsia="Times New Roman" w:hAnsi="Times New Roman" w:cs="Times New Roman"/>
          <w:sz w:val="24"/>
          <w:szCs w:val="24"/>
          <w:lang w:eastAsia="en-GB"/>
        </w:rPr>
        <w:t>10.1192/pb.bp.114.050401</w:t>
      </w:r>
    </w:p>
    <w:p w14:paraId="12D00F3E"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Gillies, J. M., Neimeyer, R. A., &amp; Milman, E. (2015). The grief and meaning reconstruction inventory (GMRI): Initial validation of a new measure.</w:t>
      </w:r>
      <w:r w:rsidRPr="00B10BE1">
        <w:rPr>
          <w:rFonts w:ascii="Times New Roman" w:eastAsia="Times New Roman" w:hAnsi="Times New Roman" w:cs="Times New Roman"/>
          <w:i/>
          <w:iCs/>
          <w:sz w:val="24"/>
          <w:szCs w:val="24"/>
          <w:lang w:eastAsia="en-GB"/>
        </w:rPr>
        <w:t> Death Studies, 39</w:t>
      </w:r>
      <w:r w:rsidRPr="00B10BE1">
        <w:rPr>
          <w:rFonts w:ascii="Times New Roman" w:eastAsia="Times New Roman" w:hAnsi="Times New Roman" w:cs="Times New Roman"/>
          <w:sz w:val="24"/>
          <w:szCs w:val="24"/>
          <w:lang w:eastAsia="en-GB"/>
        </w:rPr>
        <w:t>(2), 61–74. https://doi.org/10.1080/07481187.2014.907089</w:t>
      </w:r>
    </w:p>
    <w:p w14:paraId="52E5671C"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xml:space="preserve">Goodall, R., Krysinska, K., &amp; Andriessen, K. (2022). </w:t>
      </w:r>
      <w:bookmarkStart w:id="25" w:name="_Hlk174403371"/>
      <w:r w:rsidRPr="00B10BE1">
        <w:rPr>
          <w:rFonts w:ascii="Times New Roman" w:eastAsia="Times New Roman" w:hAnsi="Times New Roman" w:cs="Times New Roman"/>
          <w:sz w:val="24"/>
          <w:szCs w:val="24"/>
          <w:lang w:eastAsia="en-GB"/>
        </w:rPr>
        <w:t>Continuing bonds after loss by suicide: A systematic review.</w:t>
      </w:r>
      <w:r w:rsidRPr="00B10BE1">
        <w:rPr>
          <w:rFonts w:ascii="Times New Roman" w:eastAsia="Times New Roman" w:hAnsi="Times New Roman" w:cs="Times New Roman"/>
          <w:i/>
          <w:iCs/>
          <w:sz w:val="24"/>
          <w:szCs w:val="24"/>
          <w:lang w:eastAsia="en-GB"/>
        </w:rPr>
        <w:t> International Journal of Environmental Research and Public Health,</w:t>
      </w:r>
      <w:bookmarkEnd w:id="25"/>
      <w:r w:rsidRPr="00B10BE1">
        <w:rPr>
          <w:rFonts w:ascii="Times New Roman" w:eastAsia="Times New Roman" w:hAnsi="Times New Roman" w:cs="Times New Roman"/>
          <w:i/>
          <w:iCs/>
          <w:sz w:val="24"/>
          <w:szCs w:val="24"/>
          <w:lang w:eastAsia="en-GB"/>
        </w:rPr>
        <w:t> 19</w:t>
      </w:r>
      <w:r w:rsidRPr="00B10BE1">
        <w:rPr>
          <w:rFonts w:ascii="Times New Roman" w:eastAsia="Times New Roman" w:hAnsi="Times New Roman" w:cs="Times New Roman"/>
          <w:sz w:val="24"/>
          <w:szCs w:val="24"/>
          <w:lang w:eastAsia="en-GB"/>
        </w:rPr>
        <w:t>(5), 1-18. https://doi.org/10.3390/ijerph19052963</w:t>
      </w:r>
    </w:p>
    <w:p w14:paraId="45B16FBE"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Goodwin, B. C., Browne, M., Rockloff, M., &amp; Rose, J. (2017). A typical problem gambler affects six others.</w:t>
      </w:r>
      <w:r w:rsidRPr="00B10BE1">
        <w:rPr>
          <w:rFonts w:ascii="Times New Roman" w:eastAsia="Times New Roman" w:hAnsi="Times New Roman" w:cs="Times New Roman"/>
          <w:i/>
          <w:iCs/>
          <w:sz w:val="24"/>
          <w:szCs w:val="24"/>
          <w:lang w:eastAsia="en-GB"/>
        </w:rPr>
        <w:t> International Gambling Studies, 17</w:t>
      </w:r>
      <w:r w:rsidRPr="00B10BE1">
        <w:rPr>
          <w:rFonts w:ascii="Times New Roman" w:eastAsia="Times New Roman" w:hAnsi="Times New Roman" w:cs="Times New Roman"/>
          <w:sz w:val="24"/>
          <w:szCs w:val="24"/>
          <w:lang w:eastAsia="en-GB"/>
        </w:rPr>
        <w:t>(2), 276–289. https://doi.org/10.1080/14459795.2017.1331252</w:t>
      </w:r>
    </w:p>
    <w:p w14:paraId="4318AC4E"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Gorman, E. (2010). Adaptation, resilience, and growth after loss. In D. L. Harris (Ed.), </w:t>
      </w:r>
      <w:r w:rsidRPr="00B10BE1">
        <w:rPr>
          <w:rFonts w:ascii="Times New Roman" w:eastAsia="Times New Roman" w:hAnsi="Times New Roman" w:cs="Times New Roman"/>
          <w:i/>
          <w:iCs/>
          <w:sz w:val="24"/>
          <w:szCs w:val="24"/>
          <w:lang w:eastAsia="en-GB"/>
        </w:rPr>
        <w:t>Counting our losses: Reflecting on change, loss, and transition in everyday life</w:t>
      </w:r>
      <w:r w:rsidRPr="00B10BE1">
        <w:rPr>
          <w:rFonts w:ascii="Times New Roman" w:eastAsia="Times New Roman" w:hAnsi="Times New Roman" w:cs="Times New Roman"/>
          <w:sz w:val="24"/>
          <w:szCs w:val="24"/>
          <w:lang w:eastAsia="en-GB"/>
        </w:rPr>
        <w:t> (pp. 255–268). Routledge.</w:t>
      </w:r>
    </w:p>
    <w:p w14:paraId="249715D6"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Gray, H. M., Edson, T. C., Nelson, S. E., Grossman, A. B., &amp; LaPlante, D. A. (2021). Association between gambling and self-harm: A scoping review.</w:t>
      </w:r>
      <w:r w:rsidRPr="00B10BE1">
        <w:rPr>
          <w:rFonts w:ascii="Times New Roman" w:eastAsia="Times New Roman" w:hAnsi="Times New Roman" w:cs="Times New Roman"/>
          <w:i/>
          <w:iCs/>
          <w:sz w:val="24"/>
          <w:szCs w:val="24"/>
          <w:lang w:eastAsia="en-GB"/>
        </w:rPr>
        <w:t> Addiction Research &amp; Theory, 29</w:t>
      </w:r>
      <w:r w:rsidRPr="00B10BE1">
        <w:rPr>
          <w:rFonts w:ascii="Times New Roman" w:eastAsia="Times New Roman" w:hAnsi="Times New Roman" w:cs="Times New Roman"/>
          <w:sz w:val="24"/>
          <w:szCs w:val="24"/>
          <w:lang w:eastAsia="en-GB"/>
        </w:rPr>
        <w:t>(3), 183–195. https://doi.org/10.1080/16066359.2020.1784881</w:t>
      </w:r>
    </w:p>
    <w:p w14:paraId="532D82FD"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Günay, H. F. (2024). Taxation as a policy instrument for social and economic effects of gambling.</w:t>
      </w:r>
      <w:r w:rsidRPr="00B10BE1">
        <w:rPr>
          <w:rFonts w:ascii="Times New Roman" w:eastAsia="Times New Roman" w:hAnsi="Times New Roman" w:cs="Times New Roman"/>
          <w:i/>
          <w:iCs/>
          <w:sz w:val="24"/>
          <w:szCs w:val="24"/>
          <w:lang w:eastAsia="en-GB"/>
        </w:rPr>
        <w:t> Journal of Gambling Issues, </w:t>
      </w:r>
      <w:bookmarkStart w:id="26" w:name="_Hlk174403779"/>
      <w:r w:rsidRPr="00B10BE1">
        <w:rPr>
          <w:rFonts w:ascii="Times New Roman" w:eastAsia="Times New Roman" w:hAnsi="Times New Roman" w:cs="Times New Roman"/>
          <w:sz w:val="24"/>
          <w:szCs w:val="24"/>
          <w:lang w:eastAsia="en-GB"/>
        </w:rPr>
        <w:t>https://doi.org/</w:t>
      </w:r>
      <w:bookmarkEnd w:id="26"/>
      <w:r w:rsidRPr="00B10BE1">
        <w:rPr>
          <w:rFonts w:ascii="Times New Roman" w:eastAsia="Times New Roman" w:hAnsi="Times New Roman" w:cs="Times New Roman"/>
          <w:sz w:val="24"/>
          <w:szCs w:val="24"/>
          <w:lang w:eastAsia="en-GB"/>
        </w:rPr>
        <w:t>10.4309/MKME8615</w:t>
      </w:r>
    </w:p>
    <w:p w14:paraId="1407125C" w14:textId="77777777" w:rsidR="006C1A28" w:rsidRPr="00B10BE1" w:rsidRDefault="006C1A28" w:rsidP="00DF448B">
      <w:pPr>
        <w:shd w:val="clear" w:color="auto" w:fill="FFFFFF"/>
        <w:spacing w:after="173" w:line="480" w:lineRule="auto"/>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Gunstone, B. and Gosschalk, K. (2020) 'Gambling treatment and support', </w:t>
      </w:r>
      <w:r w:rsidRPr="00B10BE1">
        <w:rPr>
          <w:rFonts w:ascii="Times New Roman" w:eastAsia="Times New Roman" w:hAnsi="Times New Roman" w:cs="Times New Roman"/>
          <w:i/>
          <w:iCs/>
          <w:sz w:val="24"/>
          <w:szCs w:val="24"/>
          <w:lang w:eastAsia="en-GB"/>
        </w:rPr>
        <w:t>YouGov for gammbleAware</w:t>
      </w:r>
      <w:r w:rsidRPr="00B10BE1">
        <w:rPr>
          <w:rFonts w:ascii="Times New Roman" w:eastAsia="Times New Roman" w:hAnsi="Times New Roman" w:cs="Times New Roman"/>
          <w:sz w:val="24"/>
          <w:szCs w:val="24"/>
          <w:lang w:eastAsia="en-GB"/>
        </w:rPr>
        <w:t>.</w:t>
      </w:r>
      <w:hyperlink r:id="rId13" w:history="1">
        <w:r w:rsidRPr="00B10BE1">
          <w:rPr>
            <w:rFonts w:ascii="Times New Roman" w:eastAsia="Times New Roman" w:hAnsi="Times New Roman" w:cs="Times New Roman"/>
            <w:sz w:val="24"/>
            <w:szCs w:val="24"/>
            <w:lang w:eastAsia="en-GB"/>
          </w:rPr>
          <w:t>https://assets.ctfassets.net/j16ev64qyf6l/2SXwXymIXgdAB6T30jLEuN/a33b04a4197a77af2f97c4e8b8b4cadf/gambling-treatment-and-support.pdf</w:t>
        </w:r>
      </w:hyperlink>
      <w:r w:rsidRPr="00B10BE1">
        <w:rPr>
          <w:rFonts w:ascii="Times New Roman" w:eastAsia="Times New Roman" w:hAnsi="Times New Roman" w:cs="Times New Roman"/>
          <w:sz w:val="24"/>
          <w:szCs w:val="24"/>
          <w:lang w:eastAsia="en-GB"/>
        </w:rPr>
        <w:t>.</w:t>
      </w:r>
    </w:p>
    <w:p w14:paraId="6E57FCDB"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HMRC. (2023, Oct). </w:t>
      </w:r>
      <w:r w:rsidRPr="00B10BE1">
        <w:rPr>
          <w:rFonts w:ascii="Times New Roman" w:eastAsia="Times New Roman" w:hAnsi="Times New Roman" w:cs="Times New Roman"/>
          <w:i/>
          <w:iCs/>
          <w:sz w:val="24"/>
          <w:szCs w:val="24"/>
          <w:lang w:eastAsia="en-GB"/>
        </w:rPr>
        <w:t>UK betting and gaming statistics commentary (April 2023 to September 2023). </w:t>
      </w:r>
      <w:r w:rsidRPr="00B10BE1">
        <w:rPr>
          <w:rFonts w:ascii="Times New Roman" w:eastAsia="Times New Roman" w:hAnsi="Times New Roman" w:cs="Times New Roman"/>
          <w:sz w:val="24"/>
          <w:szCs w:val="24"/>
          <w:lang w:eastAsia="en-GB"/>
        </w:rPr>
        <w:t>HMRC. </w:t>
      </w:r>
      <w:hyperlink r:id="rId14" w:anchor="betting-duties-receipts" w:tgtFrame="_blank" w:history="1">
        <w:r w:rsidRPr="00B10BE1">
          <w:rPr>
            <w:rFonts w:ascii="Times New Roman" w:eastAsia="Times New Roman" w:hAnsi="Times New Roman" w:cs="Times New Roman"/>
            <w:sz w:val="24"/>
            <w:szCs w:val="24"/>
            <w:lang w:eastAsia="en-GB"/>
          </w:rPr>
          <w:t>https://www.gov.uk/government/statistics/uk-betting-and-gaming-statistics/uk-betting-and-gaming-statistics-commentary-october-2022-to-march-2023#betting-duties-receipts</w:t>
        </w:r>
      </w:hyperlink>
    </w:p>
    <w:p w14:paraId="408C488E"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Holdsworth, L., Nuske, E., Tiyce, M., &amp; Hing, N. (2013). Impacts of gambling problems on partners: Partners’ interpretations.</w:t>
      </w:r>
      <w:r w:rsidRPr="00B10BE1">
        <w:rPr>
          <w:rFonts w:ascii="Times New Roman" w:eastAsia="Times New Roman" w:hAnsi="Times New Roman" w:cs="Times New Roman"/>
          <w:i/>
          <w:iCs/>
          <w:sz w:val="24"/>
          <w:szCs w:val="24"/>
          <w:lang w:eastAsia="en-GB"/>
        </w:rPr>
        <w:t> Asian Journal of Gambling Issues and Public Health, 3</w:t>
      </w:r>
      <w:r w:rsidRPr="00B10BE1">
        <w:rPr>
          <w:rFonts w:ascii="Times New Roman" w:eastAsia="Times New Roman" w:hAnsi="Times New Roman" w:cs="Times New Roman"/>
          <w:sz w:val="24"/>
          <w:szCs w:val="24"/>
          <w:lang w:eastAsia="en-GB"/>
        </w:rPr>
        <w:t>(1), 1–14. https://doi.org/10.1186/2195-3007-3-11</w:t>
      </w:r>
    </w:p>
    <w:p w14:paraId="60C8581C"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Holland, J. M., Currier, J. M., &amp; Neimeyer, R. A. (2006). Meaning reconstruction in the first two years of bereavement: The role of sense-making and benefit-finding.</w:t>
      </w:r>
      <w:r w:rsidRPr="00B10BE1">
        <w:rPr>
          <w:rFonts w:ascii="Times New Roman" w:eastAsia="Times New Roman" w:hAnsi="Times New Roman" w:cs="Times New Roman"/>
          <w:i/>
          <w:iCs/>
          <w:sz w:val="24"/>
          <w:szCs w:val="24"/>
          <w:lang w:eastAsia="en-GB"/>
        </w:rPr>
        <w:t> OMEGA - Journal of Death and Dying, 53</w:t>
      </w:r>
      <w:r w:rsidRPr="00B10BE1">
        <w:rPr>
          <w:rFonts w:ascii="Times New Roman" w:eastAsia="Times New Roman" w:hAnsi="Times New Roman" w:cs="Times New Roman"/>
          <w:sz w:val="24"/>
          <w:szCs w:val="24"/>
          <w:lang w:eastAsia="en-GB"/>
        </w:rPr>
        <w:t xml:space="preserve">(3), 175–191. </w:t>
      </w:r>
      <w:hyperlink r:id="rId15" w:history="1">
        <w:r w:rsidRPr="00B10BE1">
          <w:rPr>
            <w:rFonts w:ascii="Times New Roman" w:eastAsia="Times New Roman" w:hAnsi="Times New Roman" w:cs="Times New Roman"/>
            <w:sz w:val="24"/>
            <w:szCs w:val="24"/>
            <w:lang w:eastAsia="en-GB"/>
          </w:rPr>
          <w:t>https://doi.org/10.2190/fkm2-yjty-f9vv-9xwy</w:t>
        </w:r>
      </w:hyperlink>
    </w:p>
    <w:p w14:paraId="00E912ED"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Roboto" w:eastAsia="Times New Roman" w:hAnsi="Roboto" w:cs="Times New Roman"/>
          <w:color w:val="000000"/>
          <w:sz w:val="21"/>
          <w:szCs w:val="21"/>
          <w:shd w:val="clear" w:color="auto" w:fill="FFFFFF"/>
          <w:lang w:eastAsia="en-GB"/>
        </w:rPr>
        <w:t>HORCH, J. D., &amp; HODGINS, D. C. (2008). Public Stigma of Disordered Gambling: Social Distance, Dangerousness, and Familiarity.</w:t>
      </w:r>
      <w:r w:rsidRPr="00B10BE1">
        <w:rPr>
          <w:rFonts w:ascii="Roboto" w:eastAsia="Times New Roman" w:hAnsi="Roboto" w:cs="Times New Roman"/>
          <w:i/>
          <w:iCs/>
          <w:color w:val="000000"/>
          <w:sz w:val="21"/>
          <w:szCs w:val="21"/>
          <w:shd w:val="clear" w:color="auto" w:fill="FFFFFF"/>
          <w:lang w:eastAsia="en-GB"/>
        </w:rPr>
        <w:t> Journal of Social and Clinical Psychology, 27</w:t>
      </w:r>
      <w:r w:rsidRPr="00B10BE1">
        <w:rPr>
          <w:rFonts w:ascii="Roboto" w:eastAsia="Times New Roman" w:hAnsi="Roboto" w:cs="Times New Roman"/>
          <w:color w:val="000000"/>
          <w:sz w:val="21"/>
          <w:szCs w:val="21"/>
          <w:shd w:val="clear" w:color="auto" w:fill="FFFFFF"/>
          <w:lang w:eastAsia="en-GB"/>
        </w:rPr>
        <w:t>(5), 505–528. 10.1521/jscp.2008.27.5.505</w:t>
      </w:r>
    </w:p>
    <w:p w14:paraId="0887BF08"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Hunt, Q. A., Young, T. A., &amp; Hertlein, K. M. (2019). The process of long-term suicide bereavement: Responsibility, familial support, and meaning making.</w:t>
      </w:r>
      <w:r w:rsidRPr="00B10BE1">
        <w:rPr>
          <w:rFonts w:ascii="Times New Roman" w:eastAsia="Times New Roman" w:hAnsi="Times New Roman" w:cs="Times New Roman"/>
          <w:i/>
          <w:iCs/>
          <w:sz w:val="24"/>
          <w:szCs w:val="24"/>
          <w:lang w:eastAsia="en-GB"/>
        </w:rPr>
        <w:t> Contemporary Family Therapy: An International Journal, 41</w:t>
      </w:r>
      <w:r w:rsidRPr="00B10BE1">
        <w:rPr>
          <w:rFonts w:ascii="Times New Roman" w:eastAsia="Times New Roman" w:hAnsi="Times New Roman" w:cs="Times New Roman"/>
          <w:sz w:val="24"/>
          <w:szCs w:val="24"/>
          <w:lang w:eastAsia="en-GB"/>
        </w:rPr>
        <w:t xml:space="preserve">(4), 335–346. </w:t>
      </w:r>
      <w:bookmarkStart w:id="27" w:name="_Hlk174403912"/>
      <w:r w:rsidRPr="00B10BE1">
        <w:rPr>
          <w:rFonts w:ascii="Times New Roman" w:eastAsia="Times New Roman" w:hAnsi="Times New Roman" w:cs="Times New Roman"/>
          <w:sz w:val="24"/>
          <w:szCs w:val="24"/>
          <w:lang w:eastAsia="en-GB"/>
        </w:rPr>
        <w:t>https://doi.org/</w:t>
      </w:r>
      <w:bookmarkEnd w:id="27"/>
      <w:r w:rsidRPr="00B10BE1">
        <w:rPr>
          <w:rFonts w:ascii="Times New Roman" w:eastAsia="Times New Roman" w:hAnsi="Times New Roman" w:cs="Times New Roman"/>
          <w:sz w:val="24"/>
          <w:szCs w:val="24"/>
          <w:lang w:eastAsia="en-GB"/>
        </w:rPr>
        <w:t>10.1007/s10591-019-09499-5</w:t>
      </w:r>
    </w:p>
    <w:p w14:paraId="68A80B82"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Jordan, R. (2010). Principles of grief counseling with adult survivors. In Jordan J. R. &amp; McIntosh J. L. (Eds.), </w:t>
      </w:r>
      <w:r w:rsidRPr="00B10BE1">
        <w:rPr>
          <w:rFonts w:ascii="Times New Roman" w:eastAsia="Times New Roman" w:hAnsi="Times New Roman" w:cs="Times New Roman"/>
          <w:i/>
          <w:iCs/>
          <w:sz w:val="24"/>
          <w:szCs w:val="24"/>
          <w:lang w:eastAsia="en-GB"/>
        </w:rPr>
        <w:t>Grief after suicide: Understanding the consequences and caring for the survivors,</w:t>
      </w:r>
      <w:r w:rsidRPr="00B10BE1">
        <w:rPr>
          <w:rFonts w:ascii="Times New Roman" w:eastAsia="Times New Roman" w:hAnsi="Times New Roman" w:cs="Times New Roman"/>
          <w:sz w:val="24"/>
          <w:szCs w:val="24"/>
          <w:lang w:eastAsia="en-GB"/>
        </w:rPr>
        <w:t> (pp. 179–223). Routledge.</w:t>
      </w:r>
    </w:p>
    <w:p w14:paraId="11CE70C4"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Karlsson, A., &amp; Hakansson, A. (2018). Gambling disorder, increased mortality, suicidality, and associated comorbidity: A longitudinal nationwide register study.</w:t>
      </w:r>
      <w:r w:rsidRPr="00B10BE1">
        <w:rPr>
          <w:rFonts w:ascii="Times New Roman" w:eastAsia="Times New Roman" w:hAnsi="Times New Roman" w:cs="Times New Roman"/>
          <w:i/>
          <w:iCs/>
          <w:sz w:val="24"/>
          <w:szCs w:val="24"/>
          <w:lang w:eastAsia="en-GB"/>
        </w:rPr>
        <w:t> Journal of Behavioral Addictions, 7</w:t>
      </w:r>
      <w:r w:rsidRPr="00B10BE1">
        <w:rPr>
          <w:rFonts w:ascii="Times New Roman" w:eastAsia="Times New Roman" w:hAnsi="Times New Roman" w:cs="Times New Roman"/>
          <w:sz w:val="24"/>
          <w:szCs w:val="24"/>
          <w:lang w:eastAsia="en-GB"/>
        </w:rPr>
        <w:t xml:space="preserve">(4), 1091–1099. </w:t>
      </w:r>
      <w:bookmarkStart w:id="28" w:name="_Hlk174404057"/>
      <w:r w:rsidRPr="00B10BE1">
        <w:rPr>
          <w:rFonts w:ascii="Times New Roman" w:eastAsia="Times New Roman" w:hAnsi="Times New Roman" w:cs="Times New Roman"/>
          <w:sz w:val="24"/>
          <w:szCs w:val="24"/>
          <w:lang w:eastAsia="en-GB"/>
        </w:rPr>
        <w:t>https://doi.org/</w:t>
      </w:r>
      <w:bookmarkEnd w:id="28"/>
      <w:r w:rsidRPr="00B10BE1">
        <w:rPr>
          <w:rFonts w:ascii="Times New Roman" w:eastAsia="Times New Roman" w:hAnsi="Times New Roman" w:cs="Times New Roman"/>
          <w:sz w:val="24"/>
          <w:szCs w:val="24"/>
          <w:lang w:eastAsia="en-GB"/>
        </w:rPr>
        <w:t>10.1556/2006.7.2018.112</w:t>
      </w:r>
    </w:p>
    <w:p w14:paraId="37C8D051"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Klass, D. (1996). </w:t>
      </w:r>
      <w:r w:rsidRPr="00B10BE1">
        <w:rPr>
          <w:rFonts w:ascii="Times New Roman" w:eastAsia="Times New Roman" w:hAnsi="Times New Roman" w:cs="Times New Roman"/>
          <w:i/>
          <w:iCs/>
          <w:sz w:val="24"/>
          <w:szCs w:val="24"/>
          <w:lang w:eastAsia="en-GB"/>
        </w:rPr>
        <w:t>Continuing bonds</w:t>
      </w:r>
      <w:r w:rsidRPr="00B10BE1">
        <w:rPr>
          <w:rFonts w:ascii="Times New Roman" w:eastAsia="Times New Roman" w:hAnsi="Times New Roman" w:cs="Times New Roman"/>
          <w:sz w:val="24"/>
          <w:szCs w:val="24"/>
          <w:lang w:eastAsia="en-GB"/>
        </w:rPr>
        <w:t xml:space="preserve"> (1st ed.). Taylor &amp; Francis. </w:t>
      </w:r>
    </w:p>
    <w:p w14:paraId="2DEC8759"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Kubler-Ross, E. (1969). </w:t>
      </w:r>
      <w:r w:rsidRPr="00B10BE1">
        <w:rPr>
          <w:rFonts w:ascii="Times New Roman" w:eastAsia="Times New Roman" w:hAnsi="Times New Roman" w:cs="Times New Roman"/>
          <w:i/>
          <w:iCs/>
          <w:sz w:val="24"/>
          <w:szCs w:val="24"/>
          <w:lang w:eastAsia="en-GB"/>
        </w:rPr>
        <w:t>On death and dying, what the dying have to teach doctors, nurses, clergy and their own families.</w:t>
      </w:r>
      <w:r w:rsidRPr="00B10BE1">
        <w:rPr>
          <w:rFonts w:ascii="Times New Roman" w:eastAsia="Times New Roman" w:hAnsi="Times New Roman" w:cs="Times New Roman"/>
          <w:sz w:val="24"/>
          <w:szCs w:val="24"/>
          <w:lang w:eastAsia="en-GB"/>
        </w:rPr>
        <w:t xml:space="preserve"> (1st ed.). MacMillan. </w:t>
      </w:r>
    </w:p>
    <w:p w14:paraId="66112597"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Ladouceur, R. (2004). Gambling: The hidden addiction.</w:t>
      </w:r>
      <w:r w:rsidRPr="00B10BE1">
        <w:rPr>
          <w:rFonts w:ascii="Times New Roman" w:eastAsia="Times New Roman" w:hAnsi="Times New Roman" w:cs="Times New Roman"/>
          <w:i/>
          <w:iCs/>
          <w:sz w:val="24"/>
          <w:szCs w:val="24"/>
          <w:lang w:eastAsia="en-GB"/>
        </w:rPr>
        <w:t> Canadian Journal of Psychiatry, 49</w:t>
      </w:r>
      <w:r w:rsidRPr="00B10BE1">
        <w:rPr>
          <w:rFonts w:ascii="Times New Roman" w:eastAsia="Times New Roman" w:hAnsi="Times New Roman" w:cs="Times New Roman"/>
          <w:sz w:val="24"/>
          <w:szCs w:val="24"/>
          <w:lang w:eastAsia="en-GB"/>
        </w:rPr>
        <w:t>(8), 501–503. https://doi.org/10.1177/070674370404900801</w:t>
      </w:r>
    </w:p>
    <w:p w14:paraId="3ADBFDE7"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xml:space="preserve">Langham, E., Thorne, H., Browne, M., Donaldson, P., Rose, J., &amp; Rockloff, M. (2016). </w:t>
      </w:r>
      <w:bookmarkStart w:id="29" w:name="_Hlk174404039"/>
      <w:r w:rsidRPr="00B10BE1">
        <w:rPr>
          <w:rFonts w:ascii="Times New Roman" w:eastAsia="Times New Roman" w:hAnsi="Times New Roman" w:cs="Times New Roman"/>
          <w:sz w:val="24"/>
          <w:szCs w:val="24"/>
          <w:lang w:eastAsia="en-GB"/>
        </w:rPr>
        <w:t>Understanding gambling related harm: A proposed definition, conceptual framework, and taxonomy of harms.</w:t>
      </w:r>
      <w:r w:rsidRPr="00B10BE1">
        <w:rPr>
          <w:rFonts w:ascii="Times New Roman" w:eastAsia="Times New Roman" w:hAnsi="Times New Roman" w:cs="Times New Roman"/>
          <w:i/>
          <w:iCs/>
          <w:sz w:val="24"/>
          <w:szCs w:val="24"/>
          <w:lang w:eastAsia="en-GB"/>
        </w:rPr>
        <w:t> BMC Public Health, </w:t>
      </w:r>
      <w:bookmarkEnd w:id="29"/>
      <w:r w:rsidRPr="00B10BE1">
        <w:rPr>
          <w:rFonts w:ascii="Times New Roman" w:eastAsia="Times New Roman" w:hAnsi="Times New Roman" w:cs="Times New Roman"/>
          <w:i/>
          <w:iCs/>
          <w:sz w:val="24"/>
          <w:szCs w:val="24"/>
          <w:lang w:eastAsia="en-GB"/>
        </w:rPr>
        <w:t>16</w:t>
      </w:r>
      <w:r w:rsidRPr="00B10BE1">
        <w:rPr>
          <w:rFonts w:ascii="Times New Roman" w:eastAsia="Times New Roman" w:hAnsi="Times New Roman" w:cs="Times New Roman"/>
          <w:sz w:val="24"/>
          <w:szCs w:val="24"/>
          <w:lang w:eastAsia="en-GB"/>
        </w:rPr>
        <w:t>(79), 1-23. https://doi.org/10.1186/s12889-016-2747-0</w:t>
      </w:r>
    </w:p>
    <w:p w14:paraId="24A85DE9"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Levi-Belz, Y. (2017). Relationship with the deceased as facilitator of posttraumatic growth among suicide-loss survivors.</w:t>
      </w:r>
      <w:r w:rsidRPr="00B10BE1">
        <w:rPr>
          <w:rFonts w:ascii="Times New Roman" w:eastAsia="Times New Roman" w:hAnsi="Times New Roman" w:cs="Times New Roman"/>
          <w:i/>
          <w:iCs/>
          <w:sz w:val="24"/>
          <w:szCs w:val="24"/>
          <w:lang w:eastAsia="en-GB"/>
        </w:rPr>
        <w:t> Death Studies, 41</w:t>
      </w:r>
      <w:r w:rsidRPr="00B10BE1">
        <w:rPr>
          <w:rFonts w:ascii="Times New Roman" w:eastAsia="Times New Roman" w:hAnsi="Times New Roman" w:cs="Times New Roman"/>
          <w:sz w:val="24"/>
          <w:szCs w:val="24"/>
          <w:lang w:eastAsia="en-GB"/>
        </w:rPr>
        <w:t>(6), 376–384. https://doi.org/10.1080/07481187.2017.1285372</w:t>
      </w:r>
    </w:p>
    <w:p w14:paraId="6A27890F"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Levi-Belz, Y., &amp; Ben-Yaish, T. (2022). Prolonged grief symptoms among suicide-loss survivors: The contribution of intrapersonal and interpersonal characteristics.</w:t>
      </w:r>
      <w:r w:rsidRPr="00B10BE1">
        <w:rPr>
          <w:rFonts w:ascii="Times New Roman" w:eastAsia="Times New Roman" w:hAnsi="Times New Roman" w:cs="Times New Roman"/>
          <w:i/>
          <w:iCs/>
          <w:sz w:val="24"/>
          <w:szCs w:val="24"/>
          <w:lang w:eastAsia="en-GB"/>
        </w:rPr>
        <w:t> International Journal of Environmental Research and Public Health, 19</w:t>
      </w:r>
      <w:r w:rsidRPr="00B10BE1">
        <w:rPr>
          <w:rFonts w:ascii="Times New Roman" w:eastAsia="Times New Roman" w:hAnsi="Times New Roman" w:cs="Times New Roman"/>
          <w:sz w:val="24"/>
          <w:szCs w:val="24"/>
          <w:lang w:eastAsia="en-GB"/>
        </w:rPr>
        <w:t>(17), 1-16. https://doi.org/10.3390/ijerph191710545</w:t>
      </w:r>
    </w:p>
    <w:p w14:paraId="09C2075A"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Lind, K., Castrén, S., Hagfors, H., &amp; Salonen, A. H. (2022). Harm as reported by affected others: A population-based cross-sectional Finnish gambling 2019 study.</w:t>
      </w:r>
      <w:r w:rsidRPr="00B10BE1">
        <w:rPr>
          <w:rFonts w:ascii="Times New Roman" w:eastAsia="Times New Roman" w:hAnsi="Times New Roman" w:cs="Times New Roman"/>
          <w:i/>
          <w:iCs/>
          <w:sz w:val="24"/>
          <w:szCs w:val="24"/>
          <w:lang w:eastAsia="en-GB"/>
        </w:rPr>
        <w:t> Addictive Behaviors, 129</w:t>
      </w:r>
      <w:r w:rsidRPr="00B10BE1">
        <w:rPr>
          <w:rFonts w:ascii="Times New Roman" w:eastAsia="Times New Roman" w:hAnsi="Times New Roman" w:cs="Times New Roman"/>
          <w:sz w:val="24"/>
          <w:szCs w:val="24"/>
          <w:lang w:eastAsia="en-GB"/>
        </w:rPr>
        <w:t xml:space="preserve">, 1-10. </w:t>
      </w:r>
      <w:bookmarkStart w:id="30" w:name="_Hlk174404442"/>
      <w:r w:rsidRPr="00B10BE1">
        <w:rPr>
          <w:rFonts w:ascii="Times New Roman" w:eastAsia="Times New Roman" w:hAnsi="Times New Roman" w:cs="Times New Roman"/>
          <w:sz w:val="24"/>
          <w:szCs w:val="24"/>
          <w:lang w:eastAsia="en-GB"/>
        </w:rPr>
        <w:t>https://doi.org/</w:t>
      </w:r>
      <w:bookmarkEnd w:id="30"/>
      <w:r w:rsidRPr="00B10BE1">
        <w:rPr>
          <w:rFonts w:ascii="Times New Roman" w:eastAsia="Times New Roman" w:hAnsi="Times New Roman" w:cs="Times New Roman"/>
          <w:sz w:val="24"/>
          <w:szCs w:val="24"/>
          <w:lang w:eastAsia="en-GB"/>
        </w:rPr>
        <w:t>10.1016/j.addbeh.2022.107263</w:t>
      </w:r>
    </w:p>
    <w:p w14:paraId="73A0C7AE"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Livingstone, C., &amp; Rintoul, A. (2021). Gambling-related suicidality: Stigma, shame, and neglect.</w:t>
      </w:r>
      <w:r w:rsidRPr="00B10BE1">
        <w:rPr>
          <w:rFonts w:ascii="Times New Roman" w:eastAsia="Times New Roman" w:hAnsi="Times New Roman" w:cs="Times New Roman"/>
          <w:i/>
          <w:iCs/>
          <w:sz w:val="24"/>
          <w:szCs w:val="24"/>
          <w:lang w:eastAsia="en-GB"/>
        </w:rPr>
        <w:t> The Lancet. Public Health, 6</w:t>
      </w:r>
      <w:r w:rsidRPr="00B10BE1">
        <w:rPr>
          <w:rFonts w:ascii="Times New Roman" w:eastAsia="Times New Roman" w:hAnsi="Times New Roman" w:cs="Times New Roman"/>
          <w:sz w:val="24"/>
          <w:szCs w:val="24"/>
          <w:lang w:eastAsia="en-GB"/>
        </w:rPr>
        <w:t xml:space="preserve">(1), e4–e5. </w:t>
      </w:r>
      <w:bookmarkStart w:id="31" w:name="_Hlk174404860"/>
      <w:r w:rsidRPr="00B10BE1">
        <w:rPr>
          <w:rFonts w:ascii="Times New Roman" w:eastAsia="Times New Roman" w:hAnsi="Times New Roman" w:cs="Times New Roman"/>
          <w:sz w:val="24"/>
          <w:szCs w:val="24"/>
          <w:lang w:eastAsia="en-GB"/>
        </w:rPr>
        <w:t>https://doi.org/</w:t>
      </w:r>
      <w:bookmarkEnd w:id="31"/>
      <w:r w:rsidRPr="00B10BE1">
        <w:rPr>
          <w:rFonts w:ascii="Times New Roman" w:eastAsia="Times New Roman" w:hAnsi="Times New Roman" w:cs="Times New Roman"/>
          <w:sz w:val="24"/>
          <w:szCs w:val="24"/>
          <w:lang w:eastAsia="en-GB"/>
        </w:rPr>
        <w:t>10.1016/S2468-2667(20)30257-7</w:t>
      </w:r>
    </w:p>
    <w:p w14:paraId="7A19630E" w14:textId="77777777" w:rsidR="006C1A28" w:rsidRPr="00B10BE1" w:rsidRDefault="006C1A28" w:rsidP="00DF448B">
      <w:pPr>
        <w:spacing w:beforeAutospacing="1" w:after="0" w:afterAutospacing="1" w:line="480" w:lineRule="auto"/>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Lynn Gall, T., Henneberry, J., &amp; Eyre, M. (2015). Spiritual beliefs and meaning making within the context of suicide bereavement.</w:t>
      </w:r>
      <w:r w:rsidRPr="00B10BE1">
        <w:rPr>
          <w:rFonts w:ascii="Times New Roman" w:eastAsia="Times New Roman" w:hAnsi="Times New Roman" w:cs="Times New Roman"/>
          <w:i/>
          <w:iCs/>
          <w:sz w:val="24"/>
          <w:szCs w:val="24"/>
          <w:lang w:eastAsia="en-GB"/>
        </w:rPr>
        <w:t> Journal for the Study of Spirituality, 5</w:t>
      </w:r>
      <w:r w:rsidRPr="00B10BE1">
        <w:rPr>
          <w:rFonts w:ascii="Times New Roman" w:eastAsia="Times New Roman" w:hAnsi="Times New Roman" w:cs="Times New Roman"/>
          <w:sz w:val="24"/>
          <w:szCs w:val="24"/>
          <w:lang w:eastAsia="en-GB"/>
        </w:rPr>
        <w:t xml:space="preserve">(2), 98–112.  </w:t>
      </w:r>
      <w:hyperlink r:id="rId16" w:history="1">
        <w:r w:rsidRPr="00B10BE1">
          <w:rPr>
            <w:rFonts w:ascii="Times New Roman" w:eastAsia="Times New Roman" w:hAnsi="Times New Roman" w:cs="Times New Roman"/>
            <w:sz w:val="24"/>
            <w:szCs w:val="24"/>
            <w:lang w:eastAsia="en-GB"/>
          </w:rPr>
          <w:t>https://doi.org/10.1179/2044024315Z.00000000044A</w:t>
        </w:r>
      </w:hyperlink>
    </w:p>
    <w:p w14:paraId="3AFA123D"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Marionneau, V., &amp; Nikkinen, J. (2022). Gambling-related suicides and suicidality: A systematic review of qualitative evidence.</w:t>
      </w:r>
      <w:r w:rsidRPr="00B10BE1">
        <w:rPr>
          <w:rFonts w:ascii="Times New Roman" w:eastAsia="Times New Roman" w:hAnsi="Times New Roman" w:cs="Times New Roman"/>
          <w:i/>
          <w:iCs/>
          <w:sz w:val="24"/>
          <w:szCs w:val="24"/>
          <w:lang w:eastAsia="en-GB"/>
        </w:rPr>
        <w:t xml:space="preserve"> Frontiers in Psychiatry,13, 1-11 </w:t>
      </w:r>
      <w:hyperlink r:id="rId17" w:history="1">
        <w:r w:rsidRPr="00B10BE1">
          <w:rPr>
            <w:rFonts w:ascii="Times New Roman" w:eastAsia="Times New Roman" w:hAnsi="Times New Roman" w:cs="Times New Roman"/>
            <w:color w:val="000000"/>
            <w:sz w:val="24"/>
            <w:szCs w:val="24"/>
            <w:lang w:eastAsia="en-GB"/>
          </w:rPr>
          <w:t>https://doi.org/.10.3389/fpsyt.2022.980303</w:t>
        </w:r>
      </w:hyperlink>
    </w:p>
    <w:p w14:paraId="269A7545"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Roboto" w:eastAsia="Times New Roman" w:hAnsi="Roboto" w:cs="Times New Roman"/>
          <w:color w:val="000000"/>
          <w:sz w:val="21"/>
          <w:szCs w:val="21"/>
          <w:lang w:eastAsia="en-GB"/>
        </w:rPr>
        <w:t>Marko, S., Thomas, S. L., Pitt, H., &amp; Daube, M. (2023). The impact of responsible gambling framing on people with lived experience of gambling harm.</w:t>
      </w:r>
      <w:r w:rsidRPr="00B10BE1">
        <w:rPr>
          <w:rFonts w:ascii="Roboto" w:eastAsia="Times New Roman" w:hAnsi="Roboto" w:cs="Times New Roman"/>
          <w:i/>
          <w:iCs/>
          <w:color w:val="000000"/>
          <w:sz w:val="21"/>
          <w:szCs w:val="21"/>
          <w:lang w:eastAsia="en-GB"/>
        </w:rPr>
        <w:t> Frontiers in Sociology, </w:t>
      </w:r>
      <w:r w:rsidRPr="00B10BE1">
        <w:rPr>
          <w:rFonts w:ascii="Roboto" w:eastAsia="Times New Roman" w:hAnsi="Roboto" w:cs="Times New Roman"/>
          <w:color w:val="000000"/>
          <w:sz w:val="21"/>
          <w:szCs w:val="21"/>
          <w:lang w:eastAsia="en-GB"/>
        </w:rPr>
        <w:t>8. 1-13 10.3389/fsoc.2023.1074773</w:t>
      </w:r>
    </w:p>
    <w:p w14:paraId="0E919A02"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Moore, M. M., Cerel, J., &amp; Jobes, D. A. (2015). Fruits of trauma? posttraumatic growth among suicide-bereaved parents.</w:t>
      </w:r>
      <w:r w:rsidRPr="00B10BE1">
        <w:rPr>
          <w:rFonts w:ascii="Times New Roman" w:eastAsia="Times New Roman" w:hAnsi="Times New Roman" w:cs="Times New Roman"/>
          <w:i/>
          <w:iCs/>
          <w:sz w:val="24"/>
          <w:szCs w:val="24"/>
          <w:lang w:eastAsia="en-GB"/>
        </w:rPr>
        <w:t> Crisis: The Journal of Crisis Intervention and Suicide Prevention, 36</w:t>
      </w:r>
      <w:r w:rsidRPr="00B10BE1">
        <w:rPr>
          <w:rFonts w:ascii="Times New Roman" w:eastAsia="Times New Roman" w:hAnsi="Times New Roman" w:cs="Times New Roman"/>
          <w:sz w:val="24"/>
          <w:szCs w:val="24"/>
          <w:lang w:eastAsia="en-GB"/>
        </w:rPr>
        <w:t>(4), 241–248. https://doi.org/10.1027/0227-5910/a000318</w:t>
      </w:r>
    </w:p>
    <w:p w14:paraId="02CDEC36"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Morris, H., Schulz, P., Jenkins, E., Haines-Saah, R. J., &amp; Hyshka, E. (2021). “I'm not your reality show:” Perspectives of bereaved mothers' engagement with the news media to advance drug policy reform.</w:t>
      </w:r>
      <w:r w:rsidRPr="00B10BE1">
        <w:rPr>
          <w:rFonts w:ascii="Times New Roman" w:eastAsia="Times New Roman" w:hAnsi="Times New Roman" w:cs="Times New Roman"/>
          <w:i/>
          <w:iCs/>
          <w:sz w:val="24"/>
          <w:szCs w:val="24"/>
          <w:lang w:eastAsia="en-GB"/>
        </w:rPr>
        <w:t> SSM-Qualitative Research in Health, 1</w:t>
      </w:r>
      <w:r w:rsidRPr="00B10BE1">
        <w:rPr>
          <w:rFonts w:ascii="Times New Roman" w:eastAsia="Times New Roman" w:hAnsi="Times New Roman" w:cs="Times New Roman"/>
          <w:sz w:val="24"/>
          <w:szCs w:val="24"/>
          <w:lang w:eastAsia="en-GB"/>
        </w:rPr>
        <w:t xml:space="preserve">, 1-8. </w:t>
      </w:r>
      <w:hyperlink r:id="rId18" w:tgtFrame="_blank" w:tooltip="Persistent link using digital object identifier" w:history="1">
        <w:r w:rsidRPr="00B10BE1">
          <w:rPr>
            <w:rFonts w:ascii="Times New Roman" w:eastAsia="Times New Roman" w:hAnsi="Times New Roman" w:cs="Times New Roman"/>
            <w:sz w:val="24"/>
            <w:szCs w:val="24"/>
            <w:lang w:eastAsia="en-GB"/>
          </w:rPr>
          <w:t>https://doi.org/10.1016/j.ssmqr.2021.100011</w:t>
        </w:r>
      </w:hyperlink>
    </w:p>
    <w:p w14:paraId="30EB90E9"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shd w:val="clear" w:color="auto" w:fill="FFFFFF"/>
          <w:lang w:eastAsia="en-GB"/>
        </w:rPr>
        <w:t>Neimeyer, R. A. (2001). The language of loss: Grief therapy as a process of meaning reconstruction. In R. A. Neimeyer (Ed.), </w:t>
      </w:r>
      <w:r w:rsidRPr="00B10BE1">
        <w:rPr>
          <w:rFonts w:ascii="Times New Roman" w:eastAsia="Times New Roman" w:hAnsi="Times New Roman" w:cs="Times New Roman"/>
          <w:i/>
          <w:iCs/>
          <w:sz w:val="24"/>
          <w:szCs w:val="24"/>
          <w:shd w:val="clear" w:color="auto" w:fill="FFFFFF"/>
          <w:lang w:eastAsia="en-GB"/>
        </w:rPr>
        <w:t>Meaning reconstruction &amp; the experience of loss</w:t>
      </w:r>
      <w:r w:rsidRPr="00B10BE1">
        <w:rPr>
          <w:rFonts w:ascii="Times New Roman" w:eastAsia="Times New Roman" w:hAnsi="Times New Roman" w:cs="Times New Roman"/>
          <w:sz w:val="24"/>
          <w:szCs w:val="24"/>
          <w:shd w:val="clear" w:color="auto" w:fill="FFFFFF"/>
          <w:lang w:eastAsia="en-GB"/>
        </w:rPr>
        <w:t> (pp. 261–292). American Psychological Association.</w:t>
      </w:r>
    </w:p>
    <w:p w14:paraId="58230473"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Neimeyer, R. A. (2009). Constructions of death and loss: A personal and professional evolution. </w:t>
      </w:r>
      <w:r w:rsidRPr="00B10BE1">
        <w:rPr>
          <w:rFonts w:ascii="Times New Roman" w:eastAsia="Times New Roman" w:hAnsi="Times New Roman" w:cs="Times New Roman"/>
          <w:i/>
          <w:iCs/>
          <w:sz w:val="24"/>
          <w:szCs w:val="24"/>
          <w:lang w:eastAsia="en-GB"/>
        </w:rPr>
        <w:t>Reflections in personal construct theory</w:t>
      </w:r>
      <w:r w:rsidRPr="00B10BE1">
        <w:rPr>
          <w:rFonts w:ascii="Times New Roman" w:eastAsia="Times New Roman" w:hAnsi="Times New Roman" w:cs="Times New Roman"/>
          <w:sz w:val="24"/>
          <w:szCs w:val="24"/>
          <w:lang w:eastAsia="en-GB"/>
        </w:rPr>
        <w:t> (pp. 293–317). Wiley.</w:t>
      </w:r>
    </w:p>
    <w:p w14:paraId="526E9D66" w14:textId="77777777" w:rsidR="006C1A28" w:rsidRPr="00B10BE1" w:rsidRDefault="006C1A28" w:rsidP="00DF448B">
      <w:pPr>
        <w:spacing w:beforeAutospacing="1" w:after="0" w:afterAutospacing="1" w:line="480" w:lineRule="auto"/>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O’Callaghan, D., Lambert, S., Conway, N., &amp; Frost, N. (2023). Posttraumatic growth following a drug-related death: A family perspective.</w:t>
      </w:r>
      <w:r w:rsidRPr="00B10BE1">
        <w:rPr>
          <w:rFonts w:ascii="Times New Roman" w:eastAsia="Times New Roman" w:hAnsi="Times New Roman" w:cs="Times New Roman"/>
          <w:i/>
          <w:iCs/>
          <w:sz w:val="24"/>
          <w:szCs w:val="24"/>
          <w:lang w:eastAsia="en-GB"/>
        </w:rPr>
        <w:t> Death Studies, 47</w:t>
      </w:r>
      <w:r w:rsidRPr="00B10BE1">
        <w:rPr>
          <w:rFonts w:ascii="Times New Roman" w:eastAsia="Times New Roman" w:hAnsi="Times New Roman" w:cs="Times New Roman"/>
          <w:sz w:val="24"/>
          <w:szCs w:val="24"/>
          <w:lang w:eastAsia="en-GB"/>
        </w:rPr>
        <w:t xml:space="preserve">(5), 574–584. </w:t>
      </w:r>
      <w:hyperlink r:id="rId19" w:history="1">
        <w:r w:rsidRPr="00B10BE1">
          <w:rPr>
            <w:rFonts w:ascii="Times New Roman" w:eastAsia="Times New Roman" w:hAnsi="Times New Roman" w:cs="Times New Roman"/>
            <w:sz w:val="24"/>
            <w:szCs w:val="24"/>
            <w:lang w:eastAsia="en-GB"/>
          </w:rPr>
          <w:t>https://doi.org/10.1080/07481187.2022.2108943</w:t>
        </w:r>
      </w:hyperlink>
    </w:p>
    <w:p w14:paraId="789921ED" w14:textId="77777777" w:rsidR="006C1A28" w:rsidRPr="00B10BE1" w:rsidRDefault="006C1A28" w:rsidP="00DF448B">
      <w:pPr>
        <w:spacing w:beforeAutospacing="1" w:after="0" w:afterAutospacing="1" w:line="480" w:lineRule="auto"/>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Olmos-Vega, F. M., Stalmeijer, R. E., Varpio, L., &amp; Kahlke, R. (2023). A practical guide to reflexivity in qualitative research: AMEE guide no. 149.</w:t>
      </w:r>
      <w:r w:rsidRPr="00B10BE1">
        <w:rPr>
          <w:rFonts w:ascii="Times New Roman" w:eastAsia="Times New Roman" w:hAnsi="Times New Roman" w:cs="Times New Roman"/>
          <w:i/>
          <w:iCs/>
          <w:sz w:val="24"/>
          <w:szCs w:val="24"/>
          <w:lang w:eastAsia="en-GB"/>
        </w:rPr>
        <w:t> Medical Teacher, 45</w:t>
      </w:r>
      <w:r w:rsidRPr="00B10BE1">
        <w:rPr>
          <w:rFonts w:ascii="Times New Roman" w:eastAsia="Times New Roman" w:hAnsi="Times New Roman" w:cs="Times New Roman"/>
          <w:sz w:val="24"/>
          <w:szCs w:val="24"/>
          <w:lang w:eastAsia="en-GB"/>
        </w:rPr>
        <w:t xml:space="preserve">(3), 241–251. </w:t>
      </w:r>
      <w:hyperlink r:id="rId20" w:history="1">
        <w:bookmarkStart w:id="32" w:name="_Hlk174405372"/>
        <w:r w:rsidRPr="00B10BE1">
          <w:rPr>
            <w:rFonts w:ascii="Times New Roman" w:eastAsia="Times New Roman" w:hAnsi="Times New Roman" w:cs="Times New Roman"/>
            <w:sz w:val="24"/>
            <w:szCs w:val="24"/>
            <w:lang w:eastAsia="en-GB"/>
          </w:rPr>
          <w:t>https://doi.org/</w:t>
        </w:r>
        <w:bookmarkEnd w:id="32"/>
        <w:r w:rsidRPr="00B10BE1">
          <w:rPr>
            <w:rFonts w:ascii="Times New Roman" w:eastAsia="Times New Roman" w:hAnsi="Times New Roman" w:cs="Times New Roman"/>
            <w:sz w:val="24"/>
            <w:szCs w:val="24"/>
            <w:lang w:eastAsia="en-GB"/>
          </w:rPr>
          <w:t>10.1080/0142159X.2022.2057287</w:t>
        </w:r>
      </w:hyperlink>
    </w:p>
    <w:p w14:paraId="25B77311" w14:textId="76D6406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Orford, J. (20</w:t>
      </w:r>
      <w:r w:rsidR="00252580" w:rsidRPr="00B10BE1">
        <w:rPr>
          <w:rFonts w:ascii="Times New Roman" w:eastAsia="Times New Roman" w:hAnsi="Times New Roman" w:cs="Times New Roman"/>
          <w:sz w:val="24"/>
          <w:szCs w:val="24"/>
          <w:lang w:eastAsia="en-GB"/>
        </w:rPr>
        <w:t>20</w:t>
      </w:r>
      <w:r w:rsidRPr="00B10BE1">
        <w:rPr>
          <w:rFonts w:ascii="Times New Roman" w:eastAsia="Times New Roman" w:hAnsi="Times New Roman" w:cs="Times New Roman"/>
          <w:sz w:val="24"/>
          <w:szCs w:val="24"/>
          <w:lang w:eastAsia="en-GB"/>
        </w:rPr>
        <w:t>). </w:t>
      </w:r>
      <w:r w:rsidRPr="00B10BE1">
        <w:rPr>
          <w:rFonts w:ascii="Times New Roman" w:eastAsia="Times New Roman" w:hAnsi="Times New Roman" w:cs="Times New Roman"/>
          <w:i/>
          <w:iCs/>
          <w:sz w:val="24"/>
          <w:szCs w:val="24"/>
          <w:lang w:eastAsia="en-GB"/>
        </w:rPr>
        <w:t>The gambling establishment</w:t>
      </w:r>
      <w:r w:rsidRPr="00B10BE1">
        <w:rPr>
          <w:rFonts w:ascii="Times New Roman" w:eastAsia="Times New Roman" w:hAnsi="Times New Roman" w:cs="Times New Roman"/>
          <w:sz w:val="24"/>
          <w:szCs w:val="24"/>
          <w:lang w:eastAsia="en-GB"/>
        </w:rPr>
        <w:t xml:space="preserve"> (1st ed.). Routledge. </w:t>
      </w:r>
    </w:p>
    <w:p w14:paraId="09C6114C"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Orford, J., Copello, A., Velleman, R., &amp; Templeton, L. (2010). Family members affected by a close relative's addiction: The stress-strain-coping-support model.</w:t>
      </w:r>
      <w:r w:rsidRPr="00B10BE1">
        <w:rPr>
          <w:rFonts w:ascii="Times New Roman" w:eastAsia="Times New Roman" w:hAnsi="Times New Roman" w:cs="Times New Roman"/>
          <w:i/>
          <w:iCs/>
          <w:sz w:val="24"/>
          <w:szCs w:val="24"/>
          <w:lang w:eastAsia="en-GB"/>
        </w:rPr>
        <w:t> Drugs: Education, Prevention &amp; Policy, 17</w:t>
      </w:r>
      <w:r w:rsidRPr="00B10BE1">
        <w:rPr>
          <w:rFonts w:ascii="Times New Roman" w:eastAsia="Times New Roman" w:hAnsi="Times New Roman" w:cs="Times New Roman"/>
          <w:sz w:val="24"/>
          <w:szCs w:val="24"/>
          <w:lang w:eastAsia="en-GB"/>
        </w:rPr>
        <w:t>(s1), 36–43. https://doi.org/10.3109/09687637.2010.514801</w:t>
      </w:r>
    </w:p>
    <w:p w14:paraId="0E9233FB"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Palinkas, L. A., Horwitz, S. M., Green, C. A., Wisdom, J. P., Duan, N., &amp; Hoagwood, K. (2015). Purposeful sampling for qualitative data collection and analysis in mixed method implementation research.</w:t>
      </w:r>
      <w:r w:rsidRPr="00B10BE1">
        <w:rPr>
          <w:rFonts w:ascii="Times New Roman" w:eastAsia="Times New Roman" w:hAnsi="Times New Roman" w:cs="Times New Roman"/>
          <w:i/>
          <w:iCs/>
          <w:sz w:val="24"/>
          <w:szCs w:val="24"/>
          <w:lang w:eastAsia="en-GB"/>
        </w:rPr>
        <w:t> Administration and Policy in Mental Health and Mental Health Services Research, 42</w:t>
      </w:r>
      <w:r w:rsidRPr="00B10BE1">
        <w:rPr>
          <w:rFonts w:ascii="Times New Roman" w:eastAsia="Times New Roman" w:hAnsi="Times New Roman" w:cs="Times New Roman"/>
          <w:sz w:val="24"/>
          <w:szCs w:val="24"/>
          <w:lang w:eastAsia="en-GB"/>
        </w:rPr>
        <w:t xml:space="preserve">(5), 533–544. </w:t>
      </w:r>
      <w:hyperlink r:id="rId21" w:history="1">
        <w:r w:rsidRPr="00B10BE1">
          <w:rPr>
            <w:rFonts w:ascii="Times New Roman" w:eastAsia="Times New Roman" w:hAnsi="Times New Roman" w:cs="Times New Roman"/>
            <w:sz w:val="24"/>
            <w:szCs w:val="24"/>
            <w:lang w:eastAsia="en-GB"/>
          </w:rPr>
          <w:t>https://doi.org/10.1007/s10488-013-0528-y</w:t>
        </w:r>
      </w:hyperlink>
    </w:p>
    <w:p w14:paraId="19E0CD79"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Aptos" w:hAnsi="Times New Roman" w:cs="Times New Roman"/>
          <w:kern w:val="2"/>
          <w:sz w:val="24"/>
          <w:szCs w:val="24"/>
          <w:shd w:val="clear" w:color="auto" w:fill="FFFFFF"/>
          <w14:ligatures w14:val="standardContextual"/>
        </w:rPr>
        <w:t>Pliakas, T., Stangl, A., &amp; Siapka, M. (2022). </w:t>
      </w:r>
      <w:r w:rsidRPr="00B10BE1">
        <w:rPr>
          <w:rFonts w:ascii="Times New Roman" w:eastAsia="Aptos" w:hAnsi="Times New Roman" w:cs="Times New Roman"/>
          <w:i/>
          <w:iCs/>
          <w:kern w:val="2"/>
          <w:sz w:val="24"/>
          <w:szCs w:val="24"/>
          <w:shd w:val="clear" w:color="auto" w:fill="FFFFFF"/>
          <w14:ligatures w14:val="standardContextual"/>
        </w:rPr>
        <w:t xml:space="preserve">Building Knowledge of Stigma Related to Gambling and Gambling Harms in Great Britain. A scoping review of the literature, </w:t>
      </w:r>
      <w:r w:rsidRPr="00B10BE1">
        <w:rPr>
          <w:rFonts w:ascii="Times New Roman" w:eastAsia="Aptos" w:hAnsi="Times New Roman" w:cs="Times New Roman"/>
          <w:kern w:val="2"/>
          <w:sz w:val="24"/>
          <w:szCs w:val="24"/>
          <w:shd w:val="clear" w:color="auto" w:fill="FFFFFF"/>
          <w14:ligatures w14:val="standardContextual"/>
        </w:rPr>
        <w:t>1-74. GambleAware.  </w:t>
      </w:r>
      <w:hyperlink r:id="rId22" w:history="1">
        <w:r w:rsidRPr="00B10BE1">
          <w:rPr>
            <w:rFonts w:ascii="Times New Roman" w:eastAsia="Aptos" w:hAnsi="Times New Roman" w:cs="Times New Roman"/>
            <w:kern w:val="2"/>
            <w:sz w:val="24"/>
            <w:szCs w:val="24"/>
            <w:shd w:val="clear" w:color="auto" w:fill="FFFFFF"/>
            <w14:ligatures w14:val="standardContextual"/>
          </w:rPr>
          <w:t>https://www.begambleaware.org/sites/default/files/2022-07/GambleAware%20Stigma%20Final.pdf</w:t>
        </w:r>
      </w:hyperlink>
    </w:p>
    <w:p w14:paraId="603751A7"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Range, L. M., &amp; Calhoun, L. G. (1990). Responses following suicide and other types of death: The perspective of the bereaved.</w:t>
      </w:r>
      <w:r w:rsidRPr="00B10BE1">
        <w:rPr>
          <w:rFonts w:ascii="Times New Roman" w:eastAsia="Times New Roman" w:hAnsi="Times New Roman" w:cs="Times New Roman"/>
          <w:i/>
          <w:iCs/>
          <w:sz w:val="24"/>
          <w:szCs w:val="24"/>
          <w:lang w:eastAsia="en-GB"/>
        </w:rPr>
        <w:t> Omega: Journal of Death and Dying, 21</w:t>
      </w:r>
      <w:r w:rsidRPr="00B10BE1">
        <w:rPr>
          <w:rFonts w:ascii="Times New Roman" w:eastAsia="Times New Roman" w:hAnsi="Times New Roman" w:cs="Times New Roman"/>
          <w:sz w:val="24"/>
          <w:szCs w:val="24"/>
          <w:lang w:eastAsia="en-GB"/>
        </w:rPr>
        <w:t>(4), 311–320. https://doi.org/10.2190/LLE5-7QNT-7M59-GURY</w:t>
      </w:r>
    </w:p>
    <w:p w14:paraId="4544646F"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xml:space="preserve">Reith, G., &amp; Wardle, H. (2022). The framing of gambling and the commercial determinants of harm: Challenges for regulation in the UK. In Nikkinen Janne, Marionneau Virve and </w:t>
      </w:r>
      <w:r w:rsidRPr="00B10BE1">
        <w:rPr>
          <w:rFonts w:ascii="Times New Roman" w:eastAsia="Times New Roman" w:hAnsi="Times New Roman" w:cs="Times New Roman"/>
          <w:sz w:val="24"/>
          <w:szCs w:val="24"/>
          <w:lang w:eastAsia="en-GB"/>
        </w:rPr>
        <w:lastRenderedPageBreak/>
        <w:t>Egerer Michael (Ed.), </w:t>
      </w:r>
      <w:r w:rsidRPr="00B10BE1">
        <w:rPr>
          <w:rFonts w:ascii="Times New Roman" w:eastAsia="Times New Roman" w:hAnsi="Times New Roman" w:cs="Times New Roman"/>
          <w:i/>
          <w:iCs/>
          <w:sz w:val="24"/>
          <w:szCs w:val="24"/>
          <w:lang w:eastAsia="en-GB"/>
        </w:rPr>
        <w:t>Springer eBooks</w:t>
      </w:r>
      <w:r w:rsidRPr="00B10BE1">
        <w:rPr>
          <w:rFonts w:ascii="Times New Roman" w:eastAsia="Times New Roman" w:hAnsi="Times New Roman" w:cs="Times New Roman"/>
          <w:sz w:val="24"/>
          <w:szCs w:val="24"/>
          <w:lang w:eastAsia="en-GB"/>
        </w:rPr>
        <w:t> (pp. 71–86). Springer https://doi.org/10.1007/978-3-658-35635-4_6</w:t>
      </w:r>
    </w:p>
    <w:p w14:paraId="6BCDDE53"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Riches, G., &amp; Dawson, P. (1998). Lost children, living memories: The role of photographs in processes of grief and adjustment among bereaved parents.</w:t>
      </w:r>
      <w:r w:rsidRPr="00B10BE1">
        <w:rPr>
          <w:rFonts w:ascii="Times New Roman" w:eastAsia="Times New Roman" w:hAnsi="Times New Roman" w:cs="Times New Roman"/>
          <w:i/>
          <w:iCs/>
          <w:sz w:val="24"/>
          <w:szCs w:val="24"/>
          <w:lang w:eastAsia="en-GB"/>
        </w:rPr>
        <w:t> Death Studies, 22</w:t>
      </w:r>
      <w:r w:rsidRPr="00B10BE1">
        <w:rPr>
          <w:rFonts w:ascii="Times New Roman" w:eastAsia="Times New Roman" w:hAnsi="Times New Roman" w:cs="Times New Roman"/>
          <w:sz w:val="24"/>
          <w:szCs w:val="24"/>
          <w:lang w:eastAsia="en-GB"/>
        </w:rPr>
        <w:t>(2), 121. </w:t>
      </w:r>
      <w:hyperlink r:id="rId23" w:tgtFrame="_blank" w:history="1">
        <w:r w:rsidRPr="00B10BE1">
          <w:rPr>
            <w:rFonts w:ascii="Times New Roman" w:eastAsia="Times New Roman" w:hAnsi="Times New Roman" w:cs="Times New Roman"/>
            <w:sz w:val="24"/>
            <w:szCs w:val="24"/>
            <w:lang w:eastAsia="en-GB"/>
          </w:rPr>
          <w:t>https://www.proquest.com/docview/231347874/abstract/</w:t>
        </w:r>
      </w:hyperlink>
    </w:p>
    <w:p w14:paraId="786E2D42"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Root, B. L., &amp; Exline, J. J. (2014). The role of continuing bonds in coping with grief: Overview and future directions.</w:t>
      </w:r>
      <w:r w:rsidRPr="00B10BE1">
        <w:rPr>
          <w:rFonts w:ascii="Times New Roman" w:eastAsia="Times New Roman" w:hAnsi="Times New Roman" w:cs="Times New Roman"/>
          <w:i/>
          <w:iCs/>
          <w:sz w:val="24"/>
          <w:szCs w:val="24"/>
          <w:lang w:eastAsia="en-GB"/>
        </w:rPr>
        <w:t> Death Studies, 38</w:t>
      </w:r>
      <w:r w:rsidRPr="00B10BE1">
        <w:rPr>
          <w:rFonts w:ascii="Times New Roman" w:eastAsia="Times New Roman" w:hAnsi="Times New Roman" w:cs="Times New Roman"/>
          <w:sz w:val="24"/>
          <w:szCs w:val="24"/>
          <w:lang w:eastAsia="en-GB"/>
        </w:rPr>
        <w:t>(1), 1–8. https://doi.org/10.1080/07481187.2012.712608</w:t>
      </w:r>
    </w:p>
    <w:p w14:paraId="35CB329D"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Ross, V., Kolves, K., Kunde, L., &amp; De Leo, D. (2018). Parents' experiences of suicide-bereavement: A qualitative study at 6 and 12 months after loss.</w:t>
      </w:r>
      <w:r w:rsidRPr="00B10BE1">
        <w:rPr>
          <w:rFonts w:ascii="Times New Roman" w:eastAsia="Times New Roman" w:hAnsi="Times New Roman" w:cs="Times New Roman"/>
          <w:i/>
          <w:iCs/>
          <w:sz w:val="24"/>
          <w:szCs w:val="24"/>
          <w:lang w:eastAsia="en-GB"/>
        </w:rPr>
        <w:t> International Journal of Environmental Research and Public Health, </w:t>
      </w:r>
      <w:r w:rsidRPr="00B10BE1">
        <w:rPr>
          <w:rFonts w:ascii="Times New Roman" w:eastAsia="Times New Roman" w:hAnsi="Times New Roman" w:cs="Times New Roman"/>
          <w:sz w:val="24"/>
          <w:szCs w:val="24"/>
          <w:lang w:eastAsia="en-GB"/>
        </w:rPr>
        <w:t xml:space="preserve">15(4), 1-10 </w:t>
      </w:r>
      <w:bookmarkStart w:id="33" w:name="_Hlk174405968"/>
      <w:r w:rsidRPr="00B10BE1">
        <w:rPr>
          <w:rFonts w:ascii="Times New Roman" w:eastAsia="Times New Roman" w:hAnsi="Times New Roman" w:cs="Times New Roman"/>
          <w:sz w:val="24"/>
          <w:szCs w:val="24"/>
          <w:lang w:eastAsia="en-GB"/>
        </w:rPr>
        <w:t>https://doi.org</w:t>
      </w:r>
      <w:bookmarkEnd w:id="33"/>
      <w:r w:rsidRPr="00B10BE1">
        <w:rPr>
          <w:rFonts w:ascii="Times New Roman" w:eastAsia="Times New Roman" w:hAnsi="Times New Roman" w:cs="Times New Roman"/>
          <w:i/>
          <w:iCs/>
          <w:sz w:val="24"/>
          <w:szCs w:val="24"/>
          <w:lang w:eastAsia="en-GB"/>
        </w:rPr>
        <w:t>/</w:t>
      </w:r>
      <w:r w:rsidRPr="00B10BE1">
        <w:rPr>
          <w:rFonts w:ascii="Times New Roman" w:eastAsia="Times New Roman" w:hAnsi="Times New Roman" w:cs="Times New Roman"/>
          <w:sz w:val="24"/>
          <w:szCs w:val="24"/>
          <w:lang w:eastAsia="en-GB"/>
        </w:rPr>
        <w:t>10.3390/ijerph15040618</w:t>
      </w:r>
    </w:p>
    <w:p w14:paraId="4F6191C4"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Saks, M., &amp; Allsop, J. (2012). </w:t>
      </w:r>
      <w:r w:rsidRPr="00B10BE1">
        <w:rPr>
          <w:rFonts w:ascii="Times New Roman" w:eastAsia="Times New Roman" w:hAnsi="Times New Roman" w:cs="Times New Roman"/>
          <w:i/>
          <w:iCs/>
          <w:sz w:val="24"/>
          <w:szCs w:val="24"/>
          <w:lang w:eastAsia="en-GB"/>
        </w:rPr>
        <w:t>Researching health: Qualitative, quantitative and mixed methods</w:t>
      </w:r>
      <w:r w:rsidRPr="00B10BE1">
        <w:rPr>
          <w:rFonts w:ascii="Times New Roman" w:eastAsia="Times New Roman" w:hAnsi="Times New Roman" w:cs="Times New Roman"/>
          <w:sz w:val="24"/>
          <w:szCs w:val="24"/>
          <w:lang w:eastAsia="en-GB"/>
        </w:rPr>
        <w:t> (Second edition. ed.). Sage Publications.</w:t>
      </w:r>
    </w:p>
    <w:p w14:paraId="6D21F925"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Sturgis, P., Kuha Jouni, K. (2021). </w:t>
      </w:r>
      <w:r w:rsidRPr="00B10BE1">
        <w:rPr>
          <w:rFonts w:ascii="Times New Roman" w:eastAsia="Times New Roman" w:hAnsi="Times New Roman" w:cs="Times New Roman"/>
          <w:i/>
          <w:iCs/>
          <w:sz w:val="24"/>
          <w:szCs w:val="24"/>
          <w:lang w:eastAsia="en-GB"/>
        </w:rPr>
        <w:t>Methodological factors affecting estimates of the prevalence of gambling harm in the United Kingdom: A multi-survey study.</w:t>
      </w:r>
      <w:r w:rsidRPr="00B10BE1">
        <w:rPr>
          <w:rFonts w:ascii="Times New Roman" w:eastAsia="Times New Roman" w:hAnsi="Times New Roman" w:cs="Times New Roman"/>
          <w:sz w:val="24"/>
          <w:szCs w:val="24"/>
          <w:lang w:eastAsia="en-GB"/>
        </w:rPr>
        <w:t> London School of Economics. </w:t>
      </w:r>
      <w:hyperlink r:id="rId24" w:tgtFrame="_blank" w:history="1">
        <w:r w:rsidRPr="00B10BE1">
          <w:rPr>
            <w:rFonts w:ascii="Times New Roman" w:eastAsia="Times New Roman" w:hAnsi="Times New Roman" w:cs="Times New Roman"/>
            <w:sz w:val="24"/>
            <w:szCs w:val="24"/>
            <w:lang w:eastAsia="en-GB"/>
          </w:rPr>
          <w:t>https://www.begambleaware.org/sites/default/files/2021-05/Methodology_Report_%28FINAL_14.05.21%29.pdf</w:t>
        </w:r>
      </w:hyperlink>
    </w:p>
    <w:p w14:paraId="3DA0C4B4"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Thorley C, Stirling A and Huynh E. (2016). </w:t>
      </w:r>
      <w:r w:rsidRPr="00B10BE1">
        <w:rPr>
          <w:rFonts w:ascii="Times New Roman" w:eastAsia="Times New Roman" w:hAnsi="Times New Roman" w:cs="Times New Roman"/>
          <w:i/>
          <w:iCs/>
          <w:sz w:val="24"/>
          <w:szCs w:val="24"/>
          <w:lang w:eastAsia="en-GB"/>
        </w:rPr>
        <w:t> Cards on the table: The cost to government associated with people who are problem gamblers in Britain</w:t>
      </w:r>
      <w:r w:rsidRPr="00B10BE1">
        <w:rPr>
          <w:rFonts w:ascii="Times New Roman" w:eastAsia="Times New Roman" w:hAnsi="Times New Roman" w:cs="Times New Roman"/>
          <w:sz w:val="24"/>
          <w:szCs w:val="24"/>
          <w:lang w:eastAsia="en-GB"/>
        </w:rPr>
        <w:t>. 1-64. Institute for Public Policy Research. </w:t>
      </w:r>
      <w:hyperlink r:id="rId25" w:tgtFrame="_blank" w:history="1">
        <w:r w:rsidRPr="00B10BE1">
          <w:rPr>
            <w:rFonts w:ascii="Times New Roman" w:eastAsia="Times New Roman" w:hAnsi="Times New Roman" w:cs="Times New Roman"/>
            <w:sz w:val="24"/>
            <w:szCs w:val="24"/>
            <w:lang w:eastAsia="en-GB"/>
          </w:rPr>
          <w:t>http://www.ippr.org/publications/cards-on-the-table</w:t>
        </w:r>
      </w:hyperlink>
    </w:p>
    <w:p w14:paraId="5BA71564"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 xml:space="preserve">Tremblay, J., Dufour, M., Bertrand, K., Saint-Jacques, M., Ferland, F., Blanchette-Martin, N., Savard, A., Côté, M., Berbiche, D., &amp; Beaulieu, M. (2023). Efficacy of a randomized </w:t>
      </w:r>
      <w:r w:rsidRPr="00B10BE1">
        <w:rPr>
          <w:rFonts w:ascii="Times New Roman" w:eastAsia="Times New Roman" w:hAnsi="Times New Roman" w:cs="Times New Roman"/>
          <w:sz w:val="24"/>
          <w:szCs w:val="24"/>
          <w:lang w:eastAsia="en-GB"/>
        </w:rPr>
        <w:lastRenderedPageBreak/>
        <w:t>controlled trial of integrative couple treatment for pathological gambling (ICT-PG): 10-month follow-up.</w:t>
      </w:r>
      <w:r w:rsidRPr="00B10BE1">
        <w:rPr>
          <w:rFonts w:ascii="Times New Roman" w:eastAsia="Times New Roman" w:hAnsi="Times New Roman" w:cs="Times New Roman"/>
          <w:i/>
          <w:iCs/>
          <w:sz w:val="24"/>
          <w:szCs w:val="24"/>
          <w:lang w:eastAsia="en-GB"/>
        </w:rPr>
        <w:t> Journal of Consulting and Clinical Psychology, 91</w:t>
      </w:r>
      <w:r w:rsidRPr="00B10BE1">
        <w:rPr>
          <w:rFonts w:ascii="Times New Roman" w:eastAsia="Times New Roman" w:hAnsi="Times New Roman" w:cs="Times New Roman"/>
          <w:sz w:val="24"/>
          <w:szCs w:val="24"/>
          <w:lang w:eastAsia="en-GB"/>
        </w:rPr>
        <w:t xml:space="preserve">(4), 221-223. </w:t>
      </w:r>
      <w:hyperlink r:id="rId26" w:tgtFrame="_blank" w:history="1">
        <w:r w:rsidRPr="00B10BE1">
          <w:rPr>
            <w:rFonts w:ascii="Times New Roman" w:eastAsia="Aptos" w:hAnsi="Times New Roman" w:cs="Times New Roman"/>
            <w:kern w:val="2"/>
            <w:sz w:val="24"/>
            <w:szCs w:val="24"/>
            <w:shd w:val="clear" w:color="auto" w:fill="FFFFFF"/>
            <w14:ligatures w14:val="standardContextual"/>
          </w:rPr>
          <w:t>https://doi.org/10.1037/ccp0000765</w:t>
        </w:r>
      </w:hyperlink>
    </w:p>
    <w:p w14:paraId="33EC7BAA"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Vassallo, M., DeGiovanni, K., &amp; Montgomery, P. (2023). The efficacy of psychosocial interventions in minimising the harm caused to affected others of problem gambling: A systematic review and meta-analysis.</w:t>
      </w:r>
      <w:r w:rsidRPr="00B10BE1">
        <w:rPr>
          <w:rFonts w:ascii="Times New Roman" w:eastAsia="Times New Roman" w:hAnsi="Times New Roman" w:cs="Times New Roman"/>
          <w:i/>
          <w:iCs/>
          <w:sz w:val="24"/>
          <w:szCs w:val="24"/>
          <w:lang w:eastAsia="en-GB"/>
        </w:rPr>
        <w:t> Journal of Gambling Studies, 39</w:t>
      </w:r>
      <w:r w:rsidRPr="00B10BE1">
        <w:rPr>
          <w:rFonts w:ascii="Times New Roman" w:eastAsia="Times New Roman" w:hAnsi="Times New Roman" w:cs="Times New Roman"/>
          <w:sz w:val="24"/>
          <w:szCs w:val="24"/>
          <w:lang w:eastAsia="en-GB"/>
        </w:rPr>
        <w:t>, 1–32.</w:t>
      </w:r>
      <w:r w:rsidRPr="00B10BE1">
        <w:rPr>
          <w:rFonts w:ascii="Times New Roman" w:eastAsia="Times New Roman" w:hAnsi="Times New Roman" w:cs="Times New Roman"/>
          <w:sz w:val="24"/>
          <w:szCs w:val="24"/>
          <w:shd w:val="clear" w:color="auto" w:fill="FFFFFF"/>
          <w:lang w:eastAsia="en-GB"/>
        </w:rPr>
        <w:t xml:space="preserve"> https://doi.org/10.1007/s10899-023-10220-3</w:t>
      </w:r>
    </w:p>
    <w:p w14:paraId="1250F689"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Verberg, N. (2006). Family-based social activism: Rethinking the social role of families.</w:t>
      </w:r>
      <w:r w:rsidRPr="00B10BE1">
        <w:rPr>
          <w:rFonts w:ascii="Times New Roman" w:eastAsia="Times New Roman" w:hAnsi="Times New Roman" w:cs="Times New Roman"/>
          <w:i/>
          <w:iCs/>
          <w:sz w:val="24"/>
          <w:szCs w:val="24"/>
          <w:lang w:eastAsia="en-GB"/>
        </w:rPr>
        <w:t> Socialist Studies/Études Socialistes,</w:t>
      </w:r>
    </w:p>
    <w:p w14:paraId="470EAE13"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Walsh, R. (2003). The methods of reflexivity.</w:t>
      </w:r>
      <w:r w:rsidRPr="00B10BE1">
        <w:rPr>
          <w:rFonts w:ascii="Times New Roman" w:eastAsia="Times New Roman" w:hAnsi="Times New Roman" w:cs="Times New Roman"/>
          <w:i/>
          <w:iCs/>
          <w:sz w:val="24"/>
          <w:szCs w:val="24"/>
          <w:lang w:eastAsia="en-GB"/>
        </w:rPr>
        <w:t> The Humanistic Psychologist, 31</w:t>
      </w:r>
      <w:r w:rsidRPr="00B10BE1">
        <w:rPr>
          <w:rFonts w:ascii="Times New Roman" w:eastAsia="Times New Roman" w:hAnsi="Times New Roman" w:cs="Times New Roman"/>
          <w:sz w:val="24"/>
          <w:szCs w:val="24"/>
          <w:lang w:eastAsia="en-GB"/>
        </w:rPr>
        <w:t>(4), 51–66.</w:t>
      </w:r>
      <w:r w:rsidRPr="00B10BE1">
        <w:rPr>
          <w:rFonts w:ascii="Times New Roman" w:eastAsia="Aptos" w:hAnsi="Times New Roman" w:cs="Times New Roman"/>
          <w:kern w:val="2"/>
          <w:sz w:val="24"/>
          <w:szCs w:val="24"/>
          <w14:ligatures w14:val="standardContextual"/>
        </w:rPr>
        <w:t xml:space="preserve"> </w:t>
      </w:r>
      <w:hyperlink r:id="rId27" w:tgtFrame="_blank" w:history="1">
        <w:r w:rsidRPr="00B10BE1">
          <w:rPr>
            <w:rFonts w:ascii="Times New Roman" w:eastAsia="Aptos" w:hAnsi="Times New Roman" w:cs="Times New Roman"/>
            <w:kern w:val="2"/>
            <w:sz w:val="24"/>
            <w:szCs w:val="24"/>
            <w:shd w:val="clear" w:color="auto" w:fill="FFFFFF"/>
            <w14:ligatures w14:val="standardContextual"/>
          </w:rPr>
          <w:t>https://doi.org/10.1080/08873267.2003.9986934</w:t>
        </w:r>
      </w:hyperlink>
    </w:p>
    <w:p w14:paraId="1938F39C"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Wardle, H., Dymond, S., John, A., &amp; McManus, S. (2019</w:t>
      </w:r>
      <w:r w:rsidRPr="00B10BE1">
        <w:rPr>
          <w:rFonts w:ascii="Times New Roman" w:eastAsia="Times New Roman" w:hAnsi="Times New Roman" w:cs="Times New Roman"/>
          <w:i/>
          <w:iCs/>
          <w:sz w:val="24"/>
          <w:szCs w:val="24"/>
          <w:lang w:eastAsia="en-GB"/>
        </w:rPr>
        <w:t>). Problem gambling and suicidal thoughts, suicide attempts and non-suicidal self-harm in England: Evidence from the adult psychiatric morbidity survey 2007</w:t>
      </w:r>
      <w:r w:rsidRPr="00B10BE1">
        <w:rPr>
          <w:rFonts w:ascii="Times New Roman" w:eastAsia="Times New Roman" w:hAnsi="Times New Roman" w:cs="Times New Roman"/>
          <w:sz w:val="24"/>
          <w:szCs w:val="24"/>
          <w:lang w:eastAsia="en-GB"/>
        </w:rPr>
        <w:t>.</w:t>
      </w:r>
      <w:r w:rsidRPr="00B10BE1">
        <w:rPr>
          <w:rFonts w:ascii="Times New Roman" w:eastAsia="Times New Roman" w:hAnsi="Times New Roman" w:cs="Times New Roman"/>
          <w:i/>
          <w:iCs/>
          <w:sz w:val="24"/>
          <w:szCs w:val="24"/>
          <w:lang w:eastAsia="en-GB"/>
        </w:rPr>
        <w:t xml:space="preserve">  </w:t>
      </w:r>
      <w:r w:rsidRPr="00B10BE1">
        <w:rPr>
          <w:rFonts w:ascii="Times New Roman" w:eastAsia="Times New Roman" w:hAnsi="Times New Roman" w:cs="Times New Roman"/>
          <w:sz w:val="24"/>
          <w:szCs w:val="24"/>
          <w:lang w:eastAsia="en-GB"/>
        </w:rPr>
        <w:t>GambleAware.</w:t>
      </w:r>
      <w:r w:rsidRPr="00B10BE1">
        <w:rPr>
          <w:rFonts w:ascii="Times New Roman" w:eastAsia="Times New Roman" w:hAnsi="Times New Roman" w:cs="Times New Roman"/>
          <w:i/>
          <w:iCs/>
          <w:sz w:val="24"/>
          <w:szCs w:val="24"/>
          <w:lang w:eastAsia="en-GB"/>
        </w:rPr>
        <w:t xml:space="preserve"> </w:t>
      </w:r>
      <w:hyperlink r:id="rId28" w:history="1">
        <w:r w:rsidRPr="00B10BE1">
          <w:rPr>
            <w:rFonts w:ascii="Times New Roman" w:eastAsia="Aptos" w:hAnsi="Times New Roman" w:cs="Times New Roman"/>
            <w:kern w:val="2"/>
            <w:sz w:val="24"/>
            <w:szCs w:val="24"/>
            <w14:ligatures w14:val="standardContextual"/>
          </w:rPr>
          <w:t>https://www.greo.ca/Modules/EvidenceCentre/files/Wardle%20et%20al%20(2019)%20Problem%20gambling,%20suicidal%20thoughts,%20suicide%20attempts,%20and%20non-suicidal%20self-harm.pdfardle et al (2019) Problem gambling, suicidal thoughts, suicide attempts, and non-suicidal self-harm.pdf (greo.ca)</w:t>
        </w:r>
      </w:hyperlink>
    </w:p>
    <w:p w14:paraId="38E65FF2"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Wardle, H., &amp; Laidler, F. (2023). Shielded from view? gender bias in gambling research, prevention, and treatment. In Prever, Blycker &amp; Brandt (Eds.), </w:t>
      </w:r>
      <w:r w:rsidRPr="00B10BE1">
        <w:rPr>
          <w:rFonts w:ascii="Times New Roman" w:eastAsia="Times New Roman" w:hAnsi="Times New Roman" w:cs="Times New Roman"/>
          <w:i/>
          <w:iCs/>
          <w:sz w:val="24"/>
          <w:szCs w:val="24"/>
          <w:lang w:eastAsia="en-GB"/>
        </w:rPr>
        <w:t>Behavioural addiction in women</w:t>
      </w:r>
      <w:r w:rsidRPr="00B10BE1">
        <w:rPr>
          <w:rFonts w:ascii="Times New Roman" w:eastAsia="Times New Roman" w:hAnsi="Times New Roman" w:cs="Times New Roman"/>
          <w:sz w:val="24"/>
          <w:szCs w:val="24"/>
          <w:lang w:eastAsia="en-GB"/>
        </w:rPr>
        <w:t xml:space="preserve"> (1st ed., pp. 131–137). Routledge. </w:t>
      </w:r>
      <w:hyperlink r:id="rId29" w:tgtFrame="_blank" w:history="1">
        <w:bookmarkStart w:id="34" w:name="_Hlk174407039"/>
        <w:r w:rsidRPr="00B10BE1">
          <w:rPr>
            <w:rFonts w:ascii="Times New Roman" w:eastAsia="Aptos" w:hAnsi="Times New Roman" w:cs="Times New Roman"/>
            <w:spacing w:val="5"/>
            <w:kern w:val="2"/>
            <w:sz w:val="24"/>
            <w:szCs w:val="24"/>
            <w:shd w:val="clear" w:color="auto" w:fill="FFFFFF"/>
            <w14:ligatures w14:val="standardContextual"/>
          </w:rPr>
          <w:t>https://doi.org/</w:t>
        </w:r>
        <w:bookmarkEnd w:id="34"/>
        <w:r w:rsidRPr="00B10BE1">
          <w:rPr>
            <w:rFonts w:ascii="Times New Roman" w:eastAsia="Aptos" w:hAnsi="Times New Roman" w:cs="Times New Roman"/>
            <w:spacing w:val="5"/>
            <w:kern w:val="2"/>
            <w:sz w:val="24"/>
            <w:szCs w:val="24"/>
            <w:shd w:val="clear" w:color="auto" w:fill="FFFFFF"/>
            <w14:ligatures w14:val="standardContextual"/>
          </w:rPr>
          <w:t>10.4324/9781003203476</w:t>
        </w:r>
      </w:hyperlink>
    </w:p>
    <w:p w14:paraId="78FB8A32"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lastRenderedPageBreak/>
        <w:t>Wardle, H., &amp; McManus, S. (2021). Suicidality and gambling among young adults in Great Britain: results from a cross-sectional online survey.</w:t>
      </w:r>
      <w:r w:rsidRPr="00B10BE1">
        <w:rPr>
          <w:rFonts w:ascii="Times New Roman" w:eastAsia="Times New Roman" w:hAnsi="Times New Roman" w:cs="Times New Roman"/>
          <w:i/>
          <w:iCs/>
          <w:sz w:val="24"/>
          <w:szCs w:val="24"/>
          <w:lang w:eastAsia="en-GB"/>
        </w:rPr>
        <w:t> The Lancet Public Health, 6</w:t>
      </w:r>
      <w:r w:rsidRPr="00B10BE1">
        <w:rPr>
          <w:rFonts w:ascii="Times New Roman" w:eastAsia="Times New Roman" w:hAnsi="Times New Roman" w:cs="Times New Roman"/>
          <w:sz w:val="24"/>
          <w:szCs w:val="24"/>
          <w:lang w:eastAsia="en-GB"/>
        </w:rPr>
        <w:t>(1), e39–e49.</w:t>
      </w:r>
      <w:r w:rsidRPr="00B10BE1">
        <w:rPr>
          <w:rFonts w:ascii="Times New Roman" w:eastAsia="Aptos" w:hAnsi="Times New Roman" w:cs="Times New Roman"/>
          <w:kern w:val="2"/>
          <w:sz w:val="24"/>
          <w:szCs w:val="24"/>
          <w14:ligatures w14:val="standardContextual"/>
        </w:rPr>
        <w:t xml:space="preserve"> https://doi.org/10.1016/S2468-2667(20)30232-2</w:t>
      </w:r>
    </w:p>
    <w:p w14:paraId="64F1A4B6" w14:textId="77777777" w:rsidR="006C1A28" w:rsidRPr="00B10BE1" w:rsidRDefault="006C1A28" w:rsidP="00DF448B">
      <w:pPr>
        <w:shd w:val="clear" w:color="auto" w:fill="FFFFFF"/>
        <w:spacing w:after="173" w:line="480" w:lineRule="auto"/>
        <w:ind w:left="450" w:hanging="450"/>
        <w:rPr>
          <w:rFonts w:ascii="Times New Roman" w:eastAsia="Times New Roman" w:hAnsi="Times New Roman" w:cs="Times New Roman"/>
          <w:sz w:val="24"/>
          <w:szCs w:val="24"/>
          <w:lang w:eastAsia="en-GB"/>
        </w:rPr>
      </w:pPr>
      <w:r w:rsidRPr="00B10BE1">
        <w:rPr>
          <w:rFonts w:ascii="Times New Roman" w:eastAsia="Times New Roman" w:hAnsi="Times New Roman" w:cs="Times New Roman"/>
          <w:sz w:val="24"/>
          <w:szCs w:val="24"/>
          <w:lang w:eastAsia="en-GB"/>
        </w:rPr>
        <w:t>Wardle, H., K. Ridout, S., Tipping, I., Maxineanu, H., Wilson, S., Hill. (2024). </w:t>
      </w:r>
      <w:r w:rsidRPr="00B10BE1">
        <w:rPr>
          <w:rFonts w:ascii="Times New Roman" w:eastAsia="Times New Roman" w:hAnsi="Times New Roman" w:cs="Times New Roman"/>
          <w:i/>
          <w:iCs/>
          <w:sz w:val="24"/>
          <w:szCs w:val="24"/>
          <w:lang w:eastAsia="en-GB"/>
        </w:rPr>
        <w:t xml:space="preserve">Gambling survey for Great Britain - annual report (2023): </w:t>
      </w:r>
      <w:r w:rsidRPr="00B10BE1">
        <w:rPr>
          <w:rFonts w:ascii="Times New Roman" w:eastAsia="Times New Roman" w:hAnsi="Times New Roman" w:cs="Times New Roman"/>
          <w:sz w:val="24"/>
          <w:szCs w:val="24"/>
          <w:lang w:eastAsia="en-GB"/>
        </w:rPr>
        <w:t>Official statistics</w:t>
      </w:r>
      <w:r w:rsidRPr="00B10BE1">
        <w:rPr>
          <w:rFonts w:ascii="Times New Roman" w:eastAsia="Times New Roman" w:hAnsi="Times New Roman" w:cs="Times New Roman"/>
          <w:color w:val="000000"/>
          <w:sz w:val="24"/>
          <w:szCs w:val="24"/>
          <w:lang w:eastAsia="en-GB"/>
        </w:rPr>
        <w:t>.</w:t>
      </w:r>
      <w:r w:rsidRPr="00B10BE1">
        <w:rPr>
          <w:rFonts w:ascii="Times New Roman" w:eastAsia="Times New Roman" w:hAnsi="Times New Roman" w:cs="Times New Roman"/>
          <w:sz w:val="24"/>
          <w:szCs w:val="24"/>
          <w:lang w:eastAsia="en-GB"/>
        </w:rPr>
        <w:t> </w:t>
      </w:r>
      <w:hyperlink r:id="rId30" w:tgtFrame="_blank" w:history="1">
        <w:r w:rsidRPr="00B10BE1">
          <w:rPr>
            <w:rFonts w:ascii="Times New Roman" w:eastAsia="Times New Roman" w:hAnsi="Times New Roman" w:cs="Times New Roman"/>
            <w:sz w:val="24"/>
            <w:szCs w:val="24"/>
            <w:lang w:eastAsia="en-GB"/>
          </w:rPr>
          <w:t>https://</w:t>
        </w:r>
        <w:bookmarkStart w:id="35" w:name="_Hlk174971270"/>
        <w:r w:rsidRPr="00B10BE1">
          <w:rPr>
            <w:rFonts w:ascii="Times New Roman" w:eastAsia="Times New Roman" w:hAnsi="Times New Roman" w:cs="Times New Roman"/>
            <w:sz w:val="24"/>
            <w:szCs w:val="24"/>
            <w:lang w:eastAsia="en-GB"/>
          </w:rPr>
          <w:t>www.gamblingcommission.gov.uk</w:t>
        </w:r>
        <w:bookmarkEnd w:id="35"/>
        <w:r w:rsidRPr="00B10BE1">
          <w:rPr>
            <w:rFonts w:ascii="Times New Roman" w:eastAsia="Times New Roman" w:hAnsi="Times New Roman" w:cs="Times New Roman"/>
            <w:sz w:val="24"/>
            <w:szCs w:val="24"/>
            <w:lang w:eastAsia="en-GB"/>
          </w:rPr>
          <w:t>/report/gambling-survey-for-great-britain-annual-report-2023-official-statistics/gsgb-annual-report-additional-adverse-consequences-from-gambling</w:t>
        </w:r>
      </w:hyperlink>
    </w:p>
    <w:p w14:paraId="57396316" w14:textId="77777777" w:rsidR="006C1A28" w:rsidRDefault="006C1A28" w:rsidP="00DF448B">
      <w:pPr>
        <w:spacing w:after="0" w:line="480" w:lineRule="auto"/>
      </w:pPr>
    </w:p>
    <w:p w14:paraId="39BB4037" w14:textId="77777777" w:rsidR="006C1A28" w:rsidRDefault="006C1A28" w:rsidP="00DF448B">
      <w:pPr>
        <w:spacing w:line="480" w:lineRule="auto"/>
        <w:jc w:val="both"/>
      </w:pPr>
    </w:p>
    <w:sectPr w:rsidR="006C1A28">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0496C" w14:textId="77777777" w:rsidR="00262FCF" w:rsidRDefault="00262FCF" w:rsidP="002171C3">
      <w:pPr>
        <w:spacing w:after="0" w:line="240" w:lineRule="auto"/>
      </w:pPr>
      <w:r>
        <w:separator/>
      </w:r>
    </w:p>
  </w:endnote>
  <w:endnote w:type="continuationSeparator" w:id="0">
    <w:p w14:paraId="747F0BC0" w14:textId="77777777" w:rsidR="00262FCF" w:rsidRDefault="00262FCF" w:rsidP="0021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6DD6" w14:textId="77777777" w:rsidR="007C73A7" w:rsidRDefault="007C7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116617"/>
      <w:docPartObj>
        <w:docPartGallery w:val="Page Numbers (Bottom of Page)"/>
        <w:docPartUnique/>
      </w:docPartObj>
    </w:sdtPr>
    <w:sdtEndPr/>
    <w:sdtContent>
      <w:p w14:paraId="596D6C17" w14:textId="70C242C1" w:rsidR="007C73A7" w:rsidRDefault="007C73A7">
        <w:pPr>
          <w:pStyle w:val="Footer"/>
          <w:jc w:val="right"/>
        </w:pPr>
        <w:r>
          <w:fldChar w:fldCharType="begin"/>
        </w:r>
        <w:r>
          <w:instrText>PAGE   \* MERGEFORMAT</w:instrText>
        </w:r>
        <w:r>
          <w:fldChar w:fldCharType="separate"/>
        </w:r>
        <w:r>
          <w:t>2</w:t>
        </w:r>
        <w:r>
          <w:fldChar w:fldCharType="end"/>
        </w:r>
      </w:p>
    </w:sdtContent>
  </w:sdt>
  <w:p w14:paraId="33FAB98E" w14:textId="77777777" w:rsidR="002171C3" w:rsidRDefault="00217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352A" w14:textId="77777777" w:rsidR="007C73A7" w:rsidRDefault="007C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9C447" w14:textId="77777777" w:rsidR="00262FCF" w:rsidRDefault="00262FCF" w:rsidP="002171C3">
      <w:pPr>
        <w:spacing w:after="0" w:line="240" w:lineRule="auto"/>
      </w:pPr>
      <w:r>
        <w:separator/>
      </w:r>
    </w:p>
  </w:footnote>
  <w:footnote w:type="continuationSeparator" w:id="0">
    <w:p w14:paraId="4537CC1E" w14:textId="77777777" w:rsidR="00262FCF" w:rsidRDefault="00262FCF" w:rsidP="0021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997E" w14:textId="77777777" w:rsidR="007C73A7" w:rsidRDefault="007C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5B50" w14:textId="77777777" w:rsidR="007C73A7" w:rsidRDefault="007C7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9E84" w14:textId="77777777" w:rsidR="007C73A7" w:rsidRDefault="007C7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F9"/>
    <w:rsid w:val="00001384"/>
    <w:rsid w:val="00003382"/>
    <w:rsid w:val="00007283"/>
    <w:rsid w:val="000247FB"/>
    <w:rsid w:val="00040F29"/>
    <w:rsid w:val="00054822"/>
    <w:rsid w:val="00063D2C"/>
    <w:rsid w:val="00070591"/>
    <w:rsid w:val="000727FD"/>
    <w:rsid w:val="00095E22"/>
    <w:rsid w:val="000963E5"/>
    <w:rsid w:val="000A0F1E"/>
    <w:rsid w:val="000A1221"/>
    <w:rsid w:val="000B331A"/>
    <w:rsid w:val="000B6E4E"/>
    <w:rsid w:val="000C18E2"/>
    <w:rsid w:val="000D08C2"/>
    <w:rsid w:val="000D0C28"/>
    <w:rsid w:val="000E01F5"/>
    <w:rsid w:val="001100C0"/>
    <w:rsid w:val="00132CD1"/>
    <w:rsid w:val="00150038"/>
    <w:rsid w:val="00154DD3"/>
    <w:rsid w:val="001551A5"/>
    <w:rsid w:val="00180628"/>
    <w:rsid w:val="0019277D"/>
    <w:rsid w:val="001A6829"/>
    <w:rsid w:val="001C3518"/>
    <w:rsid w:val="001F6910"/>
    <w:rsid w:val="002014C3"/>
    <w:rsid w:val="002171C3"/>
    <w:rsid w:val="00232061"/>
    <w:rsid w:val="0024151F"/>
    <w:rsid w:val="0025248B"/>
    <w:rsid w:val="00252580"/>
    <w:rsid w:val="0025347A"/>
    <w:rsid w:val="00262FCF"/>
    <w:rsid w:val="002636C7"/>
    <w:rsid w:val="002809BC"/>
    <w:rsid w:val="00281ACB"/>
    <w:rsid w:val="00283F46"/>
    <w:rsid w:val="002B69F0"/>
    <w:rsid w:val="002C297B"/>
    <w:rsid w:val="002C7B99"/>
    <w:rsid w:val="002D5585"/>
    <w:rsid w:val="003010B7"/>
    <w:rsid w:val="00304444"/>
    <w:rsid w:val="0038407C"/>
    <w:rsid w:val="003856BA"/>
    <w:rsid w:val="0039135F"/>
    <w:rsid w:val="003B6BB3"/>
    <w:rsid w:val="003B6C64"/>
    <w:rsid w:val="003E0EE9"/>
    <w:rsid w:val="003E6FEA"/>
    <w:rsid w:val="003F2A5E"/>
    <w:rsid w:val="003F772D"/>
    <w:rsid w:val="004118EA"/>
    <w:rsid w:val="00441249"/>
    <w:rsid w:val="00453D6E"/>
    <w:rsid w:val="00460BCC"/>
    <w:rsid w:val="00474354"/>
    <w:rsid w:val="00480FF8"/>
    <w:rsid w:val="004B4CAC"/>
    <w:rsid w:val="004B64D0"/>
    <w:rsid w:val="004C0483"/>
    <w:rsid w:val="004D57AB"/>
    <w:rsid w:val="004F6733"/>
    <w:rsid w:val="00501242"/>
    <w:rsid w:val="005073C4"/>
    <w:rsid w:val="005147E1"/>
    <w:rsid w:val="00516B44"/>
    <w:rsid w:val="00520B8F"/>
    <w:rsid w:val="00536DAC"/>
    <w:rsid w:val="00547ED7"/>
    <w:rsid w:val="00564D9D"/>
    <w:rsid w:val="00567465"/>
    <w:rsid w:val="005D08E9"/>
    <w:rsid w:val="005D3052"/>
    <w:rsid w:val="005D307C"/>
    <w:rsid w:val="005D5D66"/>
    <w:rsid w:val="005D7AA2"/>
    <w:rsid w:val="0062137E"/>
    <w:rsid w:val="00631DA2"/>
    <w:rsid w:val="006669E5"/>
    <w:rsid w:val="0067178A"/>
    <w:rsid w:val="00675919"/>
    <w:rsid w:val="00677290"/>
    <w:rsid w:val="006801EB"/>
    <w:rsid w:val="00682E31"/>
    <w:rsid w:val="006A095C"/>
    <w:rsid w:val="006B7875"/>
    <w:rsid w:val="006C1A28"/>
    <w:rsid w:val="006C4289"/>
    <w:rsid w:val="006E0B73"/>
    <w:rsid w:val="00712739"/>
    <w:rsid w:val="0072767F"/>
    <w:rsid w:val="007829D3"/>
    <w:rsid w:val="007A37E1"/>
    <w:rsid w:val="007B2448"/>
    <w:rsid w:val="007B68C3"/>
    <w:rsid w:val="007C73A7"/>
    <w:rsid w:val="007E0A46"/>
    <w:rsid w:val="007E2DBB"/>
    <w:rsid w:val="008378B2"/>
    <w:rsid w:val="00847B3B"/>
    <w:rsid w:val="00852829"/>
    <w:rsid w:val="008B409F"/>
    <w:rsid w:val="008C6EA2"/>
    <w:rsid w:val="008D4980"/>
    <w:rsid w:val="008E47A9"/>
    <w:rsid w:val="00913FB0"/>
    <w:rsid w:val="00916EA8"/>
    <w:rsid w:val="00931479"/>
    <w:rsid w:val="0093519F"/>
    <w:rsid w:val="00940AE3"/>
    <w:rsid w:val="00940E7F"/>
    <w:rsid w:val="0095031D"/>
    <w:rsid w:val="009522AD"/>
    <w:rsid w:val="009545F4"/>
    <w:rsid w:val="0096604D"/>
    <w:rsid w:val="00994CE5"/>
    <w:rsid w:val="009A38B0"/>
    <w:rsid w:val="009D052A"/>
    <w:rsid w:val="009D4878"/>
    <w:rsid w:val="00A024ED"/>
    <w:rsid w:val="00A14C14"/>
    <w:rsid w:val="00A258FF"/>
    <w:rsid w:val="00A269A8"/>
    <w:rsid w:val="00A26F9E"/>
    <w:rsid w:val="00A44FAC"/>
    <w:rsid w:val="00A56A91"/>
    <w:rsid w:val="00A56B00"/>
    <w:rsid w:val="00A60633"/>
    <w:rsid w:val="00A719AA"/>
    <w:rsid w:val="00A75537"/>
    <w:rsid w:val="00A81A7B"/>
    <w:rsid w:val="00AA2052"/>
    <w:rsid w:val="00AD0F2A"/>
    <w:rsid w:val="00AE1C19"/>
    <w:rsid w:val="00AF45C9"/>
    <w:rsid w:val="00B03910"/>
    <w:rsid w:val="00B05F4F"/>
    <w:rsid w:val="00B10BE1"/>
    <w:rsid w:val="00B448DD"/>
    <w:rsid w:val="00B66A50"/>
    <w:rsid w:val="00B66E82"/>
    <w:rsid w:val="00B74A1F"/>
    <w:rsid w:val="00B84E02"/>
    <w:rsid w:val="00B958DC"/>
    <w:rsid w:val="00BC06B7"/>
    <w:rsid w:val="00BD09EF"/>
    <w:rsid w:val="00BE5D4C"/>
    <w:rsid w:val="00BE5D83"/>
    <w:rsid w:val="00C111AB"/>
    <w:rsid w:val="00C2404B"/>
    <w:rsid w:val="00C2466F"/>
    <w:rsid w:val="00C4096A"/>
    <w:rsid w:val="00C661F9"/>
    <w:rsid w:val="00C77D6A"/>
    <w:rsid w:val="00CC0F9C"/>
    <w:rsid w:val="00CC6B30"/>
    <w:rsid w:val="00CC78E2"/>
    <w:rsid w:val="00CD47BC"/>
    <w:rsid w:val="00CE3F9C"/>
    <w:rsid w:val="00CE6513"/>
    <w:rsid w:val="00CF08AF"/>
    <w:rsid w:val="00CF7FDC"/>
    <w:rsid w:val="00D02233"/>
    <w:rsid w:val="00D23B7A"/>
    <w:rsid w:val="00D44200"/>
    <w:rsid w:val="00D62EEA"/>
    <w:rsid w:val="00D645AE"/>
    <w:rsid w:val="00D672EE"/>
    <w:rsid w:val="00D70402"/>
    <w:rsid w:val="00D7362A"/>
    <w:rsid w:val="00D75E1E"/>
    <w:rsid w:val="00DD4D45"/>
    <w:rsid w:val="00DE70C0"/>
    <w:rsid w:val="00DE7968"/>
    <w:rsid w:val="00DF31BD"/>
    <w:rsid w:val="00DF448B"/>
    <w:rsid w:val="00DF50B1"/>
    <w:rsid w:val="00E02472"/>
    <w:rsid w:val="00E1412F"/>
    <w:rsid w:val="00E26EEE"/>
    <w:rsid w:val="00E33983"/>
    <w:rsid w:val="00E406A4"/>
    <w:rsid w:val="00E447AD"/>
    <w:rsid w:val="00E52FD0"/>
    <w:rsid w:val="00E62293"/>
    <w:rsid w:val="00E70BFF"/>
    <w:rsid w:val="00E865F1"/>
    <w:rsid w:val="00EC0A4A"/>
    <w:rsid w:val="00ED038A"/>
    <w:rsid w:val="00ED6CB8"/>
    <w:rsid w:val="00F07720"/>
    <w:rsid w:val="00F2222A"/>
    <w:rsid w:val="00F3192C"/>
    <w:rsid w:val="00F50925"/>
    <w:rsid w:val="00F5276C"/>
    <w:rsid w:val="00F63777"/>
    <w:rsid w:val="00F77300"/>
    <w:rsid w:val="00F82036"/>
    <w:rsid w:val="00F8394E"/>
    <w:rsid w:val="00FA08C0"/>
    <w:rsid w:val="00FB0B36"/>
    <w:rsid w:val="00FB3310"/>
    <w:rsid w:val="00FB7D98"/>
    <w:rsid w:val="00FE02B0"/>
    <w:rsid w:val="00FF5350"/>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DAAF"/>
  <w15:chartTrackingRefBased/>
  <w15:docId w15:val="{0F0F41A4-DC49-4065-A335-BF9AF039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F9"/>
    <w:rPr>
      <w:kern w:val="0"/>
      <w14:ligatures w14:val="none"/>
    </w:rPr>
  </w:style>
  <w:style w:type="paragraph" w:styleId="Heading1">
    <w:name w:val="heading 1"/>
    <w:basedOn w:val="Normal"/>
    <w:next w:val="Normal"/>
    <w:link w:val="Heading1Char"/>
    <w:uiPriority w:val="9"/>
    <w:qFormat/>
    <w:rsid w:val="00C66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6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66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1F9"/>
    <w:rPr>
      <w:rFonts w:eastAsiaTheme="majorEastAsia" w:cstheme="majorBidi"/>
      <w:color w:val="272727" w:themeColor="text1" w:themeTint="D8"/>
    </w:rPr>
  </w:style>
  <w:style w:type="paragraph" w:styleId="Title">
    <w:name w:val="Title"/>
    <w:basedOn w:val="Normal"/>
    <w:next w:val="Normal"/>
    <w:link w:val="TitleChar"/>
    <w:uiPriority w:val="10"/>
    <w:qFormat/>
    <w:rsid w:val="00C66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1F9"/>
    <w:pPr>
      <w:spacing w:before="160"/>
      <w:jc w:val="center"/>
    </w:pPr>
    <w:rPr>
      <w:i/>
      <w:iCs/>
      <w:color w:val="404040" w:themeColor="text1" w:themeTint="BF"/>
    </w:rPr>
  </w:style>
  <w:style w:type="character" w:customStyle="1" w:styleId="QuoteChar">
    <w:name w:val="Quote Char"/>
    <w:basedOn w:val="DefaultParagraphFont"/>
    <w:link w:val="Quote"/>
    <w:uiPriority w:val="29"/>
    <w:rsid w:val="00C661F9"/>
    <w:rPr>
      <w:i/>
      <w:iCs/>
      <w:color w:val="404040" w:themeColor="text1" w:themeTint="BF"/>
    </w:rPr>
  </w:style>
  <w:style w:type="paragraph" w:styleId="ListParagraph">
    <w:name w:val="List Paragraph"/>
    <w:basedOn w:val="Normal"/>
    <w:uiPriority w:val="34"/>
    <w:qFormat/>
    <w:rsid w:val="00C661F9"/>
    <w:pPr>
      <w:ind w:left="720"/>
      <w:contextualSpacing/>
    </w:pPr>
  </w:style>
  <w:style w:type="character" w:styleId="IntenseEmphasis">
    <w:name w:val="Intense Emphasis"/>
    <w:basedOn w:val="DefaultParagraphFont"/>
    <w:uiPriority w:val="21"/>
    <w:qFormat/>
    <w:rsid w:val="00C661F9"/>
    <w:rPr>
      <w:i/>
      <w:iCs/>
      <w:color w:val="0F4761" w:themeColor="accent1" w:themeShade="BF"/>
    </w:rPr>
  </w:style>
  <w:style w:type="paragraph" w:styleId="IntenseQuote">
    <w:name w:val="Intense Quote"/>
    <w:basedOn w:val="Normal"/>
    <w:next w:val="Normal"/>
    <w:link w:val="IntenseQuoteChar"/>
    <w:uiPriority w:val="30"/>
    <w:qFormat/>
    <w:rsid w:val="00C66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1F9"/>
    <w:rPr>
      <w:i/>
      <w:iCs/>
      <w:color w:val="0F4761" w:themeColor="accent1" w:themeShade="BF"/>
    </w:rPr>
  </w:style>
  <w:style w:type="character" w:styleId="IntenseReference">
    <w:name w:val="Intense Reference"/>
    <w:basedOn w:val="DefaultParagraphFont"/>
    <w:uiPriority w:val="32"/>
    <w:qFormat/>
    <w:rsid w:val="00C661F9"/>
    <w:rPr>
      <w:b/>
      <w:bCs/>
      <w:smallCaps/>
      <w:color w:val="0F4761" w:themeColor="accent1" w:themeShade="BF"/>
      <w:spacing w:val="5"/>
    </w:rPr>
  </w:style>
  <w:style w:type="character" w:styleId="CommentReference">
    <w:name w:val="annotation reference"/>
    <w:basedOn w:val="DefaultParagraphFont"/>
    <w:uiPriority w:val="99"/>
    <w:semiHidden/>
    <w:unhideWhenUsed/>
    <w:rsid w:val="00441249"/>
    <w:rPr>
      <w:sz w:val="16"/>
      <w:szCs w:val="16"/>
    </w:rPr>
  </w:style>
  <w:style w:type="paragraph" w:styleId="CommentText">
    <w:name w:val="annotation text"/>
    <w:basedOn w:val="Normal"/>
    <w:link w:val="CommentTextChar"/>
    <w:uiPriority w:val="99"/>
    <w:unhideWhenUsed/>
    <w:rsid w:val="00441249"/>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441249"/>
    <w:rPr>
      <w:sz w:val="20"/>
      <w:szCs w:val="20"/>
    </w:rPr>
  </w:style>
  <w:style w:type="character" w:customStyle="1" w:styleId="cf01">
    <w:name w:val="cf01"/>
    <w:basedOn w:val="DefaultParagraphFont"/>
    <w:rsid w:val="003B6BB3"/>
    <w:rPr>
      <w:rFonts w:ascii="Segoe UI" w:hAnsi="Segoe UI" w:cs="Segoe UI" w:hint="default"/>
      <w:sz w:val="18"/>
      <w:szCs w:val="18"/>
    </w:rPr>
  </w:style>
  <w:style w:type="paragraph" w:styleId="Revision">
    <w:name w:val="Revision"/>
    <w:hidden/>
    <w:uiPriority w:val="99"/>
    <w:semiHidden/>
    <w:rsid w:val="0067178A"/>
    <w:pPr>
      <w:spacing w:after="0" w:line="240" w:lineRule="auto"/>
    </w:pPr>
    <w:rPr>
      <w:kern w:val="0"/>
      <w14:ligatures w14:val="none"/>
    </w:rPr>
  </w:style>
  <w:style w:type="paragraph" w:styleId="Header">
    <w:name w:val="header"/>
    <w:basedOn w:val="Normal"/>
    <w:link w:val="HeaderChar"/>
    <w:uiPriority w:val="99"/>
    <w:unhideWhenUsed/>
    <w:rsid w:val="00217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1C3"/>
    <w:rPr>
      <w:kern w:val="0"/>
      <w14:ligatures w14:val="none"/>
    </w:rPr>
  </w:style>
  <w:style w:type="paragraph" w:styleId="Footer">
    <w:name w:val="footer"/>
    <w:basedOn w:val="Normal"/>
    <w:link w:val="FooterChar"/>
    <w:uiPriority w:val="99"/>
    <w:unhideWhenUsed/>
    <w:rsid w:val="00217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1C3"/>
    <w:rPr>
      <w:kern w:val="0"/>
      <w14:ligatures w14:val="none"/>
    </w:rPr>
  </w:style>
  <w:style w:type="character" w:styleId="Hyperlink">
    <w:name w:val="Hyperlink"/>
    <w:basedOn w:val="DefaultParagraphFont"/>
    <w:uiPriority w:val="99"/>
    <w:unhideWhenUsed/>
    <w:rsid w:val="004D57AB"/>
    <w:rPr>
      <w:color w:val="467886" w:themeColor="hyperlink"/>
      <w:u w:val="single"/>
    </w:rPr>
  </w:style>
  <w:style w:type="character" w:styleId="UnresolvedMention">
    <w:name w:val="Unresolved Mention"/>
    <w:basedOn w:val="DefaultParagraphFont"/>
    <w:uiPriority w:val="99"/>
    <w:semiHidden/>
    <w:unhideWhenUsed/>
    <w:rsid w:val="004D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180786">
      <w:bodyDiv w:val="1"/>
      <w:marLeft w:val="0"/>
      <w:marRight w:val="0"/>
      <w:marTop w:val="0"/>
      <w:marBottom w:val="0"/>
      <w:divBdr>
        <w:top w:val="none" w:sz="0" w:space="0" w:color="auto"/>
        <w:left w:val="none" w:sz="0" w:space="0" w:color="auto"/>
        <w:bottom w:val="none" w:sz="0" w:space="0" w:color="auto"/>
        <w:right w:val="none" w:sz="0" w:space="0" w:color="auto"/>
      </w:divBdr>
    </w:div>
    <w:div w:id="1941331087">
      <w:bodyDiv w:val="1"/>
      <w:marLeft w:val="0"/>
      <w:marRight w:val="0"/>
      <w:marTop w:val="0"/>
      <w:marBottom w:val="0"/>
      <w:divBdr>
        <w:top w:val="none" w:sz="0" w:space="0" w:color="auto"/>
        <w:left w:val="none" w:sz="0" w:space="0" w:color="auto"/>
        <w:bottom w:val="none" w:sz="0" w:space="0" w:color="auto"/>
        <w:right w:val="none" w:sz="0" w:space="0" w:color="auto"/>
      </w:divBdr>
    </w:div>
    <w:div w:id="19451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9010024" TargetMode="External"/><Relationship Id="rId13" Type="http://schemas.openxmlformats.org/officeDocument/2006/relationships/hyperlink" Target="https://assets.ctfassets.net/j16ev64qyf6l/2SXwXymIXgdAB6T30jLEuN/a33b04a4197a77af2f97c4e8b8b4cadf/gambling-treatment-and-support.pdf" TargetMode="External"/><Relationship Id="rId18" Type="http://schemas.openxmlformats.org/officeDocument/2006/relationships/hyperlink" Target="https://doi.org/10.1016/j.ssmqr.2021.100011" TargetMode="External"/><Relationship Id="rId26" Type="http://schemas.openxmlformats.org/officeDocument/2006/relationships/hyperlink" Target="https://psycnet.apa.org/doi/10.1037/ccp0000765"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i.org/10.1007/s10488-013-0528-y" TargetMode="External"/><Relationship Id="rId34" Type="http://schemas.openxmlformats.org/officeDocument/2006/relationships/footer" Target="footer2.xml"/><Relationship Id="rId7" Type="http://schemas.openxmlformats.org/officeDocument/2006/relationships/hyperlink" Target="https://doi.org/10.1080/07481187.2018.1469055" TargetMode="External"/><Relationship Id="rId12" Type="http://schemas.openxmlformats.org/officeDocument/2006/relationships/hyperlink" Target="https://www.gamblingcommission.gov.uk/statistics-and-research/publication/problem-gambling-screens" TargetMode="External"/><Relationship Id="rId17" Type="http://schemas.openxmlformats.org/officeDocument/2006/relationships/hyperlink" Target="https://doi.org/.10.3389/fpsyt.2022.980303" TargetMode="External"/><Relationship Id="rId25" Type="http://schemas.openxmlformats.org/officeDocument/2006/relationships/hyperlink" Target="http://www.ippr.org/publications/cards-on-the-table"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hyperlink" Target="https://doi.org/10.1179/2044024315Z.00000000044A" TargetMode="External"/><Relationship Id="rId20" Type="http://schemas.openxmlformats.org/officeDocument/2006/relationships/hyperlink" Target="https://doi.org/10.1080/0142159X.2022.2057287" TargetMode="External"/><Relationship Id="rId29" Type="http://schemas.openxmlformats.org/officeDocument/2006/relationships/hyperlink" Target="https://doi.org/10.4324/9781003203476" TargetMode="External"/><Relationship Id="rId1" Type="http://schemas.openxmlformats.org/officeDocument/2006/relationships/styles" Target="styles.xml"/><Relationship Id="rId6" Type="http://schemas.openxmlformats.org/officeDocument/2006/relationships/hyperlink" Target="https://orcid.org/0009-0001-8576-6157" TargetMode="External"/><Relationship Id="rId11" Type="http://schemas.openxmlformats.org/officeDocument/2006/relationships/hyperlink" Target="https://doi.org/10.2190/IL.20.1.e" TargetMode="External"/><Relationship Id="rId24" Type="http://schemas.openxmlformats.org/officeDocument/2006/relationships/hyperlink" Target="https://www.begambleaware.org/sites/default/files/2021-05/Methodology_Report_%28FINAL_14.05.21%29.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2190/fkm2-yjty-f9vv-9xwy" TargetMode="External"/><Relationship Id="rId23" Type="http://schemas.openxmlformats.org/officeDocument/2006/relationships/hyperlink" Target="https://www.proquest.com/docview/231347874/abstract/" TargetMode="External"/><Relationship Id="rId28" Type="http://schemas.openxmlformats.org/officeDocument/2006/relationships/hyperlink" Target="https://www.greo.ca/Modules/EvidenceCentre/files/Wardle%20et%20al%20(2019)%20Problem%20gambling,%20suicidal%20thoughts,%20suicide%20attempts,%20and%20non-suicidal%20self-harm.pdf" TargetMode="External"/><Relationship Id="rId36" Type="http://schemas.openxmlformats.org/officeDocument/2006/relationships/footer" Target="footer3.xml"/><Relationship Id="rId10" Type="http://schemas.openxmlformats.org/officeDocument/2006/relationships/hyperlink" Target="https://www.researchsquare.com/article/rs-1269843/v1" TargetMode="External"/><Relationship Id="rId19" Type="http://schemas.openxmlformats.org/officeDocument/2006/relationships/hyperlink" Target="https://doi.org/10.1080/07481187.2022.2108943"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93/pubmed/fdy164" TargetMode="External"/><Relationship Id="rId14" Type="http://schemas.openxmlformats.org/officeDocument/2006/relationships/hyperlink" Target="https://www.gov.uk/government/statistics/uk-betting-and-gaming-statistics/uk-betting-and-gaming-statistics-commentary-october-2022-to-march-2023" TargetMode="External"/><Relationship Id="rId22" Type="http://schemas.openxmlformats.org/officeDocument/2006/relationships/hyperlink" Target="https://www.begambleaware.org/sites/default/files/2022-07/GambleAware%20Stigma%20Final.pdf" TargetMode="External"/><Relationship Id="rId27" Type="http://schemas.openxmlformats.org/officeDocument/2006/relationships/hyperlink" Target="https://psycnet.apa.org/doi/10.1080/08873267.2003.9986934" TargetMode="External"/><Relationship Id="rId30" Type="http://schemas.openxmlformats.org/officeDocument/2006/relationships/hyperlink" Target="https://www.gamblingcommission.gov.uk/report/gambling-survey-for-great-britain-annual-report-2023-official-statistics/gsgb-annual-report-additional-adverse-consequences-from-gambling" TargetMode="External"/><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DC0661949043E9883BAF6F25288D78"/>
        <w:category>
          <w:name w:val="General"/>
          <w:gallery w:val="placeholder"/>
        </w:category>
        <w:types>
          <w:type w:val="bbPlcHdr"/>
        </w:types>
        <w:behaviors>
          <w:behavior w:val="content"/>
        </w:behaviors>
        <w:guid w:val="{0C61B0D2-7274-49C1-AB56-48D144259E43}"/>
      </w:docPartPr>
      <w:docPartBody>
        <w:p w:rsidR="00627420" w:rsidRDefault="00283E5A" w:rsidP="00283E5A">
          <w:pPr>
            <w:pStyle w:val="A8DC0661949043E9883BAF6F25288D78"/>
          </w:pPr>
          <w:r w:rsidRPr="003E4EB6">
            <w:rPr>
              <w:rStyle w:val="PlaceholderText"/>
            </w:rPr>
            <w:t>Formatting...</w:t>
          </w:r>
        </w:p>
      </w:docPartBody>
    </w:docPart>
    <w:docPart>
      <w:docPartPr>
        <w:name w:val="208C9BEF11C64BAC8F89EECD4A2B77D2"/>
        <w:category>
          <w:name w:val="General"/>
          <w:gallery w:val="placeholder"/>
        </w:category>
        <w:types>
          <w:type w:val="bbPlcHdr"/>
        </w:types>
        <w:behaviors>
          <w:behavior w:val="content"/>
        </w:behaviors>
        <w:guid w:val="{3B6F755B-F558-4258-973B-325CC30A584D}"/>
      </w:docPartPr>
      <w:docPartBody>
        <w:p w:rsidR="00627420" w:rsidRDefault="00283E5A" w:rsidP="00283E5A">
          <w:pPr>
            <w:pStyle w:val="208C9BEF11C64BAC8F89EECD4A2B77D2"/>
          </w:pPr>
          <w:r w:rsidRPr="003E4EB6">
            <w:rPr>
              <w:rStyle w:val="PlaceholderText"/>
            </w:rPr>
            <w:t>Formatting...</w:t>
          </w:r>
        </w:p>
      </w:docPartBody>
    </w:docPart>
    <w:docPart>
      <w:docPartPr>
        <w:name w:val="EB5A19515D77409C8E397E8BB99C16BB"/>
        <w:category>
          <w:name w:val="General"/>
          <w:gallery w:val="placeholder"/>
        </w:category>
        <w:types>
          <w:type w:val="bbPlcHdr"/>
        </w:types>
        <w:behaviors>
          <w:behavior w:val="content"/>
        </w:behaviors>
        <w:guid w:val="{2DE70C00-E533-46AB-BE34-952CADE4D1DD}"/>
      </w:docPartPr>
      <w:docPartBody>
        <w:p w:rsidR="007F037B" w:rsidRDefault="00D52D96" w:rsidP="00D52D96">
          <w:pPr>
            <w:pStyle w:val="EB5A19515D77409C8E397E8BB99C16BB"/>
          </w:pPr>
          <w:r w:rsidRPr="009C7AB6">
            <w:rPr>
              <w:rStyle w:val="PlaceholderText"/>
            </w:rPr>
            <w:t>Formatting...</w:t>
          </w:r>
        </w:p>
      </w:docPartBody>
    </w:docPart>
    <w:docPart>
      <w:docPartPr>
        <w:name w:val="6E9088293160441EA5A856B66CA2B6A1"/>
        <w:category>
          <w:name w:val="General"/>
          <w:gallery w:val="placeholder"/>
        </w:category>
        <w:types>
          <w:type w:val="bbPlcHdr"/>
        </w:types>
        <w:behaviors>
          <w:behavior w:val="content"/>
        </w:behaviors>
        <w:guid w:val="{4E73CEA1-1CDA-4783-A9A3-78B354B65363}"/>
      </w:docPartPr>
      <w:docPartBody>
        <w:p w:rsidR="009A0CA9" w:rsidRDefault="007F037B" w:rsidP="007F037B">
          <w:pPr>
            <w:pStyle w:val="6E9088293160441EA5A856B66CA2B6A1"/>
          </w:pPr>
          <w:r w:rsidRPr="00321B6E">
            <w:rPr>
              <w:rStyle w:val="PlaceholderText"/>
            </w:rPr>
            <w:t>Formatting...</w:t>
          </w:r>
        </w:p>
      </w:docPartBody>
    </w:docPart>
    <w:docPart>
      <w:docPartPr>
        <w:name w:val="EB439F3A3121444495F121A0C0EACC5F"/>
        <w:category>
          <w:name w:val="General"/>
          <w:gallery w:val="placeholder"/>
        </w:category>
        <w:types>
          <w:type w:val="bbPlcHdr"/>
        </w:types>
        <w:behaviors>
          <w:behavior w:val="content"/>
        </w:behaviors>
        <w:guid w:val="{F68B938A-3D00-4C76-99C3-2A2DB366D739}"/>
      </w:docPartPr>
      <w:docPartBody>
        <w:p w:rsidR="009A0CA9" w:rsidRDefault="007F037B" w:rsidP="007F037B">
          <w:pPr>
            <w:pStyle w:val="EB439F3A3121444495F121A0C0EACC5F"/>
          </w:pPr>
          <w:r w:rsidRPr="002151EB">
            <w:rPr>
              <w:rStyle w:val="PlaceholderText"/>
            </w:rPr>
            <w:t>Formatting...</w:t>
          </w:r>
        </w:p>
      </w:docPartBody>
    </w:docPart>
    <w:docPart>
      <w:docPartPr>
        <w:name w:val="97A7C72B3A34420382F1661E213ED12F"/>
        <w:category>
          <w:name w:val="General"/>
          <w:gallery w:val="placeholder"/>
        </w:category>
        <w:types>
          <w:type w:val="bbPlcHdr"/>
        </w:types>
        <w:behaviors>
          <w:behavior w:val="content"/>
        </w:behaviors>
        <w:guid w:val="{F507CC90-A38F-4F15-AD6F-1C927FF43D79}"/>
      </w:docPartPr>
      <w:docPartBody>
        <w:p w:rsidR="009A0CA9" w:rsidRDefault="007F037B" w:rsidP="007F037B">
          <w:pPr>
            <w:pStyle w:val="97A7C72B3A34420382F1661E213ED12F"/>
          </w:pPr>
          <w:r w:rsidRPr="06E930C7">
            <w:t>Click here to enter text.</w:t>
          </w:r>
        </w:p>
      </w:docPartBody>
    </w:docPart>
    <w:docPart>
      <w:docPartPr>
        <w:name w:val="115B35AA06CD4EED8A9305FF212EE405"/>
        <w:category>
          <w:name w:val="General"/>
          <w:gallery w:val="placeholder"/>
        </w:category>
        <w:types>
          <w:type w:val="bbPlcHdr"/>
        </w:types>
        <w:behaviors>
          <w:behavior w:val="content"/>
        </w:behaviors>
        <w:guid w:val="{EAE1749F-15F7-4081-85B6-2B4D84EB5E87}"/>
      </w:docPartPr>
      <w:docPartBody>
        <w:p w:rsidR="009A0CA9" w:rsidRDefault="007F037B" w:rsidP="007F037B">
          <w:pPr>
            <w:pStyle w:val="115B35AA06CD4EED8A9305FF212EE405"/>
          </w:pPr>
          <w:r w:rsidRPr="004879A6">
            <w:rPr>
              <w:rStyle w:val="PlaceholderText"/>
            </w:rPr>
            <w:t>Formatting...</w:t>
          </w:r>
        </w:p>
      </w:docPartBody>
    </w:docPart>
    <w:docPart>
      <w:docPartPr>
        <w:name w:val="7DDC187811F441D987324AAE5CA99596"/>
        <w:category>
          <w:name w:val="General"/>
          <w:gallery w:val="placeholder"/>
        </w:category>
        <w:types>
          <w:type w:val="bbPlcHdr"/>
        </w:types>
        <w:behaviors>
          <w:behavior w:val="content"/>
        </w:behaviors>
        <w:guid w:val="{FE447C94-67AD-42A0-86A6-B12AAC4BA95B}"/>
      </w:docPartPr>
      <w:docPartBody>
        <w:p w:rsidR="009A0CA9" w:rsidRDefault="007F037B" w:rsidP="007F037B">
          <w:pPr>
            <w:pStyle w:val="7DDC187811F441D987324AAE5CA99596"/>
          </w:pPr>
          <w:r w:rsidRPr="002151EB">
            <w:rPr>
              <w:rStyle w:val="PlaceholderText"/>
            </w:rPr>
            <w:t>Formatting...</w:t>
          </w:r>
        </w:p>
      </w:docPartBody>
    </w:docPart>
    <w:docPart>
      <w:docPartPr>
        <w:name w:val="B6D8CFCB679249DEB11E35D03957C68F"/>
        <w:category>
          <w:name w:val="General"/>
          <w:gallery w:val="placeholder"/>
        </w:category>
        <w:types>
          <w:type w:val="bbPlcHdr"/>
        </w:types>
        <w:behaviors>
          <w:behavior w:val="content"/>
        </w:behaviors>
        <w:guid w:val="{D33C54D0-769D-46AF-90D7-299F73DC4905}"/>
      </w:docPartPr>
      <w:docPartBody>
        <w:p w:rsidR="00B36AFA" w:rsidRDefault="00417301" w:rsidP="00417301">
          <w:pPr>
            <w:pStyle w:val="B6D8CFCB679249DEB11E35D03957C68F"/>
          </w:pPr>
          <w:r w:rsidRPr="005D2F04">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30"/>
    <w:rsid w:val="000118DF"/>
    <w:rsid w:val="00017F96"/>
    <w:rsid w:val="00040F29"/>
    <w:rsid w:val="000572A2"/>
    <w:rsid w:val="000727FD"/>
    <w:rsid w:val="000A1221"/>
    <w:rsid w:val="000D0C28"/>
    <w:rsid w:val="000D292A"/>
    <w:rsid w:val="000E01F5"/>
    <w:rsid w:val="000E7A58"/>
    <w:rsid w:val="001A129C"/>
    <w:rsid w:val="00204803"/>
    <w:rsid w:val="00234966"/>
    <w:rsid w:val="0025248B"/>
    <w:rsid w:val="00283E5A"/>
    <w:rsid w:val="002A23C4"/>
    <w:rsid w:val="00340259"/>
    <w:rsid w:val="00364783"/>
    <w:rsid w:val="003856BA"/>
    <w:rsid w:val="003A2827"/>
    <w:rsid w:val="00417301"/>
    <w:rsid w:val="004B64D0"/>
    <w:rsid w:val="004F6733"/>
    <w:rsid w:val="005B1E8E"/>
    <w:rsid w:val="00627420"/>
    <w:rsid w:val="006D20E6"/>
    <w:rsid w:val="007E1730"/>
    <w:rsid w:val="007F037B"/>
    <w:rsid w:val="0082374D"/>
    <w:rsid w:val="008A29CC"/>
    <w:rsid w:val="008A76C4"/>
    <w:rsid w:val="008C6EA2"/>
    <w:rsid w:val="00940E7F"/>
    <w:rsid w:val="009A0CA9"/>
    <w:rsid w:val="00A26409"/>
    <w:rsid w:val="00A66D88"/>
    <w:rsid w:val="00A81A7B"/>
    <w:rsid w:val="00AB77BC"/>
    <w:rsid w:val="00AF79A0"/>
    <w:rsid w:val="00B36AFA"/>
    <w:rsid w:val="00B75793"/>
    <w:rsid w:val="00B76CBB"/>
    <w:rsid w:val="00B84D59"/>
    <w:rsid w:val="00B958DC"/>
    <w:rsid w:val="00B970E6"/>
    <w:rsid w:val="00BC1930"/>
    <w:rsid w:val="00BE5D83"/>
    <w:rsid w:val="00C111AB"/>
    <w:rsid w:val="00CC0F9C"/>
    <w:rsid w:val="00CC78E2"/>
    <w:rsid w:val="00CD47BC"/>
    <w:rsid w:val="00CE00E0"/>
    <w:rsid w:val="00CE6513"/>
    <w:rsid w:val="00CF7FDC"/>
    <w:rsid w:val="00D40CFA"/>
    <w:rsid w:val="00D52D96"/>
    <w:rsid w:val="00D6423B"/>
    <w:rsid w:val="00D672EE"/>
    <w:rsid w:val="00DF50B1"/>
    <w:rsid w:val="00E406A4"/>
    <w:rsid w:val="00E66A26"/>
    <w:rsid w:val="00E865F1"/>
    <w:rsid w:val="00E91C42"/>
    <w:rsid w:val="00EF585A"/>
    <w:rsid w:val="00F3192C"/>
    <w:rsid w:val="00FB7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301"/>
    <w:rPr>
      <w:color w:val="666666"/>
    </w:rPr>
  </w:style>
  <w:style w:type="paragraph" w:customStyle="1" w:styleId="A8DC0661949043E9883BAF6F25288D78">
    <w:name w:val="A8DC0661949043E9883BAF6F25288D78"/>
    <w:rsid w:val="00283E5A"/>
  </w:style>
  <w:style w:type="paragraph" w:customStyle="1" w:styleId="208C9BEF11C64BAC8F89EECD4A2B77D2">
    <w:name w:val="208C9BEF11C64BAC8F89EECD4A2B77D2"/>
    <w:rsid w:val="00283E5A"/>
  </w:style>
  <w:style w:type="paragraph" w:customStyle="1" w:styleId="EB5A19515D77409C8E397E8BB99C16BB">
    <w:name w:val="EB5A19515D77409C8E397E8BB99C16BB"/>
    <w:rsid w:val="00D52D96"/>
  </w:style>
  <w:style w:type="paragraph" w:customStyle="1" w:styleId="6E9088293160441EA5A856B66CA2B6A1">
    <w:name w:val="6E9088293160441EA5A856B66CA2B6A1"/>
    <w:rsid w:val="007F037B"/>
  </w:style>
  <w:style w:type="paragraph" w:customStyle="1" w:styleId="EB439F3A3121444495F121A0C0EACC5F">
    <w:name w:val="EB439F3A3121444495F121A0C0EACC5F"/>
    <w:rsid w:val="007F037B"/>
  </w:style>
  <w:style w:type="paragraph" w:customStyle="1" w:styleId="97A7C72B3A34420382F1661E213ED12F">
    <w:name w:val="97A7C72B3A34420382F1661E213ED12F"/>
    <w:rsid w:val="007F037B"/>
  </w:style>
  <w:style w:type="paragraph" w:customStyle="1" w:styleId="115B35AA06CD4EED8A9305FF212EE405">
    <w:name w:val="115B35AA06CD4EED8A9305FF212EE405"/>
    <w:rsid w:val="007F037B"/>
  </w:style>
  <w:style w:type="paragraph" w:customStyle="1" w:styleId="7DDC187811F441D987324AAE5CA99596">
    <w:name w:val="7DDC187811F441D987324AAE5CA99596"/>
    <w:rsid w:val="007F037B"/>
  </w:style>
  <w:style w:type="paragraph" w:customStyle="1" w:styleId="B6D8CFCB679249DEB11E35D03957C68F">
    <w:name w:val="B6D8CFCB679249DEB11E35D03957C68F"/>
    <w:rsid w:val="00417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10572</Words>
  <Characters>60263</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farrar</dc:creator>
  <cp:keywords/>
  <dc:description/>
  <cp:lastModifiedBy>Ruth Mardall (R.Mardall)</cp:lastModifiedBy>
  <cp:revision>2</cp:revision>
  <cp:lastPrinted>2024-12-13T10:01:00Z</cp:lastPrinted>
  <dcterms:created xsi:type="dcterms:W3CDTF">2025-05-28T09:40:00Z</dcterms:created>
  <dcterms:modified xsi:type="dcterms:W3CDTF">2025-05-28T09:40:00Z</dcterms:modified>
</cp:coreProperties>
</file>