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BA82" w14:textId="4AB414ED" w:rsidR="001B2C67" w:rsidRPr="00D67274" w:rsidRDefault="0062009E" w:rsidP="00D7607B">
      <w:pPr>
        <w:spacing w:after="240" w:line="24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From Human Capital to Competitive Advantage:</w:t>
      </w:r>
      <w:r w:rsidR="008110FB" w:rsidRPr="00D67274">
        <w:rPr>
          <w:rFonts w:ascii="Times New Roman" w:hAnsi="Times New Roman" w:cs="Times New Roman"/>
          <w:b/>
          <w:bCs/>
          <w:color w:val="000000" w:themeColor="text1"/>
        </w:rPr>
        <w:t xml:space="preserve"> </w:t>
      </w:r>
      <w:r w:rsidRPr="00D67274">
        <w:rPr>
          <w:rFonts w:ascii="Times New Roman" w:hAnsi="Times New Roman" w:cs="Times New Roman"/>
          <w:b/>
          <w:bCs/>
          <w:color w:val="000000" w:themeColor="text1"/>
        </w:rPr>
        <w:t>Indigenous Knowledge, Adaptation, and Innovation in Entrepreneurial Success</w:t>
      </w:r>
    </w:p>
    <w:p w14:paraId="68509A93" w14:textId="4CD57620" w:rsidR="00FE6281" w:rsidRPr="00D67274" w:rsidRDefault="00FE6281" w:rsidP="004F435E">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Abstract</w:t>
      </w:r>
    </w:p>
    <w:p w14:paraId="7746F541" w14:textId="78EF1284" w:rsidR="00FE6281" w:rsidRPr="00D67274" w:rsidRDefault="00C0287E" w:rsidP="00D7607B">
      <w:pPr>
        <w:spacing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 xml:space="preserve">This study examines how </w:t>
      </w:r>
      <w:r w:rsidRPr="00D67274">
        <w:rPr>
          <w:rStyle w:val="Strong"/>
          <w:rFonts w:ascii="Times New Roman" w:hAnsi="Times New Roman" w:cs="Times New Roman"/>
          <w:b w:val="0"/>
          <w:bCs w:val="0"/>
          <w:color w:val="000000" w:themeColor="text1"/>
        </w:rPr>
        <w:t>Indigenous Knowledge Systems (IKS)</w:t>
      </w:r>
      <w:r w:rsidRPr="00D67274">
        <w:rPr>
          <w:rFonts w:ascii="Times New Roman" w:hAnsi="Times New Roman" w:cs="Times New Roman"/>
          <w:color w:val="000000" w:themeColor="text1"/>
        </w:rPr>
        <w:t xml:space="preserve"> contribute to entrepreneurial success through </w:t>
      </w:r>
      <w:r w:rsidRPr="00D67274">
        <w:rPr>
          <w:rStyle w:val="Strong"/>
          <w:rFonts w:ascii="Times New Roman" w:hAnsi="Times New Roman" w:cs="Times New Roman"/>
          <w:b w:val="0"/>
          <w:bCs w:val="0"/>
          <w:color w:val="000000" w:themeColor="text1"/>
        </w:rPr>
        <w:t>adaptation and innovation</w:t>
      </w:r>
      <w:r w:rsidRPr="00D67274">
        <w:rPr>
          <w:rFonts w:ascii="Times New Roman" w:hAnsi="Times New Roman" w:cs="Times New Roman"/>
          <w:color w:val="000000" w:themeColor="text1"/>
        </w:rPr>
        <w:t xml:space="preserve"> using the proposed </w:t>
      </w:r>
      <w:r w:rsidRPr="00D67274">
        <w:rPr>
          <w:rStyle w:val="Strong"/>
          <w:rFonts w:ascii="Times New Roman" w:hAnsi="Times New Roman" w:cs="Times New Roman"/>
          <w:b w:val="0"/>
          <w:bCs w:val="0"/>
          <w:color w:val="000000" w:themeColor="text1"/>
        </w:rPr>
        <w:t>Indigenous Dynamic Capabilities Mediation (IDCM) model</w:t>
      </w:r>
      <w:r w:rsidRPr="00D67274">
        <w:rPr>
          <w:rFonts w:ascii="Times New Roman" w:hAnsi="Times New Roman" w:cs="Times New Roman"/>
          <w:b/>
          <w:bCs/>
          <w:color w:val="000000" w:themeColor="text1"/>
        </w:rPr>
        <w:t>.</w:t>
      </w:r>
      <w:r w:rsidRPr="00D67274">
        <w:rPr>
          <w:rFonts w:ascii="Times New Roman" w:hAnsi="Times New Roman" w:cs="Times New Roman"/>
          <w:color w:val="000000" w:themeColor="text1"/>
        </w:rPr>
        <w:t xml:space="preserve"> Drawing on survey data from </w:t>
      </w:r>
      <w:r w:rsidRPr="00D67274">
        <w:rPr>
          <w:rStyle w:val="Strong"/>
          <w:rFonts w:ascii="Times New Roman" w:hAnsi="Times New Roman" w:cs="Times New Roman"/>
          <w:b w:val="0"/>
          <w:bCs w:val="0"/>
          <w:color w:val="000000" w:themeColor="text1"/>
        </w:rPr>
        <w:t>124 entrepreneurs across seven regions</w:t>
      </w:r>
      <w:r w:rsidRPr="00D67274">
        <w:rPr>
          <w:rFonts w:ascii="Times New Roman" w:hAnsi="Times New Roman" w:cs="Times New Roman"/>
          <w:b/>
          <w:bCs/>
          <w:color w:val="000000" w:themeColor="text1"/>
        </w:rPr>
        <w:t xml:space="preserve"> </w:t>
      </w:r>
      <w:r w:rsidRPr="00D67274">
        <w:rPr>
          <w:rFonts w:ascii="Times New Roman" w:hAnsi="Times New Roman" w:cs="Times New Roman"/>
          <w:color w:val="000000" w:themeColor="text1"/>
        </w:rPr>
        <w:t xml:space="preserve">and analysed using </w:t>
      </w:r>
      <w:r w:rsidRPr="00D67274">
        <w:rPr>
          <w:rStyle w:val="Strong"/>
          <w:rFonts w:ascii="Times New Roman" w:hAnsi="Times New Roman" w:cs="Times New Roman"/>
          <w:b w:val="0"/>
          <w:bCs w:val="0"/>
          <w:color w:val="000000" w:themeColor="text1"/>
        </w:rPr>
        <w:t>Hayes’ PROCESS macro (Model 6)</w:t>
      </w:r>
      <w:r w:rsidRPr="00D67274">
        <w:rPr>
          <w:rFonts w:ascii="Times New Roman" w:hAnsi="Times New Roman" w:cs="Times New Roman"/>
          <w:color w:val="000000" w:themeColor="text1"/>
        </w:rPr>
        <w:t xml:space="preserve">, the research explores both direct and mediated effects while controlling for demographic factors. Results show that </w:t>
      </w:r>
      <w:r w:rsidRPr="00D67274">
        <w:rPr>
          <w:rStyle w:val="Strong"/>
          <w:rFonts w:ascii="Times New Roman" w:hAnsi="Times New Roman" w:cs="Times New Roman"/>
          <w:b w:val="0"/>
          <w:bCs w:val="0"/>
          <w:color w:val="000000" w:themeColor="text1"/>
        </w:rPr>
        <w:t>adaptation</w:t>
      </w:r>
      <w:r w:rsidRPr="00D67274">
        <w:rPr>
          <w:rFonts w:ascii="Times New Roman" w:hAnsi="Times New Roman" w:cs="Times New Roman"/>
          <w:color w:val="000000" w:themeColor="text1"/>
        </w:rPr>
        <w:t xml:space="preserve"> is the primary pathway linking IKS to </w:t>
      </w:r>
      <w:r w:rsidRPr="00D67274">
        <w:rPr>
          <w:rStyle w:val="Strong"/>
          <w:rFonts w:ascii="Times New Roman" w:hAnsi="Times New Roman" w:cs="Times New Roman"/>
          <w:b w:val="0"/>
          <w:bCs w:val="0"/>
          <w:color w:val="000000" w:themeColor="text1"/>
        </w:rPr>
        <w:t>entrepreneurial growth</w:t>
      </w:r>
      <w:r w:rsidRPr="00D67274">
        <w:rPr>
          <w:rFonts w:ascii="Times New Roman" w:hAnsi="Times New Roman" w:cs="Times New Roman"/>
          <w:color w:val="000000" w:themeColor="text1"/>
        </w:rPr>
        <w:t xml:space="preserve">, underscoring the importance of resilience and operational flexibility. </w:t>
      </w:r>
      <w:r w:rsidRPr="00D67274">
        <w:rPr>
          <w:rStyle w:val="Strong"/>
          <w:rFonts w:ascii="Times New Roman" w:hAnsi="Times New Roman" w:cs="Times New Roman"/>
          <w:b w:val="0"/>
          <w:bCs w:val="0"/>
          <w:color w:val="000000" w:themeColor="text1"/>
        </w:rPr>
        <w:t>Innovation</w:t>
      </w:r>
      <w:r w:rsidRPr="00D67274">
        <w:rPr>
          <w:rFonts w:ascii="Times New Roman" w:hAnsi="Times New Roman" w:cs="Times New Roman"/>
          <w:color w:val="000000" w:themeColor="text1"/>
        </w:rPr>
        <w:t xml:space="preserve"> plays a smaller role in growth but is the key mediator of </w:t>
      </w:r>
      <w:r w:rsidRPr="00D67274">
        <w:rPr>
          <w:rStyle w:val="Strong"/>
          <w:rFonts w:ascii="Times New Roman" w:hAnsi="Times New Roman" w:cs="Times New Roman"/>
          <w:b w:val="0"/>
          <w:bCs w:val="0"/>
          <w:color w:val="000000" w:themeColor="text1"/>
        </w:rPr>
        <w:t>competitiveness</w:t>
      </w:r>
      <w:r w:rsidRPr="00D67274">
        <w:rPr>
          <w:rFonts w:ascii="Times New Roman" w:hAnsi="Times New Roman" w:cs="Times New Roman"/>
          <w:color w:val="000000" w:themeColor="text1"/>
        </w:rPr>
        <w:t xml:space="preserve">, both directly and through sequential effects from adaptation to innovation. The study establishes IKS as a </w:t>
      </w:r>
      <w:r w:rsidRPr="00D67274">
        <w:rPr>
          <w:rStyle w:val="Strong"/>
          <w:rFonts w:ascii="Times New Roman" w:hAnsi="Times New Roman" w:cs="Times New Roman"/>
          <w:b w:val="0"/>
          <w:bCs w:val="0"/>
          <w:color w:val="000000" w:themeColor="text1"/>
        </w:rPr>
        <w:t>dynamic, generative resource</w:t>
      </w:r>
      <w:r w:rsidRPr="00D67274">
        <w:rPr>
          <w:rFonts w:ascii="Times New Roman" w:hAnsi="Times New Roman" w:cs="Times New Roman"/>
          <w:color w:val="000000" w:themeColor="text1"/>
        </w:rPr>
        <w:t xml:space="preserve"> that fuels human capital and capability development. Theoretically, it integrates </w:t>
      </w:r>
      <w:r w:rsidRPr="00D67274">
        <w:rPr>
          <w:rStyle w:val="Strong"/>
          <w:rFonts w:ascii="Times New Roman" w:hAnsi="Times New Roman" w:cs="Times New Roman"/>
          <w:b w:val="0"/>
          <w:bCs w:val="0"/>
          <w:color w:val="000000" w:themeColor="text1"/>
        </w:rPr>
        <w:t>Human Capital, Indigenous Knowledge</w:t>
      </w:r>
      <w:r w:rsidRPr="00D67274">
        <w:rPr>
          <w:rStyle w:val="Strong"/>
          <w:rFonts w:ascii="Times New Roman" w:hAnsi="Times New Roman" w:cs="Times New Roman"/>
          <w:color w:val="000000" w:themeColor="text1"/>
        </w:rPr>
        <w:t xml:space="preserve">, </w:t>
      </w:r>
      <w:r w:rsidRPr="00D67274">
        <w:rPr>
          <w:rStyle w:val="Strong"/>
          <w:rFonts w:ascii="Times New Roman" w:hAnsi="Times New Roman" w:cs="Times New Roman"/>
          <w:b w:val="0"/>
          <w:bCs w:val="0"/>
          <w:color w:val="000000" w:themeColor="text1"/>
        </w:rPr>
        <w:t>and Dynamic Capabilities</w:t>
      </w:r>
      <w:r w:rsidRPr="00D67274">
        <w:rPr>
          <w:rFonts w:ascii="Times New Roman" w:hAnsi="Times New Roman" w:cs="Times New Roman"/>
          <w:color w:val="000000" w:themeColor="text1"/>
        </w:rPr>
        <w:t xml:space="preserve"> perspectives, while practically advocating staged support, prioritising adaptation early and fostering innovation as ventures evolve</w:t>
      </w:r>
      <w:r w:rsidR="00FE6281" w:rsidRPr="00D67274">
        <w:rPr>
          <w:rFonts w:ascii="Times New Roman" w:hAnsi="Times New Roman" w:cs="Times New Roman"/>
          <w:color w:val="000000" w:themeColor="text1"/>
        </w:rPr>
        <w:t>.</w:t>
      </w:r>
    </w:p>
    <w:p w14:paraId="299EA329" w14:textId="01B0C141" w:rsidR="001B2C67" w:rsidRPr="00D67274" w:rsidRDefault="00FE6281" w:rsidP="00D7607B">
      <w:pPr>
        <w:spacing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 xml:space="preserve">Keywords: </w:t>
      </w:r>
      <w:r w:rsidRPr="00D67274">
        <w:rPr>
          <w:rFonts w:ascii="Times New Roman" w:hAnsi="Times New Roman" w:cs="Times New Roman"/>
          <w:color w:val="000000" w:themeColor="text1"/>
        </w:rPr>
        <w:t>Indigenous Knowledge Systems, Dynamic Capabilities, Entrepreneurship, Adaptation and Innovation, Growth and Competitiveness</w:t>
      </w:r>
    </w:p>
    <w:p w14:paraId="2886F8EB" w14:textId="10188A8A" w:rsidR="00D160E6" w:rsidRPr="00D67274" w:rsidRDefault="00D160E6" w:rsidP="004F435E">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Introduction</w:t>
      </w:r>
    </w:p>
    <w:p w14:paraId="690319AB" w14:textId="77777777" w:rsidR="004F435E" w:rsidRPr="00D67274" w:rsidRDefault="002850CC" w:rsidP="002850CC">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Indigenous entrepreneurship has become an increasingly important domain in global scholarship, reflecting both its potential for advancing sustainable development and its role in preserving cultural identity (Dana et al., 2020; Peredo et al., 2021). Indigenous Knowledge Systems (IKS) (encompassing local ecological knowledge, cultural values, oral traditions, and community</w:t>
      </w:r>
      <w:r w:rsidR="00B044D5" w:rsidRPr="00D67274">
        <w:rPr>
          <w:rFonts w:ascii="Times New Roman" w:hAnsi="Times New Roman" w:cs="Times New Roman"/>
          <w:color w:val="000000" w:themeColor="text1"/>
          <w:lang w:val="en-GB"/>
        </w:rPr>
        <w:t>-</w:t>
      </w:r>
      <w:r w:rsidRPr="00D67274">
        <w:rPr>
          <w:rFonts w:ascii="Times New Roman" w:hAnsi="Times New Roman" w:cs="Times New Roman"/>
          <w:color w:val="000000" w:themeColor="text1"/>
          <w:lang w:val="en-GB"/>
        </w:rPr>
        <w:t xml:space="preserve">based cooperation) are widely recognised as vital resources for entrepreneurial resilience and innovation (Agrawal, 1995; Dell et al., 2024). In many contexts, IKS offers a repertoire of practices that allow entrepreneurs to navigate resource constraints, manage ecological variability, and maintain community legitimacy. </w:t>
      </w:r>
    </w:p>
    <w:p w14:paraId="3F959D13" w14:textId="7F974370" w:rsidR="002850CC" w:rsidRPr="00D67274" w:rsidRDefault="002850CC" w:rsidP="002850CC">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Much of the existing literature, however, has concentrated on documenting the social and ecological value of these practices. Studies frequently treat IKS as a static cultural asset, highlighting its application in specific traditional livelihoods such as the harvesting of medicinal plants or basic agricultural sustenance (Ekene et al., 2023; </w:t>
      </w:r>
      <w:proofErr w:type="spellStart"/>
      <w:r w:rsidRPr="00D67274">
        <w:rPr>
          <w:rFonts w:ascii="Times New Roman" w:hAnsi="Times New Roman" w:cs="Times New Roman"/>
          <w:color w:val="000000" w:themeColor="text1"/>
          <w:lang w:val="en-GB"/>
        </w:rPr>
        <w:t>Mugambiwa</w:t>
      </w:r>
      <w:proofErr w:type="spellEnd"/>
      <w:r w:rsidRPr="00D67274">
        <w:rPr>
          <w:rFonts w:ascii="Times New Roman" w:hAnsi="Times New Roman" w:cs="Times New Roman"/>
          <w:color w:val="000000" w:themeColor="text1"/>
          <w:lang w:val="en-GB"/>
        </w:rPr>
        <w:t xml:space="preserve">, 2021; Tamene et al., </w:t>
      </w:r>
      <w:r w:rsidRPr="00D67274">
        <w:rPr>
          <w:rFonts w:ascii="Times New Roman" w:hAnsi="Times New Roman" w:cs="Times New Roman"/>
          <w:color w:val="000000" w:themeColor="text1"/>
          <w:lang w:val="en-GB"/>
        </w:rPr>
        <w:lastRenderedPageBreak/>
        <w:t>2024). By framing indigenous knowledge primarily around heritage preservation and ecological survival, prior research often overlooks its strategic application in modern organisational contexts. Because of this descriptive focus, the precise mechanisms through which IKS influences entrepreneurial outcomes remain insufficiently theorised and empirically validated.</w:t>
      </w:r>
    </w:p>
    <w:p w14:paraId="1CBCD71C" w14:textId="77777777" w:rsidR="004F435E" w:rsidRPr="00D67274" w:rsidRDefault="0097424B" w:rsidP="0097424B">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The dominant narratives in entrepreneurship research have often privileged Western constructs of innovation and competitiveness. </w:t>
      </w:r>
      <w:r w:rsidR="009345D4" w:rsidRPr="00D67274">
        <w:rPr>
          <w:rFonts w:ascii="Times New Roman" w:hAnsi="Times New Roman" w:cs="Times New Roman"/>
          <w:color w:val="000000" w:themeColor="text1"/>
          <w:lang w:val="en-GB"/>
        </w:rPr>
        <w:t>Studies by Kim &amp; Ahn (2017) as well as c</w:t>
      </w:r>
      <w:r w:rsidRPr="00D67274">
        <w:rPr>
          <w:rFonts w:ascii="Times New Roman" w:hAnsi="Times New Roman" w:cs="Times New Roman"/>
          <w:color w:val="000000" w:themeColor="text1"/>
          <w:lang w:val="en-GB"/>
        </w:rPr>
        <w:t>omprehensive systematic reviews reveal that mainstream frameworks pay limited attention to culturally embedded forms of knowledge, treating them as peripheral to core business strategy (Dana et al., 2020; Hernandez-Linares et al., 2024). Where IKS has been studied, it is frequently treated as a static cultural asset (meaning an inherited tradition frozen in time) rather than as a dynamic input (meaning a continuously adapting resource actively used to solve emerging operational problems) into organisational processes (</w:t>
      </w:r>
      <w:proofErr w:type="spellStart"/>
      <w:r w:rsidRPr="00D67274">
        <w:rPr>
          <w:rFonts w:ascii="Times New Roman" w:hAnsi="Times New Roman" w:cs="Times New Roman"/>
          <w:color w:val="000000" w:themeColor="text1"/>
          <w:lang w:val="en-GB"/>
        </w:rPr>
        <w:t>Mugambiwa</w:t>
      </w:r>
      <w:proofErr w:type="spellEnd"/>
      <w:r w:rsidRPr="00D67274">
        <w:rPr>
          <w:rFonts w:ascii="Times New Roman" w:hAnsi="Times New Roman" w:cs="Times New Roman"/>
          <w:color w:val="000000" w:themeColor="text1"/>
          <w:lang w:val="en-GB"/>
        </w:rPr>
        <w:t xml:space="preserve">, 2021). </w:t>
      </w:r>
    </w:p>
    <w:p w14:paraId="1A3D9D8E" w14:textId="64FB6E21" w:rsidR="0097424B" w:rsidRPr="00D67274" w:rsidRDefault="0097424B" w:rsidP="0097424B">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Treating IKS merely as a relic of the past risks underestimating its true economic potential. Specifically, this narrow view fails to recognise how indigenous practices drive operational efficiency, foster unique product differentiation, and create sustainable competitive advantages in modern markets. Furthermore, empirical work has often stopped short of explaining how indigenous knowledge is mobilised to generate entrepreneurial growth and competitiveness, leaving gaps in both theory and practice. Practically, this leaves indigenous business owners without clear, evidence</w:t>
      </w:r>
      <w:r w:rsidR="00F55DCC" w:rsidRPr="00D67274">
        <w:rPr>
          <w:rFonts w:ascii="Times New Roman" w:hAnsi="Times New Roman" w:cs="Times New Roman"/>
          <w:color w:val="000000" w:themeColor="text1"/>
          <w:lang w:val="en-GB"/>
        </w:rPr>
        <w:t>-</w:t>
      </w:r>
      <w:r w:rsidRPr="00D67274">
        <w:rPr>
          <w:rFonts w:ascii="Times New Roman" w:hAnsi="Times New Roman" w:cs="Times New Roman"/>
          <w:color w:val="000000" w:themeColor="text1"/>
          <w:lang w:val="en-GB"/>
        </w:rPr>
        <w:t>based frameworks on how to scale their operations or integrate traditional ecological practices with contemporary market demands.</w:t>
      </w:r>
    </w:p>
    <w:p w14:paraId="48D20436" w14:textId="77777777" w:rsidR="0097424B" w:rsidRPr="00D67274" w:rsidRDefault="0097424B" w:rsidP="0097424B">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Consequently, moving beyond this static view requires an understanding of the active processes that link cultural resources to firm performance. Human capital variables such as education, experience, and financial capacity are well established as important determinants of entrepreneurial performance (Becker, 1964; Unger et al., 2011). In indigenous contexts, these demographic endowments may condition the ability of entrepreneurs to access and apply IKS. However, their influence is not deterministic; rather, they operate as enabling background resources that expand the absorptive capacity required for mobilising indigenous knowledge (Onwuegbuzie, 2009). Since human capital alone does not constitute the mechanism of growth, the central theoretical puzzle involves how the cultural knowledge itself is transformed into </w:t>
      </w:r>
      <w:r w:rsidRPr="00D67274">
        <w:rPr>
          <w:rFonts w:ascii="Times New Roman" w:hAnsi="Times New Roman" w:cs="Times New Roman"/>
          <w:color w:val="000000" w:themeColor="text1"/>
          <w:lang w:val="en-GB"/>
        </w:rPr>
        <w:lastRenderedPageBreak/>
        <w:t>tangible success. Do these indigenous factors work directly, or do they interact through mediating capabilities that translate tacit knowledge into measurable growth and competitiveness?</w:t>
      </w:r>
    </w:p>
    <w:p w14:paraId="3BF86B3A" w14:textId="77777777" w:rsidR="0097424B" w:rsidRPr="00D67274" w:rsidRDefault="0097424B" w:rsidP="0097424B">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Dynamic Capabilities Theory serves as the primary theoretical lens to answer this question. It emphasises that firms achieve sustainable performance not simply through the possession of resources, but through the ability to adapt, innovate, and reconfigure competencies in changing environments (Teece, 2007). For indigenous entrepreneurs, adaptation captures the ability to adjust operations in response to environmental and market volatility, while innovation reflects the transformation of adaptive practices into new products, services, and processes. Although prior studies have explored the role of dynamic capabilities in mainstream entrepreneurship (</w:t>
      </w:r>
      <w:proofErr w:type="spellStart"/>
      <w:r w:rsidRPr="00D67274">
        <w:rPr>
          <w:rFonts w:ascii="Times New Roman" w:hAnsi="Times New Roman" w:cs="Times New Roman"/>
          <w:color w:val="000000" w:themeColor="text1"/>
          <w:lang w:val="en-GB"/>
        </w:rPr>
        <w:t>Helfat</w:t>
      </w:r>
      <w:proofErr w:type="spellEnd"/>
      <w:r w:rsidRPr="00D67274">
        <w:rPr>
          <w:rFonts w:ascii="Times New Roman" w:hAnsi="Times New Roman" w:cs="Times New Roman"/>
          <w:color w:val="000000" w:themeColor="text1"/>
          <w:lang w:val="en-GB"/>
        </w:rPr>
        <w:t xml:space="preserve"> and </w:t>
      </w:r>
      <w:proofErr w:type="spellStart"/>
      <w:r w:rsidRPr="00D67274">
        <w:rPr>
          <w:rFonts w:ascii="Times New Roman" w:hAnsi="Times New Roman" w:cs="Times New Roman"/>
          <w:color w:val="000000" w:themeColor="text1"/>
          <w:lang w:val="en-GB"/>
        </w:rPr>
        <w:t>Peteraf</w:t>
      </w:r>
      <w:proofErr w:type="spellEnd"/>
      <w:r w:rsidRPr="00D67274">
        <w:rPr>
          <w:rFonts w:ascii="Times New Roman" w:hAnsi="Times New Roman" w:cs="Times New Roman"/>
          <w:color w:val="000000" w:themeColor="text1"/>
          <w:lang w:val="en-GB"/>
        </w:rPr>
        <w:t>, 2015), little empirical work has examined how indigenous knowledge activates these capabilities or how they differentially shape entrepreneurial outcomes. Recent discussions acknowledge this intersection but lack robust quantitative testing (</w:t>
      </w:r>
      <w:proofErr w:type="spellStart"/>
      <w:r w:rsidRPr="00D67274">
        <w:rPr>
          <w:rFonts w:ascii="Times New Roman" w:hAnsi="Times New Roman" w:cs="Times New Roman"/>
          <w:color w:val="000000" w:themeColor="text1"/>
          <w:lang w:val="en-GB"/>
        </w:rPr>
        <w:t>Celume</w:t>
      </w:r>
      <w:proofErr w:type="spellEnd"/>
      <w:r w:rsidRPr="00D67274">
        <w:rPr>
          <w:rFonts w:ascii="Times New Roman" w:hAnsi="Times New Roman" w:cs="Times New Roman"/>
          <w:color w:val="000000" w:themeColor="text1"/>
          <w:lang w:val="en-GB"/>
        </w:rPr>
        <w:t>, 2024; Chaudhari, 2024), leaving a critical need to empirically validate these mechanisms.</w:t>
      </w:r>
    </w:p>
    <w:p w14:paraId="44366138" w14:textId="77777777" w:rsidR="0097424B" w:rsidRPr="00D67274" w:rsidRDefault="0097424B" w:rsidP="0097424B">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This paper addresses these gaps proposing the Indigenous Dynamic Capabilities Mediation (IDCM) model. Rooted primarily in Dynamic Capabilities Theory, the proposed model integrates supporting insights from Indigenous Knowledge Theory and Human Capital Theory. Within this structure, Dynamic Capabilities Theory explains the core mechanisms of adaptation and innovation that drive success. Indigenous Knowledge Theory is utilised secondarily to define the unique generative resource base, while Human Capital Theory accounts for the enabling demographic conditions that allow entrepreneurs to mobilise this knowledge. The model conceptualises IKS as a dynamic input that influences entrepreneurial growth and competitiveness through adaptation and innovation, with demographic endowments serving as enabling conditions. In doing so, the study advances theoretical understanding of how indigenous knowledge is mobilised as a generative resource, while also offering practical insights for supporting indigenous entrepreneurs.</w:t>
      </w:r>
    </w:p>
    <w:p w14:paraId="43C5C8DA" w14:textId="13950EF6" w:rsidR="0086386A" w:rsidRPr="00D67274" w:rsidRDefault="0097424B" w:rsidP="0097424B">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The remainder of the paper is structured as follows. The next section reviews the relevant literature on demographics, indigenous knowledge, and dynamic capabilities, leading to the development of hypotheses. The methodology section then outlines the survey design, measures, and analytical strategy. Subsequent sections present the empirical findings, followed by a discussion of their </w:t>
      </w:r>
      <w:r w:rsidRPr="00D67274">
        <w:rPr>
          <w:rFonts w:ascii="Times New Roman" w:hAnsi="Times New Roman" w:cs="Times New Roman"/>
          <w:color w:val="000000" w:themeColor="text1"/>
          <w:lang w:val="en-GB"/>
        </w:rPr>
        <w:lastRenderedPageBreak/>
        <w:t>theoretical and practical implications. The paper concludes with a synthesis of contributions, limitations, and directions for future research.</w:t>
      </w:r>
    </w:p>
    <w:p w14:paraId="5C2BA9F0" w14:textId="77777777" w:rsidR="00D160E6" w:rsidRPr="00D67274" w:rsidRDefault="00D160E6" w:rsidP="00AA4300">
      <w:pPr>
        <w:spacing w:after="0" w:line="48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Literature Review</w:t>
      </w:r>
    </w:p>
    <w:p w14:paraId="12234EFB" w14:textId="77777777" w:rsidR="008B7605" w:rsidRPr="00D67274" w:rsidRDefault="008B7605" w:rsidP="004F435E">
      <w:pPr>
        <w:spacing w:after="120" w:line="24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Demographic Factors and the Adoption of Indigenous Knowledge Systems (IKS) in Entrepreneurship</w:t>
      </w:r>
    </w:p>
    <w:p w14:paraId="5AC2A48B" w14:textId="77777777" w:rsidR="00667F91" w:rsidRPr="00D67274" w:rsidRDefault="00667F91"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Indigenous Knowledge Systems (IKS) encompass context specific cultural practices, ecological insights, and social values that communities apply in their daily lives and entrepreneurial activities. Their adoption and use in entrepreneurship are not uniform but are significantly shaped by demographic factors such as experience, education, revenue, region, and location. Rather than acting in isolation, these factors collectively determine how effectively traditional knowledge is integrated into modern business practices to ensure sustainability and competitiveness (Chaudhari, 2024; Eze et al., 2023; Tamene et al., 2024). The broader consensus in the literature indicates that the interplay of these demographic elements with indigenous knowledge dictates whether a business model can remain culturally grounded while achieving economic viability. Below, each factor is explored in detail.</w:t>
      </w:r>
    </w:p>
    <w:p w14:paraId="37AF9E54" w14:textId="77777777" w:rsidR="004F435E" w:rsidRPr="00D67274" w:rsidRDefault="00667F91"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Scholars increasingly view experience and education not merely as individual traits, but as interactive mechanisms that bridge generational knowledge gaps. Experience constitutes an essential foundation for IKS driven entrepreneurship. Indigenous entrepreneurs often rely on knowledge accumulated through lived cultural and ecological practices, which fosters innovation and sustainable business development (Chaudhari, 2024). While older individuals frequently serve as the primary custodians of traditional resilience practices like medicinal or agricultural techniques (Tamene et al., 2024), current research highlights a complementary trend among younger generations. Younger entrepreneurs tend to hybridise this inherited knowledge with digital tools to access broader markets, proving that IKS is adaptable rather than rigid (Dharmasiri et al., 2025). </w:t>
      </w:r>
    </w:p>
    <w:p w14:paraId="782F6074" w14:textId="586BB946" w:rsidR="00667F91" w:rsidRPr="00D67274" w:rsidRDefault="00667F91"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Education exerts a similarly dual influence. Formal education equips entrepreneurs with skills for navigating modern business environments, including financial literacy and management expertise. However, scholars caution that when curricula are detached from indigenous contexts, they risk eroding cultural identity (Eze et al., 2023). To counteract this, empirical evidence from South Africa and other regions suggests that integrating IKS into entrepreneurship education nurtures </w:t>
      </w:r>
      <w:r w:rsidRPr="00D67274">
        <w:rPr>
          <w:rFonts w:ascii="Times New Roman" w:hAnsi="Times New Roman" w:cs="Times New Roman"/>
          <w:color w:val="000000" w:themeColor="text1"/>
          <w:lang w:val="en-GB"/>
        </w:rPr>
        <w:lastRenderedPageBreak/>
        <w:t>creativity and preserves cultural relevance (</w:t>
      </w:r>
      <w:proofErr w:type="spellStart"/>
      <w:r w:rsidRPr="00D67274">
        <w:rPr>
          <w:rFonts w:ascii="Times New Roman" w:hAnsi="Times New Roman" w:cs="Times New Roman"/>
          <w:color w:val="000000" w:themeColor="text1"/>
          <w:lang w:val="en-GB"/>
        </w:rPr>
        <w:t>Ayandibu</w:t>
      </w:r>
      <w:proofErr w:type="spellEnd"/>
      <w:r w:rsidRPr="00D67274">
        <w:rPr>
          <w:rFonts w:ascii="Times New Roman" w:hAnsi="Times New Roman" w:cs="Times New Roman"/>
          <w:color w:val="000000" w:themeColor="text1"/>
          <w:lang w:val="en-GB"/>
        </w:rPr>
        <w:t>, 2025). Informal education through family, elders, and community networks also remains crucial for maintaining cultural integrity and transferring knowledge across generations (Onwuegbuzie, 2009).</w:t>
      </w:r>
    </w:p>
    <w:p w14:paraId="4C943AED" w14:textId="0A96BF88" w:rsidR="00667F91" w:rsidRPr="00D67274" w:rsidRDefault="00667F91"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The literature also reveals a strong intersection between financial capacity and geographical context, where both elements heavily constrain or enable the commercialisation of IKS</w:t>
      </w:r>
      <w:r w:rsidRPr="00D67274">
        <w:rPr>
          <w:rFonts w:ascii="Times New Roman" w:hAnsi="Times New Roman" w:cs="Times New Roman"/>
          <w:b/>
          <w:bCs/>
          <w:color w:val="000000" w:themeColor="text1"/>
          <w:lang w:val="en-GB"/>
        </w:rPr>
        <w:t>.</w:t>
      </w:r>
      <w:r w:rsidRPr="00D67274">
        <w:rPr>
          <w:rFonts w:ascii="Times New Roman" w:hAnsi="Times New Roman" w:cs="Times New Roman"/>
          <w:color w:val="000000" w:themeColor="text1"/>
          <w:lang w:val="en-GB"/>
        </w:rPr>
        <w:t xml:space="preserve"> Revenue generation in indigenous entrepreneurship is closely tied to the ability to integrate cultural and ecological knowledge with market-oriented practices. Successful entrepreneurs differentiate themselves through products and services rooted in indigenous traditions, which enhances resilience and income (Chaudhari, 2024). However, many indigenous entrepreneurs operate in low income, necessity driven contexts, with limited financing and government support (</w:t>
      </w:r>
      <w:proofErr w:type="spellStart"/>
      <w:r w:rsidRPr="00D67274">
        <w:rPr>
          <w:rFonts w:ascii="Times New Roman" w:hAnsi="Times New Roman" w:cs="Times New Roman"/>
          <w:color w:val="000000" w:themeColor="text1"/>
          <w:lang w:val="en-GB"/>
        </w:rPr>
        <w:t>Manyaga</w:t>
      </w:r>
      <w:proofErr w:type="spellEnd"/>
      <w:r w:rsidRPr="00D67274">
        <w:rPr>
          <w:rFonts w:ascii="Times New Roman" w:hAnsi="Times New Roman" w:cs="Times New Roman"/>
          <w:color w:val="000000" w:themeColor="text1"/>
          <w:lang w:val="en-GB"/>
        </w:rPr>
        <w:t xml:space="preserve"> et al., 2024). Economic disparities, such as those affecting Native Americans and First Nations, highlight the barriers to scaling indigenous enterprises. Targeted interventions in financing and education are therefore vital to unlocking revenue potential (Bull, 2024). Additionally, microfinance and savings groups play a transformative role, particularly for women entrepreneurs, enabling the commercialisation of traditional practices (Gupta, 2013). In Indonesia, indigenous financial literacy practices linked to local wisdom have been shown to foster creativity and enhance entrepreneurial problem solving (Kesa, 2024).</w:t>
      </w:r>
    </w:p>
    <w:p w14:paraId="6DA56871" w14:textId="2EB1E580" w:rsidR="00667F91" w:rsidRPr="00D67274" w:rsidRDefault="00667F91"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The geographical context significantly shapes the form and intensity of IKS adoption. Geographic and spatial dynamics largely dictate market access and the preservation of original practices. Remote and rural communities, often rich in ecological and cultural knowledge, typically embed entrepreneurial practices deeply in tradition, though market access and infrastructure constraints limit their scalability (</w:t>
      </w:r>
      <w:proofErr w:type="spellStart"/>
      <w:r w:rsidRPr="00D67274">
        <w:rPr>
          <w:rFonts w:ascii="Times New Roman" w:hAnsi="Times New Roman" w:cs="Times New Roman"/>
          <w:color w:val="000000" w:themeColor="text1"/>
          <w:lang w:val="en-GB"/>
        </w:rPr>
        <w:t>Celume</w:t>
      </w:r>
      <w:proofErr w:type="spellEnd"/>
      <w:r w:rsidRPr="00D67274">
        <w:rPr>
          <w:rFonts w:ascii="Times New Roman" w:hAnsi="Times New Roman" w:cs="Times New Roman"/>
          <w:color w:val="000000" w:themeColor="text1"/>
          <w:lang w:val="en-GB"/>
        </w:rPr>
        <w:t xml:space="preserve">, 2024; Tamene et al., 2024). Urban and peri urban entrepreneurs are more likely to blend indigenous knowledge with Western approaches to meet diverse consumer demands. Regional identity also influences entrepreneurial </w:t>
      </w:r>
      <w:r w:rsidR="004F435E" w:rsidRPr="00D67274">
        <w:rPr>
          <w:rFonts w:ascii="Times New Roman" w:hAnsi="Times New Roman" w:cs="Times New Roman"/>
          <w:color w:val="000000" w:themeColor="text1"/>
          <w:lang w:val="en-GB"/>
        </w:rPr>
        <w:t>self-identification</w:t>
      </w:r>
      <w:r w:rsidRPr="00D67274">
        <w:rPr>
          <w:rFonts w:ascii="Times New Roman" w:hAnsi="Times New Roman" w:cs="Times New Roman"/>
          <w:color w:val="000000" w:themeColor="text1"/>
          <w:lang w:val="en-GB"/>
        </w:rPr>
        <w:t xml:space="preserve">. </w:t>
      </w:r>
      <w:proofErr w:type="spellStart"/>
      <w:r w:rsidRPr="00D67274">
        <w:rPr>
          <w:rFonts w:ascii="Times New Roman" w:hAnsi="Times New Roman" w:cs="Times New Roman"/>
          <w:color w:val="000000" w:themeColor="text1"/>
          <w:lang w:val="en-GB"/>
        </w:rPr>
        <w:t>Maori</w:t>
      </w:r>
      <w:proofErr w:type="spellEnd"/>
      <w:r w:rsidRPr="00D67274">
        <w:rPr>
          <w:rFonts w:ascii="Times New Roman" w:hAnsi="Times New Roman" w:cs="Times New Roman"/>
          <w:color w:val="000000" w:themeColor="text1"/>
          <w:lang w:val="en-GB"/>
        </w:rPr>
        <w:t xml:space="preserve"> businesses in New Zealand, for instance, vary in how they express and apply IKS depending on sectoral and regional contexts (Cervantes Loreto &amp; Mika, 2023). These spatial variations highlight that location not only provides ecological resources but also shapes market opportunities and cultural legitimacy.</w:t>
      </w:r>
    </w:p>
    <w:p w14:paraId="7DA4A8CA" w14:textId="77777777" w:rsidR="00667F91" w:rsidRPr="00D67274" w:rsidRDefault="00667F91"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Beyond individual demographics, social structures and cultural norms underpin entrepreneurial ecosystems. Indigenous enterprises are often embedded within kin based and collective organising </w:t>
      </w:r>
      <w:r w:rsidRPr="00D67274">
        <w:rPr>
          <w:rFonts w:ascii="Times New Roman" w:hAnsi="Times New Roman" w:cs="Times New Roman"/>
          <w:color w:val="000000" w:themeColor="text1"/>
          <w:lang w:val="en-GB"/>
        </w:rPr>
        <w:lastRenderedPageBreak/>
        <w:t xml:space="preserve">structures that promote adaptability and resilience. </w:t>
      </w:r>
      <w:proofErr w:type="spellStart"/>
      <w:r w:rsidRPr="00D67274">
        <w:rPr>
          <w:rFonts w:ascii="Times New Roman" w:hAnsi="Times New Roman" w:cs="Times New Roman"/>
          <w:color w:val="000000" w:themeColor="text1"/>
          <w:lang w:val="en-GB"/>
        </w:rPr>
        <w:t>Maori</w:t>
      </w:r>
      <w:proofErr w:type="spellEnd"/>
      <w:r w:rsidRPr="00D67274">
        <w:rPr>
          <w:rFonts w:ascii="Times New Roman" w:hAnsi="Times New Roman" w:cs="Times New Roman"/>
          <w:color w:val="000000" w:themeColor="text1"/>
          <w:lang w:val="en-GB"/>
        </w:rPr>
        <w:t xml:space="preserve"> entrepreneurial ecosystems, for example, are distinguished by kinship ties and pan tribal networks that foster collective resource sharing and cultural continuity (Dell et al., 2024). Community cohesion is equally vital. The forestry ventures of the </w:t>
      </w:r>
      <w:proofErr w:type="spellStart"/>
      <w:r w:rsidRPr="00D67274">
        <w:rPr>
          <w:rFonts w:ascii="Times New Roman" w:hAnsi="Times New Roman" w:cs="Times New Roman"/>
          <w:color w:val="000000" w:themeColor="text1"/>
          <w:lang w:val="en-GB"/>
        </w:rPr>
        <w:t>Ilnu</w:t>
      </w:r>
      <w:proofErr w:type="spellEnd"/>
      <w:r w:rsidRPr="00D67274">
        <w:rPr>
          <w:rFonts w:ascii="Times New Roman" w:hAnsi="Times New Roman" w:cs="Times New Roman"/>
          <w:color w:val="000000" w:themeColor="text1"/>
          <w:lang w:val="en-GB"/>
        </w:rPr>
        <w:t xml:space="preserve"> community in Canada demonstrate how strong social networks within indigenous communities facilitate entrepreneurial initiatives and sustain business operations (Beaudoin, 2009). These social and cultural dynamics reinforce demographic influences to ensure that entrepreneurship is both community driven and culturally grounded.</w:t>
      </w:r>
    </w:p>
    <w:p w14:paraId="30EC4365" w14:textId="77777777" w:rsidR="00667F91" w:rsidRPr="00D67274" w:rsidRDefault="00667F91" w:rsidP="00667F91">
      <w:pPr>
        <w:spacing w:after="240"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Synthesizing these perspectives, it is evident that demographic factors (experience, education, revenue, region, and location) intersect with social and cultural contexts to shape how IKS is adopted and deployed in entrepreneurship. Experience and age provide deep reservoirs of knowledge, education mediates between tradition and modernity, revenue and financing determine scalability, and geographic location anchors practices in specific ecological and market realities. At the same time, social cohesion and cultural values ensure resilience and authenticity. While these factors create opportunities, colonial legacies, financial disparities, and systemic barriers continue to constrain indigenous entrepreneurs. Supportive policies, inclusive financing, and culturally grounded education are therefore essential to enhance the integration of IKS into entrepreneurship. Such measures will foster sustainable, competitive, and culturally relevant business models that </w:t>
      </w:r>
      <w:proofErr w:type="spellStart"/>
      <w:r w:rsidRPr="00D67274">
        <w:rPr>
          <w:rFonts w:ascii="Times New Roman" w:hAnsi="Times New Roman" w:cs="Times New Roman"/>
          <w:color w:val="000000" w:themeColor="text1"/>
          <w:lang w:val="en-GB"/>
        </w:rPr>
        <w:t>honor</w:t>
      </w:r>
      <w:proofErr w:type="spellEnd"/>
      <w:r w:rsidRPr="00D67274">
        <w:rPr>
          <w:rFonts w:ascii="Times New Roman" w:hAnsi="Times New Roman" w:cs="Times New Roman"/>
          <w:color w:val="000000" w:themeColor="text1"/>
          <w:lang w:val="en-GB"/>
        </w:rPr>
        <w:t xml:space="preserve"> indigenous knowledge while engaging modern markets.</w:t>
      </w:r>
    </w:p>
    <w:p w14:paraId="72E256D3" w14:textId="77777777" w:rsidR="00667F91" w:rsidRPr="00D67274" w:rsidRDefault="00667F91" w:rsidP="004F435E">
      <w:pPr>
        <w:spacing w:line="360" w:lineRule="auto"/>
        <w:jc w:val="both"/>
        <w:rPr>
          <w:rFonts w:ascii="Times New Roman" w:hAnsi="Times New Roman" w:cs="Times New Roman"/>
          <w:b/>
          <w:bCs/>
          <w:color w:val="000000" w:themeColor="text1"/>
          <w:lang w:val="en-GB"/>
        </w:rPr>
      </w:pPr>
      <w:r w:rsidRPr="00D67274">
        <w:rPr>
          <w:rFonts w:ascii="Times New Roman" w:hAnsi="Times New Roman" w:cs="Times New Roman"/>
          <w:b/>
          <w:bCs/>
          <w:color w:val="000000" w:themeColor="text1"/>
          <w:lang w:val="en-GB"/>
        </w:rPr>
        <w:t>Enhancing Entrepreneurial Capabilities</w:t>
      </w:r>
    </w:p>
    <w:p w14:paraId="7029D463" w14:textId="77777777" w:rsidR="00667F91" w:rsidRPr="00D67274" w:rsidRDefault="00667F91"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Indigenous Knowledge Systems (IKS) have been widely recognised for their ability to enhance entrepreneurial capabilities. Instead of viewing these systems merely as cultural artifacts, a growing body of literature positions them as strategic assets that embed local ecological knowledge and cultural values into modern business practices (Chaudhari, 2024; </w:t>
      </w:r>
      <w:proofErr w:type="spellStart"/>
      <w:r w:rsidRPr="00D67274">
        <w:rPr>
          <w:rFonts w:ascii="Times New Roman" w:hAnsi="Times New Roman" w:cs="Times New Roman"/>
          <w:color w:val="000000" w:themeColor="text1"/>
          <w:lang w:val="en-GB"/>
        </w:rPr>
        <w:t>Olaopa</w:t>
      </w:r>
      <w:proofErr w:type="spellEnd"/>
      <w:r w:rsidRPr="00D67274">
        <w:rPr>
          <w:rFonts w:ascii="Times New Roman" w:hAnsi="Times New Roman" w:cs="Times New Roman"/>
          <w:color w:val="000000" w:themeColor="text1"/>
          <w:lang w:val="en-GB"/>
        </w:rPr>
        <w:t xml:space="preserve"> &amp; Ogundare, 2024). A central consensus among scholars is that IKS strengthens innovation and resilience by providing entrepreneurs with context specific resources that enable the creation of sustainable business models grounded in cultural continuity (</w:t>
      </w:r>
      <w:proofErr w:type="spellStart"/>
      <w:r w:rsidRPr="00D67274">
        <w:rPr>
          <w:rFonts w:ascii="Times New Roman" w:hAnsi="Times New Roman" w:cs="Times New Roman"/>
          <w:color w:val="000000" w:themeColor="text1"/>
          <w:lang w:val="en-GB"/>
        </w:rPr>
        <w:t>Mugambiwa</w:t>
      </w:r>
      <w:proofErr w:type="spellEnd"/>
      <w:r w:rsidRPr="00D67274">
        <w:rPr>
          <w:rFonts w:ascii="Times New Roman" w:hAnsi="Times New Roman" w:cs="Times New Roman"/>
          <w:color w:val="000000" w:themeColor="text1"/>
          <w:lang w:val="en-GB"/>
        </w:rPr>
        <w:t>, 2021; Ekene et al., 2023). This fusion has led to the conceptualisation of “</w:t>
      </w:r>
      <w:proofErr w:type="spellStart"/>
      <w:r w:rsidRPr="00D67274">
        <w:rPr>
          <w:rFonts w:ascii="Times New Roman" w:hAnsi="Times New Roman" w:cs="Times New Roman"/>
          <w:color w:val="000000" w:themeColor="text1"/>
          <w:lang w:val="en-GB"/>
        </w:rPr>
        <w:t>tribepreneurship</w:t>
      </w:r>
      <w:proofErr w:type="spellEnd"/>
      <w:r w:rsidRPr="00D67274">
        <w:rPr>
          <w:rFonts w:ascii="Times New Roman" w:hAnsi="Times New Roman" w:cs="Times New Roman"/>
          <w:color w:val="000000" w:themeColor="text1"/>
          <w:lang w:val="en-GB"/>
        </w:rPr>
        <w:t>,” illustrating how indigenous communities utilise cultural traditions to build innovative, competitive, and sustainable enterprises rather than simply mimicking Western models (Chaudhari, 2024).</w:t>
      </w:r>
    </w:p>
    <w:p w14:paraId="0FC5BDFF" w14:textId="77777777" w:rsidR="00667F91" w:rsidRPr="00D67274" w:rsidRDefault="00667F91"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lastRenderedPageBreak/>
        <w:t>Furthermore, the literature connects IKS directly to the development of commercial competencies that buffer against external shocks. IKS has been linked to the improvement of innovative and commercial skills among entrepreneurs, facilitating the growth of indigenous led economies that enhance economic independence and resilience against global market pressures (</w:t>
      </w:r>
      <w:proofErr w:type="spellStart"/>
      <w:r w:rsidRPr="00D67274">
        <w:rPr>
          <w:rFonts w:ascii="Times New Roman" w:hAnsi="Times New Roman" w:cs="Times New Roman"/>
          <w:color w:val="000000" w:themeColor="text1"/>
          <w:lang w:val="en-GB"/>
        </w:rPr>
        <w:t>Olaopa</w:t>
      </w:r>
      <w:proofErr w:type="spellEnd"/>
      <w:r w:rsidRPr="00D67274">
        <w:rPr>
          <w:rFonts w:ascii="Times New Roman" w:hAnsi="Times New Roman" w:cs="Times New Roman"/>
          <w:color w:val="000000" w:themeColor="text1"/>
          <w:lang w:val="en-GB"/>
        </w:rPr>
        <w:t xml:space="preserve"> &amp; Ogundare, 2024). Comparative research further demonstrates that these culturally grounded entrepreneurial practices are frequently more effective than externally imposed strategies because they are deeply contextual and aligned with local environments (</w:t>
      </w:r>
      <w:proofErr w:type="spellStart"/>
      <w:r w:rsidRPr="00D67274">
        <w:rPr>
          <w:rFonts w:ascii="Times New Roman" w:hAnsi="Times New Roman" w:cs="Times New Roman"/>
          <w:color w:val="000000" w:themeColor="text1"/>
          <w:lang w:val="en-GB"/>
        </w:rPr>
        <w:t>Mugambiwa</w:t>
      </w:r>
      <w:proofErr w:type="spellEnd"/>
      <w:r w:rsidRPr="00D67274">
        <w:rPr>
          <w:rFonts w:ascii="Times New Roman" w:hAnsi="Times New Roman" w:cs="Times New Roman"/>
          <w:color w:val="000000" w:themeColor="text1"/>
          <w:lang w:val="en-GB"/>
        </w:rPr>
        <w:t>, 2021). For example, smallholder horticultural farmers in Zimbabwe successfully employed indigenous farming knowledge to enhance productivity, highlighting the effectiveness of place based entrepreneurial approaches over generic methodologies (</w:t>
      </w:r>
      <w:proofErr w:type="spellStart"/>
      <w:r w:rsidRPr="00D67274">
        <w:rPr>
          <w:rFonts w:ascii="Times New Roman" w:hAnsi="Times New Roman" w:cs="Times New Roman"/>
          <w:color w:val="000000" w:themeColor="text1"/>
          <w:lang w:val="en-GB"/>
        </w:rPr>
        <w:t>Mugambiwa</w:t>
      </w:r>
      <w:proofErr w:type="spellEnd"/>
      <w:r w:rsidRPr="00D67274">
        <w:rPr>
          <w:rFonts w:ascii="Times New Roman" w:hAnsi="Times New Roman" w:cs="Times New Roman"/>
          <w:color w:val="000000" w:themeColor="text1"/>
          <w:lang w:val="en-GB"/>
        </w:rPr>
        <w:t>, 2021).</w:t>
      </w:r>
    </w:p>
    <w:p w14:paraId="3016A5FF" w14:textId="1EB87027" w:rsidR="00667F91" w:rsidRPr="00D67274" w:rsidRDefault="00667F91"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This theme of superior contextual performance is echoed in studies on the commercialisation of natural resources. The commercialisation of traditional medicinal plants provides another example of how IKS strengthens entrepreneurial innovation. Studies in Zimbabwe and South Africa show that the production and marketing of </w:t>
      </w:r>
      <w:proofErr w:type="spellStart"/>
      <w:r w:rsidRPr="00D67274">
        <w:rPr>
          <w:rFonts w:ascii="Times New Roman" w:hAnsi="Times New Roman" w:cs="Times New Roman"/>
          <w:color w:val="000000" w:themeColor="text1"/>
          <w:lang w:val="en-GB"/>
        </w:rPr>
        <w:t>mpesu</w:t>
      </w:r>
      <w:proofErr w:type="spellEnd"/>
      <w:r w:rsidRPr="00D67274">
        <w:rPr>
          <w:rFonts w:ascii="Times New Roman" w:hAnsi="Times New Roman" w:cs="Times New Roman"/>
          <w:color w:val="000000" w:themeColor="text1"/>
          <w:lang w:val="en-GB"/>
        </w:rPr>
        <w:t xml:space="preserve"> have developed into sustainable business models that generate consistent consumer demand while creating safety nets for indigenous communities (Ekene et al., 2023). Such cases illustrate that IKS driven entrepreneurship is not only culturally appropriate but also economically viable. These models often ensure long term sustainability more effectively than non-indigenous frameworks (Onwuegbuzie, 2011; Onwuegbuzie et al., 2024).</w:t>
      </w:r>
    </w:p>
    <w:p w14:paraId="6FEAF09D" w14:textId="2DD69B20" w:rsidR="00667F91" w:rsidRPr="00D67274" w:rsidRDefault="00667F91"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From a sustainability perspective, the literature overwhelmingly supports the notion that IKS contributes to entrepreneurial resilience by promoting environmentally friendly practices and community-based resource management (Onwuegbuzie, 2011). Indigenous practices have been shown to mitigate ecological degradation while supporting circular economies and sustainable production systems (</w:t>
      </w:r>
      <w:proofErr w:type="spellStart"/>
      <w:r w:rsidRPr="00D67274">
        <w:rPr>
          <w:rFonts w:ascii="Times New Roman" w:hAnsi="Times New Roman" w:cs="Times New Roman"/>
          <w:color w:val="000000" w:themeColor="text1"/>
          <w:lang w:val="en-GB"/>
        </w:rPr>
        <w:t>Mugambiwa</w:t>
      </w:r>
      <w:proofErr w:type="spellEnd"/>
      <w:r w:rsidRPr="00D67274">
        <w:rPr>
          <w:rFonts w:ascii="Times New Roman" w:hAnsi="Times New Roman" w:cs="Times New Roman"/>
          <w:color w:val="000000" w:themeColor="text1"/>
          <w:lang w:val="en-GB"/>
        </w:rPr>
        <w:t>, 2021; Onwuegbuzie et al., 2024). Scholars argue that the integration of IKS into entrepreneurship therefore represents an underutilised yet critical pathway for addressing global sustainability challenges and advancing inclusive growth, particularly across Africa (Onwuegbuzie et al., 2024).</w:t>
      </w:r>
    </w:p>
    <w:p w14:paraId="231DB418" w14:textId="77777777" w:rsidR="00667F91" w:rsidRPr="00D67274" w:rsidRDefault="00667F91"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However, scholars also caution that individual capabilities must be matched with structural support. At the institutional level, the effective integration of IKS into entrepreneurship requires supportive governance frameworks and policies that legitimise and safeguard indigenous practices (</w:t>
      </w:r>
      <w:proofErr w:type="spellStart"/>
      <w:r w:rsidRPr="00D67274">
        <w:rPr>
          <w:rFonts w:ascii="Times New Roman" w:hAnsi="Times New Roman" w:cs="Times New Roman"/>
          <w:color w:val="000000" w:themeColor="text1"/>
          <w:lang w:val="en-GB"/>
        </w:rPr>
        <w:t>Olaopa</w:t>
      </w:r>
      <w:proofErr w:type="spellEnd"/>
      <w:r w:rsidRPr="00D67274">
        <w:rPr>
          <w:rFonts w:ascii="Times New Roman" w:hAnsi="Times New Roman" w:cs="Times New Roman"/>
          <w:color w:val="000000" w:themeColor="text1"/>
          <w:lang w:val="en-GB"/>
        </w:rPr>
        <w:t xml:space="preserve"> &amp; Ogundare, 2024). Studies emphasise that policies enabling the systematic inclusion of </w:t>
      </w:r>
      <w:r w:rsidRPr="00D67274">
        <w:rPr>
          <w:rFonts w:ascii="Times New Roman" w:hAnsi="Times New Roman" w:cs="Times New Roman"/>
          <w:color w:val="000000" w:themeColor="text1"/>
          <w:lang w:val="en-GB"/>
        </w:rPr>
        <w:lastRenderedPageBreak/>
        <w:t>IKS into entrepreneurial ecosystems can significantly enhance poverty alleviation programs. This empowers local communities and reduces socioeconomic vulnerabilities (</w:t>
      </w:r>
      <w:proofErr w:type="spellStart"/>
      <w:r w:rsidRPr="00D67274">
        <w:rPr>
          <w:rFonts w:ascii="Times New Roman" w:hAnsi="Times New Roman" w:cs="Times New Roman"/>
          <w:color w:val="000000" w:themeColor="text1"/>
          <w:lang w:val="en-GB"/>
        </w:rPr>
        <w:t>Olaopa</w:t>
      </w:r>
      <w:proofErr w:type="spellEnd"/>
      <w:r w:rsidRPr="00D67274">
        <w:rPr>
          <w:rFonts w:ascii="Times New Roman" w:hAnsi="Times New Roman" w:cs="Times New Roman"/>
          <w:color w:val="000000" w:themeColor="text1"/>
          <w:lang w:val="en-GB"/>
        </w:rPr>
        <w:t xml:space="preserve"> &amp; Ogundare, 2024; Chaudhari, 2024). Development practitioners and policymakers are therefore encouraged to embed IKS into national and regional entrepreneurship strategies to enhance sustainability, foster economic resilience, and promote community driven growth (Chaudhari, 2024; Ekene et al., 2023).</w:t>
      </w:r>
    </w:p>
    <w:p w14:paraId="3B4C334F" w14:textId="6C7FB05C" w:rsidR="008B7605" w:rsidRPr="00D67274" w:rsidRDefault="00667F91"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Collectively, the literature consistently highlights that IKS enhances entrepreneurial capabilities. It does so not through isolated practices, but through a synthesized mechanism of deepening cultural relevance, fostering place-based innovation, enabling ecological sustainability, and shaping inclusive governance frameworks (Chaudhari, 2024; </w:t>
      </w:r>
      <w:proofErr w:type="spellStart"/>
      <w:r w:rsidRPr="00D67274">
        <w:rPr>
          <w:rFonts w:ascii="Times New Roman" w:hAnsi="Times New Roman" w:cs="Times New Roman"/>
          <w:color w:val="000000" w:themeColor="text1"/>
          <w:lang w:val="en-GB"/>
        </w:rPr>
        <w:t>Olaopa</w:t>
      </w:r>
      <w:proofErr w:type="spellEnd"/>
      <w:r w:rsidRPr="00D67274">
        <w:rPr>
          <w:rFonts w:ascii="Times New Roman" w:hAnsi="Times New Roman" w:cs="Times New Roman"/>
          <w:color w:val="000000" w:themeColor="text1"/>
          <w:lang w:val="en-GB"/>
        </w:rPr>
        <w:t xml:space="preserve"> &amp; Ogundare, 2024; </w:t>
      </w:r>
      <w:proofErr w:type="spellStart"/>
      <w:r w:rsidRPr="00D67274">
        <w:rPr>
          <w:rFonts w:ascii="Times New Roman" w:hAnsi="Times New Roman" w:cs="Times New Roman"/>
          <w:color w:val="000000" w:themeColor="text1"/>
          <w:lang w:val="en-GB"/>
        </w:rPr>
        <w:t>Mugambiwa</w:t>
      </w:r>
      <w:proofErr w:type="spellEnd"/>
      <w:r w:rsidRPr="00D67274">
        <w:rPr>
          <w:rFonts w:ascii="Times New Roman" w:hAnsi="Times New Roman" w:cs="Times New Roman"/>
          <w:color w:val="000000" w:themeColor="text1"/>
          <w:lang w:val="en-GB"/>
        </w:rPr>
        <w:t>, 2021; Ekene et al., 2023; Onwuegbuzie, 2011; Onwuegbuzie et al., 2024). In this way, indigenous entrepreneurship emerges as both an economic and cultural project, simultaneously securing livelihoods and ensuring the continuity of indigenous values and practices.</w:t>
      </w:r>
    </w:p>
    <w:p w14:paraId="75593523" w14:textId="77777777" w:rsidR="00D37CCB" w:rsidRPr="00D67274" w:rsidRDefault="00D37CCB" w:rsidP="004F435E">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Adaptation and Innovation as Dynamic Capabilities</w:t>
      </w:r>
    </w:p>
    <w:p w14:paraId="49AE2B50" w14:textId="1ACF7708" w:rsidR="00BF500A" w:rsidRPr="00D67274" w:rsidRDefault="00BF500A"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A strong consensus in the literature positions adaptation and innovation as critical dynamic capabilities that mediate the relationship between knowledge resources and entrepreneurial performance (Correia et al., 2021; Lieu et al., 2024). Rather than viewing knowledge as a static asset, scholars argue that these capabilities enable firms to transform knowledge into actionable strategies, respond effectively to environmental change, and sustain competitive advantage (</w:t>
      </w:r>
      <w:proofErr w:type="spellStart"/>
      <w:r w:rsidRPr="00D67274">
        <w:rPr>
          <w:rFonts w:ascii="Times New Roman" w:hAnsi="Times New Roman" w:cs="Times New Roman"/>
          <w:color w:val="000000" w:themeColor="text1"/>
          <w:lang w:val="en-GB"/>
        </w:rPr>
        <w:t>Komalasari</w:t>
      </w:r>
      <w:proofErr w:type="spellEnd"/>
      <w:r w:rsidRPr="00D67274">
        <w:rPr>
          <w:rFonts w:ascii="Times New Roman" w:hAnsi="Times New Roman" w:cs="Times New Roman"/>
          <w:color w:val="000000" w:themeColor="text1"/>
          <w:lang w:val="en-GB"/>
        </w:rPr>
        <w:t xml:space="preserve"> et al., 2024; Sarkar et al., 2016). Furthermore, empirical studies converge on the idea that intellectual capital and innovation orientation strengthen this mediating mechanism, allowing firms to achieve innovation ambidexterity through dynamic capabilities (Farzaneh et al., 2022). Adaptation refers to a firm’s ability to adjust strategies and operations in response to external pressures, while innovation encompasses the creation of new products, services, or processes that facilitate differentiation and long</w:t>
      </w:r>
      <w:r w:rsidR="001B4ADA" w:rsidRPr="00D67274">
        <w:rPr>
          <w:rFonts w:ascii="Times New Roman" w:hAnsi="Times New Roman" w:cs="Times New Roman"/>
          <w:color w:val="000000" w:themeColor="text1"/>
          <w:lang w:val="en-GB"/>
        </w:rPr>
        <w:t>-</w:t>
      </w:r>
      <w:r w:rsidRPr="00D67274">
        <w:rPr>
          <w:rFonts w:ascii="Times New Roman" w:hAnsi="Times New Roman" w:cs="Times New Roman"/>
          <w:color w:val="000000" w:themeColor="text1"/>
          <w:lang w:val="en-GB"/>
        </w:rPr>
        <w:t>term growth (Abid et al., 2024; Hernandez Linares et al., 2023). Synthesizing these views, it becomes clear that together, these dynamic capabilities ensure that knowledge resources are effectively deployed to achieve superior entrepreneurial outcomes.</w:t>
      </w:r>
    </w:p>
    <w:p w14:paraId="39C07BE6" w14:textId="77777777" w:rsidR="00BF500A" w:rsidRPr="00D67274" w:rsidRDefault="00BF500A" w:rsidP="00BF500A">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Delving into specific capabilities, researchers consistently highlight that adaptation allows firms to adjust their strategies in response to shifting market conditions, thereby maintaining competitiveness in turbulent environments (Lieu et al., 2024; Correia et al., 2021). The literature </w:t>
      </w:r>
      <w:r w:rsidRPr="00D67274">
        <w:rPr>
          <w:rFonts w:ascii="Times New Roman" w:hAnsi="Times New Roman" w:cs="Times New Roman"/>
          <w:color w:val="000000" w:themeColor="text1"/>
          <w:lang w:val="en-GB"/>
        </w:rPr>
        <w:lastRenderedPageBreak/>
        <w:t xml:space="preserve">establishes a clear link between adaptability and resource utilisation, noting that adaptive firms are better positioned to leverage existing knowledge resources to address new challenges and opportunities, which strengthens overall performance (Qin &amp; Hui </w:t>
      </w:r>
      <w:proofErr w:type="spellStart"/>
      <w:r w:rsidRPr="00D67274">
        <w:rPr>
          <w:rFonts w:ascii="Times New Roman" w:hAnsi="Times New Roman" w:cs="Times New Roman"/>
          <w:color w:val="000000" w:themeColor="text1"/>
          <w:lang w:val="en-GB"/>
        </w:rPr>
        <w:t>xin</w:t>
      </w:r>
      <w:proofErr w:type="spellEnd"/>
      <w:r w:rsidRPr="00D67274">
        <w:rPr>
          <w:rFonts w:ascii="Times New Roman" w:hAnsi="Times New Roman" w:cs="Times New Roman"/>
          <w:color w:val="000000" w:themeColor="text1"/>
          <w:lang w:val="en-GB"/>
        </w:rPr>
        <w:t>, 2012). This adaptive capacity is not isolated; it is theoretically and empirically linked with market orientation, as firms capable of aligning their strategies with customer needs and preferences are more likely to maintain a competitive edge (Correia et al., 2021; Sarkar et al., 2016).</w:t>
      </w:r>
    </w:p>
    <w:p w14:paraId="285DE63F" w14:textId="77777777" w:rsidR="00BF500A" w:rsidRPr="00D67274" w:rsidRDefault="00BF500A" w:rsidP="00BF500A">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Complementing adaptation, the broader academic discourse identifies innovation as an equally crucial dynamic capability because it enables firms to introduce new products and processes that improve performance and facilitate differentiation in saturated markets (Qin &amp; Hui </w:t>
      </w:r>
      <w:proofErr w:type="spellStart"/>
      <w:r w:rsidRPr="00D67274">
        <w:rPr>
          <w:rFonts w:ascii="Times New Roman" w:hAnsi="Times New Roman" w:cs="Times New Roman"/>
          <w:color w:val="000000" w:themeColor="text1"/>
          <w:lang w:val="en-GB"/>
        </w:rPr>
        <w:t>xin</w:t>
      </w:r>
      <w:proofErr w:type="spellEnd"/>
      <w:r w:rsidRPr="00D67274">
        <w:rPr>
          <w:rFonts w:ascii="Times New Roman" w:hAnsi="Times New Roman" w:cs="Times New Roman"/>
          <w:color w:val="000000" w:themeColor="text1"/>
          <w:lang w:val="en-GB"/>
        </w:rPr>
        <w:t xml:space="preserve">, 2012; Abid et al., 2024). Scholars frequently connect this capability to entrepreneurial orientation, a construct characterized by risk taking, proactivity, and opportunity seeking </w:t>
      </w:r>
      <w:proofErr w:type="spellStart"/>
      <w:r w:rsidRPr="00D67274">
        <w:rPr>
          <w:rFonts w:ascii="Times New Roman" w:hAnsi="Times New Roman" w:cs="Times New Roman"/>
          <w:color w:val="000000" w:themeColor="text1"/>
          <w:lang w:val="en-GB"/>
        </w:rPr>
        <w:t>behaviors</w:t>
      </w:r>
      <w:proofErr w:type="spellEnd"/>
      <w:r w:rsidRPr="00D67274">
        <w:rPr>
          <w:rFonts w:ascii="Times New Roman" w:hAnsi="Times New Roman" w:cs="Times New Roman"/>
          <w:color w:val="000000" w:themeColor="text1"/>
          <w:lang w:val="en-GB"/>
        </w:rPr>
        <w:t xml:space="preserve"> (Hernandez Linares et al., 2023; Madsen et al., 2007). The prevailing view is that this orientation mediates the relationship between knowledge resources and firm performance ensuring that knowledge is transformed into value creating activities. Moreover, studies on strategic alignment demonstrate that when innovation activities are integrated with other strategic orientations, such as market and learning orientations, the resulting synergy further enhances business performance (Kim &amp; Ahn, 2017; Sarkar et al., 2016).</w:t>
      </w:r>
    </w:p>
    <w:p w14:paraId="3556C180" w14:textId="77777777" w:rsidR="00BF500A" w:rsidRPr="00D67274" w:rsidRDefault="00BF500A" w:rsidP="00BF500A">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Across these studies, a unified theoretical argument emerges: dynamic capabilities serve as the indispensable bridge linking knowledge resources to entrepreneurial performance. Empirical validations repeatedly confirm that adaptation and innovation act as mechanisms through which firms convert knowledge into sustainable competitive advantages (Correia et al., 2021; </w:t>
      </w:r>
      <w:proofErr w:type="spellStart"/>
      <w:r w:rsidRPr="00D67274">
        <w:rPr>
          <w:rFonts w:ascii="Times New Roman" w:hAnsi="Times New Roman" w:cs="Times New Roman"/>
          <w:color w:val="000000" w:themeColor="text1"/>
          <w:lang w:val="en-GB"/>
        </w:rPr>
        <w:t>Komalasari</w:t>
      </w:r>
      <w:proofErr w:type="spellEnd"/>
      <w:r w:rsidRPr="00D67274">
        <w:rPr>
          <w:rFonts w:ascii="Times New Roman" w:hAnsi="Times New Roman" w:cs="Times New Roman"/>
          <w:color w:val="000000" w:themeColor="text1"/>
          <w:lang w:val="en-GB"/>
        </w:rPr>
        <w:t xml:space="preserve"> et al., 2024). Beyond internal efficiency, researchers note that these capabilities not only enhance the effectiveness of entrepreneurial resources but also facilitate cooperation with external partners, which strengthens performance outcomes and strategic alliances (Ye et al., 2013). Fostering continuous learning, experimentation, and responsiveness, dynamic capabilities actively contribute to sustainable growth trajectories and long term organizational success (Lieu et al., 2024; Abid et al., 2024).</w:t>
      </w:r>
    </w:p>
    <w:p w14:paraId="5C4A1155" w14:textId="77777777" w:rsidR="00BF500A" w:rsidRPr="00D67274" w:rsidRDefault="00BF500A" w:rsidP="00BF500A">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Despite their recognised importance, the literature also offers a critical caveat regarding external contingencies. The effectiveness of adaptation and innovation is heavily contingent on broader organisational and environmental factors. While authors agree that internal dynamic capabilities </w:t>
      </w:r>
      <w:r w:rsidRPr="00D67274">
        <w:rPr>
          <w:rFonts w:ascii="Times New Roman" w:hAnsi="Times New Roman" w:cs="Times New Roman"/>
          <w:color w:val="000000" w:themeColor="text1"/>
          <w:lang w:val="en-GB"/>
        </w:rPr>
        <w:lastRenderedPageBreak/>
        <w:t>are pivotal, they also argue that external conditions such as government policies, technological dynamism, and market structures significantly influence how these capabilities translate into performance (</w:t>
      </w:r>
      <w:proofErr w:type="spellStart"/>
      <w:r w:rsidRPr="00D67274">
        <w:rPr>
          <w:rFonts w:ascii="Times New Roman" w:hAnsi="Times New Roman" w:cs="Times New Roman"/>
          <w:color w:val="000000" w:themeColor="text1"/>
          <w:lang w:val="en-GB"/>
        </w:rPr>
        <w:t>Komalasari</w:t>
      </w:r>
      <w:proofErr w:type="spellEnd"/>
      <w:r w:rsidRPr="00D67274">
        <w:rPr>
          <w:rFonts w:ascii="Times New Roman" w:hAnsi="Times New Roman" w:cs="Times New Roman"/>
          <w:color w:val="000000" w:themeColor="text1"/>
          <w:lang w:val="en-GB"/>
        </w:rPr>
        <w:t xml:space="preserve"> et al., 2024). Interestingly, some empirical findings reveal a paradox where government policies may not always significantly moderate the relationship between knowledge management and business performance. This contradiction suggests a strategic imperative for firms to prioritise strengthening their internal adaptive and innovative capacities over relying on external support (</w:t>
      </w:r>
      <w:proofErr w:type="spellStart"/>
      <w:r w:rsidRPr="00D67274">
        <w:rPr>
          <w:rFonts w:ascii="Times New Roman" w:hAnsi="Times New Roman" w:cs="Times New Roman"/>
          <w:color w:val="000000" w:themeColor="text1"/>
          <w:lang w:val="en-GB"/>
        </w:rPr>
        <w:t>Komalasari</w:t>
      </w:r>
      <w:proofErr w:type="spellEnd"/>
      <w:r w:rsidRPr="00D67274">
        <w:rPr>
          <w:rFonts w:ascii="Times New Roman" w:hAnsi="Times New Roman" w:cs="Times New Roman"/>
          <w:color w:val="000000" w:themeColor="text1"/>
          <w:lang w:val="en-GB"/>
        </w:rPr>
        <w:t xml:space="preserve"> et al., 2024). Similarly, the broader consensus maintains that the alignment of entrepreneurial orientation with innovation capabilities is critical for enabling firms to navigate technological change, especially in resource constrained environments (Abid et al., 2024).</w:t>
      </w:r>
    </w:p>
    <w:p w14:paraId="2087CECF" w14:textId="77777777" w:rsidR="00BF500A" w:rsidRPr="00D67274" w:rsidRDefault="00BF500A" w:rsidP="004F435E">
      <w:pPr>
        <w:spacing w:after="0" w:line="360" w:lineRule="auto"/>
        <w:jc w:val="both"/>
        <w:rPr>
          <w:rFonts w:ascii="Times New Roman" w:hAnsi="Times New Roman" w:cs="Times New Roman"/>
          <w:b/>
          <w:bCs/>
          <w:color w:val="000000" w:themeColor="text1"/>
          <w:lang w:val="en-GB"/>
        </w:rPr>
      </w:pPr>
      <w:r w:rsidRPr="00D67274">
        <w:rPr>
          <w:rFonts w:ascii="Times New Roman" w:hAnsi="Times New Roman" w:cs="Times New Roman"/>
          <w:b/>
          <w:bCs/>
          <w:color w:val="000000" w:themeColor="text1"/>
          <w:lang w:val="en-GB"/>
        </w:rPr>
        <w:t>Entrepreneurial Growth and Competitiveness</w:t>
      </w:r>
    </w:p>
    <w:p w14:paraId="1515A861" w14:textId="77777777" w:rsidR="00BF500A" w:rsidRPr="00D67274" w:rsidRDefault="00BF500A" w:rsidP="00BF500A">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Recent scholarship has moved away from single factor explanations, instead conceptualising entrepreneurial growth and competitiveness as complex outcomes shaped by the interplay of human capital, indigenous knowledge, and dynamic capabilities (Liao, 2023; Sainz et al., 2024). The dominant theoretical synthesis suggests that these elements jointly underpin the development of competitive advantages, continuous innovation, and adaptability, all of which are essential for sustaining growth in volatile markets (Koryak et al., 2015). Within this integrated view, each component plays a distinct role. Human capital provides the foundational skills and cognitive competencies necessary for opportunity recognition. At the same time, dynamic capabilities enable firms to respond strategically to external changes, and indigenous knowledge contributes unique, place based insights that differentiate firms in competitive environments (Karan, 2018; Rastogi, 2000).</w:t>
      </w:r>
    </w:p>
    <w:p w14:paraId="7AE94828" w14:textId="77777777" w:rsidR="00BF500A" w:rsidRPr="00D67274" w:rsidRDefault="00BF500A" w:rsidP="00BF500A">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A core theme across the reviewed studies is the foundational role of human resources. Human capital is consistently described as a critical organisational asset comprising the skills, knowledge, and competencies of individuals (Karan, 2018; Rastogi, 2000). Scholars agree that in knowledge based economies, where new skills and learning are continually demanded, it forms the basis for innovation and growth (David &amp; Lopez, 2003). Particularly, research highlights that the entrepreneurial mindset (an important component of human capital) drives creativity, risk taking, and adaptability, which are all essential traits for business development and resilience (Østergaard &amp; Marinova, 2018). Synthesizing these elements, studies further establish a causal sequence where </w:t>
      </w:r>
      <w:r w:rsidRPr="00D67274">
        <w:rPr>
          <w:rFonts w:ascii="Times New Roman" w:hAnsi="Times New Roman" w:cs="Times New Roman"/>
          <w:color w:val="000000" w:themeColor="text1"/>
          <w:lang w:val="en-GB"/>
        </w:rPr>
        <w:lastRenderedPageBreak/>
        <w:t>human capital is closely linked to the development of dynamic capabilities, since it provides the intellectual and creative faculties required to generate new knowledge and to manage complex production processes (David &amp; Lopez, 2003).</w:t>
      </w:r>
    </w:p>
    <w:p w14:paraId="62822C34" w14:textId="51C7A5F9" w:rsidR="00BF500A" w:rsidRPr="00D67274" w:rsidRDefault="00BF500A" w:rsidP="00BF500A">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Building upon this foundation, the literature transitions to dynamic capabilities, understood as a firm’s ability to integrate, build, and reconfigure competencies in the face of environmental change. These capabilities are widely debated but uniformly accepted as equally essential for sustaining competitive advantages (Muriuki, 2018). Extensive empirical evidence links these capabilities with strategic activities such as new product development, research initiatives, and alliances, all of which contribute to entrepreneurial growth and competitive positioning (</w:t>
      </w:r>
      <w:proofErr w:type="spellStart"/>
      <w:r w:rsidRPr="00D67274">
        <w:rPr>
          <w:rFonts w:ascii="Times New Roman" w:hAnsi="Times New Roman" w:cs="Times New Roman"/>
          <w:color w:val="000000" w:themeColor="text1"/>
          <w:lang w:val="en-GB"/>
        </w:rPr>
        <w:t>Telussa</w:t>
      </w:r>
      <w:proofErr w:type="spellEnd"/>
      <w:r w:rsidRPr="00D67274">
        <w:rPr>
          <w:rFonts w:ascii="Times New Roman" w:hAnsi="Times New Roman" w:cs="Times New Roman"/>
          <w:color w:val="000000" w:themeColor="text1"/>
          <w:lang w:val="en-GB"/>
        </w:rPr>
        <w:t xml:space="preserve"> et al., 2006). Confirming this in specific contexts, recent findings from small and medium enterprises indicate that dynamic capabilities serve as the engine for business model innovation, enabling firms to adapt knowledge resources into sustained competitive advantage (Heider et al., 2021). Moreover, researchers observe a cultural impact, noting that dynamic capabilities are associated with the cultivation of high-</w:t>
      </w:r>
      <w:proofErr w:type="spellStart"/>
      <w:r w:rsidRPr="00D67274">
        <w:rPr>
          <w:rFonts w:ascii="Times New Roman" w:hAnsi="Times New Roman" w:cs="Times New Roman"/>
          <w:color w:val="000000" w:themeColor="text1"/>
          <w:lang w:val="en-GB"/>
        </w:rPr>
        <w:t>erformance</w:t>
      </w:r>
      <w:proofErr w:type="spellEnd"/>
      <w:r w:rsidRPr="00D67274">
        <w:rPr>
          <w:rFonts w:ascii="Times New Roman" w:hAnsi="Times New Roman" w:cs="Times New Roman"/>
          <w:color w:val="000000" w:themeColor="text1"/>
          <w:lang w:val="en-GB"/>
        </w:rPr>
        <w:t xml:space="preserve"> organisational cultures characterised by innovation, adaptability, and sustained competitiveness (Monroy &amp; Nieto, 2019).</w:t>
      </w:r>
    </w:p>
    <w:p w14:paraId="36E6A287" w14:textId="77777777" w:rsidR="00BF500A" w:rsidRPr="00D67274" w:rsidRDefault="00BF500A" w:rsidP="00BF500A">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Intersecting with these mainstream theories, a growing body of work argues that indigenous knowledge must be increasingly highlighted as an embedded resource within human capital that enhances entrepreneurial distinctiveness (Karan, 2018). Scholars conceptualize this knowledge to include traditional practices, ecological expertise, and cultural frameworks. The consensus is that when integrated into entrepreneurial strategies, these elements provide novel approaches to problem solving and differentiation in the marketplace (David &amp; Lopez, 2003). Case studies and empirical tests consistently show that such knowledge can create products and services uniquely attuned to local needs, thereby improving market acceptance and enhancing overall competitiveness (Karan, 2018).</w:t>
      </w:r>
    </w:p>
    <w:p w14:paraId="48F5F480" w14:textId="77777777" w:rsidR="00BF500A" w:rsidRPr="00D67274" w:rsidRDefault="00BF500A" w:rsidP="00BF500A">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Bringing these threads together, the literature strongly emphasises that the interaction of human capital, dynamic capabilities, and indigenous knowledge creates unique synergies that amplify entrepreneurial outcomes (Liao, 2023; Sainz et al., 2024). In this integrated framework, each element reinforces the other. Human capital equips firms with the knowledge and mindset to innovate. Simultaneously, dynamic capabilities provide the requisite flexibility to adapt, and indigenous knowledge contributes culturally embedded insights that guarantee market relevance. </w:t>
      </w:r>
      <w:r w:rsidRPr="00D67274">
        <w:rPr>
          <w:rFonts w:ascii="Times New Roman" w:hAnsi="Times New Roman" w:cs="Times New Roman"/>
          <w:color w:val="000000" w:themeColor="text1"/>
          <w:lang w:val="en-GB"/>
        </w:rPr>
        <w:lastRenderedPageBreak/>
        <w:t>Researchers conclude that this resulting synergy fosters continuous innovation, robust responsiveness to change, and the ability to maintain a sharp competitive edge, ultimately leading to sustained growth and success (Koryak et al., 2015).</w:t>
      </w:r>
    </w:p>
    <w:p w14:paraId="41F6C0B2" w14:textId="15B7253F" w:rsidR="009F42A4" w:rsidRPr="00D67274" w:rsidRDefault="00BF500A" w:rsidP="00D7607B">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However, scholars temper these optimistic frameworks with a necessary caution regarding environmental limits. These internal elements do not operate in isolation. A critical synthesis of recent studies points out that external factors such as government policy, industry regulations, and technological change strongly shape exactly how human capital, indigenous knowledge, and dynamic capabilities can be mobilised (Liao, 2023; Sainz et al., 2024). Finally, researchers agree that the ultimate effectiveness of these resources also varies widely across different sectors and regions, underscoring a vital need for context sensitive strategies when leveraging such complex assets for entrepreneurial growth.</w:t>
      </w:r>
    </w:p>
    <w:p w14:paraId="25BCE730" w14:textId="77777777" w:rsidR="009F42A4" w:rsidRPr="00D67274" w:rsidRDefault="009F42A4" w:rsidP="004F435E">
      <w:pPr>
        <w:spacing w:after="0" w:line="360" w:lineRule="auto"/>
        <w:jc w:val="both"/>
        <w:rPr>
          <w:rFonts w:ascii="Times New Roman" w:hAnsi="Times New Roman" w:cs="Times New Roman"/>
          <w:b/>
          <w:bCs/>
          <w:color w:val="000000" w:themeColor="text1"/>
          <w:lang w:val="en-GB"/>
        </w:rPr>
      </w:pPr>
      <w:r w:rsidRPr="00D67274">
        <w:rPr>
          <w:rFonts w:ascii="Times New Roman" w:hAnsi="Times New Roman" w:cs="Times New Roman"/>
          <w:b/>
          <w:bCs/>
          <w:color w:val="000000" w:themeColor="text1"/>
          <w:lang w:val="en-GB"/>
        </w:rPr>
        <w:t>Theoretical Framework</w:t>
      </w:r>
    </w:p>
    <w:p w14:paraId="5AFDE378" w14:textId="77777777" w:rsidR="009F42A4" w:rsidRPr="00D67274" w:rsidRDefault="009F42A4" w:rsidP="009F42A4">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This study is grounded in a synthesis of Dynamic Capabilities Theory, Indigenous Knowledge Theory, and Human Capital Theory. Rather than testing these theories directly, the research draws upon their core principles to construct a new conceptual framework that explains how indigenous entrepreneurs achieve success. Dynamic Capabilities Theory serves as the primary theoretical lens. It explains how organisations transform basic resources into tangible performance outcomes developing the abilities to adapt, innovate, and reconfigure competencies in rapidly changing environments (Teece, 2007). Within the context of this study, adaptation and innovation are not merely final outcomes but serve as active mediating processes that convert culturally embedded knowledge into entrepreneurial success.</w:t>
      </w:r>
    </w:p>
    <w:p w14:paraId="590C53ED" w14:textId="77777777" w:rsidR="009F42A4" w:rsidRPr="00D67274" w:rsidRDefault="009F42A4" w:rsidP="009F42A4">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Indigenous Knowledge Theory provides the foundational context for the resource base used in this study. It highlights the embedded value of local and traditional knowledge systems as strategic resources for community problem solving and sustainable development (Agrawal, 1995). Far from being static, Indigenous Knowledge Systems encompass tacit understandings, work ethics, and context specific practices that profoundly shape entrepreneurial </w:t>
      </w:r>
      <w:proofErr w:type="spellStart"/>
      <w:r w:rsidRPr="00D67274">
        <w:rPr>
          <w:rFonts w:ascii="Times New Roman" w:hAnsi="Times New Roman" w:cs="Times New Roman"/>
          <w:color w:val="000000" w:themeColor="text1"/>
          <w:lang w:val="en-GB"/>
        </w:rPr>
        <w:t>behavior</w:t>
      </w:r>
      <w:proofErr w:type="spellEnd"/>
      <w:r w:rsidRPr="00D67274">
        <w:rPr>
          <w:rFonts w:ascii="Times New Roman" w:hAnsi="Times New Roman" w:cs="Times New Roman"/>
          <w:color w:val="000000" w:themeColor="text1"/>
          <w:lang w:val="en-GB"/>
        </w:rPr>
        <w:t>. This theory helps establish that indigenous knowledge acts as a distinctive form of contextual intellectual capital through which entrepreneurs interpret their environments and generate relevant strategies.</w:t>
      </w:r>
    </w:p>
    <w:p w14:paraId="0A898F4F" w14:textId="2294770C" w:rsidR="009F42A4" w:rsidRPr="00D67274" w:rsidRDefault="009F42A4" w:rsidP="004B6C12">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Finally, Human Capital Theory is utilised to explain the background enabling conditions of the entrepreneur. This perspective emphasises that demographic endowments, such as education, </w:t>
      </w:r>
      <w:r w:rsidRPr="00D67274">
        <w:rPr>
          <w:rFonts w:ascii="Times New Roman" w:hAnsi="Times New Roman" w:cs="Times New Roman"/>
          <w:color w:val="000000" w:themeColor="text1"/>
          <w:lang w:val="en-GB"/>
        </w:rPr>
        <w:lastRenderedPageBreak/>
        <w:t>experience, and accumulated resources, constitute valuable baseline inputs into entrepreneurial processes (Becker, 1964). In this research, human capital variables are not treated as central structural drivers of performance. Instead, they are conceptualised as control variables that expand the absorptive capacity required for entrepreneurs to effectively access and mobilise indigenous knowledge. Integrating these three perspectives provides the conceptual foundation for developing a novel model that bridges context specific cultural knowledge with capability</w:t>
      </w:r>
      <w:r w:rsidR="001C07B9" w:rsidRPr="00D67274">
        <w:rPr>
          <w:rFonts w:ascii="Times New Roman" w:hAnsi="Times New Roman" w:cs="Times New Roman"/>
          <w:color w:val="000000" w:themeColor="text1"/>
          <w:lang w:val="en-GB"/>
        </w:rPr>
        <w:t>-</w:t>
      </w:r>
      <w:r w:rsidRPr="00D67274">
        <w:rPr>
          <w:rFonts w:ascii="Times New Roman" w:hAnsi="Times New Roman" w:cs="Times New Roman"/>
          <w:color w:val="000000" w:themeColor="text1"/>
          <w:lang w:val="en-GB"/>
        </w:rPr>
        <w:t>based explanations of firm performance.</w:t>
      </w:r>
    </w:p>
    <w:p w14:paraId="48322B15" w14:textId="77777777" w:rsidR="00234FB6" w:rsidRPr="00D67274" w:rsidRDefault="00234FB6" w:rsidP="004F435E">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The Indigenous Dynamic Capabilities Mediation</w:t>
      </w:r>
      <w:r w:rsidR="00EA35AE" w:rsidRPr="00D67274">
        <w:rPr>
          <w:rFonts w:ascii="Times New Roman" w:hAnsi="Times New Roman" w:cs="Times New Roman"/>
          <w:b/>
          <w:bCs/>
          <w:color w:val="000000" w:themeColor="text1"/>
        </w:rPr>
        <w:t xml:space="preserve"> model</w:t>
      </w:r>
    </w:p>
    <w:p w14:paraId="47ABA0CA" w14:textId="7CBA98BB" w:rsidR="00EA35AE" w:rsidRPr="00D67274" w:rsidRDefault="00054CB5" w:rsidP="00D7607B">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Building upon the theoretical synthesis, this study develops a novel conceptual framework known as the Indigenous Dynamic Capabilities Mediation (</w:t>
      </w:r>
      <w:r w:rsidRPr="00D67274">
        <w:rPr>
          <w:rFonts w:ascii="Times New Roman" w:hAnsi="Times New Roman" w:cs="Times New Roman"/>
          <w:color w:val="000000" w:themeColor="text1"/>
        </w:rPr>
        <w:t xml:space="preserve">IDCM) </w:t>
      </w:r>
      <w:r w:rsidRPr="00D67274">
        <w:rPr>
          <w:rFonts w:ascii="Times New Roman" w:hAnsi="Times New Roman" w:cs="Times New Roman"/>
          <w:color w:val="000000" w:themeColor="text1"/>
          <w:lang w:val="en-GB"/>
        </w:rPr>
        <w:t>model</w:t>
      </w:r>
      <w:r w:rsidR="004F435E" w:rsidRPr="00D67274">
        <w:rPr>
          <w:rFonts w:ascii="Times New Roman" w:hAnsi="Times New Roman" w:cs="Times New Roman"/>
          <w:color w:val="000000" w:themeColor="text1"/>
          <w:lang w:val="en-GB"/>
        </w:rPr>
        <w:t xml:space="preserve"> (see figure 1 below)</w:t>
      </w:r>
      <w:r w:rsidRPr="00D67274">
        <w:rPr>
          <w:rFonts w:ascii="Times New Roman" w:hAnsi="Times New Roman" w:cs="Times New Roman"/>
          <w:color w:val="000000" w:themeColor="text1"/>
          <w:lang w:val="en-GB"/>
        </w:rPr>
        <w:t>. This model provides a process-oriented view of how entrepreneurs transform indigenous knowledge into measurable outcomes of growth and competitiveness. At its foundation, the model recognises that demographic endowments constitute forms of human capital that create the enabling background conditions for the adoption and use of Indigenous Knowledge Systems. Although these demographic characteristics are treated as control variables rather than central structural drivers in the model, they provide the skills, exposure, and resource base that allow entrepreneurs to draw upon culturally embedded forms of knowledge</w:t>
      </w:r>
      <w:r w:rsidR="004F435E" w:rsidRPr="00D67274">
        <w:rPr>
          <w:rFonts w:ascii="Times New Roman" w:hAnsi="Times New Roman" w:cs="Times New Roman"/>
          <w:color w:val="000000" w:themeColor="text1"/>
        </w:rPr>
        <w:t>.</w:t>
      </w:r>
    </w:p>
    <w:p w14:paraId="1E444F42" w14:textId="261D8253" w:rsidR="00A12D8F" w:rsidRPr="00D67274" w:rsidRDefault="009F42A4" w:rsidP="00ED32B3">
      <w:pPr>
        <w:spacing w:line="360" w:lineRule="auto"/>
        <w:jc w:val="both"/>
        <w:rPr>
          <w:rFonts w:ascii="Times New Roman" w:hAnsi="Times New Roman" w:cs="Times New Roman"/>
          <w:color w:val="000000" w:themeColor="text1"/>
        </w:rPr>
      </w:pPr>
      <w:r w:rsidRPr="00D67274">
        <w:rPr>
          <w:rFonts w:ascii="Times New Roman" w:hAnsi="Times New Roman" w:cs="Times New Roman"/>
          <w:noProof/>
          <w:color w:val="000000" w:themeColor="text1"/>
        </w:rPr>
        <w:drawing>
          <wp:inline distT="0" distB="0" distL="0" distR="0" wp14:anchorId="551D7CB9" wp14:editId="4117D16C">
            <wp:extent cx="5943600" cy="2764465"/>
            <wp:effectExtent l="0" t="0" r="0" b="4445"/>
            <wp:docPr id="412842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42382" name=""/>
                    <pic:cNvPicPr/>
                  </pic:nvPicPr>
                  <pic:blipFill>
                    <a:blip r:embed="rId8"/>
                    <a:stretch>
                      <a:fillRect/>
                    </a:stretch>
                  </pic:blipFill>
                  <pic:spPr>
                    <a:xfrm>
                      <a:off x="0" y="0"/>
                      <a:ext cx="5955682" cy="2770085"/>
                    </a:xfrm>
                    <a:prstGeom prst="rect">
                      <a:avLst/>
                    </a:prstGeom>
                  </pic:spPr>
                </pic:pic>
              </a:graphicData>
            </a:graphic>
          </wp:inline>
        </w:drawing>
      </w:r>
    </w:p>
    <w:p w14:paraId="1AB55DF2" w14:textId="26A7C4C1" w:rsidR="0091094E" w:rsidRPr="00D67274" w:rsidRDefault="00A12D8F" w:rsidP="00D7607B">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Figure 1</w:t>
      </w:r>
      <w:r w:rsidRPr="00D67274">
        <w:rPr>
          <w:rFonts w:ascii="Times New Roman" w:hAnsi="Times New Roman" w:cs="Times New Roman"/>
          <w:color w:val="000000" w:themeColor="text1"/>
        </w:rPr>
        <w:t xml:space="preserve">: </w:t>
      </w:r>
      <w:r w:rsidR="00234BDC" w:rsidRPr="00D67274">
        <w:rPr>
          <w:rFonts w:ascii="Times New Roman" w:hAnsi="Times New Roman" w:cs="Times New Roman"/>
          <w:color w:val="000000" w:themeColor="text1"/>
        </w:rPr>
        <w:t>Conceptual Model of the Indigenous Dynamic Capabilities Mediation (IDCM)</w:t>
      </w:r>
    </w:p>
    <w:p w14:paraId="3DA163B4" w14:textId="38055AC2" w:rsidR="00A12D8F" w:rsidRPr="00D67274" w:rsidRDefault="00A12D8F" w:rsidP="00D7607B">
      <w:pPr>
        <w:spacing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Source</w:t>
      </w:r>
      <w:r w:rsidRPr="00D67274">
        <w:rPr>
          <w:rFonts w:ascii="Times New Roman" w:hAnsi="Times New Roman" w:cs="Times New Roman"/>
          <w:color w:val="000000" w:themeColor="text1"/>
        </w:rPr>
        <w:t xml:space="preserve">: </w:t>
      </w:r>
      <w:r w:rsidR="0091094E" w:rsidRPr="00D67274">
        <w:rPr>
          <w:rFonts w:ascii="Times New Roman" w:hAnsi="Times New Roman" w:cs="Times New Roman"/>
          <w:color w:val="000000" w:themeColor="text1"/>
        </w:rPr>
        <w:t>A</w:t>
      </w:r>
      <w:r w:rsidRPr="00D67274">
        <w:rPr>
          <w:rFonts w:ascii="Times New Roman" w:hAnsi="Times New Roman" w:cs="Times New Roman"/>
          <w:color w:val="000000" w:themeColor="text1"/>
        </w:rPr>
        <w:t>uthor</w:t>
      </w:r>
      <w:r w:rsidR="00234BDC" w:rsidRPr="00D67274">
        <w:rPr>
          <w:rFonts w:ascii="Times New Roman" w:hAnsi="Times New Roman" w:cs="Times New Roman"/>
          <w:color w:val="000000" w:themeColor="text1"/>
        </w:rPr>
        <w:t>s</w:t>
      </w:r>
      <w:r w:rsidR="0091094E" w:rsidRPr="00D67274">
        <w:rPr>
          <w:rFonts w:ascii="Times New Roman" w:hAnsi="Times New Roman" w:cs="Times New Roman"/>
          <w:color w:val="000000" w:themeColor="text1"/>
        </w:rPr>
        <w:t xml:space="preserve"> (2025)</w:t>
      </w:r>
      <w:r w:rsidRPr="00D67274">
        <w:rPr>
          <w:rFonts w:ascii="Times New Roman" w:hAnsi="Times New Roman" w:cs="Times New Roman"/>
          <w:color w:val="000000" w:themeColor="text1"/>
        </w:rPr>
        <w:t xml:space="preserve"> </w:t>
      </w:r>
    </w:p>
    <w:p w14:paraId="1FC23624" w14:textId="44D0FFD4" w:rsidR="00AF088C" w:rsidRPr="00D67274" w:rsidRDefault="00AF088C"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lastRenderedPageBreak/>
        <w:t>Within this framework, Indigenous Knowledge Systems are conceptualised as a contextual knowledge resource composed of tacit know how, collective decision</w:t>
      </w:r>
      <w:r w:rsidR="00234BDC" w:rsidRPr="00D67274">
        <w:rPr>
          <w:rFonts w:ascii="Times New Roman" w:hAnsi="Times New Roman" w:cs="Times New Roman"/>
          <w:color w:val="000000" w:themeColor="text1"/>
          <w:lang w:val="en-GB"/>
        </w:rPr>
        <w:t>-</w:t>
      </w:r>
      <w:r w:rsidRPr="00D67274">
        <w:rPr>
          <w:rFonts w:ascii="Times New Roman" w:hAnsi="Times New Roman" w:cs="Times New Roman"/>
          <w:color w:val="000000" w:themeColor="text1"/>
          <w:lang w:val="en-GB"/>
        </w:rPr>
        <w:t>making logics, oral traditions, and work ethics. Entrepreneurs are positioned to adopt and mobilise this knowledge effectively, applying it in ways that strengthen their capacity to navigate uncertainty and respond to environmental demands. Once adopted, this knowledge activates dynamic capabilities, beginning with adaptation. Adaptation reflects the ability of the entrepreneur to adjust operations, processes, and strategies in line with emerging challenges and opportunities. Through embedding indigenous knowledge into everyday practices, entrepreneurs enhance their capacity to adapt quickly, ensuring continuity and resilience in the face of external pressures.</w:t>
      </w:r>
    </w:p>
    <w:p w14:paraId="78A3BB6C" w14:textId="77777777" w:rsidR="00AF088C" w:rsidRPr="00D67274" w:rsidRDefault="00AF088C"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The model further identifies innovation as the second dynamic capability. It positions innovation both as a direct outcome of indigenous knowledge and as a sequential development that builds upon adaptation. While traditional knowledge can inspire new ideas directly, the transition from adaptation to innovation captures how localized responsive practices evolve into creative solutions, new products, and process improvements. This layered interaction illustrates that adaptation provides a foundation of responsiveness, which fosters more sustained and transformative innovations.</w:t>
      </w:r>
    </w:p>
    <w:p w14:paraId="3C5A0EDA" w14:textId="77777777" w:rsidR="00AF088C" w:rsidRPr="00D67274" w:rsidRDefault="00AF088C"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At the outcome level, the model distinguishes between entrepreneurial growth and competitiveness. Growth refers to the ability to expand scale, operations, and efficiency. Competitiveness reflects the capacity to sustain advantage in dynamic markets. The model conceptualizes entrepreneurial success not as a direct product of indigenous knowledge alone. Instead, success is the result of a sequential process where cultural knowledge is converted into dynamic capabilities, which then differentially produce growth and competitiveness.</w:t>
      </w:r>
    </w:p>
    <w:p w14:paraId="65F89B55" w14:textId="30A89214" w:rsidR="00AF088C" w:rsidRPr="00D67274" w:rsidRDefault="00AF088C" w:rsidP="00AF088C">
      <w:pPr>
        <w:spacing w:after="0" w:line="480" w:lineRule="auto"/>
        <w:jc w:val="both"/>
        <w:rPr>
          <w:rFonts w:ascii="Times New Roman" w:hAnsi="Times New Roman" w:cs="Times New Roman"/>
          <w:b/>
          <w:bCs/>
          <w:color w:val="000000" w:themeColor="text1"/>
          <w:lang w:val="en-GB"/>
        </w:rPr>
      </w:pPr>
      <w:r w:rsidRPr="00D67274">
        <w:rPr>
          <w:rFonts w:ascii="Times New Roman" w:hAnsi="Times New Roman" w:cs="Times New Roman"/>
          <w:b/>
          <w:bCs/>
          <w:color w:val="000000" w:themeColor="text1"/>
          <w:lang w:val="en-GB"/>
        </w:rPr>
        <w:t>Hypotheses Development</w:t>
      </w:r>
    </w:p>
    <w:p w14:paraId="061D6496" w14:textId="77777777" w:rsidR="00AF088C" w:rsidRPr="00D67274" w:rsidRDefault="00AF088C" w:rsidP="004F435E">
      <w:pPr>
        <w:spacing w:after="0" w:line="36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Indigenous Knowledge and Dynamic Capabilities</w:t>
      </w:r>
      <w:r w:rsidRPr="00D67274">
        <w:rPr>
          <w:rFonts w:ascii="Times New Roman" w:hAnsi="Times New Roman" w:cs="Times New Roman"/>
          <w:color w:val="000000" w:themeColor="text1"/>
          <w:lang w:val="en-GB"/>
        </w:rPr>
        <w:t xml:space="preserve"> </w:t>
      </w:r>
    </w:p>
    <w:p w14:paraId="7380E109" w14:textId="77777777" w:rsidR="00AF088C" w:rsidRPr="00D67274" w:rsidRDefault="00AF088C"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Dynamic Capabilities Theory argues that unique resource configurations are essential for developing adaptive and innovative capacities (Teece, 2007). In the context of indigenous entrepreneurship, cultural knowledge serves as this unique resource base. Research indicates that Indigenous Knowledge Systems provide entrepreneurs with context specific ecological insights and collaborative social values that inform strategic business responses (Agrawal, 1995; Dell et al., 2024). Relying on traditional practices allows entrepreneurs to reconfigure their operations </w:t>
      </w:r>
      <w:r w:rsidRPr="00D67274">
        <w:rPr>
          <w:rFonts w:ascii="Times New Roman" w:hAnsi="Times New Roman" w:cs="Times New Roman"/>
          <w:color w:val="000000" w:themeColor="text1"/>
          <w:lang w:val="en-GB"/>
        </w:rPr>
        <w:lastRenderedPageBreak/>
        <w:t xml:space="preserve">flexibly when faced with environmental volatility. This deep reservoir of local know how directly informs the ability of a firm to adjust its operations effectively. Furthermore, this knowledge is not merely about survival; it serves as a foundation for novel product creation. Entrepreneurs frequently use traditional botanical knowledge, artisanal techniques, and cultural narratives to generate unique products and services that stand out in the market (Chaudhari, 2024). Therefore, applying culturally embedded knowledge actively fuels both the capacity to adapt and the drive to innovate. </w:t>
      </w:r>
    </w:p>
    <w:p w14:paraId="454098A2" w14:textId="77777777" w:rsidR="00AF088C" w:rsidRPr="00D67274" w:rsidRDefault="00AF088C" w:rsidP="00AF088C">
      <w:pPr>
        <w:spacing w:after="0" w:line="48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H1:</w:t>
      </w:r>
      <w:r w:rsidRPr="00D67274">
        <w:rPr>
          <w:rFonts w:ascii="Times New Roman" w:hAnsi="Times New Roman" w:cs="Times New Roman"/>
          <w:color w:val="000000" w:themeColor="text1"/>
          <w:lang w:val="en-GB"/>
        </w:rPr>
        <w:t xml:space="preserve"> IKS positively predicts adaptation. </w:t>
      </w:r>
    </w:p>
    <w:p w14:paraId="310F84D3" w14:textId="3B676FF0" w:rsidR="00AF088C" w:rsidRPr="00D67274" w:rsidRDefault="00AF088C" w:rsidP="004B6C12">
      <w:pPr>
        <w:spacing w:line="48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H2:</w:t>
      </w:r>
      <w:r w:rsidRPr="00D67274">
        <w:rPr>
          <w:rFonts w:ascii="Times New Roman" w:hAnsi="Times New Roman" w:cs="Times New Roman"/>
          <w:color w:val="000000" w:themeColor="text1"/>
          <w:lang w:val="en-GB"/>
        </w:rPr>
        <w:t xml:space="preserve"> IKS positively predicts innovation.</w:t>
      </w:r>
    </w:p>
    <w:p w14:paraId="72956CFF" w14:textId="77777777" w:rsidR="00AF088C" w:rsidRPr="00D67274" w:rsidRDefault="00AF088C" w:rsidP="004F435E">
      <w:pPr>
        <w:spacing w:after="0" w:line="36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The Relationship Between Adaptation and Innovation</w:t>
      </w:r>
      <w:r w:rsidRPr="00D67274">
        <w:rPr>
          <w:rFonts w:ascii="Times New Roman" w:hAnsi="Times New Roman" w:cs="Times New Roman"/>
          <w:color w:val="000000" w:themeColor="text1"/>
          <w:lang w:val="en-GB"/>
        </w:rPr>
        <w:t xml:space="preserve"> </w:t>
      </w:r>
    </w:p>
    <w:p w14:paraId="0C11468B" w14:textId="77777777" w:rsidR="00AF088C" w:rsidRPr="00D67274" w:rsidRDefault="00AF088C"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Within the dynamic capabilities framework, capabilities often build upon one another sequentially. Adaptation involves stabilizing operations and remaining resilient under pressure, while innovation involves creating entirely new value propositions (Hernandez Linares et al., 2023). Scholars note that businesses must first establish a stable, adaptable operational base before they can successfully launch innovative ventures (Correia et al., 2021). An entrepreneur who has successfully adapted to market shifts or supply chain disruptions develops a deeper understanding of market gaps. This heightened responsiveness creates a secure platform from which the business can experiment, design new products, and refine processes. Consequently, the ability to adapt serves as a crucial precursor that enables and strengthens innovative capacity. </w:t>
      </w:r>
    </w:p>
    <w:p w14:paraId="024C9382" w14:textId="37853364" w:rsidR="00AF088C" w:rsidRPr="00D67274" w:rsidRDefault="00AF088C"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H3:</w:t>
      </w:r>
      <w:r w:rsidRPr="00D67274">
        <w:rPr>
          <w:rFonts w:ascii="Times New Roman" w:hAnsi="Times New Roman" w:cs="Times New Roman"/>
          <w:color w:val="000000" w:themeColor="text1"/>
          <w:lang w:val="en-GB"/>
        </w:rPr>
        <w:t xml:space="preserve"> Adaptation positively predicts innovation.</w:t>
      </w:r>
    </w:p>
    <w:p w14:paraId="0DCAC8C7" w14:textId="77777777" w:rsidR="00AF088C" w:rsidRPr="00D67274" w:rsidRDefault="00AF088C" w:rsidP="004F435E">
      <w:pPr>
        <w:spacing w:after="0" w:line="36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Dynamic Capabilities and Entrepreneurial Growth</w:t>
      </w:r>
      <w:r w:rsidRPr="00D67274">
        <w:rPr>
          <w:rFonts w:ascii="Times New Roman" w:hAnsi="Times New Roman" w:cs="Times New Roman"/>
          <w:color w:val="000000" w:themeColor="text1"/>
          <w:lang w:val="en-GB"/>
        </w:rPr>
        <w:t xml:space="preserve"> </w:t>
      </w:r>
    </w:p>
    <w:p w14:paraId="644387A7" w14:textId="77777777" w:rsidR="00AF088C" w:rsidRPr="00D67274" w:rsidRDefault="00AF088C"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Entrepreneurial growth depends heavily on the ability of a firm to scale operations, increase efficiency, and capture market share. Literature on dynamic capabilities consistently links strategic adaptability to business expansion (Sarkar et al., 2016). When firms successfully adapt their strategies to align with shifting customer needs, they secure continuity and lay the groundwork for expanding their operational scale (Lieu et al., 2024). Similarly, the introduction of new products and services through innovation directly attracts new customer segments and opens additional revenue streams, which are fundamental markers of growth (Abid et al., 2024). Therefore, both </w:t>
      </w:r>
      <w:r w:rsidRPr="00D67274">
        <w:rPr>
          <w:rFonts w:ascii="Times New Roman" w:hAnsi="Times New Roman" w:cs="Times New Roman"/>
          <w:color w:val="000000" w:themeColor="text1"/>
          <w:lang w:val="en-GB"/>
        </w:rPr>
        <w:lastRenderedPageBreak/>
        <w:t xml:space="preserve">the capacity to adjust to the environment and the capacity to introduce novel offerings are expected to directly drive the physical and financial growth of the enterprise. </w:t>
      </w:r>
    </w:p>
    <w:p w14:paraId="681F9A5D" w14:textId="77777777" w:rsidR="00AF088C" w:rsidRPr="00D67274" w:rsidRDefault="00AF088C" w:rsidP="00AF088C">
      <w:pPr>
        <w:spacing w:after="0" w:line="48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H4:</w:t>
      </w:r>
      <w:r w:rsidRPr="00D67274">
        <w:rPr>
          <w:rFonts w:ascii="Times New Roman" w:hAnsi="Times New Roman" w:cs="Times New Roman"/>
          <w:color w:val="000000" w:themeColor="text1"/>
          <w:lang w:val="en-GB"/>
        </w:rPr>
        <w:t xml:space="preserve"> Adaptation positively predicts growth. </w:t>
      </w:r>
    </w:p>
    <w:p w14:paraId="4EC38B96" w14:textId="0DB80835" w:rsidR="00AF088C" w:rsidRPr="00D67274" w:rsidRDefault="00AF088C" w:rsidP="004B6C12">
      <w:pPr>
        <w:spacing w:line="48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H5:</w:t>
      </w:r>
      <w:r w:rsidRPr="00D67274">
        <w:rPr>
          <w:rFonts w:ascii="Times New Roman" w:hAnsi="Times New Roman" w:cs="Times New Roman"/>
          <w:color w:val="000000" w:themeColor="text1"/>
          <w:lang w:val="en-GB"/>
        </w:rPr>
        <w:t xml:space="preserve"> Innovation positively predicts growth.</w:t>
      </w:r>
    </w:p>
    <w:p w14:paraId="6E1462CC" w14:textId="77777777" w:rsidR="00AF088C" w:rsidRPr="00D67274" w:rsidRDefault="00AF088C" w:rsidP="004F435E">
      <w:pPr>
        <w:spacing w:after="0" w:line="36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The Mediating Role of Capabilities on Growth</w:t>
      </w:r>
      <w:r w:rsidRPr="00D67274">
        <w:rPr>
          <w:rFonts w:ascii="Times New Roman" w:hAnsi="Times New Roman" w:cs="Times New Roman"/>
          <w:color w:val="000000" w:themeColor="text1"/>
          <w:lang w:val="en-GB"/>
        </w:rPr>
        <w:t xml:space="preserve"> </w:t>
      </w:r>
    </w:p>
    <w:p w14:paraId="2C4CA199" w14:textId="77777777" w:rsidR="00234BDC" w:rsidRPr="00D67274" w:rsidRDefault="00AF088C"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While indigenous knowledge is valuable, possessing traditional knowledge alone does not automatically result in business expansion. Theoretical models suggest that resources must be actively mobilised through organizational capabilities to impact performance (Teece, 2007). Empirical evidence in entrepreneurship shows that intellectual and cultural capital influence business performance indirectly through strategic actions (Farzaneh et al., 2022). Therefore, the raw cultural and ecological insights provided by Indigenous Knowledge Systems must be processed through the firm. The knowledge translates into growth only when the entrepreneur uses it to adapt to challenges and to innovate new offerings. </w:t>
      </w:r>
    </w:p>
    <w:p w14:paraId="3ECEDD86" w14:textId="20F32E86" w:rsidR="00AF088C" w:rsidRPr="00D67274" w:rsidRDefault="00AF088C" w:rsidP="00234BDC">
      <w:pPr>
        <w:spacing w:line="48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H6:</w:t>
      </w:r>
      <w:r w:rsidRPr="00D67274">
        <w:rPr>
          <w:rFonts w:ascii="Times New Roman" w:hAnsi="Times New Roman" w:cs="Times New Roman"/>
          <w:color w:val="000000" w:themeColor="text1"/>
          <w:lang w:val="en-GB"/>
        </w:rPr>
        <w:t xml:space="preserve"> The effect of IKS on growth is mediated by adaptation and innovation.</w:t>
      </w:r>
    </w:p>
    <w:p w14:paraId="585E5CBF" w14:textId="77777777" w:rsidR="00234BDC" w:rsidRPr="00D67274" w:rsidRDefault="00AF088C" w:rsidP="004F435E">
      <w:pPr>
        <w:spacing w:after="0" w:line="36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Dynamic Capabilities and Competitiveness</w:t>
      </w:r>
      <w:r w:rsidRPr="00D67274">
        <w:rPr>
          <w:rFonts w:ascii="Times New Roman" w:hAnsi="Times New Roman" w:cs="Times New Roman"/>
          <w:color w:val="000000" w:themeColor="text1"/>
          <w:lang w:val="en-GB"/>
        </w:rPr>
        <w:t xml:space="preserve"> </w:t>
      </w:r>
    </w:p>
    <w:p w14:paraId="50EAF612" w14:textId="77777777" w:rsidR="00234BDC" w:rsidRPr="00D67274" w:rsidRDefault="00AF088C"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Competitiveness extends beyond mere growth; it involves sustaining a unique advantage over rivals in the marketplace. Scholars emphasize that maintaining competitiveness in volatile environments requires a continuous realignment of competencies (</w:t>
      </w:r>
      <w:proofErr w:type="spellStart"/>
      <w:r w:rsidRPr="00D67274">
        <w:rPr>
          <w:rFonts w:ascii="Times New Roman" w:hAnsi="Times New Roman" w:cs="Times New Roman"/>
          <w:color w:val="000000" w:themeColor="text1"/>
          <w:lang w:val="en-GB"/>
        </w:rPr>
        <w:t>Komalasari</w:t>
      </w:r>
      <w:proofErr w:type="spellEnd"/>
      <w:r w:rsidRPr="00D67274">
        <w:rPr>
          <w:rFonts w:ascii="Times New Roman" w:hAnsi="Times New Roman" w:cs="Times New Roman"/>
          <w:color w:val="000000" w:themeColor="text1"/>
          <w:lang w:val="en-GB"/>
        </w:rPr>
        <w:t xml:space="preserve"> et al., 2024). Adaptation ensures that the firm remains relevant and resilient against competitor moves. Innovation, however, is frequently highlighted as the primary driver of competitive advantage, as it allows firms to differentiate themselves in saturated markets through unique value propositions (Kim &amp; Ahn, 2017). Both capabilities are thus vital for positioning the business </w:t>
      </w:r>
      <w:proofErr w:type="spellStart"/>
      <w:r w:rsidRPr="00D67274">
        <w:rPr>
          <w:rFonts w:ascii="Times New Roman" w:hAnsi="Times New Roman" w:cs="Times New Roman"/>
          <w:color w:val="000000" w:themeColor="text1"/>
          <w:lang w:val="en-GB"/>
        </w:rPr>
        <w:t>favorably</w:t>
      </w:r>
      <w:proofErr w:type="spellEnd"/>
      <w:r w:rsidRPr="00D67274">
        <w:rPr>
          <w:rFonts w:ascii="Times New Roman" w:hAnsi="Times New Roman" w:cs="Times New Roman"/>
          <w:color w:val="000000" w:themeColor="text1"/>
          <w:lang w:val="en-GB"/>
        </w:rPr>
        <w:t xml:space="preserve"> against market competitors. </w:t>
      </w:r>
    </w:p>
    <w:p w14:paraId="482F6215" w14:textId="77777777" w:rsidR="00234BDC" w:rsidRPr="00D67274" w:rsidRDefault="00AF088C" w:rsidP="00AF088C">
      <w:pPr>
        <w:spacing w:after="0" w:line="48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H7:</w:t>
      </w:r>
      <w:r w:rsidRPr="00D67274">
        <w:rPr>
          <w:rFonts w:ascii="Times New Roman" w:hAnsi="Times New Roman" w:cs="Times New Roman"/>
          <w:color w:val="000000" w:themeColor="text1"/>
          <w:lang w:val="en-GB"/>
        </w:rPr>
        <w:t xml:space="preserve"> Adaptation positively predicts competitiveness. </w:t>
      </w:r>
    </w:p>
    <w:p w14:paraId="21153AF8" w14:textId="60EEE761" w:rsidR="00AF088C" w:rsidRPr="00D67274" w:rsidRDefault="00AF088C" w:rsidP="00234BDC">
      <w:pPr>
        <w:spacing w:line="48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H8:</w:t>
      </w:r>
      <w:r w:rsidRPr="00D67274">
        <w:rPr>
          <w:rFonts w:ascii="Times New Roman" w:hAnsi="Times New Roman" w:cs="Times New Roman"/>
          <w:color w:val="000000" w:themeColor="text1"/>
          <w:lang w:val="en-GB"/>
        </w:rPr>
        <w:t xml:space="preserve"> Innovation positively predicts competitiveness.</w:t>
      </w:r>
    </w:p>
    <w:p w14:paraId="13DB5B65" w14:textId="77777777" w:rsidR="004F435E" w:rsidRPr="00D67274" w:rsidRDefault="004F435E" w:rsidP="00234BDC">
      <w:pPr>
        <w:spacing w:line="480" w:lineRule="auto"/>
        <w:jc w:val="both"/>
        <w:rPr>
          <w:rFonts w:ascii="Times New Roman" w:hAnsi="Times New Roman" w:cs="Times New Roman"/>
          <w:color w:val="000000" w:themeColor="text1"/>
          <w:lang w:val="en-GB"/>
        </w:rPr>
      </w:pPr>
    </w:p>
    <w:p w14:paraId="03DF5E8D" w14:textId="77777777" w:rsidR="00234BDC" w:rsidRPr="00D67274" w:rsidRDefault="00AF088C" w:rsidP="004F435E">
      <w:pPr>
        <w:spacing w:after="0" w:line="36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lastRenderedPageBreak/>
        <w:t>The Mediating and Serial Effects on Competitiveness</w:t>
      </w:r>
      <w:r w:rsidRPr="00D67274">
        <w:rPr>
          <w:rFonts w:ascii="Times New Roman" w:hAnsi="Times New Roman" w:cs="Times New Roman"/>
          <w:color w:val="000000" w:themeColor="text1"/>
          <w:lang w:val="en-GB"/>
        </w:rPr>
        <w:t xml:space="preserve"> </w:t>
      </w:r>
    </w:p>
    <w:p w14:paraId="1115122D" w14:textId="77777777" w:rsidR="00234BDC" w:rsidRPr="00D67274" w:rsidRDefault="00AF088C" w:rsidP="004F435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Similar to growth, competitiveness is an indirect outcome of possessing indigenous resources. The strategic value of indigenous knowledge lies in its application. It is expected that cultural resources enhance competitiveness precisely because they endow the firm with the ability to adapt and innovate in ways that Western business models cannot easily replicate (</w:t>
      </w:r>
      <w:proofErr w:type="spellStart"/>
      <w:r w:rsidRPr="00D67274">
        <w:rPr>
          <w:rFonts w:ascii="Times New Roman" w:hAnsi="Times New Roman" w:cs="Times New Roman"/>
          <w:color w:val="000000" w:themeColor="text1"/>
          <w:lang w:val="en-GB"/>
        </w:rPr>
        <w:t>Mugambiwa</w:t>
      </w:r>
      <w:proofErr w:type="spellEnd"/>
      <w:r w:rsidRPr="00D67274">
        <w:rPr>
          <w:rFonts w:ascii="Times New Roman" w:hAnsi="Times New Roman" w:cs="Times New Roman"/>
          <w:color w:val="000000" w:themeColor="text1"/>
          <w:lang w:val="en-GB"/>
        </w:rPr>
        <w:t xml:space="preserve">, 2021). Furthermore, given the sequenced nature of dynamic capabilities, a serial pathway is anticipated. Indigenous knowledge equips the firm to adapt to its local environment; this adaptation stabilizes the firm and reveals new opportunities, which then sparks innovation. Ultimately, this resulting innovation solidifies the competitive advantage of the firm in the broader market. </w:t>
      </w:r>
    </w:p>
    <w:p w14:paraId="3B27F032" w14:textId="77777777" w:rsidR="00234BDC" w:rsidRPr="00D67274" w:rsidRDefault="00AF088C" w:rsidP="00AF088C">
      <w:pPr>
        <w:spacing w:after="0" w:line="48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H9:</w:t>
      </w:r>
      <w:r w:rsidRPr="00D67274">
        <w:rPr>
          <w:rFonts w:ascii="Times New Roman" w:hAnsi="Times New Roman" w:cs="Times New Roman"/>
          <w:color w:val="000000" w:themeColor="text1"/>
          <w:lang w:val="en-GB"/>
        </w:rPr>
        <w:t xml:space="preserve"> The effect of IKS on competitiveness is mediated by adaptation and innovation. </w:t>
      </w:r>
    </w:p>
    <w:p w14:paraId="24E8C8D4" w14:textId="71B98650" w:rsidR="0091094E" w:rsidRPr="00D67274" w:rsidRDefault="00AF088C" w:rsidP="007440F3">
      <w:pPr>
        <w:spacing w:line="48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H10:</w:t>
      </w:r>
      <w:r w:rsidRPr="00D67274">
        <w:rPr>
          <w:rFonts w:ascii="Times New Roman" w:hAnsi="Times New Roman" w:cs="Times New Roman"/>
          <w:color w:val="000000" w:themeColor="text1"/>
          <w:lang w:val="en-GB"/>
        </w:rPr>
        <w:t xml:space="preserve"> The serial pathway IKS → adaptation → innovation → competitiveness is significant.</w:t>
      </w:r>
    </w:p>
    <w:p w14:paraId="223E5C6D" w14:textId="77777777" w:rsidR="00612624" w:rsidRPr="00D67274" w:rsidRDefault="00612624" w:rsidP="00C0287E">
      <w:pPr>
        <w:spacing w:line="24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Methodology</w:t>
      </w:r>
    </w:p>
    <w:p w14:paraId="4D6C97D7" w14:textId="77777777" w:rsidR="00612624" w:rsidRPr="00D67274" w:rsidRDefault="00612624" w:rsidP="00D7607B">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Research Design and Sample</w:t>
      </w:r>
    </w:p>
    <w:p w14:paraId="426E612B" w14:textId="77777777" w:rsidR="0029664E" w:rsidRPr="00D67274" w:rsidRDefault="0029664E" w:rsidP="0029664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This study adopted a quantitative, cross sectional survey design to examine the relationships between Indigenous Knowledge Systems, sustainable strategies, and entrepreneurial success. Quantitative survey methods are widely recognised for their suitability in testing theoretical models and generating generalisable insights from structured data (Creswell &amp; Creswell, 2018). The sample comprised 124 entrepreneurs representing the micro, small, and medium enterprise sector.</w:t>
      </w:r>
    </w:p>
    <w:p w14:paraId="1F929679" w14:textId="77777777" w:rsidR="0029664E" w:rsidRPr="00D67274" w:rsidRDefault="0029664E" w:rsidP="0029664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A sample size of 124 was deemed appropriate for this study because it provides adequate statistical power to detect indirect and structural effects using regression based models, satisfying standard threshold recommendations for social science research. Furthermore, the inclusion of distinct global regions (Africa, Asia, Europe, North America, South America, and Oceania) was a deliberate methodological choice. Gathering data across these varied environments ensures that the proposed theoretical framework is robust and generalisable across a wide array of cultural, economic, and ecological contexts, rather than being limited to the idiosyncrasies of a single localized setting.</w:t>
      </w:r>
    </w:p>
    <w:p w14:paraId="55A3705B" w14:textId="1B4A9FCB" w:rsidR="0029664E" w:rsidRPr="00D67274" w:rsidRDefault="00AE648F" w:rsidP="0029664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rPr>
        <w:t xml:space="preserve">A non-probability purposive sampling technique was employed to ensure the inclusion of respondents actively engaged in business operations. This strategy is frequently used in </w:t>
      </w:r>
      <w:r w:rsidRPr="00D67274">
        <w:rPr>
          <w:rFonts w:ascii="Times New Roman" w:hAnsi="Times New Roman" w:cs="Times New Roman"/>
          <w:color w:val="000000" w:themeColor="text1"/>
        </w:rPr>
        <w:lastRenderedPageBreak/>
        <w:t>entrepreneurship research where access to specialized populations possessing specific knowledge is required (Etikan, Musa, &amp; Alkassim, 2016). To ensure methodological transparency and rigor, specific eligibility criteria were established. Participants were primarily required to be active owners or senior managers of a registered enterprise that had been operating for a minimum of 12 months. This 12-month minimum operational period serves as the operational definition for "significant entrepreneurial experience," ensuring that the core dataset represented respondents with sufficient practical exposure to evaluate capability development and business growth. Furthermore, while the primary focus remained on established ventures, the study selectively included participants with less than one year of operational duration who demonstrated relevant, early-stage insights. This inclusive approach ensured that meaningful, emergent perspectives on modern entrepreneurial challenges were not overlooked, thereby enriching the research without compromising the primary focus on experienced practitioners.</w:t>
      </w:r>
      <w:r w:rsidR="0029664E" w:rsidRPr="00D67274">
        <w:rPr>
          <w:rFonts w:ascii="Times New Roman" w:hAnsi="Times New Roman" w:cs="Times New Roman"/>
          <w:color w:val="000000" w:themeColor="text1"/>
          <w:lang w:val="en-GB"/>
        </w:rPr>
        <w:t>Demographic Profile of Respondents</w:t>
      </w:r>
    </w:p>
    <w:p w14:paraId="7A1A2913" w14:textId="7A202EAC" w:rsidR="0029664E" w:rsidRPr="00D67274" w:rsidRDefault="0029664E" w:rsidP="0029664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To provide a comprehensive overview of the sample characteristics and the distribution of participants across the selected regions, a detailed demographic profile was compiled. The descriptive statistics for the 124 respondents are presented in Table 1 below. </w:t>
      </w:r>
    </w:p>
    <w:p w14:paraId="46F871D3" w14:textId="77777777" w:rsidR="00AE648F" w:rsidRPr="00D67274" w:rsidRDefault="00AE648F" w:rsidP="00AE648F">
      <w:pPr>
        <w:spacing w:line="360" w:lineRule="auto"/>
        <w:jc w:val="both"/>
        <w:rPr>
          <w:rFonts w:ascii="Times New Roman" w:hAnsi="Times New Roman" w:cs="Times New Roman"/>
          <w:b/>
          <w:bCs/>
          <w:color w:val="000000" w:themeColor="text1"/>
          <w:lang w:val="en-GB"/>
        </w:rPr>
      </w:pPr>
      <w:r w:rsidRPr="00D67274">
        <w:rPr>
          <w:rFonts w:ascii="Times New Roman" w:hAnsi="Times New Roman" w:cs="Times New Roman"/>
          <w:b/>
          <w:bCs/>
          <w:color w:val="000000" w:themeColor="text1"/>
          <w:lang w:val="en-GB"/>
        </w:rPr>
        <w:t>Table 1</w:t>
      </w:r>
    </w:p>
    <w:p w14:paraId="443377C8" w14:textId="77777777" w:rsidR="00AE648F" w:rsidRPr="00D67274" w:rsidRDefault="00AE648F" w:rsidP="00AE648F">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i/>
          <w:iCs/>
          <w:color w:val="000000" w:themeColor="text1"/>
          <w:lang w:val="en-GB"/>
        </w:rPr>
        <w:t>Demographic Profile of Respondents (N = 124)</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1"/>
        <w:gridCol w:w="4394"/>
        <w:gridCol w:w="851"/>
        <w:gridCol w:w="850"/>
      </w:tblGrid>
      <w:tr w:rsidR="00FF657E" w:rsidRPr="00D67274" w14:paraId="4FA13EC6" w14:textId="77777777" w:rsidTr="009E34C3">
        <w:trPr>
          <w:tblHeader/>
          <w:tblCellSpacing w:w="0" w:type="dxa"/>
        </w:trPr>
        <w:tc>
          <w:tcPr>
            <w:tcW w:w="3111" w:type="dxa"/>
            <w:vAlign w:val="center"/>
            <w:hideMark/>
          </w:tcPr>
          <w:p w14:paraId="0586FC1E" w14:textId="77777777" w:rsidR="00AE648F" w:rsidRPr="00D67274" w:rsidRDefault="00AE648F" w:rsidP="0086386A">
            <w:pPr>
              <w:spacing w:after="0" w:line="240" w:lineRule="auto"/>
              <w:jc w:val="center"/>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Variable</w:t>
            </w:r>
          </w:p>
        </w:tc>
        <w:tc>
          <w:tcPr>
            <w:tcW w:w="4394" w:type="dxa"/>
            <w:vAlign w:val="center"/>
            <w:hideMark/>
          </w:tcPr>
          <w:p w14:paraId="2682B0D0" w14:textId="77777777" w:rsidR="00AE648F" w:rsidRPr="00D67274" w:rsidRDefault="00AE648F" w:rsidP="0086386A">
            <w:pPr>
              <w:spacing w:after="0" w:line="240" w:lineRule="auto"/>
              <w:jc w:val="center"/>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Category</w:t>
            </w:r>
          </w:p>
        </w:tc>
        <w:tc>
          <w:tcPr>
            <w:tcW w:w="851" w:type="dxa"/>
            <w:vAlign w:val="center"/>
            <w:hideMark/>
          </w:tcPr>
          <w:p w14:paraId="7EC5F1F4" w14:textId="77777777" w:rsidR="00AE648F" w:rsidRPr="00D67274" w:rsidRDefault="00AE648F" w:rsidP="0086386A">
            <w:pPr>
              <w:spacing w:after="0" w:line="240" w:lineRule="auto"/>
              <w:jc w:val="center"/>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n</w:t>
            </w:r>
          </w:p>
        </w:tc>
        <w:tc>
          <w:tcPr>
            <w:tcW w:w="850" w:type="dxa"/>
            <w:vAlign w:val="center"/>
            <w:hideMark/>
          </w:tcPr>
          <w:p w14:paraId="0AE0080B" w14:textId="77777777" w:rsidR="00AE648F" w:rsidRPr="00D67274" w:rsidRDefault="00AE648F" w:rsidP="0086386A">
            <w:pPr>
              <w:spacing w:after="0" w:line="240" w:lineRule="auto"/>
              <w:jc w:val="center"/>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w:t>
            </w:r>
          </w:p>
        </w:tc>
      </w:tr>
      <w:tr w:rsidR="00FF657E" w:rsidRPr="00D67274" w14:paraId="7ADD6F48" w14:textId="77777777" w:rsidTr="009E34C3">
        <w:trPr>
          <w:tblCellSpacing w:w="0" w:type="dxa"/>
        </w:trPr>
        <w:tc>
          <w:tcPr>
            <w:tcW w:w="3111" w:type="dxa"/>
            <w:vAlign w:val="center"/>
            <w:hideMark/>
          </w:tcPr>
          <w:p w14:paraId="77F21548"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Years of Business Experience</w:t>
            </w:r>
          </w:p>
        </w:tc>
        <w:tc>
          <w:tcPr>
            <w:tcW w:w="4394" w:type="dxa"/>
            <w:vAlign w:val="center"/>
            <w:hideMark/>
          </w:tcPr>
          <w:p w14:paraId="1D2765D1"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851" w:type="dxa"/>
            <w:vAlign w:val="center"/>
            <w:hideMark/>
          </w:tcPr>
          <w:p w14:paraId="0B79C3BE"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850" w:type="dxa"/>
            <w:vAlign w:val="center"/>
            <w:hideMark/>
          </w:tcPr>
          <w:p w14:paraId="59570812"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r>
      <w:tr w:rsidR="00FF657E" w:rsidRPr="00D67274" w14:paraId="4434C993" w14:textId="77777777" w:rsidTr="009E34C3">
        <w:trPr>
          <w:tblCellSpacing w:w="0" w:type="dxa"/>
        </w:trPr>
        <w:tc>
          <w:tcPr>
            <w:tcW w:w="3111" w:type="dxa"/>
            <w:vAlign w:val="center"/>
            <w:hideMark/>
          </w:tcPr>
          <w:p w14:paraId="1C0307B5"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3B4B699F"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Over 10 years</w:t>
            </w:r>
          </w:p>
        </w:tc>
        <w:tc>
          <w:tcPr>
            <w:tcW w:w="851" w:type="dxa"/>
            <w:vAlign w:val="center"/>
            <w:hideMark/>
          </w:tcPr>
          <w:p w14:paraId="571FBB72"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37</w:t>
            </w:r>
          </w:p>
        </w:tc>
        <w:tc>
          <w:tcPr>
            <w:tcW w:w="850" w:type="dxa"/>
            <w:vAlign w:val="center"/>
            <w:hideMark/>
          </w:tcPr>
          <w:p w14:paraId="7766F793"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29.84</w:t>
            </w:r>
          </w:p>
        </w:tc>
      </w:tr>
      <w:tr w:rsidR="00FF657E" w:rsidRPr="00D67274" w14:paraId="2E9E40CD" w14:textId="77777777" w:rsidTr="009E34C3">
        <w:trPr>
          <w:tblCellSpacing w:w="0" w:type="dxa"/>
        </w:trPr>
        <w:tc>
          <w:tcPr>
            <w:tcW w:w="3111" w:type="dxa"/>
            <w:vAlign w:val="center"/>
            <w:hideMark/>
          </w:tcPr>
          <w:p w14:paraId="3825D9F4"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1F273F68"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7 to 10 years</w:t>
            </w:r>
          </w:p>
        </w:tc>
        <w:tc>
          <w:tcPr>
            <w:tcW w:w="851" w:type="dxa"/>
            <w:vAlign w:val="center"/>
            <w:hideMark/>
          </w:tcPr>
          <w:p w14:paraId="3FB8437C"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15</w:t>
            </w:r>
          </w:p>
        </w:tc>
        <w:tc>
          <w:tcPr>
            <w:tcW w:w="850" w:type="dxa"/>
            <w:vAlign w:val="center"/>
            <w:hideMark/>
          </w:tcPr>
          <w:p w14:paraId="1B01C98F"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12.10</w:t>
            </w:r>
          </w:p>
        </w:tc>
      </w:tr>
      <w:tr w:rsidR="00FF657E" w:rsidRPr="00D67274" w14:paraId="01AF92FC" w14:textId="77777777" w:rsidTr="009E34C3">
        <w:trPr>
          <w:tblCellSpacing w:w="0" w:type="dxa"/>
        </w:trPr>
        <w:tc>
          <w:tcPr>
            <w:tcW w:w="3111" w:type="dxa"/>
            <w:vAlign w:val="center"/>
            <w:hideMark/>
          </w:tcPr>
          <w:p w14:paraId="0828C7C0"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1F83CAF9"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4 to 6 years</w:t>
            </w:r>
          </w:p>
        </w:tc>
        <w:tc>
          <w:tcPr>
            <w:tcW w:w="851" w:type="dxa"/>
            <w:vAlign w:val="center"/>
            <w:hideMark/>
          </w:tcPr>
          <w:p w14:paraId="1E0E6B1B"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22</w:t>
            </w:r>
          </w:p>
        </w:tc>
        <w:tc>
          <w:tcPr>
            <w:tcW w:w="850" w:type="dxa"/>
            <w:vAlign w:val="center"/>
            <w:hideMark/>
          </w:tcPr>
          <w:p w14:paraId="2A2FAA93"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17.74</w:t>
            </w:r>
          </w:p>
        </w:tc>
      </w:tr>
      <w:tr w:rsidR="00FF657E" w:rsidRPr="00D67274" w14:paraId="7ABDE323" w14:textId="77777777" w:rsidTr="009E34C3">
        <w:trPr>
          <w:tblCellSpacing w:w="0" w:type="dxa"/>
        </w:trPr>
        <w:tc>
          <w:tcPr>
            <w:tcW w:w="3111" w:type="dxa"/>
            <w:vAlign w:val="center"/>
            <w:hideMark/>
          </w:tcPr>
          <w:p w14:paraId="47A68F42"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5BD2BC48"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1 to 3 years</w:t>
            </w:r>
          </w:p>
        </w:tc>
        <w:tc>
          <w:tcPr>
            <w:tcW w:w="851" w:type="dxa"/>
            <w:vAlign w:val="center"/>
            <w:hideMark/>
          </w:tcPr>
          <w:p w14:paraId="3E8DF6D0"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28</w:t>
            </w:r>
          </w:p>
        </w:tc>
        <w:tc>
          <w:tcPr>
            <w:tcW w:w="850" w:type="dxa"/>
            <w:vAlign w:val="center"/>
            <w:hideMark/>
          </w:tcPr>
          <w:p w14:paraId="67426F8A"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22.58</w:t>
            </w:r>
          </w:p>
        </w:tc>
      </w:tr>
      <w:tr w:rsidR="00FF657E" w:rsidRPr="00D67274" w14:paraId="51035687" w14:textId="77777777" w:rsidTr="009E34C3">
        <w:trPr>
          <w:tblCellSpacing w:w="0" w:type="dxa"/>
        </w:trPr>
        <w:tc>
          <w:tcPr>
            <w:tcW w:w="3111" w:type="dxa"/>
            <w:vAlign w:val="center"/>
            <w:hideMark/>
          </w:tcPr>
          <w:p w14:paraId="61BFA608"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1051658A"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Less than 1 year</w:t>
            </w:r>
          </w:p>
        </w:tc>
        <w:tc>
          <w:tcPr>
            <w:tcW w:w="851" w:type="dxa"/>
            <w:vAlign w:val="center"/>
            <w:hideMark/>
          </w:tcPr>
          <w:p w14:paraId="1DB11070"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22</w:t>
            </w:r>
          </w:p>
        </w:tc>
        <w:tc>
          <w:tcPr>
            <w:tcW w:w="850" w:type="dxa"/>
            <w:vAlign w:val="center"/>
            <w:hideMark/>
          </w:tcPr>
          <w:p w14:paraId="2CD06018"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17.74</w:t>
            </w:r>
          </w:p>
        </w:tc>
      </w:tr>
      <w:tr w:rsidR="00FF657E" w:rsidRPr="00D67274" w14:paraId="376E416F" w14:textId="77777777" w:rsidTr="009E34C3">
        <w:trPr>
          <w:trHeight w:val="218"/>
          <w:tblCellSpacing w:w="0" w:type="dxa"/>
        </w:trPr>
        <w:tc>
          <w:tcPr>
            <w:tcW w:w="3111" w:type="dxa"/>
            <w:vAlign w:val="center"/>
            <w:hideMark/>
          </w:tcPr>
          <w:p w14:paraId="081B62C5"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Region</w:t>
            </w:r>
          </w:p>
        </w:tc>
        <w:tc>
          <w:tcPr>
            <w:tcW w:w="4394" w:type="dxa"/>
            <w:vAlign w:val="center"/>
            <w:hideMark/>
          </w:tcPr>
          <w:p w14:paraId="1DA8DE5C"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851" w:type="dxa"/>
            <w:vAlign w:val="center"/>
            <w:hideMark/>
          </w:tcPr>
          <w:p w14:paraId="72672B23"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p>
        </w:tc>
        <w:tc>
          <w:tcPr>
            <w:tcW w:w="850" w:type="dxa"/>
            <w:vAlign w:val="center"/>
            <w:hideMark/>
          </w:tcPr>
          <w:p w14:paraId="7AEED4FF"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p>
        </w:tc>
      </w:tr>
      <w:tr w:rsidR="00FF657E" w:rsidRPr="00D67274" w14:paraId="20882930" w14:textId="77777777" w:rsidTr="009E34C3">
        <w:trPr>
          <w:tblCellSpacing w:w="0" w:type="dxa"/>
        </w:trPr>
        <w:tc>
          <w:tcPr>
            <w:tcW w:w="3111" w:type="dxa"/>
            <w:vAlign w:val="center"/>
            <w:hideMark/>
          </w:tcPr>
          <w:p w14:paraId="1BD11079"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3E71C0EF"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Africa</w:t>
            </w:r>
          </w:p>
        </w:tc>
        <w:tc>
          <w:tcPr>
            <w:tcW w:w="851" w:type="dxa"/>
            <w:vAlign w:val="center"/>
            <w:hideMark/>
          </w:tcPr>
          <w:p w14:paraId="2D035589"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29</w:t>
            </w:r>
          </w:p>
        </w:tc>
        <w:tc>
          <w:tcPr>
            <w:tcW w:w="850" w:type="dxa"/>
            <w:vAlign w:val="center"/>
            <w:hideMark/>
          </w:tcPr>
          <w:p w14:paraId="73F531E6"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23.39</w:t>
            </w:r>
          </w:p>
        </w:tc>
      </w:tr>
      <w:tr w:rsidR="00FF657E" w:rsidRPr="00D67274" w14:paraId="7F7EBE67" w14:textId="77777777" w:rsidTr="009E34C3">
        <w:trPr>
          <w:tblCellSpacing w:w="0" w:type="dxa"/>
        </w:trPr>
        <w:tc>
          <w:tcPr>
            <w:tcW w:w="3111" w:type="dxa"/>
            <w:vAlign w:val="center"/>
            <w:hideMark/>
          </w:tcPr>
          <w:p w14:paraId="22A0C7D1"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0D1E6B4E"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Asia</w:t>
            </w:r>
          </w:p>
        </w:tc>
        <w:tc>
          <w:tcPr>
            <w:tcW w:w="851" w:type="dxa"/>
            <w:vAlign w:val="center"/>
            <w:hideMark/>
          </w:tcPr>
          <w:p w14:paraId="630742A9"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40</w:t>
            </w:r>
          </w:p>
        </w:tc>
        <w:tc>
          <w:tcPr>
            <w:tcW w:w="850" w:type="dxa"/>
            <w:vAlign w:val="center"/>
            <w:hideMark/>
          </w:tcPr>
          <w:p w14:paraId="2895377F"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32.26</w:t>
            </w:r>
          </w:p>
        </w:tc>
      </w:tr>
      <w:tr w:rsidR="00FF657E" w:rsidRPr="00D67274" w14:paraId="5FA01F07" w14:textId="77777777" w:rsidTr="009E34C3">
        <w:trPr>
          <w:tblCellSpacing w:w="0" w:type="dxa"/>
        </w:trPr>
        <w:tc>
          <w:tcPr>
            <w:tcW w:w="3111" w:type="dxa"/>
            <w:vAlign w:val="center"/>
            <w:hideMark/>
          </w:tcPr>
          <w:p w14:paraId="3C5B6942"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19E1DBED"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Australia/Oceania</w:t>
            </w:r>
          </w:p>
        </w:tc>
        <w:tc>
          <w:tcPr>
            <w:tcW w:w="851" w:type="dxa"/>
            <w:vAlign w:val="center"/>
            <w:hideMark/>
          </w:tcPr>
          <w:p w14:paraId="08BEC980"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1</w:t>
            </w:r>
          </w:p>
        </w:tc>
        <w:tc>
          <w:tcPr>
            <w:tcW w:w="850" w:type="dxa"/>
            <w:vAlign w:val="center"/>
            <w:hideMark/>
          </w:tcPr>
          <w:p w14:paraId="1A44E208"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.81</w:t>
            </w:r>
          </w:p>
        </w:tc>
      </w:tr>
      <w:tr w:rsidR="00FF657E" w:rsidRPr="00D67274" w14:paraId="34C40C56" w14:textId="77777777" w:rsidTr="009E34C3">
        <w:trPr>
          <w:tblCellSpacing w:w="0" w:type="dxa"/>
        </w:trPr>
        <w:tc>
          <w:tcPr>
            <w:tcW w:w="3111" w:type="dxa"/>
            <w:vAlign w:val="center"/>
            <w:hideMark/>
          </w:tcPr>
          <w:p w14:paraId="1CD32C62"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6C5A6119"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Europe</w:t>
            </w:r>
          </w:p>
        </w:tc>
        <w:tc>
          <w:tcPr>
            <w:tcW w:w="851" w:type="dxa"/>
            <w:vAlign w:val="center"/>
            <w:hideMark/>
          </w:tcPr>
          <w:p w14:paraId="624BF072"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44</w:t>
            </w:r>
          </w:p>
        </w:tc>
        <w:tc>
          <w:tcPr>
            <w:tcW w:w="850" w:type="dxa"/>
            <w:vAlign w:val="center"/>
            <w:hideMark/>
          </w:tcPr>
          <w:p w14:paraId="165422B4"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35.48</w:t>
            </w:r>
          </w:p>
        </w:tc>
      </w:tr>
      <w:tr w:rsidR="00FF657E" w:rsidRPr="00D67274" w14:paraId="59EE6CB2" w14:textId="77777777" w:rsidTr="009E34C3">
        <w:trPr>
          <w:tblCellSpacing w:w="0" w:type="dxa"/>
        </w:trPr>
        <w:tc>
          <w:tcPr>
            <w:tcW w:w="3111" w:type="dxa"/>
            <w:vAlign w:val="center"/>
            <w:hideMark/>
          </w:tcPr>
          <w:p w14:paraId="601A1AE1"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64860932"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North America</w:t>
            </w:r>
          </w:p>
        </w:tc>
        <w:tc>
          <w:tcPr>
            <w:tcW w:w="851" w:type="dxa"/>
            <w:vAlign w:val="center"/>
            <w:hideMark/>
          </w:tcPr>
          <w:p w14:paraId="051BACBE"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8</w:t>
            </w:r>
          </w:p>
        </w:tc>
        <w:tc>
          <w:tcPr>
            <w:tcW w:w="850" w:type="dxa"/>
            <w:vAlign w:val="center"/>
            <w:hideMark/>
          </w:tcPr>
          <w:p w14:paraId="11BEA5E1"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6.45</w:t>
            </w:r>
          </w:p>
        </w:tc>
      </w:tr>
      <w:tr w:rsidR="00FF657E" w:rsidRPr="00D67274" w14:paraId="07033758" w14:textId="77777777" w:rsidTr="009E34C3">
        <w:trPr>
          <w:tblCellSpacing w:w="0" w:type="dxa"/>
        </w:trPr>
        <w:tc>
          <w:tcPr>
            <w:tcW w:w="3111" w:type="dxa"/>
            <w:vAlign w:val="center"/>
            <w:hideMark/>
          </w:tcPr>
          <w:p w14:paraId="2ACCDF34"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109B8F02"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South America</w:t>
            </w:r>
          </w:p>
        </w:tc>
        <w:tc>
          <w:tcPr>
            <w:tcW w:w="851" w:type="dxa"/>
            <w:vAlign w:val="center"/>
            <w:hideMark/>
          </w:tcPr>
          <w:p w14:paraId="3AC9ED49"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2</w:t>
            </w:r>
          </w:p>
        </w:tc>
        <w:tc>
          <w:tcPr>
            <w:tcW w:w="850" w:type="dxa"/>
            <w:vAlign w:val="center"/>
            <w:hideMark/>
          </w:tcPr>
          <w:p w14:paraId="6FA0CDC7"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1.61</w:t>
            </w:r>
          </w:p>
        </w:tc>
      </w:tr>
      <w:tr w:rsidR="00FF657E" w:rsidRPr="00D67274" w14:paraId="4FF97E7C" w14:textId="77777777" w:rsidTr="009E34C3">
        <w:trPr>
          <w:tblCellSpacing w:w="0" w:type="dxa"/>
        </w:trPr>
        <w:tc>
          <w:tcPr>
            <w:tcW w:w="3111" w:type="dxa"/>
            <w:vAlign w:val="center"/>
            <w:hideMark/>
          </w:tcPr>
          <w:p w14:paraId="216EDBC0"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Location</w:t>
            </w:r>
          </w:p>
        </w:tc>
        <w:tc>
          <w:tcPr>
            <w:tcW w:w="4394" w:type="dxa"/>
            <w:vAlign w:val="center"/>
            <w:hideMark/>
          </w:tcPr>
          <w:p w14:paraId="34F111BE"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851" w:type="dxa"/>
            <w:vAlign w:val="center"/>
            <w:hideMark/>
          </w:tcPr>
          <w:p w14:paraId="1F427A52"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p>
        </w:tc>
        <w:tc>
          <w:tcPr>
            <w:tcW w:w="850" w:type="dxa"/>
            <w:vAlign w:val="center"/>
            <w:hideMark/>
          </w:tcPr>
          <w:p w14:paraId="545B5C87"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p>
        </w:tc>
      </w:tr>
      <w:tr w:rsidR="00FF657E" w:rsidRPr="00D67274" w14:paraId="10D1E13A" w14:textId="77777777" w:rsidTr="009E34C3">
        <w:trPr>
          <w:tblCellSpacing w:w="0" w:type="dxa"/>
        </w:trPr>
        <w:tc>
          <w:tcPr>
            <w:tcW w:w="3111" w:type="dxa"/>
            <w:vAlign w:val="center"/>
            <w:hideMark/>
          </w:tcPr>
          <w:p w14:paraId="317633EA"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1EB25BD2"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Urban</w:t>
            </w:r>
          </w:p>
        </w:tc>
        <w:tc>
          <w:tcPr>
            <w:tcW w:w="851" w:type="dxa"/>
            <w:vAlign w:val="center"/>
            <w:hideMark/>
          </w:tcPr>
          <w:p w14:paraId="3B794987"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94</w:t>
            </w:r>
          </w:p>
        </w:tc>
        <w:tc>
          <w:tcPr>
            <w:tcW w:w="850" w:type="dxa"/>
            <w:vAlign w:val="center"/>
            <w:hideMark/>
          </w:tcPr>
          <w:p w14:paraId="37068966"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75.81</w:t>
            </w:r>
          </w:p>
        </w:tc>
      </w:tr>
      <w:tr w:rsidR="00FF657E" w:rsidRPr="00D67274" w14:paraId="2D148D56" w14:textId="77777777" w:rsidTr="009E34C3">
        <w:trPr>
          <w:tblCellSpacing w:w="0" w:type="dxa"/>
        </w:trPr>
        <w:tc>
          <w:tcPr>
            <w:tcW w:w="3111" w:type="dxa"/>
            <w:vAlign w:val="center"/>
            <w:hideMark/>
          </w:tcPr>
          <w:p w14:paraId="5EBA395F"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2937E068"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Suburban</w:t>
            </w:r>
          </w:p>
        </w:tc>
        <w:tc>
          <w:tcPr>
            <w:tcW w:w="851" w:type="dxa"/>
            <w:vAlign w:val="center"/>
            <w:hideMark/>
          </w:tcPr>
          <w:p w14:paraId="5FA8C906"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16</w:t>
            </w:r>
          </w:p>
        </w:tc>
        <w:tc>
          <w:tcPr>
            <w:tcW w:w="850" w:type="dxa"/>
            <w:vAlign w:val="center"/>
            <w:hideMark/>
          </w:tcPr>
          <w:p w14:paraId="6934E3D0"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12.90</w:t>
            </w:r>
          </w:p>
        </w:tc>
      </w:tr>
      <w:tr w:rsidR="00FF657E" w:rsidRPr="00D67274" w14:paraId="43F7D54A" w14:textId="77777777" w:rsidTr="009E34C3">
        <w:trPr>
          <w:trHeight w:val="414"/>
          <w:tblCellSpacing w:w="0" w:type="dxa"/>
        </w:trPr>
        <w:tc>
          <w:tcPr>
            <w:tcW w:w="3111" w:type="dxa"/>
            <w:vAlign w:val="center"/>
            <w:hideMark/>
          </w:tcPr>
          <w:p w14:paraId="087EEFDE"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08C4C00A"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Rural</w:t>
            </w:r>
          </w:p>
        </w:tc>
        <w:tc>
          <w:tcPr>
            <w:tcW w:w="851" w:type="dxa"/>
            <w:vAlign w:val="center"/>
            <w:hideMark/>
          </w:tcPr>
          <w:p w14:paraId="7F07EF6F"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14</w:t>
            </w:r>
          </w:p>
        </w:tc>
        <w:tc>
          <w:tcPr>
            <w:tcW w:w="850" w:type="dxa"/>
            <w:vAlign w:val="center"/>
            <w:hideMark/>
          </w:tcPr>
          <w:p w14:paraId="6E79712E"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11.29</w:t>
            </w:r>
          </w:p>
        </w:tc>
      </w:tr>
      <w:tr w:rsidR="00FF657E" w:rsidRPr="00D67274" w14:paraId="34A3C3BF" w14:textId="77777777" w:rsidTr="009E34C3">
        <w:trPr>
          <w:tblCellSpacing w:w="0" w:type="dxa"/>
        </w:trPr>
        <w:tc>
          <w:tcPr>
            <w:tcW w:w="3111" w:type="dxa"/>
            <w:vAlign w:val="center"/>
            <w:hideMark/>
          </w:tcPr>
          <w:p w14:paraId="15BE6129"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Highest Level of Education</w:t>
            </w:r>
          </w:p>
        </w:tc>
        <w:tc>
          <w:tcPr>
            <w:tcW w:w="4394" w:type="dxa"/>
            <w:vAlign w:val="center"/>
            <w:hideMark/>
          </w:tcPr>
          <w:p w14:paraId="43A21D3D"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851" w:type="dxa"/>
            <w:vAlign w:val="center"/>
            <w:hideMark/>
          </w:tcPr>
          <w:p w14:paraId="3D48819B"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p>
        </w:tc>
        <w:tc>
          <w:tcPr>
            <w:tcW w:w="850" w:type="dxa"/>
            <w:vAlign w:val="center"/>
            <w:hideMark/>
          </w:tcPr>
          <w:p w14:paraId="21A0E5FC"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p>
        </w:tc>
      </w:tr>
      <w:tr w:rsidR="00FF657E" w:rsidRPr="00D67274" w14:paraId="26239DF2" w14:textId="77777777" w:rsidTr="009E34C3">
        <w:trPr>
          <w:tblCellSpacing w:w="0" w:type="dxa"/>
        </w:trPr>
        <w:tc>
          <w:tcPr>
            <w:tcW w:w="3111" w:type="dxa"/>
            <w:vAlign w:val="center"/>
            <w:hideMark/>
          </w:tcPr>
          <w:p w14:paraId="09995001"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599EF321"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No formal education</w:t>
            </w:r>
          </w:p>
        </w:tc>
        <w:tc>
          <w:tcPr>
            <w:tcW w:w="851" w:type="dxa"/>
            <w:vAlign w:val="center"/>
            <w:hideMark/>
          </w:tcPr>
          <w:p w14:paraId="41E21EBE"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4</w:t>
            </w:r>
          </w:p>
        </w:tc>
        <w:tc>
          <w:tcPr>
            <w:tcW w:w="850" w:type="dxa"/>
            <w:vAlign w:val="center"/>
            <w:hideMark/>
          </w:tcPr>
          <w:p w14:paraId="1AC22C21"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3.23</w:t>
            </w:r>
          </w:p>
        </w:tc>
      </w:tr>
      <w:tr w:rsidR="00FF657E" w:rsidRPr="00D67274" w14:paraId="02078B93" w14:textId="77777777" w:rsidTr="009E34C3">
        <w:trPr>
          <w:tblCellSpacing w:w="0" w:type="dxa"/>
        </w:trPr>
        <w:tc>
          <w:tcPr>
            <w:tcW w:w="3111" w:type="dxa"/>
            <w:vAlign w:val="center"/>
            <w:hideMark/>
          </w:tcPr>
          <w:p w14:paraId="3F6F09FB"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21DEBD73"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Primary education</w:t>
            </w:r>
          </w:p>
        </w:tc>
        <w:tc>
          <w:tcPr>
            <w:tcW w:w="851" w:type="dxa"/>
            <w:vAlign w:val="center"/>
            <w:hideMark/>
          </w:tcPr>
          <w:p w14:paraId="7916A164"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4</w:t>
            </w:r>
          </w:p>
        </w:tc>
        <w:tc>
          <w:tcPr>
            <w:tcW w:w="850" w:type="dxa"/>
            <w:vAlign w:val="center"/>
            <w:hideMark/>
          </w:tcPr>
          <w:p w14:paraId="743A7781"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3.23</w:t>
            </w:r>
          </w:p>
        </w:tc>
      </w:tr>
      <w:tr w:rsidR="00FF657E" w:rsidRPr="00D67274" w14:paraId="441A3FFF" w14:textId="77777777" w:rsidTr="009E34C3">
        <w:trPr>
          <w:tblCellSpacing w:w="0" w:type="dxa"/>
        </w:trPr>
        <w:tc>
          <w:tcPr>
            <w:tcW w:w="3111" w:type="dxa"/>
            <w:vAlign w:val="center"/>
            <w:hideMark/>
          </w:tcPr>
          <w:p w14:paraId="768235AE"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7C5245A7"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Secondary education</w:t>
            </w:r>
          </w:p>
        </w:tc>
        <w:tc>
          <w:tcPr>
            <w:tcW w:w="851" w:type="dxa"/>
            <w:vAlign w:val="center"/>
            <w:hideMark/>
          </w:tcPr>
          <w:p w14:paraId="7B4708BB"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20</w:t>
            </w:r>
          </w:p>
        </w:tc>
        <w:tc>
          <w:tcPr>
            <w:tcW w:w="850" w:type="dxa"/>
            <w:vAlign w:val="center"/>
            <w:hideMark/>
          </w:tcPr>
          <w:p w14:paraId="6F26F1E1"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16.13</w:t>
            </w:r>
          </w:p>
        </w:tc>
      </w:tr>
      <w:tr w:rsidR="00FF657E" w:rsidRPr="00D67274" w14:paraId="1D605BAA" w14:textId="77777777" w:rsidTr="009E34C3">
        <w:trPr>
          <w:tblCellSpacing w:w="0" w:type="dxa"/>
        </w:trPr>
        <w:tc>
          <w:tcPr>
            <w:tcW w:w="3111" w:type="dxa"/>
            <w:vAlign w:val="center"/>
            <w:hideMark/>
          </w:tcPr>
          <w:p w14:paraId="3E15EBD5"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6A052E2E"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Higher education (Bachelor's/Diploma)</w:t>
            </w:r>
          </w:p>
        </w:tc>
        <w:tc>
          <w:tcPr>
            <w:tcW w:w="851" w:type="dxa"/>
            <w:vAlign w:val="center"/>
            <w:hideMark/>
          </w:tcPr>
          <w:p w14:paraId="63C998D0"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67</w:t>
            </w:r>
          </w:p>
        </w:tc>
        <w:tc>
          <w:tcPr>
            <w:tcW w:w="850" w:type="dxa"/>
            <w:vAlign w:val="center"/>
            <w:hideMark/>
          </w:tcPr>
          <w:p w14:paraId="47F8584D"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54.03</w:t>
            </w:r>
          </w:p>
        </w:tc>
      </w:tr>
      <w:tr w:rsidR="00FF657E" w:rsidRPr="00D67274" w14:paraId="79912EC0" w14:textId="77777777" w:rsidTr="009E34C3">
        <w:trPr>
          <w:tblCellSpacing w:w="0" w:type="dxa"/>
        </w:trPr>
        <w:tc>
          <w:tcPr>
            <w:tcW w:w="3111" w:type="dxa"/>
            <w:vAlign w:val="center"/>
            <w:hideMark/>
          </w:tcPr>
          <w:p w14:paraId="14A94C7F"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3DE85F68"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Postgraduate (Master's/Ph.D.)</w:t>
            </w:r>
          </w:p>
        </w:tc>
        <w:tc>
          <w:tcPr>
            <w:tcW w:w="851" w:type="dxa"/>
            <w:vAlign w:val="center"/>
            <w:hideMark/>
          </w:tcPr>
          <w:p w14:paraId="16A0E643"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29</w:t>
            </w:r>
          </w:p>
        </w:tc>
        <w:tc>
          <w:tcPr>
            <w:tcW w:w="850" w:type="dxa"/>
            <w:vAlign w:val="center"/>
            <w:hideMark/>
          </w:tcPr>
          <w:p w14:paraId="35AE44C6"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23.39</w:t>
            </w:r>
          </w:p>
        </w:tc>
      </w:tr>
      <w:tr w:rsidR="00FF657E" w:rsidRPr="00D67274" w14:paraId="48B50157" w14:textId="77777777" w:rsidTr="009E34C3">
        <w:trPr>
          <w:tblCellSpacing w:w="0" w:type="dxa"/>
        </w:trPr>
        <w:tc>
          <w:tcPr>
            <w:tcW w:w="3111" w:type="dxa"/>
            <w:vAlign w:val="center"/>
            <w:hideMark/>
          </w:tcPr>
          <w:p w14:paraId="51BB7F40"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Monthly Revenue</w:t>
            </w:r>
          </w:p>
        </w:tc>
        <w:tc>
          <w:tcPr>
            <w:tcW w:w="4394" w:type="dxa"/>
            <w:vAlign w:val="center"/>
            <w:hideMark/>
          </w:tcPr>
          <w:p w14:paraId="210D8BB3"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851" w:type="dxa"/>
            <w:vAlign w:val="center"/>
            <w:hideMark/>
          </w:tcPr>
          <w:p w14:paraId="1FB51684"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p>
        </w:tc>
        <w:tc>
          <w:tcPr>
            <w:tcW w:w="850" w:type="dxa"/>
            <w:vAlign w:val="center"/>
            <w:hideMark/>
          </w:tcPr>
          <w:p w14:paraId="012D7A2F"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p>
        </w:tc>
      </w:tr>
      <w:tr w:rsidR="00FF657E" w:rsidRPr="00D67274" w14:paraId="417EB48E" w14:textId="77777777" w:rsidTr="009E34C3">
        <w:trPr>
          <w:tblCellSpacing w:w="0" w:type="dxa"/>
        </w:trPr>
        <w:tc>
          <w:tcPr>
            <w:tcW w:w="3111" w:type="dxa"/>
            <w:vAlign w:val="center"/>
            <w:hideMark/>
          </w:tcPr>
          <w:p w14:paraId="63013D26"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4193B83E"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Less than $50</w:t>
            </w:r>
          </w:p>
        </w:tc>
        <w:tc>
          <w:tcPr>
            <w:tcW w:w="851" w:type="dxa"/>
            <w:vAlign w:val="center"/>
            <w:hideMark/>
          </w:tcPr>
          <w:p w14:paraId="5B0FE967"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5</w:t>
            </w:r>
          </w:p>
        </w:tc>
        <w:tc>
          <w:tcPr>
            <w:tcW w:w="850" w:type="dxa"/>
            <w:vAlign w:val="center"/>
            <w:hideMark/>
          </w:tcPr>
          <w:p w14:paraId="0C7A0E2E"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4.03</w:t>
            </w:r>
          </w:p>
        </w:tc>
      </w:tr>
      <w:tr w:rsidR="00FF657E" w:rsidRPr="00D67274" w14:paraId="2622AE7E" w14:textId="77777777" w:rsidTr="009E34C3">
        <w:trPr>
          <w:tblCellSpacing w:w="0" w:type="dxa"/>
        </w:trPr>
        <w:tc>
          <w:tcPr>
            <w:tcW w:w="3111" w:type="dxa"/>
            <w:vAlign w:val="center"/>
            <w:hideMark/>
          </w:tcPr>
          <w:p w14:paraId="34E18E1E"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4C15E944"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$51 – $100</w:t>
            </w:r>
          </w:p>
        </w:tc>
        <w:tc>
          <w:tcPr>
            <w:tcW w:w="851" w:type="dxa"/>
            <w:vAlign w:val="center"/>
            <w:hideMark/>
          </w:tcPr>
          <w:p w14:paraId="7FA2C3C5"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9</w:t>
            </w:r>
          </w:p>
        </w:tc>
        <w:tc>
          <w:tcPr>
            <w:tcW w:w="850" w:type="dxa"/>
            <w:vAlign w:val="center"/>
            <w:hideMark/>
          </w:tcPr>
          <w:p w14:paraId="223D5641"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7.26</w:t>
            </w:r>
          </w:p>
        </w:tc>
      </w:tr>
      <w:tr w:rsidR="00FF657E" w:rsidRPr="00D67274" w14:paraId="397CDA1F" w14:textId="77777777" w:rsidTr="009E34C3">
        <w:trPr>
          <w:tblCellSpacing w:w="0" w:type="dxa"/>
        </w:trPr>
        <w:tc>
          <w:tcPr>
            <w:tcW w:w="3111" w:type="dxa"/>
            <w:vAlign w:val="center"/>
            <w:hideMark/>
          </w:tcPr>
          <w:p w14:paraId="1B8CD811"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0549B1D0"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$101 – $150</w:t>
            </w:r>
          </w:p>
        </w:tc>
        <w:tc>
          <w:tcPr>
            <w:tcW w:w="851" w:type="dxa"/>
            <w:vAlign w:val="center"/>
            <w:hideMark/>
          </w:tcPr>
          <w:p w14:paraId="77371D6D"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9</w:t>
            </w:r>
          </w:p>
        </w:tc>
        <w:tc>
          <w:tcPr>
            <w:tcW w:w="850" w:type="dxa"/>
            <w:vAlign w:val="center"/>
            <w:hideMark/>
          </w:tcPr>
          <w:p w14:paraId="1870C687"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7.26</w:t>
            </w:r>
          </w:p>
        </w:tc>
      </w:tr>
      <w:tr w:rsidR="00FF657E" w:rsidRPr="00D67274" w14:paraId="62836B20" w14:textId="77777777" w:rsidTr="009E34C3">
        <w:trPr>
          <w:tblCellSpacing w:w="0" w:type="dxa"/>
        </w:trPr>
        <w:tc>
          <w:tcPr>
            <w:tcW w:w="3111" w:type="dxa"/>
            <w:vAlign w:val="center"/>
            <w:hideMark/>
          </w:tcPr>
          <w:p w14:paraId="05C8B021"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7F19A5CB"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$151 – $200</w:t>
            </w:r>
          </w:p>
        </w:tc>
        <w:tc>
          <w:tcPr>
            <w:tcW w:w="851" w:type="dxa"/>
            <w:vAlign w:val="center"/>
            <w:hideMark/>
          </w:tcPr>
          <w:p w14:paraId="15FA6BB6"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13</w:t>
            </w:r>
          </w:p>
        </w:tc>
        <w:tc>
          <w:tcPr>
            <w:tcW w:w="850" w:type="dxa"/>
            <w:vAlign w:val="center"/>
            <w:hideMark/>
          </w:tcPr>
          <w:p w14:paraId="4302EE79"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10.48</w:t>
            </w:r>
          </w:p>
        </w:tc>
      </w:tr>
      <w:tr w:rsidR="00FF657E" w:rsidRPr="00D67274" w14:paraId="11B8DC32" w14:textId="77777777" w:rsidTr="009E34C3">
        <w:trPr>
          <w:tblCellSpacing w:w="0" w:type="dxa"/>
        </w:trPr>
        <w:tc>
          <w:tcPr>
            <w:tcW w:w="3111" w:type="dxa"/>
            <w:vAlign w:val="center"/>
            <w:hideMark/>
          </w:tcPr>
          <w:p w14:paraId="66B19C4A"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46C5B1C7"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$201 – $250</w:t>
            </w:r>
          </w:p>
        </w:tc>
        <w:tc>
          <w:tcPr>
            <w:tcW w:w="851" w:type="dxa"/>
            <w:vAlign w:val="center"/>
            <w:hideMark/>
          </w:tcPr>
          <w:p w14:paraId="2941F28A"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11</w:t>
            </w:r>
          </w:p>
        </w:tc>
        <w:tc>
          <w:tcPr>
            <w:tcW w:w="850" w:type="dxa"/>
            <w:vAlign w:val="center"/>
            <w:hideMark/>
          </w:tcPr>
          <w:p w14:paraId="62026A67"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8.87</w:t>
            </w:r>
          </w:p>
        </w:tc>
      </w:tr>
      <w:tr w:rsidR="00FF657E" w:rsidRPr="00D67274" w14:paraId="3C20F3B9" w14:textId="77777777" w:rsidTr="009E34C3">
        <w:trPr>
          <w:tblCellSpacing w:w="0" w:type="dxa"/>
        </w:trPr>
        <w:tc>
          <w:tcPr>
            <w:tcW w:w="3111" w:type="dxa"/>
            <w:vAlign w:val="center"/>
            <w:hideMark/>
          </w:tcPr>
          <w:p w14:paraId="7BE4176B"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786358FB"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$251 – $300</w:t>
            </w:r>
          </w:p>
        </w:tc>
        <w:tc>
          <w:tcPr>
            <w:tcW w:w="851" w:type="dxa"/>
            <w:vAlign w:val="center"/>
            <w:hideMark/>
          </w:tcPr>
          <w:p w14:paraId="165991CB"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7</w:t>
            </w:r>
          </w:p>
        </w:tc>
        <w:tc>
          <w:tcPr>
            <w:tcW w:w="850" w:type="dxa"/>
            <w:vAlign w:val="center"/>
            <w:hideMark/>
          </w:tcPr>
          <w:p w14:paraId="053ACEEC"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5.65</w:t>
            </w:r>
          </w:p>
        </w:tc>
      </w:tr>
      <w:tr w:rsidR="00FF657E" w:rsidRPr="00D67274" w14:paraId="49074F86" w14:textId="77777777" w:rsidTr="009E34C3">
        <w:trPr>
          <w:trHeight w:val="292"/>
          <w:tblCellSpacing w:w="0" w:type="dxa"/>
        </w:trPr>
        <w:tc>
          <w:tcPr>
            <w:tcW w:w="3111" w:type="dxa"/>
            <w:vAlign w:val="center"/>
            <w:hideMark/>
          </w:tcPr>
          <w:p w14:paraId="5732DEB1"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p>
        </w:tc>
        <w:tc>
          <w:tcPr>
            <w:tcW w:w="4394" w:type="dxa"/>
            <w:vAlign w:val="center"/>
            <w:hideMark/>
          </w:tcPr>
          <w:p w14:paraId="55960803" w14:textId="77777777" w:rsidR="00AE648F" w:rsidRPr="00D67274" w:rsidRDefault="00AE648F" w:rsidP="0086386A">
            <w:pPr>
              <w:spacing w:after="0" w:line="24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$300 and Above</w:t>
            </w:r>
          </w:p>
        </w:tc>
        <w:tc>
          <w:tcPr>
            <w:tcW w:w="851" w:type="dxa"/>
            <w:vAlign w:val="center"/>
            <w:hideMark/>
          </w:tcPr>
          <w:p w14:paraId="77BE4184"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70</w:t>
            </w:r>
          </w:p>
        </w:tc>
        <w:tc>
          <w:tcPr>
            <w:tcW w:w="850" w:type="dxa"/>
            <w:vAlign w:val="center"/>
            <w:hideMark/>
          </w:tcPr>
          <w:p w14:paraId="58E44A68" w14:textId="77777777" w:rsidR="00AE648F" w:rsidRPr="00D67274" w:rsidRDefault="00AE648F" w:rsidP="0086386A">
            <w:pPr>
              <w:spacing w:after="0" w:line="240" w:lineRule="auto"/>
              <w:jc w:val="right"/>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56.45</w:t>
            </w:r>
          </w:p>
        </w:tc>
      </w:tr>
    </w:tbl>
    <w:p w14:paraId="5A09EF91" w14:textId="194CADB2" w:rsidR="00612624" w:rsidRPr="00D67274" w:rsidRDefault="00523B8A" w:rsidP="00523B8A">
      <w:pPr>
        <w:tabs>
          <w:tab w:val="left" w:pos="7410"/>
        </w:tabs>
        <w:spacing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ab/>
      </w:r>
    </w:p>
    <w:p w14:paraId="4A386D0F" w14:textId="77777777" w:rsidR="00612624" w:rsidRPr="00D67274" w:rsidRDefault="00612624" w:rsidP="00D7607B">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Data Collection Procedure</w:t>
      </w:r>
    </w:p>
    <w:p w14:paraId="2C786B74" w14:textId="53386912" w:rsidR="006F713F" w:rsidRPr="00D67274" w:rsidRDefault="00612624" w:rsidP="00D7607B">
      <w:pPr>
        <w:spacing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 xml:space="preserve">Data were collected using an online survey instrument administered through digital and professional networks, particularly </w:t>
      </w:r>
      <w:r w:rsidR="00D62BFC" w:rsidRPr="00D67274">
        <w:rPr>
          <w:rFonts w:ascii="Times New Roman" w:hAnsi="Times New Roman" w:cs="Times New Roman"/>
          <w:color w:val="000000" w:themeColor="text1"/>
        </w:rPr>
        <w:t>LinkedIn and WhatsApp</w:t>
      </w:r>
      <w:r w:rsidRPr="00D67274">
        <w:rPr>
          <w:rFonts w:ascii="Times New Roman" w:hAnsi="Times New Roman" w:cs="Times New Roman"/>
          <w:color w:val="000000" w:themeColor="text1"/>
        </w:rPr>
        <w:t>. Online distribution provided efficient access to geographically dispersed respondents and has been shown to be an effective tool for collecting data from entrepreneurial populations (Evans &amp; Mathur, 2018). Participation was voluntary, and informed consent was obtained prior to survey completion, ensuring adherence to ethical research standards.</w:t>
      </w:r>
    </w:p>
    <w:p w14:paraId="04E32862" w14:textId="77777777" w:rsidR="002B7A94" w:rsidRPr="00D67274" w:rsidRDefault="002B7A94" w:rsidP="009E34C3">
      <w:pPr>
        <w:spacing w:after="0" w:line="360" w:lineRule="auto"/>
        <w:jc w:val="both"/>
        <w:rPr>
          <w:rFonts w:ascii="Times New Roman" w:hAnsi="Times New Roman" w:cs="Times New Roman"/>
          <w:b/>
          <w:bCs/>
          <w:color w:val="000000" w:themeColor="text1"/>
          <w:lang w:val="en-GB"/>
        </w:rPr>
      </w:pPr>
      <w:r w:rsidRPr="00D67274">
        <w:rPr>
          <w:rFonts w:ascii="Times New Roman" w:hAnsi="Times New Roman" w:cs="Times New Roman"/>
          <w:b/>
          <w:bCs/>
          <w:color w:val="000000" w:themeColor="text1"/>
          <w:lang w:val="en-GB"/>
        </w:rPr>
        <w:t>Instrumentation</w:t>
      </w:r>
    </w:p>
    <w:p w14:paraId="1990F4AC" w14:textId="77777777" w:rsidR="002B7A94" w:rsidRPr="00D67274" w:rsidRDefault="002B7A94" w:rsidP="009E34C3">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The survey instrument was developed based on a synthesis of existing literature to ensure content validity. It was divided into specific sections measuring the focal constructs using a five point Likert scale (1 = strongly disagree, 5 = strongly agree). Likert type measures are commonly employed in entrepreneurship and management research as they allow the quantification of subjective perceptions into analysable data (Joshi et al., 2015). The instrument comprised 15 specific items distributed across three main constructs:</w:t>
      </w:r>
    </w:p>
    <w:p w14:paraId="69071F62" w14:textId="77777777" w:rsidR="002B7A94" w:rsidRPr="00D67274" w:rsidRDefault="002B7A94" w:rsidP="002B7A94">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The first independent variable, Indigenous Knowledge Systems (5 items), assessed local resource knowledge, cultural practices, community cooperation, oral knowledge transmission, and </w:t>
      </w:r>
      <w:r w:rsidRPr="00D67274">
        <w:rPr>
          <w:rFonts w:ascii="Times New Roman" w:hAnsi="Times New Roman" w:cs="Times New Roman"/>
          <w:color w:val="000000" w:themeColor="text1"/>
          <w:lang w:val="en-GB"/>
        </w:rPr>
        <w:lastRenderedPageBreak/>
        <w:t>traditional work ethics. Items included statements such as "Knowledge of local resources strengthens entrepreneurial decision making" and "Problem solving and decision making influenced indigenous cultural practices enhances entrepreneurial business resilience."</w:t>
      </w:r>
    </w:p>
    <w:p w14:paraId="514BD595" w14:textId="77777777" w:rsidR="002B7A94" w:rsidRPr="00D67274" w:rsidRDefault="002B7A94" w:rsidP="002B7A94">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The second independent variable, Sustainable Strategies (5 items), captured resource efficiency, adaptation to environmental changes, long term planning, minimal ecological impact, and efficient energy usage. Example items included "Efficient use of resources maintains business sustainability and operational longevity" and "Flexibility in adapting to environmental changes is crucial for entrepreneurial business long term success."</w:t>
      </w:r>
    </w:p>
    <w:p w14:paraId="654D8CF1" w14:textId="77777777" w:rsidR="002B7A94" w:rsidRPr="00D67274" w:rsidRDefault="002B7A94" w:rsidP="002B7A94">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The dependent variable, Entrepreneurial Success (5 items), evaluated business growth, resilience, innovation, operational efficiency, and market competitiveness. Items included statements such as "My business has experienced consistent growth over the past few years" and "Innovation in products or processes using Indigenous Knowledge Systems and Sustainable Strategies has positively influenced my business."</w:t>
      </w:r>
    </w:p>
    <w:p w14:paraId="6B24F541" w14:textId="77777777" w:rsidR="002B7A94" w:rsidRPr="00D67274" w:rsidRDefault="002B7A94" w:rsidP="006D6D51">
      <w:pPr>
        <w:spacing w:after="0" w:line="36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Reliability and Validity</w:t>
      </w:r>
    </w:p>
    <w:p w14:paraId="03E1BA8C" w14:textId="432D0E52" w:rsidR="002B7A94" w:rsidRPr="00D67274" w:rsidRDefault="002B7A94" w:rsidP="006D6D51">
      <w:pPr>
        <w:spacing w:after="0"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To establish the adequacy of the measurement model, both reliability and construct validity (convergent and discriminant) were rigorously assessed. Internal consistency was evaluated using Cronbach alpha, alongside composite reliability metrics (</w:t>
      </w:r>
      <w:proofErr w:type="spellStart"/>
      <w:r w:rsidRPr="00D67274">
        <w:rPr>
          <w:rFonts w:ascii="Times New Roman" w:hAnsi="Times New Roman" w:cs="Times New Roman"/>
          <w:color w:val="000000" w:themeColor="text1"/>
          <w:lang w:val="en-GB"/>
        </w:rPr>
        <w:t>rhoA</w:t>
      </w:r>
      <w:proofErr w:type="spellEnd"/>
      <w:r w:rsidRPr="00D67274">
        <w:rPr>
          <w:rFonts w:ascii="Times New Roman" w:hAnsi="Times New Roman" w:cs="Times New Roman"/>
          <w:color w:val="000000" w:themeColor="text1"/>
          <w:lang w:val="en-GB"/>
        </w:rPr>
        <w:t xml:space="preserve"> and </w:t>
      </w:r>
      <w:proofErr w:type="spellStart"/>
      <w:r w:rsidRPr="00D67274">
        <w:rPr>
          <w:rFonts w:ascii="Times New Roman" w:hAnsi="Times New Roman" w:cs="Times New Roman"/>
          <w:color w:val="000000" w:themeColor="text1"/>
          <w:lang w:val="en-GB"/>
        </w:rPr>
        <w:t>rhoC</w:t>
      </w:r>
      <w:proofErr w:type="spellEnd"/>
      <w:r w:rsidRPr="00D67274">
        <w:rPr>
          <w:rFonts w:ascii="Times New Roman" w:hAnsi="Times New Roman" w:cs="Times New Roman"/>
          <w:color w:val="000000" w:themeColor="text1"/>
          <w:lang w:val="en-GB"/>
        </w:rPr>
        <w:t xml:space="preserve">). For Entrepreneurial Success, the metrics were robust (alpha = 0.784, </w:t>
      </w:r>
      <w:proofErr w:type="spellStart"/>
      <w:r w:rsidRPr="00D67274">
        <w:rPr>
          <w:rFonts w:ascii="Times New Roman" w:hAnsi="Times New Roman" w:cs="Times New Roman"/>
          <w:color w:val="000000" w:themeColor="text1"/>
          <w:lang w:val="en-GB"/>
        </w:rPr>
        <w:t>rhoA</w:t>
      </w:r>
      <w:proofErr w:type="spellEnd"/>
      <w:r w:rsidRPr="00D67274">
        <w:rPr>
          <w:rFonts w:ascii="Times New Roman" w:hAnsi="Times New Roman" w:cs="Times New Roman"/>
          <w:color w:val="000000" w:themeColor="text1"/>
          <w:lang w:val="en-GB"/>
        </w:rPr>
        <w:t xml:space="preserve"> = 0.794, </w:t>
      </w:r>
      <w:proofErr w:type="spellStart"/>
      <w:r w:rsidRPr="00D67274">
        <w:rPr>
          <w:rFonts w:ascii="Times New Roman" w:hAnsi="Times New Roman" w:cs="Times New Roman"/>
          <w:color w:val="000000" w:themeColor="text1"/>
          <w:lang w:val="en-GB"/>
        </w:rPr>
        <w:t>rhoC</w:t>
      </w:r>
      <w:proofErr w:type="spellEnd"/>
      <w:r w:rsidRPr="00D67274">
        <w:rPr>
          <w:rFonts w:ascii="Times New Roman" w:hAnsi="Times New Roman" w:cs="Times New Roman"/>
          <w:color w:val="000000" w:themeColor="text1"/>
          <w:lang w:val="en-GB"/>
        </w:rPr>
        <w:t xml:space="preserve"> = 0.853). Indigenous Knowledge Systems demonstrated acceptable reliability (alpha = 0.704, </w:t>
      </w:r>
      <w:proofErr w:type="spellStart"/>
      <w:r w:rsidRPr="00D67274">
        <w:rPr>
          <w:rFonts w:ascii="Times New Roman" w:hAnsi="Times New Roman" w:cs="Times New Roman"/>
          <w:color w:val="000000" w:themeColor="text1"/>
          <w:lang w:val="en-GB"/>
        </w:rPr>
        <w:t>rhoA</w:t>
      </w:r>
      <w:proofErr w:type="spellEnd"/>
      <w:r w:rsidRPr="00D67274">
        <w:rPr>
          <w:rFonts w:ascii="Times New Roman" w:hAnsi="Times New Roman" w:cs="Times New Roman"/>
          <w:color w:val="000000" w:themeColor="text1"/>
          <w:lang w:val="en-GB"/>
        </w:rPr>
        <w:t xml:space="preserve"> = 0.706, </w:t>
      </w:r>
      <w:proofErr w:type="spellStart"/>
      <w:r w:rsidRPr="00D67274">
        <w:rPr>
          <w:rFonts w:ascii="Times New Roman" w:hAnsi="Times New Roman" w:cs="Times New Roman"/>
          <w:color w:val="000000" w:themeColor="text1"/>
          <w:lang w:val="en-GB"/>
        </w:rPr>
        <w:t>rhoC</w:t>
      </w:r>
      <w:proofErr w:type="spellEnd"/>
      <w:r w:rsidRPr="00D67274">
        <w:rPr>
          <w:rFonts w:ascii="Times New Roman" w:hAnsi="Times New Roman" w:cs="Times New Roman"/>
          <w:color w:val="000000" w:themeColor="text1"/>
          <w:lang w:val="en-GB"/>
        </w:rPr>
        <w:t xml:space="preserve"> = 0.808). While the alpha for Sustainable Strategies was slightly below the traditional 0.70 threshold (alpha = 0.690, </w:t>
      </w:r>
      <w:proofErr w:type="spellStart"/>
      <w:r w:rsidRPr="00D67274">
        <w:rPr>
          <w:rFonts w:ascii="Times New Roman" w:hAnsi="Times New Roman" w:cs="Times New Roman"/>
          <w:color w:val="000000" w:themeColor="text1"/>
          <w:lang w:val="en-GB"/>
        </w:rPr>
        <w:t>rhoA</w:t>
      </w:r>
      <w:proofErr w:type="spellEnd"/>
      <w:r w:rsidRPr="00D67274">
        <w:rPr>
          <w:rFonts w:ascii="Times New Roman" w:hAnsi="Times New Roman" w:cs="Times New Roman"/>
          <w:color w:val="000000" w:themeColor="text1"/>
          <w:lang w:val="en-GB"/>
        </w:rPr>
        <w:t xml:space="preserve"> = 0.697), its composite reliability (</w:t>
      </w:r>
      <w:proofErr w:type="spellStart"/>
      <w:r w:rsidRPr="00D67274">
        <w:rPr>
          <w:rFonts w:ascii="Times New Roman" w:hAnsi="Times New Roman" w:cs="Times New Roman"/>
          <w:color w:val="000000" w:themeColor="text1"/>
          <w:lang w:val="en-GB"/>
        </w:rPr>
        <w:t>rhoC</w:t>
      </w:r>
      <w:proofErr w:type="spellEnd"/>
      <w:r w:rsidRPr="00D67274">
        <w:rPr>
          <w:rFonts w:ascii="Times New Roman" w:hAnsi="Times New Roman" w:cs="Times New Roman"/>
          <w:color w:val="000000" w:themeColor="text1"/>
          <w:lang w:val="en-GB"/>
        </w:rPr>
        <w:t xml:space="preserve"> = 0.801) was strong. In exploratory research involving complex socio-cultural constructs, an alpha near 0.70 is widely considered acceptable, especially when composite reliability indicates solid internal consistency. Convergent validity was assessed using the Average Variance Extracted (AVE). Entrepreneurial Success achieved an AVE of 0.538, exceeding the standard 0.50 threshold. Indigenous Knowledge Systems (AVE = 0.458) and Sustainable Strategies (AVE = 0.447) fell slightly below this threshold. However, according to Fornell and Larcker (1981), if the AVE is less than 0.50 but the composite reliability is higher than 0.60, the convergent validity of the construct is still adequate. Given that the </w:t>
      </w:r>
      <w:proofErr w:type="spellStart"/>
      <w:r w:rsidRPr="00D67274">
        <w:rPr>
          <w:rFonts w:ascii="Times New Roman" w:hAnsi="Times New Roman" w:cs="Times New Roman"/>
          <w:color w:val="000000" w:themeColor="text1"/>
          <w:lang w:val="en-GB"/>
        </w:rPr>
        <w:t>rhoC</w:t>
      </w:r>
      <w:proofErr w:type="spellEnd"/>
      <w:r w:rsidRPr="00D67274">
        <w:rPr>
          <w:rFonts w:ascii="Times New Roman" w:hAnsi="Times New Roman" w:cs="Times New Roman"/>
          <w:color w:val="000000" w:themeColor="text1"/>
          <w:lang w:val="en-GB"/>
        </w:rPr>
        <w:t xml:space="preserve"> values for both constructs exceed 0.80, convergent validity is confirmed.</w:t>
      </w:r>
    </w:p>
    <w:p w14:paraId="3B295B0C" w14:textId="6ACD3A0B" w:rsidR="00612624" w:rsidRPr="00D67274" w:rsidRDefault="002B7A94" w:rsidP="00D7607B">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lastRenderedPageBreak/>
        <w:t xml:space="preserve">Discriminant validity was evaluated using the </w:t>
      </w:r>
      <w:proofErr w:type="spellStart"/>
      <w:r w:rsidRPr="00D67274">
        <w:rPr>
          <w:rFonts w:ascii="Times New Roman" w:hAnsi="Times New Roman" w:cs="Times New Roman"/>
          <w:color w:val="000000" w:themeColor="text1"/>
          <w:lang w:val="en-GB"/>
        </w:rPr>
        <w:t>Heterotrait</w:t>
      </w:r>
      <w:proofErr w:type="spellEnd"/>
      <w:r w:rsidRPr="00D67274">
        <w:rPr>
          <w:rFonts w:ascii="Times New Roman" w:hAnsi="Times New Roman" w:cs="Times New Roman"/>
          <w:color w:val="000000" w:themeColor="text1"/>
          <w:lang w:val="en-GB"/>
        </w:rPr>
        <w:t xml:space="preserve"> </w:t>
      </w:r>
      <w:proofErr w:type="spellStart"/>
      <w:r w:rsidRPr="00D67274">
        <w:rPr>
          <w:rFonts w:ascii="Times New Roman" w:hAnsi="Times New Roman" w:cs="Times New Roman"/>
          <w:color w:val="000000" w:themeColor="text1"/>
          <w:lang w:val="en-GB"/>
        </w:rPr>
        <w:t>Monotrait</w:t>
      </w:r>
      <w:proofErr w:type="spellEnd"/>
      <w:r w:rsidRPr="00D67274">
        <w:rPr>
          <w:rFonts w:ascii="Times New Roman" w:hAnsi="Times New Roman" w:cs="Times New Roman"/>
          <w:color w:val="000000" w:themeColor="text1"/>
          <w:lang w:val="en-GB"/>
        </w:rPr>
        <w:t xml:space="preserve"> (HTMT) ratio of correlations. The HTMT value between Sustainable Strategies and Entrepreneurial Success was 0.745, well below the strict 0.85 threshold, indicating clear distinctiveness. The HTMT values between Indigenous Knowledge Systems and Sustainable Strategies (0.914), and Indigenous Knowledge Systems and Entrepreneurial Success (0.867) were higher. While values above 0.90 warrant scrutiny, Henseler et al. (2015) note that a threshold of 0.90 is acceptable for constructs that are conceptually highly similar. Because indigenous practices and sustainable ecological strategies are deeply intertwined theoretically, these values are considered acceptable for the exploratory nature of this study.</w:t>
      </w:r>
    </w:p>
    <w:p w14:paraId="3C96A9A9" w14:textId="77777777" w:rsidR="00612624" w:rsidRPr="00D67274" w:rsidRDefault="00612624" w:rsidP="00D7607B">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Data Analysis</w:t>
      </w:r>
    </w:p>
    <w:p w14:paraId="05A0C5C2" w14:textId="5EFCAFD9" w:rsidR="002406E8" w:rsidRPr="00D67274" w:rsidRDefault="00612624" w:rsidP="00D7607B">
      <w:pPr>
        <w:spacing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Data were analy</w:t>
      </w:r>
      <w:r w:rsidR="00D62BFC" w:rsidRPr="00D67274">
        <w:rPr>
          <w:rFonts w:ascii="Times New Roman" w:hAnsi="Times New Roman" w:cs="Times New Roman"/>
          <w:color w:val="000000" w:themeColor="text1"/>
        </w:rPr>
        <w:t>s</w:t>
      </w:r>
      <w:r w:rsidRPr="00D67274">
        <w:rPr>
          <w:rFonts w:ascii="Times New Roman" w:hAnsi="Times New Roman" w:cs="Times New Roman"/>
          <w:color w:val="000000" w:themeColor="text1"/>
        </w:rPr>
        <w:t>ed using SPSS version 27 with Hayes’ PROCESS macro (Model 6), which is widely applied for mediation and serial mediation analysis in social science research (Hayes, 2022). Bootstrapping with 5,000 resamples was employed to estimate indirect effects, providing robust confidence intervals and avoiding the limitations of normal-theory significance tests. Demographic variables (experience, education, revenue, region, and location) were included as covariates to account for potential confounding influences. Statistical significance was set at the .05 level, and results were reported in line with APA 7th edition guidelines.</w:t>
      </w:r>
    </w:p>
    <w:p w14:paraId="03CF5E73" w14:textId="77777777" w:rsidR="002406E8" w:rsidRPr="00D67274" w:rsidRDefault="002406E8" w:rsidP="00D7607B">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Results</w:t>
      </w:r>
    </w:p>
    <w:p w14:paraId="1FFAB0F1" w14:textId="47AB3A18" w:rsidR="00D62BFC" w:rsidRPr="00D67274" w:rsidRDefault="002406E8" w:rsidP="00D7607B">
      <w:pPr>
        <w:spacing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 xml:space="preserve">This section presents the results of the statistical analyses conducted to test the hypotheses derived from the Indigenous Dynamic Capabilities Mediation (IDCM) model. Preliminary checks confirmed the suitability of the dataset for analysis. Mediation analyses were performed using Hayes’ PROCESS macro (Model 6) in SPSS version 27. These analyses assessed the direct, indirect, and serial effects of Indigenous Knowledge Systems (IKS) on entrepreneurial outcomes, specifically growth and competitiveness, through adaptation and innovation as mediating variables. Bootstrapping with 5,000 resamples was used to generate bias-corrected confidence intervals for all indirect effects. Demographic variables (experience, education, revenue, region, and location) were included as covariates across models to account for potential confounding influences. </w:t>
      </w:r>
    </w:p>
    <w:p w14:paraId="141C83EB" w14:textId="77777777" w:rsidR="006D6D51" w:rsidRPr="00D67274" w:rsidRDefault="006D6D51" w:rsidP="005D54D8">
      <w:pPr>
        <w:spacing w:after="0" w:line="360" w:lineRule="auto"/>
        <w:jc w:val="both"/>
        <w:rPr>
          <w:rFonts w:ascii="Times New Roman" w:hAnsi="Times New Roman" w:cs="Times New Roman"/>
          <w:color w:val="000000" w:themeColor="text1"/>
        </w:rPr>
      </w:pPr>
    </w:p>
    <w:p w14:paraId="2F2E53B1" w14:textId="77777777" w:rsidR="006D6D51" w:rsidRPr="00D67274" w:rsidRDefault="006D6D51" w:rsidP="005D54D8">
      <w:pPr>
        <w:spacing w:after="0" w:line="360" w:lineRule="auto"/>
        <w:jc w:val="both"/>
        <w:rPr>
          <w:rFonts w:ascii="Times New Roman" w:hAnsi="Times New Roman" w:cs="Times New Roman"/>
          <w:color w:val="000000" w:themeColor="text1"/>
        </w:rPr>
      </w:pPr>
    </w:p>
    <w:p w14:paraId="233B68FB" w14:textId="24FD9448" w:rsidR="005D54D8" w:rsidRPr="00D67274" w:rsidRDefault="005D54D8" w:rsidP="005D54D8">
      <w:pPr>
        <w:spacing w:after="0" w:line="360" w:lineRule="auto"/>
        <w:jc w:val="both"/>
        <w:rPr>
          <w:rFonts w:ascii="Times New Roman" w:hAnsi="Times New Roman" w:cs="Times New Roman"/>
          <w:b/>
          <w:bCs/>
          <w:color w:val="000000" w:themeColor="text1"/>
          <w:lang w:val="en-GB"/>
        </w:rPr>
      </w:pPr>
      <w:r w:rsidRPr="00D67274">
        <w:rPr>
          <w:rFonts w:ascii="Times New Roman" w:hAnsi="Times New Roman" w:cs="Times New Roman"/>
          <w:b/>
          <w:bCs/>
          <w:color w:val="000000" w:themeColor="text1"/>
          <w:lang w:val="en-GB"/>
        </w:rPr>
        <w:lastRenderedPageBreak/>
        <w:t>Testing Direct Effects: Indigenous Knowledge and Dynamic Capabilities</w:t>
      </w:r>
    </w:p>
    <w:p w14:paraId="30A4BE24" w14:textId="60570904" w:rsidR="00E936EC" w:rsidRPr="00D67274" w:rsidRDefault="005D54D8" w:rsidP="009E34C3">
      <w:pPr>
        <w:spacing w:line="360" w:lineRule="auto"/>
        <w:jc w:val="both"/>
        <w:rPr>
          <w:rFonts w:ascii="Times New Roman" w:hAnsi="Times New Roman" w:cs="Times New Roman"/>
          <w:b/>
          <w:bCs/>
          <w:color w:val="000000" w:themeColor="text1"/>
          <w:lang w:val="en-GB"/>
        </w:rPr>
      </w:pPr>
      <w:r w:rsidRPr="00D67274">
        <w:rPr>
          <w:rFonts w:ascii="Times New Roman" w:hAnsi="Times New Roman" w:cs="Times New Roman"/>
          <w:color w:val="000000" w:themeColor="text1"/>
          <w:lang w:val="en-GB"/>
        </w:rPr>
        <w:t>The first set of hypotheses examined the direct relationships between Indigenous Knowledge Systems and the mediating dynamic capabilities. Results from the PROCESS macro indicated that Indigenous Knowledge Systems significantly predicted adaptation (b = 0.168, SE = 0.033, t = 5.14, p &lt; .001, 95% CI [0.103, 0.232]), thereby providing strong support for H1. Furthermore, Indigenous Knowledge Systems significantly predicted innovation (b = 0.138, SE = 0.026, t = 5.25, p &lt; .001, 95% CI [0.086, 0.190]), which supports H2. Addressing the sequential relationship between the two dynamic capabilities, the analysis revealed that adaptation significantly predicted innovation (b = 0.320, SE = 0.067, t = 4.76, p &lt; .001, 95% CI [0.187, 0.453]). This finding confirms H3.</w:t>
      </w:r>
    </w:p>
    <w:p w14:paraId="11AE5D96" w14:textId="77777777" w:rsidR="005D54D8" w:rsidRPr="00D67274" w:rsidRDefault="005D54D8" w:rsidP="005D54D8">
      <w:pPr>
        <w:spacing w:after="0" w:line="36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Testing Direct Effects: Capabilities on Entrepreneurial Outcomes</w:t>
      </w:r>
    </w:p>
    <w:p w14:paraId="319E7E17" w14:textId="4C4F175B" w:rsidR="005D54D8" w:rsidRPr="00D67274" w:rsidRDefault="005D54D8" w:rsidP="009E34C3">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The subsequent hypotheses focused on how these dynamic capabilities predict the final outcomes of growth and competitiveness. </w:t>
      </w:r>
      <w:r w:rsidR="006D6D51" w:rsidRPr="00D67274">
        <w:rPr>
          <w:rFonts w:ascii="Times New Roman" w:hAnsi="Times New Roman" w:cs="Times New Roman"/>
          <w:color w:val="000000" w:themeColor="text1"/>
          <w:lang w:val="en-GB"/>
        </w:rPr>
        <w:t xml:space="preserve">Table 2 below shows path estimates for the IDCM model predicting entrepreneurial growth (PROCESS Model 6, N = 124). </w:t>
      </w:r>
      <w:r w:rsidRPr="00D67274">
        <w:rPr>
          <w:rFonts w:ascii="Times New Roman" w:hAnsi="Times New Roman" w:cs="Times New Roman"/>
          <w:color w:val="000000" w:themeColor="text1"/>
          <w:lang w:val="en-GB"/>
        </w:rPr>
        <w:t xml:space="preserve">As detailed in </w:t>
      </w:r>
      <w:r w:rsidR="006D6D51" w:rsidRPr="00D67274">
        <w:rPr>
          <w:rFonts w:ascii="Times New Roman" w:hAnsi="Times New Roman" w:cs="Times New Roman"/>
          <w:color w:val="000000" w:themeColor="text1"/>
          <w:lang w:val="en-GB"/>
        </w:rPr>
        <w:t>table</w:t>
      </w:r>
      <w:r w:rsidRPr="00D67274">
        <w:rPr>
          <w:rFonts w:ascii="Times New Roman" w:hAnsi="Times New Roman" w:cs="Times New Roman"/>
          <w:color w:val="000000" w:themeColor="text1"/>
          <w:lang w:val="en-GB"/>
        </w:rPr>
        <w:t>, adaptation emerged as a significant positive predictor of entrepreneurial growth (b = 0.369, SE = 0.079, t = 4.66, p &lt; .001, 95% CI [0.212, 0.526]), fully supporting H4. In contrast, the direct path from innovation to growth was only marginal and not statistically significant at the .05 level (b = 0.175, SE = 0.100, t = 1.76, p = .082, 95% CI [−0.023, 0.373]). Consequently, H5 is not supported.</w:t>
      </w:r>
    </w:p>
    <w:p w14:paraId="7DF4C789" w14:textId="77777777" w:rsidR="00ED32B3" w:rsidRPr="00D67274" w:rsidRDefault="00ED32B3" w:rsidP="00D7607B">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Path estimates for the IDCM model (PROCESS Model 6, N = 124)</w:t>
      </w:r>
    </w:p>
    <w:tbl>
      <w:tblPr>
        <w:tblW w:w="85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6"/>
        <w:gridCol w:w="795"/>
        <w:gridCol w:w="899"/>
        <w:gridCol w:w="630"/>
        <w:gridCol w:w="900"/>
        <w:gridCol w:w="1896"/>
      </w:tblGrid>
      <w:tr w:rsidR="00ED32B3" w:rsidRPr="00D67274" w14:paraId="0505A4EC" w14:textId="77777777" w:rsidTr="002F443F">
        <w:trPr>
          <w:trHeight w:val="338"/>
          <w:tblHeader/>
          <w:tblCellSpacing w:w="15" w:type="dxa"/>
        </w:trPr>
        <w:tc>
          <w:tcPr>
            <w:tcW w:w="0" w:type="auto"/>
            <w:vAlign w:val="center"/>
            <w:hideMark/>
          </w:tcPr>
          <w:p w14:paraId="3297D5AC" w14:textId="77777777" w:rsidR="00ED32B3" w:rsidRPr="00D67274" w:rsidRDefault="00ED32B3" w:rsidP="00613824">
            <w:pPr>
              <w:spacing w:after="0" w:line="276"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Path</w:t>
            </w:r>
          </w:p>
        </w:tc>
        <w:tc>
          <w:tcPr>
            <w:tcW w:w="0" w:type="auto"/>
            <w:vAlign w:val="center"/>
            <w:hideMark/>
          </w:tcPr>
          <w:p w14:paraId="05ECE78D" w14:textId="77777777" w:rsidR="00ED32B3" w:rsidRPr="00D67274" w:rsidRDefault="00ED32B3" w:rsidP="00613824">
            <w:pPr>
              <w:spacing w:after="0" w:line="276"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b</w:t>
            </w:r>
          </w:p>
        </w:tc>
        <w:tc>
          <w:tcPr>
            <w:tcW w:w="869" w:type="dxa"/>
            <w:vAlign w:val="center"/>
            <w:hideMark/>
          </w:tcPr>
          <w:p w14:paraId="6C7BCB4F" w14:textId="77777777" w:rsidR="00ED32B3" w:rsidRPr="00D67274" w:rsidRDefault="00ED32B3" w:rsidP="00613824">
            <w:pPr>
              <w:spacing w:after="0" w:line="276"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SE</w:t>
            </w:r>
          </w:p>
        </w:tc>
        <w:tc>
          <w:tcPr>
            <w:tcW w:w="600" w:type="dxa"/>
            <w:vAlign w:val="center"/>
            <w:hideMark/>
          </w:tcPr>
          <w:p w14:paraId="643393A7" w14:textId="77777777" w:rsidR="00ED32B3" w:rsidRPr="00D67274" w:rsidRDefault="00ED32B3" w:rsidP="00613824">
            <w:pPr>
              <w:spacing w:after="0" w:line="276"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t</w:t>
            </w:r>
          </w:p>
        </w:tc>
        <w:tc>
          <w:tcPr>
            <w:tcW w:w="870" w:type="dxa"/>
            <w:vAlign w:val="center"/>
            <w:hideMark/>
          </w:tcPr>
          <w:p w14:paraId="29B4548C" w14:textId="77777777" w:rsidR="00ED32B3" w:rsidRPr="00D67274" w:rsidRDefault="00ED32B3" w:rsidP="00613824">
            <w:pPr>
              <w:spacing w:after="0" w:line="276"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p</w:t>
            </w:r>
          </w:p>
        </w:tc>
        <w:tc>
          <w:tcPr>
            <w:tcW w:w="1851" w:type="dxa"/>
            <w:vAlign w:val="center"/>
            <w:hideMark/>
          </w:tcPr>
          <w:p w14:paraId="061C4166" w14:textId="77777777" w:rsidR="00ED32B3" w:rsidRPr="00D67274" w:rsidRDefault="00ED32B3" w:rsidP="00613824">
            <w:pPr>
              <w:spacing w:after="0" w:line="276"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95% CI</w:t>
            </w:r>
          </w:p>
        </w:tc>
      </w:tr>
      <w:tr w:rsidR="00ED32B3" w:rsidRPr="00D67274" w14:paraId="1B1569F4" w14:textId="77777777" w:rsidTr="002F443F">
        <w:trPr>
          <w:trHeight w:val="159"/>
          <w:tblCellSpacing w:w="15" w:type="dxa"/>
        </w:trPr>
        <w:tc>
          <w:tcPr>
            <w:tcW w:w="0" w:type="auto"/>
            <w:vAlign w:val="center"/>
            <w:hideMark/>
          </w:tcPr>
          <w:p w14:paraId="4494B46C"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IKS → ADAPT</w:t>
            </w:r>
          </w:p>
        </w:tc>
        <w:tc>
          <w:tcPr>
            <w:tcW w:w="0" w:type="auto"/>
            <w:vAlign w:val="center"/>
            <w:hideMark/>
          </w:tcPr>
          <w:p w14:paraId="17DA600A"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0.168</w:t>
            </w:r>
          </w:p>
        </w:tc>
        <w:tc>
          <w:tcPr>
            <w:tcW w:w="869" w:type="dxa"/>
            <w:vAlign w:val="center"/>
            <w:hideMark/>
          </w:tcPr>
          <w:p w14:paraId="2FA31A14"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0.033</w:t>
            </w:r>
          </w:p>
        </w:tc>
        <w:tc>
          <w:tcPr>
            <w:tcW w:w="600" w:type="dxa"/>
            <w:vAlign w:val="center"/>
            <w:hideMark/>
          </w:tcPr>
          <w:p w14:paraId="1F2C3ED2"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5.14</w:t>
            </w:r>
          </w:p>
        </w:tc>
        <w:tc>
          <w:tcPr>
            <w:tcW w:w="870" w:type="dxa"/>
            <w:vAlign w:val="center"/>
            <w:hideMark/>
          </w:tcPr>
          <w:p w14:paraId="7F72B1B0"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&lt; .001</w:t>
            </w:r>
          </w:p>
        </w:tc>
        <w:tc>
          <w:tcPr>
            <w:tcW w:w="1851" w:type="dxa"/>
            <w:vAlign w:val="center"/>
            <w:hideMark/>
          </w:tcPr>
          <w:p w14:paraId="6E179E00"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[0.103, 0.232]</w:t>
            </w:r>
          </w:p>
        </w:tc>
      </w:tr>
      <w:tr w:rsidR="00ED32B3" w:rsidRPr="00D67274" w14:paraId="3F6021FB" w14:textId="77777777" w:rsidTr="002F443F">
        <w:trPr>
          <w:trHeight w:val="167"/>
          <w:tblCellSpacing w:w="15" w:type="dxa"/>
        </w:trPr>
        <w:tc>
          <w:tcPr>
            <w:tcW w:w="0" w:type="auto"/>
            <w:vAlign w:val="center"/>
            <w:hideMark/>
          </w:tcPr>
          <w:p w14:paraId="1F8E642C"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IKS → INNOV</w:t>
            </w:r>
          </w:p>
        </w:tc>
        <w:tc>
          <w:tcPr>
            <w:tcW w:w="0" w:type="auto"/>
            <w:vAlign w:val="center"/>
            <w:hideMark/>
          </w:tcPr>
          <w:p w14:paraId="34A5BE1B"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0.138</w:t>
            </w:r>
          </w:p>
        </w:tc>
        <w:tc>
          <w:tcPr>
            <w:tcW w:w="869" w:type="dxa"/>
            <w:vAlign w:val="center"/>
            <w:hideMark/>
          </w:tcPr>
          <w:p w14:paraId="557AEEA5"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0.026</w:t>
            </w:r>
          </w:p>
        </w:tc>
        <w:tc>
          <w:tcPr>
            <w:tcW w:w="600" w:type="dxa"/>
            <w:vAlign w:val="center"/>
            <w:hideMark/>
          </w:tcPr>
          <w:p w14:paraId="68220BCD"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5.25</w:t>
            </w:r>
          </w:p>
        </w:tc>
        <w:tc>
          <w:tcPr>
            <w:tcW w:w="870" w:type="dxa"/>
            <w:vAlign w:val="center"/>
            <w:hideMark/>
          </w:tcPr>
          <w:p w14:paraId="7D2BABD5"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&lt; .001</w:t>
            </w:r>
          </w:p>
        </w:tc>
        <w:tc>
          <w:tcPr>
            <w:tcW w:w="1851" w:type="dxa"/>
            <w:vAlign w:val="center"/>
            <w:hideMark/>
          </w:tcPr>
          <w:p w14:paraId="0F6C0DF5"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[0.086, 0.190]</w:t>
            </w:r>
          </w:p>
        </w:tc>
      </w:tr>
      <w:tr w:rsidR="00ED32B3" w:rsidRPr="00D67274" w14:paraId="3952F2ED" w14:textId="77777777" w:rsidTr="002F443F">
        <w:trPr>
          <w:trHeight w:val="161"/>
          <w:tblCellSpacing w:w="15" w:type="dxa"/>
        </w:trPr>
        <w:tc>
          <w:tcPr>
            <w:tcW w:w="0" w:type="auto"/>
            <w:vAlign w:val="center"/>
            <w:hideMark/>
          </w:tcPr>
          <w:p w14:paraId="660479F1"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ADAPT → INNOV</w:t>
            </w:r>
          </w:p>
        </w:tc>
        <w:tc>
          <w:tcPr>
            <w:tcW w:w="0" w:type="auto"/>
            <w:vAlign w:val="center"/>
            <w:hideMark/>
          </w:tcPr>
          <w:p w14:paraId="54C6F1A2"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0.320</w:t>
            </w:r>
          </w:p>
        </w:tc>
        <w:tc>
          <w:tcPr>
            <w:tcW w:w="869" w:type="dxa"/>
            <w:vAlign w:val="center"/>
            <w:hideMark/>
          </w:tcPr>
          <w:p w14:paraId="6F30C0F2"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0.067</w:t>
            </w:r>
          </w:p>
        </w:tc>
        <w:tc>
          <w:tcPr>
            <w:tcW w:w="600" w:type="dxa"/>
            <w:vAlign w:val="center"/>
            <w:hideMark/>
          </w:tcPr>
          <w:p w14:paraId="3C66EFBD"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4.76</w:t>
            </w:r>
          </w:p>
        </w:tc>
        <w:tc>
          <w:tcPr>
            <w:tcW w:w="870" w:type="dxa"/>
            <w:vAlign w:val="center"/>
            <w:hideMark/>
          </w:tcPr>
          <w:p w14:paraId="5407E7D2"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&lt; .001</w:t>
            </w:r>
          </w:p>
        </w:tc>
        <w:tc>
          <w:tcPr>
            <w:tcW w:w="1851" w:type="dxa"/>
            <w:vAlign w:val="center"/>
            <w:hideMark/>
          </w:tcPr>
          <w:p w14:paraId="4E554C0A"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[0.187, 0.453]</w:t>
            </w:r>
          </w:p>
        </w:tc>
      </w:tr>
      <w:tr w:rsidR="00ED32B3" w:rsidRPr="00D67274" w14:paraId="5382505A" w14:textId="77777777" w:rsidTr="002F443F">
        <w:trPr>
          <w:trHeight w:val="116"/>
          <w:tblCellSpacing w:w="15" w:type="dxa"/>
        </w:trPr>
        <w:tc>
          <w:tcPr>
            <w:tcW w:w="0" w:type="auto"/>
            <w:vAlign w:val="center"/>
            <w:hideMark/>
          </w:tcPr>
          <w:p w14:paraId="3E3E3907"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ADAPT → GROWTH</w:t>
            </w:r>
          </w:p>
        </w:tc>
        <w:tc>
          <w:tcPr>
            <w:tcW w:w="0" w:type="auto"/>
            <w:vAlign w:val="center"/>
            <w:hideMark/>
          </w:tcPr>
          <w:p w14:paraId="741E8D98"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0.369</w:t>
            </w:r>
          </w:p>
        </w:tc>
        <w:tc>
          <w:tcPr>
            <w:tcW w:w="869" w:type="dxa"/>
            <w:vAlign w:val="center"/>
            <w:hideMark/>
          </w:tcPr>
          <w:p w14:paraId="532AE812"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0.079</w:t>
            </w:r>
          </w:p>
        </w:tc>
        <w:tc>
          <w:tcPr>
            <w:tcW w:w="600" w:type="dxa"/>
            <w:vAlign w:val="center"/>
            <w:hideMark/>
          </w:tcPr>
          <w:p w14:paraId="3015CB17"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4.66</w:t>
            </w:r>
          </w:p>
        </w:tc>
        <w:tc>
          <w:tcPr>
            <w:tcW w:w="870" w:type="dxa"/>
            <w:vAlign w:val="center"/>
            <w:hideMark/>
          </w:tcPr>
          <w:p w14:paraId="4F1CEEF2"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&lt; .001</w:t>
            </w:r>
          </w:p>
        </w:tc>
        <w:tc>
          <w:tcPr>
            <w:tcW w:w="1851" w:type="dxa"/>
            <w:vAlign w:val="center"/>
            <w:hideMark/>
          </w:tcPr>
          <w:p w14:paraId="24079F98"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[0.212, 0.526]</w:t>
            </w:r>
          </w:p>
        </w:tc>
      </w:tr>
      <w:tr w:rsidR="00ED32B3" w:rsidRPr="00D67274" w14:paraId="41E85CDC" w14:textId="77777777" w:rsidTr="002F443F">
        <w:trPr>
          <w:trHeight w:val="333"/>
          <w:tblCellSpacing w:w="15" w:type="dxa"/>
        </w:trPr>
        <w:tc>
          <w:tcPr>
            <w:tcW w:w="0" w:type="auto"/>
            <w:vAlign w:val="center"/>
            <w:hideMark/>
          </w:tcPr>
          <w:p w14:paraId="49516722"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INNOV → GROWTH</w:t>
            </w:r>
          </w:p>
        </w:tc>
        <w:tc>
          <w:tcPr>
            <w:tcW w:w="0" w:type="auto"/>
            <w:vAlign w:val="center"/>
            <w:hideMark/>
          </w:tcPr>
          <w:p w14:paraId="52EE6668"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0.175</w:t>
            </w:r>
          </w:p>
        </w:tc>
        <w:tc>
          <w:tcPr>
            <w:tcW w:w="869" w:type="dxa"/>
            <w:vAlign w:val="center"/>
            <w:hideMark/>
          </w:tcPr>
          <w:p w14:paraId="1EDB8291"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0.100</w:t>
            </w:r>
          </w:p>
        </w:tc>
        <w:tc>
          <w:tcPr>
            <w:tcW w:w="600" w:type="dxa"/>
            <w:vAlign w:val="center"/>
            <w:hideMark/>
          </w:tcPr>
          <w:p w14:paraId="662CC5E5"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1.76</w:t>
            </w:r>
          </w:p>
        </w:tc>
        <w:tc>
          <w:tcPr>
            <w:tcW w:w="870" w:type="dxa"/>
            <w:vAlign w:val="center"/>
            <w:hideMark/>
          </w:tcPr>
          <w:p w14:paraId="5EB0DE7F"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.082</w:t>
            </w:r>
          </w:p>
        </w:tc>
        <w:tc>
          <w:tcPr>
            <w:tcW w:w="1851" w:type="dxa"/>
            <w:vAlign w:val="center"/>
            <w:hideMark/>
          </w:tcPr>
          <w:p w14:paraId="42549517"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[−0.023, 0.373]</w:t>
            </w:r>
          </w:p>
        </w:tc>
      </w:tr>
      <w:tr w:rsidR="00ED32B3" w:rsidRPr="00D67274" w14:paraId="2B5A4F46" w14:textId="77777777" w:rsidTr="002F443F">
        <w:trPr>
          <w:trHeight w:val="60"/>
          <w:tblCellSpacing w:w="15" w:type="dxa"/>
        </w:trPr>
        <w:tc>
          <w:tcPr>
            <w:tcW w:w="0" w:type="auto"/>
            <w:vAlign w:val="center"/>
            <w:hideMark/>
          </w:tcPr>
          <w:p w14:paraId="0A3F4508"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IKS → GROWTH (direct)</w:t>
            </w:r>
          </w:p>
        </w:tc>
        <w:tc>
          <w:tcPr>
            <w:tcW w:w="0" w:type="auto"/>
            <w:vAlign w:val="center"/>
            <w:hideMark/>
          </w:tcPr>
          <w:p w14:paraId="384806F8"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0.060</w:t>
            </w:r>
          </w:p>
        </w:tc>
        <w:tc>
          <w:tcPr>
            <w:tcW w:w="869" w:type="dxa"/>
            <w:vAlign w:val="center"/>
            <w:hideMark/>
          </w:tcPr>
          <w:p w14:paraId="3E402160"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0.031</w:t>
            </w:r>
          </w:p>
        </w:tc>
        <w:tc>
          <w:tcPr>
            <w:tcW w:w="600" w:type="dxa"/>
            <w:vAlign w:val="center"/>
            <w:hideMark/>
          </w:tcPr>
          <w:p w14:paraId="3D4D2C14"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1.90</w:t>
            </w:r>
          </w:p>
        </w:tc>
        <w:tc>
          <w:tcPr>
            <w:tcW w:w="870" w:type="dxa"/>
            <w:vAlign w:val="center"/>
            <w:hideMark/>
          </w:tcPr>
          <w:p w14:paraId="54A0CAB0"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.060</w:t>
            </w:r>
          </w:p>
        </w:tc>
        <w:tc>
          <w:tcPr>
            <w:tcW w:w="1851" w:type="dxa"/>
            <w:vAlign w:val="center"/>
            <w:hideMark/>
          </w:tcPr>
          <w:p w14:paraId="378CB075" w14:textId="77777777" w:rsidR="00ED32B3" w:rsidRPr="00D67274" w:rsidRDefault="00ED32B3" w:rsidP="00613824">
            <w:pPr>
              <w:spacing w:after="0" w:line="276"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[−0.003, 0.122]</w:t>
            </w:r>
          </w:p>
        </w:tc>
      </w:tr>
    </w:tbl>
    <w:p w14:paraId="28E6388E" w14:textId="00AE2809" w:rsidR="00D62BFC" w:rsidRPr="00D67274" w:rsidRDefault="00D62BFC" w:rsidP="00D7607B">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 xml:space="preserve">Table </w:t>
      </w:r>
      <w:r w:rsidR="005D54D8" w:rsidRPr="00D67274">
        <w:rPr>
          <w:rFonts w:ascii="Times New Roman" w:hAnsi="Times New Roman" w:cs="Times New Roman"/>
          <w:b/>
          <w:bCs/>
          <w:color w:val="000000" w:themeColor="text1"/>
        </w:rPr>
        <w:t>2</w:t>
      </w:r>
      <w:r w:rsidRPr="00D67274">
        <w:rPr>
          <w:rFonts w:ascii="Times New Roman" w:hAnsi="Times New Roman" w:cs="Times New Roman"/>
          <w:b/>
          <w:bCs/>
          <w:color w:val="000000" w:themeColor="text1"/>
        </w:rPr>
        <w:t xml:space="preserve">: </w:t>
      </w:r>
      <w:r w:rsidRPr="00D67274">
        <w:rPr>
          <w:rFonts w:ascii="Times New Roman" w:hAnsi="Times New Roman" w:cs="Times New Roman"/>
          <w:color w:val="000000" w:themeColor="text1"/>
        </w:rPr>
        <w:t>Path estimates for the IDCM model</w:t>
      </w:r>
    </w:p>
    <w:p w14:paraId="4CC7C50F" w14:textId="77777777" w:rsidR="00613824" w:rsidRPr="00D67274" w:rsidRDefault="006D7C2A" w:rsidP="00613824">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Source:</w:t>
      </w:r>
      <w:r w:rsidRPr="00D67274">
        <w:rPr>
          <w:rFonts w:ascii="Times New Roman" w:hAnsi="Times New Roman" w:cs="Times New Roman"/>
          <w:color w:val="000000" w:themeColor="text1"/>
        </w:rPr>
        <w:t xml:space="preserve"> SPSS 27</w:t>
      </w:r>
    </w:p>
    <w:p w14:paraId="0CEB3674" w14:textId="606639E4" w:rsidR="00ED32B3" w:rsidRPr="00D67274" w:rsidRDefault="00ED32B3" w:rsidP="00613824">
      <w:pPr>
        <w:spacing w:after="0" w:line="360" w:lineRule="auto"/>
        <w:jc w:val="both"/>
        <w:rPr>
          <w:rFonts w:ascii="Times New Roman" w:hAnsi="Times New Roman" w:cs="Times New Roman"/>
          <w:color w:val="000000" w:themeColor="text1"/>
        </w:rPr>
      </w:pPr>
      <w:r w:rsidRPr="00D67274">
        <w:rPr>
          <w:rFonts w:ascii="Times New Roman" w:hAnsi="Times New Roman" w:cs="Times New Roman"/>
          <w:i/>
          <w:iCs/>
          <w:color w:val="000000" w:themeColor="text1"/>
        </w:rPr>
        <w:t>Note.</w:t>
      </w:r>
      <w:r w:rsidRPr="00D67274">
        <w:rPr>
          <w:rFonts w:ascii="Times New Roman" w:hAnsi="Times New Roman" w:cs="Times New Roman"/>
          <w:color w:val="000000" w:themeColor="text1"/>
        </w:rPr>
        <w:t xml:space="preserve"> Coefficients are unstandardi</w:t>
      </w:r>
      <w:r w:rsidR="002525EC" w:rsidRPr="00D67274">
        <w:rPr>
          <w:rFonts w:ascii="Times New Roman" w:hAnsi="Times New Roman" w:cs="Times New Roman"/>
          <w:color w:val="000000" w:themeColor="text1"/>
        </w:rPr>
        <w:t>s</w:t>
      </w:r>
      <w:r w:rsidRPr="00D67274">
        <w:rPr>
          <w:rFonts w:ascii="Times New Roman" w:hAnsi="Times New Roman" w:cs="Times New Roman"/>
          <w:color w:val="000000" w:themeColor="text1"/>
        </w:rPr>
        <w:t>ed (b). Covariates (experience, education, revenue, region, location) included but not shown for neatness.</w:t>
      </w:r>
    </w:p>
    <w:p w14:paraId="6F30BD19" w14:textId="77777777" w:rsidR="00E936EC" w:rsidRPr="00D67274" w:rsidRDefault="00E936EC" w:rsidP="0005178F">
      <w:pPr>
        <w:spacing w:after="0" w:line="36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lastRenderedPageBreak/>
        <w:t>Mediation Analysis for Entrepreneurial Growth</w:t>
      </w:r>
    </w:p>
    <w:p w14:paraId="1673894D" w14:textId="55D41D0C" w:rsidR="00E936EC" w:rsidRPr="00D67274" w:rsidRDefault="00E936EC" w:rsidP="00613824">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Hypothesis 6 posited that the effect of Indigenous Knowledge Systems on growth is mediated through adaptation and innovation. Table 3 </w:t>
      </w:r>
      <w:r w:rsidR="006D6D51" w:rsidRPr="00D67274">
        <w:rPr>
          <w:rFonts w:ascii="Times New Roman" w:hAnsi="Times New Roman" w:cs="Times New Roman"/>
          <w:color w:val="000000" w:themeColor="text1"/>
          <w:lang w:val="en-GB"/>
        </w:rPr>
        <w:t xml:space="preserve">below shows total, direct, and indirect effects of IKS on entrepreneurial growth. The table demonstrate </w:t>
      </w:r>
      <w:r w:rsidRPr="00D67274">
        <w:rPr>
          <w:rFonts w:ascii="Times New Roman" w:hAnsi="Times New Roman" w:cs="Times New Roman"/>
          <w:color w:val="000000" w:themeColor="text1"/>
          <w:lang w:val="en-GB"/>
        </w:rPr>
        <w:t>that the total effect of Indigenous Knowledge Systems on growth was significant (b = 0.155, SE = 0.029, t = 5.32, p &lt; .001). However, when mediators were included, the direct effect became nonsignificant (b = 0.060, SE = 0.031, t = 1.90, p = .060), suggesting that the relationship was explained largely through mediation.</w:t>
      </w:r>
    </w:p>
    <w:p w14:paraId="0BE21950" w14:textId="403A44F0" w:rsidR="00ED32B3" w:rsidRPr="00D67274" w:rsidRDefault="00ED32B3" w:rsidP="002F443F">
      <w:pPr>
        <w:spacing w:after="0" w:line="24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Total, direct, and indirect effects of IKS on entrepreneurial growth (PROCESS Model 6, 5,000 bootstrap samples, N = 124)</w:t>
      </w:r>
    </w:p>
    <w:tbl>
      <w:tblPr>
        <w:tblW w:w="77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6"/>
        <w:gridCol w:w="840"/>
        <w:gridCol w:w="840"/>
        <w:gridCol w:w="675"/>
        <w:gridCol w:w="945"/>
        <w:gridCol w:w="2168"/>
      </w:tblGrid>
      <w:tr w:rsidR="00ED32B3" w:rsidRPr="00D67274" w14:paraId="0CCC1876" w14:textId="77777777" w:rsidTr="002F443F">
        <w:trPr>
          <w:trHeight w:val="69"/>
          <w:tblHeader/>
          <w:tblCellSpacing w:w="15" w:type="dxa"/>
        </w:trPr>
        <w:tc>
          <w:tcPr>
            <w:tcW w:w="0" w:type="auto"/>
            <w:vAlign w:val="center"/>
            <w:hideMark/>
          </w:tcPr>
          <w:p w14:paraId="7BF1CC81"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Effect</w:t>
            </w:r>
          </w:p>
        </w:tc>
        <w:tc>
          <w:tcPr>
            <w:tcW w:w="0" w:type="auto"/>
            <w:vAlign w:val="center"/>
            <w:hideMark/>
          </w:tcPr>
          <w:p w14:paraId="063F64C8"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b</w:t>
            </w:r>
          </w:p>
        </w:tc>
        <w:tc>
          <w:tcPr>
            <w:tcW w:w="0" w:type="auto"/>
            <w:vAlign w:val="center"/>
            <w:hideMark/>
          </w:tcPr>
          <w:p w14:paraId="490A0022"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SE</w:t>
            </w:r>
          </w:p>
        </w:tc>
        <w:tc>
          <w:tcPr>
            <w:tcW w:w="0" w:type="auto"/>
            <w:vAlign w:val="center"/>
            <w:hideMark/>
          </w:tcPr>
          <w:p w14:paraId="1FB3EA07"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t</w:t>
            </w:r>
          </w:p>
        </w:tc>
        <w:tc>
          <w:tcPr>
            <w:tcW w:w="0" w:type="auto"/>
            <w:vAlign w:val="center"/>
            <w:hideMark/>
          </w:tcPr>
          <w:p w14:paraId="5425C191"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p</w:t>
            </w:r>
          </w:p>
        </w:tc>
        <w:tc>
          <w:tcPr>
            <w:tcW w:w="0" w:type="auto"/>
            <w:vAlign w:val="center"/>
            <w:hideMark/>
          </w:tcPr>
          <w:p w14:paraId="477FCC44"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95% CI</w:t>
            </w:r>
          </w:p>
        </w:tc>
      </w:tr>
      <w:tr w:rsidR="00ED32B3" w:rsidRPr="00D67274" w14:paraId="3DDA881A" w14:textId="77777777" w:rsidTr="002F443F">
        <w:trPr>
          <w:trHeight w:val="283"/>
          <w:tblCellSpacing w:w="15" w:type="dxa"/>
        </w:trPr>
        <w:tc>
          <w:tcPr>
            <w:tcW w:w="0" w:type="auto"/>
            <w:vAlign w:val="center"/>
            <w:hideMark/>
          </w:tcPr>
          <w:p w14:paraId="0CD30C7C"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Total effect (c)</w:t>
            </w:r>
          </w:p>
        </w:tc>
        <w:tc>
          <w:tcPr>
            <w:tcW w:w="0" w:type="auto"/>
            <w:vAlign w:val="center"/>
            <w:hideMark/>
          </w:tcPr>
          <w:p w14:paraId="1792AB92"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0.155</w:t>
            </w:r>
          </w:p>
        </w:tc>
        <w:tc>
          <w:tcPr>
            <w:tcW w:w="0" w:type="auto"/>
            <w:vAlign w:val="center"/>
            <w:hideMark/>
          </w:tcPr>
          <w:p w14:paraId="70CCAE31"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0.029</w:t>
            </w:r>
          </w:p>
        </w:tc>
        <w:tc>
          <w:tcPr>
            <w:tcW w:w="0" w:type="auto"/>
            <w:vAlign w:val="center"/>
            <w:hideMark/>
          </w:tcPr>
          <w:p w14:paraId="774389CE"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5.32</w:t>
            </w:r>
          </w:p>
        </w:tc>
        <w:tc>
          <w:tcPr>
            <w:tcW w:w="0" w:type="auto"/>
            <w:vAlign w:val="center"/>
            <w:hideMark/>
          </w:tcPr>
          <w:p w14:paraId="750A9559"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&lt; .001</w:t>
            </w:r>
          </w:p>
        </w:tc>
        <w:tc>
          <w:tcPr>
            <w:tcW w:w="0" w:type="auto"/>
            <w:vAlign w:val="center"/>
            <w:hideMark/>
          </w:tcPr>
          <w:p w14:paraId="32107EBB"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[0.097, 0.213]</w:t>
            </w:r>
          </w:p>
        </w:tc>
      </w:tr>
      <w:tr w:rsidR="00ED32B3" w:rsidRPr="00D67274" w14:paraId="62C86319" w14:textId="77777777" w:rsidTr="002F443F">
        <w:trPr>
          <w:trHeight w:val="203"/>
          <w:tblCellSpacing w:w="15" w:type="dxa"/>
        </w:trPr>
        <w:tc>
          <w:tcPr>
            <w:tcW w:w="0" w:type="auto"/>
            <w:vAlign w:val="center"/>
            <w:hideMark/>
          </w:tcPr>
          <w:p w14:paraId="03A421D2"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Direct effect (c′)</w:t>
            </w:r>
          </w:p>
        </w:tc>
        <w:tc>
          <w:tcPr>
            <w:tcW w:w="0" w:type="auto"/>
            <w:vAlign w:val="center"/>
            <w:hideMark/>
          </w:tcPr>
          <w:p w14:paraId="4AB216A2"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0.060</w:t>
            </w:r>
          </w:p>
        </w:tc>
        <w:tc>
          <w:tcPr>
            <w:tcW w:w="0" w:type="auto"/>
            <w:vAlign w:val="center"/>
            <w:hideMark/>
          </w:tcPr>
          <w:p w14:paraId="2D1B182C"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0.031</w:t>
            </w:r>
          </w:p>
        </w:tc>
        <w:tc>
          <w:tcPr>
            <w:tcW w:w="0" w:type="auto"/>
            <w:vAlign w:val="center"/>
            <w:hideMark/>
          </w:tcPr>
          <w:p w14:paraId="037B293A"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1.90</w:t>
            </w:r>
          </w:p>
        </w:tc>
        <w:tc>
          <w:tcPr>
            <w:tcW w:w="0" w:type="auto"/>
            <w:vAlign w:val="center"/>
            <w:hideMark/>
          </w:tcPr>
          <w:p w14:paraId="26E9565C"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.060</w:t>
            </w:r>
          </w:p>
        </w:tc>
        <w:tc>
          <w:tcPr>
            <w:tcW w:w="0" w:type="auto"/>
            <w:vAlign w:val="center"/>
            <w:hideMark/>
          </w:tcPr>
          <w:p w14:paraId="60A2DB6A"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[−0.003, 0.122]</w:t>
            </w:r>
          </w:p>
        </w:tc>
      </w:tr>
    </w:tbl>
    <w:p w14:paraId="1E18EBC8" w14:textId="2A749B36" w:rsidR="005D7C6F" w:rsidRPr="00D67274" w:rsidRDefault="005D7C6F" w:rsidP="00D7607B">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 xml:space="preserve">Table </w:t>
      </w:r>
      <w:r w:rsidR="0005178F" w:rsidRPr="00D67274">
        <w:rPr>
          <w:rFonts w:ascii="Times New Roman" w:hAnsi="Times New Roman" w:cs="Times New Roman"/>
          <w:b/>
          <w:bCs/>
          <w:color w:val="000000" w:themeColor="text1"/>
        </w:rPr>
        <w:t>3</w:t>
      </w:r>
      <w:r w:rsidRPr="00D67274">
        <w:rPr>
          <w:rFonts w:ascii="Times New Roman" w:hAnsi="Times New Roman" w:cs="Times New Roman"/>
          <w:b/>
          <w:bCs/>
          <w:color w:val="000000" w:themeColor="text1"/>
        </w:rPr>
        <w:t>:</w:t>
      </w:r>
      <w:r w:rsidRPr="00D67274">
        <w:rPr>
          <w:rFonts w:ascii="Times New Roman" w:hAnsi="Times New Roman" w:cs="Times New Roman"/>
          <w:color w:val="000000" w:themeColor="text1"/>
        </w:rPr>
        <w:t xml:space="preserve"> Total, direct, and indirect effects of IKS on entrepreneurial growth</w:t>
      </w:r>
    </w:p>
    <w:p w14:paraId="49F8F9C5" w14:textId="356568D9" w:rsidR="005D7C6F" w:rsidRPr="00D67274" w:rsidRDefault="005D7C6F" w:rsidP="00D7607B">
      <w:pPr>
        <w:spacing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Source:</w:t>
      </w:r>
      <w:r w:rsidRPr="00D67274">
        <w:rPr>
          <w:rFonts w:ascii="Times New Roman" w:hAnsi="Times New Roman" w:cs="Times New Roman"/>
          <w:color w:val="000000" w:themeColor="text1"/>
        </w:rPr>
        <w:t xml:space="preserve"> SPSS 27</w:t>
      </w:r>
    </w:p>
    <w:p w14:paraId="274E588E" w14:textId="42E20EB5" w:rsidR="0005178F" w:rsidRPr="00D67274" w:rsidRDefault="0005178F" w:rsidP="006D6D51">
      <w:pPr>
        <w:spacing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 xml:space="preserve">Table 4 </w:t>
      </w:r>
      <w:r w:rsidR="00613824" w:rsidRPr="00D67274">
        <w:rPr>
          <w:rFonts w:ascii="Times New Roman" w:hAnsi="Times New Roman" w:cs="Times New Roman"/>
          <w:color w:val="000000" w:themeColor="text1"/>
        </w:rPr>
        <w:t xml:space="preserve">below </w:t>
      </w:r>
      <w:r w:rsidRPr="00D67274">
        <w:rPr>
          <w:rFonts w:ascii="Times New Roman" w:hAnsi="Times New Roman" w:cs="Times New Roman"/>
          <w:color w:val="000000" w:themeColor="text1"/>
        </w:rPr>
        <w:t>reveals that the total indirect effect was significant (b = 0.095, Boot SE = 0.023, 95% CI [0.053, 0.145]). Among the specific indirect paths, the pathway through adaptation alone was significant (b = 0.062, Boot SE = 0.020, 95% CI [0.028, 0.104]), while the paths via innovation alone and via the sequential chain were nonsignificant. Therefore, H6 is only partially supported, as mediation occurs primarily through adaptation rather than through both capabilities equally.</w:t>
      </w:r>
    </w:p>
    <w:p w14:paraId="3C8E9E02" w14:textId="2BCE603A"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Bootstrapped indirect effects of IKS →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7"/>
        <w:gridCol w:w="1096"/>
        <w:gridCol w:w="914"/>
        <w:gridCol w:w="1207"/>
        <w:gridCol w:w="1236"/>
      </w:tblGrid>
      <w:tr w:rsidR="00ED32B3" w:rsidRPr="00D67274" w14:paraId="2387FECC" w14:textId="77777777" w:rsidTr="002F443F">
        <w:trPr>
          <w:tblHeader/>
          <w:tblCellSpacing w:w="15" w:type="dxa"/>
        </w:trPr>
        <w:tc>
          <w:tcPr>
            <w:tcW w:w="0" w:type="auto"/>
            <w:vAlign w:val="center"/>
            <w:hideMark/>
          </w:tcPr>
          <w:p w14:paraId="46508A18"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Path</w:t>
            </w:r>
          </w:p>
        </w:tc>
        <w:tc>
          <w:tcPr>
            <w:tcW w:w="0" w:type="auto"/>
            <w:vAlign w:val="center"/>
            <w:hideMark/>
          </w:tcPr>
          <w:p w14:paraId="1ACE8C9E"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Indirect b</w:t>
            </w:r>
          </w:p>
        </w:tc>
        <w:tc>
          <w:tcPr>
            <w:tcW w:w="0" w:type="auto"/>
            <w:vAlign w:val="center"/>
            <w:hideMark/>
          </w:tcPr>
          <w:p w14:paraId="00F55155"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Boot SE</w:t>
            </w:r>
          </w:p>
        </w:tc>
        <w:tc>
          <w:tcPr>
            <w:tcW w:w="0" w:type="auto"/>
            <w:vAlign w:val="center"/>
            <w:hideMark/>
          </w:tcPr>
          <w:p w14:paraId="5E3DEBBD"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Boot LLCI</w:t>
            </w:r>
          </w:p>
        </w:tc>
        <w:tc>
          <w:tcPr>
            <w:tcW w:w="0" w:type="auto"/>
            <w:vAlign w:val="center"/>
            <w:hideMark/>
          </w:tcPr>
          <w:p w14:paraId="0889A4E8"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Boot ULCI</w:t>
            </w:r>
          </w:p>
        </w:tc>
      </w:tr>
      <w:tr w:rsidR="00ED32B3" w:rsidRPr="00D67274" w14:paraId="346DF38C" w14:textId="77777777" w:rsidTr="002F443F">
        <w:trPr>
          <w:tblCellSpacing w:w="15" w:type="dxa"/>
        </w:trPr>
        <w:tc>
          <w:tcPr>
            <w:tcW w:w="0" w:type="auto"/>
            <w:vAlign w:val="center"/>
            <w:hideMark/>
          </w:tcPr>
          <w:p w14:paraId="33469986"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Total indirect</w:t>
            </w:r>
          </w:p>
        </w:tc>
        <w:tc>
          <w:tcPr>
            <w:tcW w:w="0" w:type="auto"/>
            <w:vAlign w:val="center"/>
            <w:hideMark/>
          </w:tcPr>
          <w:p w14:paraId="367C731C"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0.095</w:t>
            </w:r>
          </w:p>
        </w:tc>
        <w:tc>
          <w:tcPr>
            <w:tcW w:w="0" w:type="auto"/>
            <w:vAlign w:val="center"/>
            <w:hideMark/>
          </w:tcPr>
          <w:p w14:paraId="5F58D34F"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0.023</w:t>
            </w:r>
          </w:p>
        </w:tc>
        <w:tc>
          <w:tcPr>
            <w:tcW w:w="0" w:type="auto"/>
            <w:vAlign w:val="center"/>
            <w:hideMark/>
          </w:tcPr>
          <w:p w14:paraId="6DAF6B3E"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0.053</w:t>
            </w:r>
          </w:p>
        </w:tc>
        <w:tc>
          <w:tcPr>
            <w:tcW w:w="0" w:type="auto"/>
            <w:vAlign w:val="center"/>
            <w:hideMark/>
          </w:tcPr>
          <w:p w14:paraId="7DB218CA"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0.145</w:t>
            </w:r>
          </w:p>
        </w:tc>
      </w:tr>
      <w:tr w:rsidR="00ED32B3" w:rsidRPr="00D67274" w14:paraId="4B125A1A" w14:textId="77777777" w:rsidTr="002F443F">
        <w:trPr>
          <w:tblCellSpacing w:w="15" w:type="dxa"/>
        </w:trPr>
        <w:tc>
          <w:tcPr>
            <w:tcW w:w="0" w:type="auto"/>
            <w:vAlign w:val="center"/>
            <w:hideMark/>
          </w:tcPr>
          <w:p w14:paraId="79250691"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IKS → ADAPT → Growth</w:t>
            </w:r>
          </w:p>
        </w:tc>
        <w:tc>
          <w:tcPr>
            <w:tcW w:w="0" w:type="auto"/>
            <w:vAlign w:val="center"/>
            <w:hideMark/>
          </w:tcPr>
          <w:p w14:paraId="1C79D82C"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0.062</w:t>
            </w:r>
          </w:p>
        </w:tc>
        <w:tc>
          <w:tcPr>
            <w:tcW w:w="0" w:type="auto"/>
            <w:vAlign w:val="center"/>
            <w:hideMark/>
          </w:tcPr>
          <w:p w14:paraId="0966CE41"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0.020</w:t>
            </w:r>
          </w:p>
        </w:tc>
        <w:tc>
          <w:tcPr>
            <w:tcW w:w="0" w:type="auto"/>
            <w:vAlign w:val="center"/>
            <w:hideMark/>
          </w:tcPr>
          <w:p w14:paraId="480344EA"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0.028</w:t>
            </w:r>
          </w:p>
        </w:tc>
        <w:tc>
          <w:tcPr>
            <w:tcW w:w="0" w:type="auto"/>
            <w:vAlign w:val="center"/>
            <w:hideMark/>
          </w:tcPr>
          <w:p w14:paraId="4077B2C7"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0.104</w:t>
            </w:r>
          </w:p>
        </w:tc>
      </w:tr>
      <w:tr w:rsidR="00ED32B3" w:rsidRPr="00D67274" w14:paraId="398ED9C1" w14:textId="77777777" w:rsidTr="002F443F">
        <w:trPr>
          <w:tblCellSpacing w:w="15" w:type="dxa"/>
        </w:trPr>
        <w:tc>
          <w:tcPr>
            <w:tcW w:w="0" w:type="auto"/>
            <w:vAlign w:val="center"/>
            <w:hideMark/>
          </w:tcPr>
          <w:p w14:paraId="1A17812C"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IKS → INNOV → Growth</w:t>
            </w:r>
          </w:p>
        </w:tc>
        <w:tc>
          <w:tcPr>
            <w:tcW w:w="0" w:type="auto"/>
            <w:vAlign w:val="center"/>
            <w:hideMark/>
          </w:tcPr>
          <w:p w14:paraId="12C333C7"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0.024</w:t>
            </w:r>
          </w:p>
        </w:tc>
        <w:tc>
          <w:tcPr>
            <w:tcW w:w="0" w:type="auto"/>
            <w:vAlign w:val="center"/>
            <w:hideMark/>
          </w:tcPr>
          <w:p w14:paraId="65A61502"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0.016</w:t>
            </w:r>
          </w:p>
        </w:tc>
        <w:tc>
          <w:tcPr>
            <w:tcW w:w="0" w:type="auto"/>
            <w:vAlign w:val="center"/>
            <w:hideMark/>
          </w:tcPr>
          <w:p w14:paraId="2F80E504"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−0.004</w:t>
            </w:r>
          </w:p>
        </w:tc>
        <w:tc>
          <w:tcPr>
            <w:tcW w:w="0" w:type="auto"/>
            <w:vAlign w:val="center"/>
            <w:hideMark/>
          </w:tcPr>
          <w:p w14:paraId="7EDE8485"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0.059</w:t>
            </w:r>
          </w:p>
        </w:tc>
      </w:tr>
      <w:tr w:rsidR="00ED32B3" w:rsidRPr="00D67274" w14:paraId="5E3CEAF9" w14:textId="77777777" w:rsidTr="002F443F">
        <w:trPr>
          <w:tblCellSpacing w:w="15" w:type="dxa"/>
        </w:trPr>
        <w:tc>
          <w:tcPr>
            <w:tcW w:w="0" w:type="auto"/>
            <w:vAlign w:val="center"/>
            <w:hideMark/>
          </w:tcPr>
          <w:p w14:paraId="38448945"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IKS → ADAPT → INNOV → Growth</w:t>
            </w:r>
          </w:p>
        </w:tc>
        <w:tc>
          <w:tcPr>
            <w:tcW w:w="0" w:type="auto"/>
            <w:vAlign w:val="center"/>
            <w:hideMark/>
          </w:tcPr>
          <w:p w14:paraId="3852F2D6"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0.009</w:t>
            </w:r>
          </w:p>
        </w:tc>
        <w:tc>
          <w:tcPr>
            <w:tcW w:w="0" w:type="auto"/>
            <w:vAlign w:val="center"/>
            <w:hideMark/>
          </w:tcPr>
          <w:p w14:paraId="613ABC41"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0.006</w:t>
            </w:r>
          </w:p>
        </w:tc>
        <w:tc>
          <w:tcPr>
            <w:tcW w:w="0" w:type="auto"/>
            <w:vAlign w:val="center"/>
            <w:hideMark/>
          </w:tcPr>
          <w:p w14:paraId="2554F284"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−0.002</w:t>
            </w:r>
          </w:p>
        </w:tc>
        <w:tc>
          <w:tcPr>
            <w:tcW w:w="0" w:type="auto"/>
            <w:vAlign w:val="center"/>
            <w:hideMark/>
          </w:tcPr>
          <w:p w14:paraId="46E870D1"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0.021</w:t>
            </w:r>
          </w:p>
        </w:tc>
      </w:tr>
    </w:tbl>
    <w:p w14:paraId="0590FE8C" w14:textId="5E27D99B" w:rsidR="00D62BFC" w:rsidRPr="00D67274" w:rsidRDefault="00D62BFC" w:rsidP="00D7607B">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 xml:space="preserve">Table </w:t>
      </w:r>
      <w:r w:rsidR="001646E7" w:rsidRPr="00D67274">
        <w:rPr>
          <w:rFonts w:ascii="Times New Roman" w:hAnsi="Times New Roman" w:cs="Times New Roman"/>
          <w:b/>
          <w:bCs/>
          <w:color w:val="000000" w:themeColor="text1"/>
        </w:rPr>
        <w:t>4</w:t>
      </w:r>
      <w:r w:rsidRPr="00D67274">
        <w:rPr>
          <w:rFonts w:ascii="Times New Roman" w:hAnsi="Times New Roman" w:cs="Times New Roman"/>
          <w:b/>
          <w:bCs/>
          <w:color w:val="000000" w:themeColor="text1"/>
        </w:rPr>
        <w:t>:</w:t>
      </w:r>
      <w:r w:rsidRPr="00D67274">
        <w:rPr>
          <w:rFonts w:ascii="Times New Roman" w:hAnsi="Times New Roman" w:cs="Times New Roman"/>
          <w:color w:val="000000" w:themeColor="text1"/>
        </w:rPr>
        <w:t xml:space="preserve"> </w:t>
      </w:r>
      <w:r w:rsidR="005D7C6F" w:rsidRPr="00D67274">
        <w:rPr>
          <w:rFonts w:ascii="Times New Roman" w:hAnsi="Times New Roman" w:cs="Times New Roman"/>
          <w:color w:val="000000" w:themeColor="text1"/>
        </w:rPr>
        <w:t>Bootstrapped indirect effects of IKS → Growth</w:t>
      </w:r>
    </w:p>
    <w:p w14:paraId="620F459F" w14:textId="390B6791" w:rsidR="006D7C2A" w:rsidRPr="00D67274" w:rsidRDefault="006D7C2A" w:rsidP="00D7607B">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Source:</w:t>
      </w:r>
      <w:r w:rsidRPr="00D67274">
        <w:rPr>
          <w:rFonts w:ascii="Times New Roman" w:hAnsi="Times New Roman" w:cs="Times New Roman"/>
          <w:color w:val="000000" w:themeColor="text1"/>
        </w:rPr>
        <w:t xml:space="preserve"> SPSS 27</w:t>
      </w:r>
    </w:p>
    <w:p w14:paraId="0D49F0C9" w14:textId="68A707E3" w:rsidR="001646E7" w:rsidRPr="00D67274" w:rsidRDefault="00ED32B3" w:rsidP="001646E7">
      <w:pPr>
        <w:spacing w:line="360" w:lineRule="auto"/>
        <w:jc w:val="both"/>
        <w:rPr>
          <w:rFonts w:ascii="Times New Roman" w:hAnsi="Times New Roman" w:cs="Times New Roman"/>
          <w:color w:val="000000" w:themeColor="text1"/>
        </w:rPr>
      </w:pPr>
      <w:r w:rsidRPr="00D67274">
        <w:rPr>
          <w:rFonts w:ascii="Times New Roman" w:hAnsi="Times New Roman" w:cs="Times New Roman"/>
          <w:i/>
          <w:iCs/>
          <w:color w:val="000000" w:themeColor="text1"/>
        </w:rPr>
        <w:t>Note.</w:t>
      </w:r>
      <w:r w:rsidRPr="00D67274">
        <w:rPr>
          <w:rFonts w:ascii="Times New Roman" w:hAnsi="Times New Roman" w:cs="Times New Roman"/>
          <w:color w:val="000000" w:themeColor="text1"/>
        </w:rPr>
        <w:t xml:space="preserve"> Unstandardi</w:t>
      </w:r>
      <w:r w:rsidR="002525EC" w:rsidRPr="00D67274">
        <w:rPr>
          <w:rFonts w:ascii="Times New Roman" w:hAnsi="Times New Roman" w:cs="Times New Roman"/>
          <w:color w:val="000000" w:themeColor="text1"/>
        </w:rPr>
        <w:t>s</w:t>
      </w:r>
      <w:r w:rsidRPr="00D67274">
        <w:rPr>
          <w:rFonts w:ascii="Times New Roman" w:hAnsi="Times New Roman" w:cs="Times New Roman"/>
          <w:color w:val="000000" w:themeColor="text1"/>
        </w:rPr>
        <w:t>ed coefficients reported. Confidence intervals are 95% percentile bootstrap.</w:t>
      </w:r>
    </w:p>
    <w:p w14:paraId="45143D15" w14:textId="77777777" w:rsidR="006D6D51" w:rsidRPr="00D67274" w:rsidRDefault="006D6D51" w:rsidP="001646E7">
      <w:pPr>
        <w:spacing w:line="360" w:lineRule="auto"/>
        <w:jc w:val="both"/>
        <w:rPr>
          <w:rFonts w:ascii="Times New Roman" w:hAnsi="Times New Roman" w:cs="Times New Roman"/>
          <w:color w:val="000000" w:themeColor="text1"/>
        </w:rPr>
      </w:pPr>
    </w:p>
    <w:p w14:paraId="54F202E6" w14:textId="77777777" w:rsidR="00613824" w:rsidRPr="00D67274" w:rsidRDefault="001646E7" w:rsidP="00613824">
      <w:pPr>
        <w:spacing w:before="240" w:after="0" w:line="36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lastRenderedPageBreak/>
        <w:t>Mediation and Serial Effects for Competitiveness</w:t>
      </w:r>
    </w:p>
    <w:p w14:paraId="4454733B" w14:textId="279B04EF" w:rsidR="00E71E25" w:rsidRPr="00D67274" w:rsidRDefault="001646E7" w:rsidP="006D6D51">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When predicting competitiveness, a different pattern emerged. Table 5</w:t>
      </w:r>
      <w:r w:rsidR="006D6D51" w:rsidRPr="00D67274">
        <w:rPr>
          <w:rFonts w:ascii="Times New Roman" w:hAnsi="Times New Roman" w:cs="Times New Roman"/>
          <w:color w:val="000000" w:themeColor="text1"/>
          <w:lang w:val="en-GB"/>
        </w:rPr>
        <w:t xml:space="preserve"> below shows path estimates for the IDCM model predicting entrepreneurial competitiveness.</w:t>
      </w:r>
      <w:r w:rsidRPr="00D67274">
        <w:rPr>
          <w:rFonts w:ascii="Times New Roman" w:hAnsi="Times New Roman" w:cs="Times New Roman"/>
          <w:color w:val="000000" w:themeColor="text1"/>
          <w:lang w:val="en-GB"/>
        </w:rPr>
        <w:t xml:space="preserve"> </w:t>
      </w:r>
      <w:r w:rsidR="006D6D51" w:rsidRPr="00D67274">
        <w:rPr>
          <w:rFonts w:ascii="Times New Roman" w:hAnsi="Times New Roman" w:cs="Times New Roman"/>
          <w:color w:val="000000" w:themeColor="text1"/>
          <w:lang w:val="en-GB"/>
        </w:rPr>
        <w:t>B</w:t>
      </w:r>
      <w:r w:rsidRPr="00D67274">
        <w:rPr>
          <w:rFonts w:ascii="Times New Roman" w:hAnsi="Times New Roman" w:cs="Times New Roman"/>
          <w:color w:val="000000" w:themeColor="text1"/>
          <w:lang w:val="en-GB"/>
        </w:rPr>
        <w:t>oth adaptation (b = 0.159, p = .042) and innovation (b = 0.287, p = .004) emerged as significant positive predictors. These findings provide direct empirical support for H7 and H8, respectively.</w:t>
      </w:r>
    </w:p>
    <w:p w14:paraId="072D6B06" w14:textId="3DA6D55F" w:rsidR="00ED32B3" w:rsidRPr="00D67274" w:rsidRDefault="00ED32B3" w:rsidP="002F443F">
      <w:pPr>
        <w:spacing w:after="0" w:line="24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Path estimates for the IDCM model predicting entrepreneurial competitiveness (PROCESS Model 6, N = 124)</w:t>
      </w:r>
    </w:p>
    <w:tbl>
      <w:tblPr>
        <w:tblW w:w="73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7"/>
        <w:gridCol w:w="722"/>
        <w:gridCol w:w="722"/>
        <w:gridCol w:w="581"/>
        <w:gridCol w:w="811"/>
        <w:gridCol w:w="1859"/>
      </w:tblGrid>
      <w:tr w:rsidR="00ED32B3" w:rsidRPr="00D67274" w14:paraId="43F49BA6" w14:textId="77777777" w:rsidTr="002F443F">
        <w:trPr>
          <w:trHeight w:val="178"/>
          <w:tblHeader/>
          <w:tblCellSpacing w:w="15" w:type="dxa"/>
        </w:trPr>
        <w:tc>
          <w:tcPr>
            <w:tcW w:w="0" w:type="auto"/>
            <w:vAlign w:val="center"/>
            <w:hideMark/>
          </w:tcPr>
          <w:p w14:paraId="746F6ACA" w14:textId="77777777" w:rsidR="00ED32B3" w:rsidRPr="00D67274" w:rsidRDefault="00ED32B3" w:rsidP="002F443F">
            <w:pPr>
              <w:spacing w:after="0" w:line="24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Path</w:t>
            </w:r>
          </w:p>
        </w:tc>
        <w:tc>
          <w:tcPr>
            <w:tcW w:w="0" w:type="auto"/>
            <w:vAlign w:val="center"/>
            <w:hideMark/>
          </w:tcPr>
          <w:p w14:paraId="7160CEA0" w14:textId="77777777" w:rsidR="00ED32B3" w:rsidRPr="00D67274" w:rsidRDefault="00ED32B3" w:rsidP="002F443F">
            <w:pPr>
              <w:spacing w:after="0" w:line="24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b</w:t>
            </w:r>
          </w:p>
        </w:tc>
        <w:tc>
          <w:tcPr>
            <w:tcW w:w="0" w:type="auto"/>
            <w:vAlign w:val="center"/>
            <w:hideMark/>
          </w:tcPr>
          <w:p w14:paraId="29E3CB16" w14:textId="77777777" w:rsidR="00ED32B3" w:rsidRPr="00D67274" w:rsidRDefault="00ED32B3" w:rsidP="002F443F">
            <w:pPr>
              <w:spacing w:after="0" w:line="24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SE</w:t>
            </w:r>
          </w:p>
        </w:tc>
        <w:tc>
          <w:tcPr>
            <w:tcW w:w="0" w:type="auto"/>
            <w:vAlign w:val="center"/>
            <w:hideMark/>
          </w:tcPr>
          <w:p w14:paraId="22F2C151" w14:textId="77777777" w:rsidR="00ED32B3" w:rsidRPr="00D67274" w:rsidRDefault="00ED32B3" w:rsidP="002F443F">
            <w:pPr>
              <w:spacing w:after="0" w:line="24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t</w:t>
            </w:r>
          </w:p>
        </w:tc>
        <w:tc>
          <w:tcPr>
            <w:tcW w:w="0" w:type="auto"/>
            <w:vAlign w:val="center"/>
            <w:hideMark/>
          </w:tcPr>
          <w:p w14:paraId="55EF0E5A" w14:textId="77777777" w:rsidR="00ED32B3" w:rsidRPr="00D67274" w:rsidRDefault="00ED32B3" w:rsidP="002F443F">
            <w:pPr>
              <w:spacing w:after="0" w:line="24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p</w:t>
            </w:r>
          </w:p>
        </w:tc>
        <w:tc>
          <w:tcPr>
            <w:tcW w:w="0" w:type="auto"/>
            <w:vAlign w:val="center"/>
            <w:hideMark/>
          </w:tcPr>
          <w:p w14:paraId="4F0668F0" w14:textId="77777777" w:rsidR="00ED32B3" w:rsidRPr="00D67274" w:rsidRDefault="00ED32B3" w:rsidP="002F443F">
            <w:pPr>
              <w:spacing w:after="0" w:line="24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95% CI</w:t>
            </w:r>
          </w:p>
        </w:tc>
      </w:tr>
      <w:tr w:rsidR="00ED32B3" w:rsidRPr="00D67274" w14:paraId="4DDE884A" w14:textId="77777777" w:rsidTr="002F443F">
        <w:trPr>
          <w:trHeight w:val="250"/>
          <w:tblCellSpacing w:w="15" w:type="dxa"/>
        </w:trPr>
        <w:tc>
          <w:tcPr>
            <w:tcW w:w="0" w:type="auto"/>
            <w:vAlign w:val="center"/>
            <w:hideMark/>
          </w:tcPr>
          <w:p w14:paraId="1A040EB1"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IKS → ADAPT</w:t>
            </w:r>
          </w:p>
        </w:tc>
        <w:tc>
          <w:tcPr>
            <w:tcW w:w="0" w:type="auto"/>
            <w:vAlign w:val="center"/>
            <w:hideMark/>
          </w:tcPr>
          <w:p w14:paraId="28B4588B"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0.168</w:t>
            </w:r>
          </w:p>
        </w:tc>
        <w:tc>
          <w:tcPr>
            <w:tcW w:w="0" w:type="auto"/>
            <w:vAlign w:val="center"/>
            <w:hideMark/>
          </w:tcPr>
          <w:p w14:paraId="29B5A7D6"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0.033</w:t>
            </w:r>
          </w:p>
        </w:tc>
        <w:tc>
          <w:tcPr>
            <w:tcW w:w="0" w:type="auto"/>
            <w:vAlign w:val="center"/>
            <w:hideMark/>
          </w:tcPr>
          <w:p w14:paraId="38F48054"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5.14</w:t>
            </w:r>
          </w:p>
        </w:tc>
        <w:tc>
          <w:tcPr>
            <w:tcW w:w="0" w:type="auto"/>
            <w:vAlign w:val="center"/>
            <w:hideMark/>
          </w:tcPr>
          <w:p w14:paraId="16EBEA37"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&lt; .001</w:t>
            </w:r>
          </w:p>
        </w:tc>
        <w:tc>
          <w:tcPr>
            <w:tcW w:w="0" w:type="auto"/>
            <w:vAlign w:val="center"/>
            <w:hideMark/>
          </w:tcPr>
          <w:p w14:paraId="7384EF55"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[0.103, 0.232]</w:t>
            </w:r>
          </w:p>
        </w:tc>
      </w:tr>
      <w:tr w:rsidR="00ED32B3" w:rsidRPr="00D67274" w14:paraId="5D20A904" w14:textId="77777777" w:rsidTr="002F443F">
        <w:trPr>
          <w:trHeight w:val="313"/>
          <w:tblCellSpacing w:w="15" w:type="dxa"/>
        </w:trPr>
        <w:tc>
          <w:tcPr>
            <w:tcW w:w="0" w:type="auto"/>
            <w:vAlign w:val="center"/>
            <w:hideMark/>
          </w:tcPr>
          <w:p w14:paraId="6D1F54D3"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IKS → INNOV</w:t>
            </w:r>
          </w:p>
        </w:tc>
        <w:tc>
          <w:tcPr>
            <w:tcW w:w="0" w:type="auto"/>
            <w:vAlign w:val="center"/>
            <w:hideMark/>
          </w:tcPr>
          <w:p w14:paraId="6606099A"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0.138</w:t>
            </w:r>
          </w:p>
        </w:tc>
        <w:tc>
          <w:tcPr>
            <w:tcW w:w="0" w:type="auto"/>
            <w:vAlign w:val="center"/>
            <w:hideMark/>
          </w:tcPr>
          <w:p w14:paraId="10AB48F7"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0.026</w:t>
            </w:r>
          </w:p>
        </w:tc>
        <w:tc>
          <w:tcPr>
            <w:tcW w:w="0" w:type="auto"/>
            <w:vAlign w:val="center"/>
            <w:hideMark/>
          </w:tcPr>
          <w:p w14:paraId="161AF46A"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5.25</w:t>
            </w:r>
          </w:p>
        </w:tc>
        <w:tc>
          <w:tcPr>
            <w:tcW w:w="0" w:type="auto"/>
            <w:vAlign w:val="center"/>
            <w:hideMark/>
          </w:tcPr>
          <w:p w14:paraId="231F4154"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&lt; .001</w:t>
            </w:r>
          </w:p>
        </w:tc>
        <w:tc>
          <w:tcPr>
            <w:tcW w:w="0" w:type="auto"/>
            <w:vAlign w:val="center"/>
            <w:hideMark/>
          </w:tcPr>
          <w:p w14:paraId="0119FD8D"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[0.086, 0.190]</w:t>
            </w:r>
          </w:p>
        </w:tc>
      </w:tr>
      <w:tr w:rsidR="00ED32B3" w:rsidRPr="00D67274" w14:paraId="74E467F1" w14:textId="77777777" w:rsidTr="002F443F">
        <w:trPr>
          <w:trHeight w:val="219"/>
          <w:tblCellSpacing w:w="15" w:type="dxa"/>
        </w:trPr>
        <w:tc>
          <w:tcPr>
            <w:tcW w:w="0" w:type="auto"/>
            <w:vAlign w:val="center"/>
            <w:hideMark/>
          </w:tcPr>
          <w:p w14:paraId="4900F165"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ADAPT → INNOV</w:t>
            </w:r>
          </w:p>
        </w:tc>
        <w:tc>
          <w:tcPr>
            <w:tcW w:w="0" w:type="auto"/>
            <w:vAlign w:val="center"/>
            <w:hideMark/>
          </w:tcPr>
          <w:p w14:paraId="4439870F"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0.320</w:t>
            </w:r>
          </w:p>
        </w:tc>
        <w:tc>
          <w:tcPr>
            <w:tcW w:w="0" w:type="auto"/>
            <w:vAlign w:val="center"/>
            <w:hideMark/>
          </w:tcPr>
          <w:p w14:paraId="6DFF1C58"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0.067</w:t>
            </w:r>
          </w:p>
        </w:tc>
        <w:tc>
          <w:tcPr>
            <w:tcW w:w="0" w:type="auto"/>
            <w:vAlign w:val="center"/>
            <w:hideMark/>
          </w:tcPr>
          <w:p w14:paraId="6EEF4A43"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4.76</w:t>
            </w:r>
          </w:p>
        </w:tc>
        <w:tc>
          <w:tcPr>
            <w:tcW w:w="0" w:type="auto"/>
            <w:vAlign w:val="center"/>
            <w:hideMark/>
          </w:tcPr>
          <w:p w14:paraId="6D00D490"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&lt; .001</w:t>
            </w:r>
          </w:p>
        </w:tc>
        <w:tc>
          <w:tcPr>
            <w:tcW w:w="0" w:type="auto"/>
            <w:vAlign w:val="center"/>
            <w:hideMark/>
          </w:tcPr>
          <w:p w14:paraId="53E78BA0"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[0.187, 0.453]</w:t>
            </w:r>
          </w:p>
        </w:tc>
      </w:tr>
      <w:tr w:rsidR="00ED32B3" w:rsidRPr="00D67274" w14:paraId="2157B452" w14:textId="77777777" w:rsidTr="002F443F">
        <w:trPr>
          <w:trHeight w:val="139"/>
          <w:tblCellSpacing w:w="15" w:type="dxa"/>
        </w:trPr>
        <w:tc>
          <w:tcPr>
            <w:tcW w:w="0" w:type="auto"/>
            <w:vAlign w:val="center"/>
            <w:hideMark/>
          </w:tcPr>
          <w:p w14:paraId="79747B30"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ADAPT → COMP</w:t>
            </w:r>
          </w:p>
        </w:tc>
        <w:tc>
          <w:tcPr>
            <w:tcW w:w="0" w:type="auto"/>
            <w:vAlign w:val="center"/>
            <w:hideMark/>
          </w:tcPr>
          <w:p w14:paraId="04A6DD59"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0.159</w:t>
            </w:r>
          </w:p>
        </w:tc>
        <w:tc>
          <w:tcPr>
            <w:tcW w:w="0" w:type="auto"/>
            <w:vAlign w:val="center"/>
            <w:hideMark/>
          </w:tcPr>
          <w:p w14:paraId="10864B05"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0.077</w:t>
            </w:r>
          </w:p>
        </w:tc>
        <w:tc>
          <w:tcPr>
            <w:tcW w:w="0" w:type="auto"/>
            <w:vAlign w:val="center"/>
            <w:hideMark/>
          </w:tcPr>
          <w:p w14:paraId="0AF8AE53"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2.06</w:t>
            </w:r>
          </w:p>
        </w:tc>
        <w:tc>
          <w:tcPr>
            <w:tcW w:w="0" w:type="auto"/>
            <w:vAlign w:val="center"/>
            <w:hideMark/>
          </w:tcPr>
          <w:p w14:paraId="01445FC7"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.042</w:t>
            </w:r>
          </w:p>
        </w:tc>
        <w:tc>
          <w:tcPr>
            <w:tcW w:w="0" w:type="auto"/>
            <w:vAlign w:val="center"/>
            <w:hideMark/>
          </w:tcPr>
          <w:p w14:paraId="371AFC8E"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[0.006, 0.311]</w:t>
            </w:r>
          </w:p>
        </w:tc>
      </w:tr>
      <w:tr w:rsidR="00ED32B3" w:rsidRPr="00D67274" w14:paraId="592F06E7" w14:textId="77777777" w:rsidTr="002F443F">
        <w:trPr>
          <w:trHeight w:val="241"/>
          <w:tblCellSpacing w:w="15" w:type="dxa"/>
        </w:trPr>
        <w:tc>
          <w:tcPr>
            <w:tcW w:w="0" w:type="auto"/>
            <w:vAlign w:val="center"/>
            <w:hideMark/>
          </w:tcPr>
          <w:p w14:paraId="3CAD7FD6"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INNOV → COMP</w:t>
            </w:r>
          </w:p>
        </w:tc>
        <w:tc>
          <w:tcPr>
            <w:tcW w:w="0" w:type="auto"/>
            <w:vAlign w:val="center"/>
            <w:hideMark/>
          </w:tcPr>
          <w:p w14:paraId="670E0A9C"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0.287</w:t>
            </w:r>
          </w:p>
        </w:tc>
        <w:tc>
          <w:tcPr>
            <w:tcW w:w="0" w:type="auto"/>
            <w:vAlign w:val="center"/>
            <w:hideMark/>
          </w:tcPr>
          <w:p w14:paraId="20B9E2A8"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0.097</w:t>
            </w:r>
          </w:p>
        </w:tc>
        <w:tc>
          <w:tcPr>
            <w:tcW w:w="0" w:type="auto"/>
            <w:vAlign w:val="center"/>
            <w:hideMark/>
          </w:tcPr>
          <w:p w14:paraId="163914A9"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2.95</w:t>
            </w:r>
          </w:p>
        </w:tc>
        <w:tc>
          <w:tcPr>
            <w:tcW w:w="0" w:type="auto"/>
            <w:vAlign w:val="center"/>
            <w:hideMark/>
          </w:tcPr>
          <w:p w14:paraId="26DA51C4"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.004</w:t>
            </w:r>
          </w:p>
        </w:tc>
        <w:tc>
          <w:tcPr>
            <w:tcW w:w="0" w:type="auto"/>
            <w:vAlign w:val="center"/>
            <w:hideMark/>
          </w:tcPr>
          <w:p w14:paraId="207F92CA"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[0.094, 0.480]</w:t>
            </w:r>
          </w:p>
        </w:tc>
      </w:tr>
      <w:tr w:rsidR="00ED32B3" w:rsidRPr="00D67274" w14:paraId="329C9EAC" w14:textId="77777777" w:rsidTr="002F443F">
        <w:trPr>
          <w:trHeight w:val="317"/>
          <w:tblCellSpacing w:w="15" w:type="dxa"/>
        </w:trPr>
        <w:tc>
          <w:tcPr>
            <w:tcW w:w="0" w:type="auto"/>
            <w:vAlign w:val="center"/>
            <w:hideMark/>
          </w:tcPr>
          <w:p w14:paraId="7C28BC9B"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IKS → COMP (direct)</w:t>
            </w:r>
          </w:p>
        </w:tc>
        <w:tc>
          <w:tcPr>
            <w:tcW w:w="0" w:type="auto"/>
            <w:vAlign w:val="center"/>
            <w:hideMark/>
          </w:tcPr>
          <w:p w14:paraId="41D88DB4"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0.048</w:t>
            </w:r>
          </w:p>
        </w:tc>
        <w:tc>
          <w:tcPr>
            <w:tcW w:w="0" w:type="auto"/>
            <w:vAlign w:val="center"/>
            <w:hideMark/>
          </w:tcPr>
          <w:p w14:paraId="2BC114EC"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0.031</w:t>
            </w:r>
          </w:p>
        </w:tc>
        <w:tc>
          <w:tcPr>
            <w:tcW w:w="0" w:type="auto"/>
            <w:vAlign w:val="center"/>
            <w:hideMark/>
          </w:tcPr>
          <w:p w14:paraId="294C761B"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1.56</w:t>
            </w:r>
          </w:p>
        </w:tc>
        <w:tc>
          <w:tcPr>
            <w:tcW w:w="0" w:type="auto"/>
            <w:vAlign w:val="center"/>
            <w:hideMark/>
          </w:tcPr>
          <w:p w14:paraId="755BB183"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.121</w:t>
            </w:r>
          </w:p>
        </w:tc>
        <w:tc>
          <w:tcPr>
            <w:tcW w:w="0" w:type="auto"/>
            <w:vAlign w:val="center"/>
            <w:hideMark/>
          </w:tcPr>
          <w:p w14:paraId="59B5E846" w14:textId="77777777"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[−0.013, 0.109]</w:t>
            </w:r>
          </w:p>
        </w:tc>
      </w:tr>
    </w:tbl>
    <w:p w14:paraId="7BDB6817" w14:textId="7548F48C" w:rsidR="002525EC" w:rsidRPr="00D67274" w:rsidRDefault="002525EC" w:rsidP="00D7607B">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 xml:space="preserve">Table </w:t>
      </w:r>
      <w:r w:rsidR="00E71E25" w:rsidRPr="00D67274">
        <w:rPr>
          <w:rFonts w:ascii="Times New Roman" w:hAnsi="Times New Roman" w:cs="Times New Roman"/>
          <w:b/>
          <w:bCs/>
          <w:color w:val="000000" w:themeColor="text1"/>
        </w:rPr>
        <w:t>5</w:t>
      </w:r>
      <w:r w:rsidRPr="00D67274">
        <w:rPr>
          <w:rFonts w:ascii="Times New Roman" w:hAnsi="Times New Roman" w:cs="Times New Roman"/>
          <w:b/>
          <w:bCs/>
          <w:color w:val="000000" w:themeColor="text1"/>
        </w:rPr>
        <w:t>:</w:t>
      </w:r>
      <w:r w:rsidRPr="00D67274">
        <w:rPr>
          <w:rFonts w:ascii="Times New Roman" w:hAnsi="Times New Roman" w:cs="Times New Roman"/>
          <w:color w:val="000000" w:themeColor="text1"/>
        </w:rPr>
        <w:t xml:space="preserve"> Path estimates for the IDCM model predicting entrepreneurial competitiveness</w:t>
      </w:r>
    </w:p>
    <w:p w14:paraId="3D7FECC6" w14:textId="5DFE3245" w:rsidR="006D7C2A" w:rsidRPr="00D67274" w:rsidRDefault="006D7C2A" w:rsidP="006D6D51">
      <w:pPr>
        <w:spacing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Source:</w:t>
      </w:r>
      <w:r w:rsidRPr="00D67274">
        <w:rPr>
          <w:rFonts w:ascii="Times New Roman" w:hAnsi="Times New Roman" w:cs="Times New Roman"/>
          <w:color w:val="000000" w:themeColor="text1"/>
        </w:rPr>
        <w:t xml:space="preserve"> SPSS 27</w:t>
      </w:r>
    </w:p>
    <w:p w14:paraId="3BD3C129" w14:textId="51F107B5" w:rsidR="00016DA1" w:rsidRPr="00D67274" w:rsidRDefault="00016DA1" w:rsidP="00326C10">
      <w:pPr>
        <w:spacing w:after="0"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Hypothesis 9 proposed that the effect of Indigenous Knowledge Systems on competitiveness is mediated through these capabilities. Table 6 </w:t>
      </w:r>
      <w:r w:rsidR="006D6D51" w:rsidRPr="00D67274">
        <w:rPr>
          <w:rFonts w:ascii="Times New Roman" w:hAnsi="Times New Roman" w:cs="Times New Roman"/>
          <w:color w:val="000000" w:themeColor="text1"/>
          <w:lang w:val="en-GB"/>
        </w:rPr>
        <w:t xml:space="preserve">below </w:t>
      </w:r>
      <w:r w:rsidRPr="00D67274">
        <w:rPr>
          <w:rFonts w:ascii="Times New Roman" w:hAnsi="Times New Roman" w:cs="Times New Roman"/>
          <w:color w:val="000000" w:themeColor="text1"/>
          <w:lang w:val="en-GB"/>
        </w:rPr>
        <w:t xml:space="preserve">shows that the total effect of Indigenous Knowledge Systems on competitiveness was significant (b = 0.129, p &lt; .001). However, when adaptation and innovation were accounted for, the direct effect dropped to </w:t>
      </w:r>
      <w:proofErr w:type="spellStart"/>
      <w:r w:rsidRPr="00D67274">
        <w:rPr>
          <w:rFonts w:ascii="Times New Roman" w:hAnsi="Times New Roman" w:cs="Times New Roman"/>
          <w:color w:val="000000" w:themeColor="text1"/>
          <w:lang w:val="en-GB"/>
        </w:rPr>
        <w:t>nonsignificance</w:t>
      </w:r>
      <w:proofErr w:type="spellEnd"/>
      <w:r w:rsidRPr="00D67274">
        <w:rPr>
          <w:rFonts w:ascii="Times New Roman" w:hAnsi="Times New Roman" w:cs="Times New Roman"/>
          <w:color w:val="000000" w:themeColor="text1"/>
          <w:lang w:val="en-GB"/>
        </w:rPr>
        <w:t xml:space="preserve"> (b = 0.048, p = .121), pointing to full mediation and strongly supporting H9</w:t>
      </w:r>
      <w:r w:rsidRPr="00D67274">
        <w:rPr>
          <w:rFonts w:ascii="Times New Roman" w:hAnsi="Times New Roman" w:cs="Times New Roman"/>
          <w:b/>
          <w:bCs/>
          <w:color w:val="000000" w:themeColor="text1"/>
          <w:lang w:val="en-GB"/>
        </w:rPr>
        <w:t>.</w:t>
      </w:r>
    </w:p>
    <w:p w14:paraId="74731F5A" w14:textId="77777777" w:rsidR="00326C10" w:rsidRPr="00D67274" w:rsidRDefault="00326C10" w:rsidP="002F443F">
      <w:pPr>
        <w:spacing w:after="0" w:line="240" w:lineRule="auto"/>
        <w:jc w:val="both"/>
        <w:rPr>
          <w:rFonts w:ascii="Times New Roman" w:hAnsi="Times New Roman" w:cs="Times New Roman"/>
          <w:color w:val="000000" w:themeColor="text1"/>
          <w:lang w:val="en-GB"/>
        </w:rPr>
      </w:pPr>
    </w:p>
    <w:p w14:paraId="4005FCA2" w14:textId="01B41415" w:rsidR="00ED32B3" w:rsidRPr="00D67274" w:rsidRDefault="00ED32B3" w:rsidP="002F443F">
      <w:pPr>
        <w:spacing w:after="0" w:line="24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Total, direct, and indirect effects of IKS on entrepreneurial competitiveness (PROCESS Model 6, 5,000 bootstrap samples, N = 124)</w:t>
      </w:r>
    </w:p>
    <w:tbl>
      <w:tblPr>
        <w:tblW w:w="74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5"/>
        <w:gridCol w:w="812"/>
        <w:gridCol w:w="812"/>
        <w:gridCol w:w="653"/>
        <w:gridCol w:w="912"/>
        <w:gridCol w:w="2093"/>
      </w:tblGrid>
      <w:tr w:rsidR="00ED32B3" w:rsidRPr="00D67274" w14:paraId="27A5051B" w14:textId="77777777" w:rsidTr="002F443F">
        <w:trPr>
          <w:trHeight w:val="35"/>
          <w:tblHeader/>
          <w:tblCellSpacing w:w="15" w:type="dxa"/>
        </w:trPr>
        <w:tc>
          <w:tcPr>
            <w:tcW w:w="0" w:type="auto"/>
            <w:vAlign w:val="center"/>
            <w:hideMark/>
          </w:tcPr>
          <w:p w14:paraId="40B9A4C0"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Effect</w:t>
            </w:r>
          </w:p>
        </w:tc>
        <w:tc>
          <w:tcPr>
            <w:tcW w:w="0" w:type="auto"/>
            <w:vAlign w:val="center"/>
            <w:hideMark/>
          </w:tcPr>
          <w:p w14:paraId="2CF221AF"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b</w:t>
            </w:r>
          </w:p>
        </w:tc>
        <w:tc>
          <w:tcPr>
            <w:tcW w:w="0" w:type="auto"/>
            <w:vAlign w:val="center"/>
            <w:hideMark/>
          </w:tcPr>
          <w:p w14:paraId="6002F86F"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SE</w:t>
            </w:r>
          </w:p>
        </w:tc>
        <w:tc>
          <w:tcPr>
            <w:tcW w:w="0" w:type="auto"/>
            <w:vAlign w:val="center"/>
            <w:hideMark/>
          </w:tcPr>
          <w:p w14:paraId="6D01AD90"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t</w:t>
            </w:r>
          </w:p>
        </w:tc>
        <w:tc>
          <w:tcPr>
            <w:tcW w:w="0" w:type="auto"/>
            <w:vAlign w:val="center"/>
            <w:hideMark/>
          </w:tcPr>
          <w:p w14:paraId="746C5516"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p</w:t>
            </w:r>
          </w:p>
        </w:tc>
        <w:tc>
          <w:tcPr>
            <w:tcW w:w="0" w:type="auto"/>
            <w:vAlign w:val="center"/>
            <w:hideMark/>
          </w:tcPr>
          <w:p w14:paraId="7B091CDB"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95% CI</w:t>
            </w:r>
          </w:p>
        </w:tc>
      </w:tr>
      <w:tr w:rsidR="00ED32B3" w:rsidRPr="00D67274" w14:paraId="49C26A17" w14:textId="77777777" w:rsidTr="002F443F">
        <w:trPr>
          <w:trHeight w:val="171"/>
          <w:tblCellSpacing w:w="15" w:type="dxa"/>
        </w:trPr>
        <w:tc>
          <w:tcPr>
            <w:tcW w:w="0" w:type="auto"/>
            <w:vAlign w:val="center"/>
            <w:hideMark/>
          </w:tcPr>
          <w:p w14:paraId="00C1A6EB"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Total effect (c)</w:t>
            </w:r>
          </w:p>
        </w:tc>
        <w:tc>
          <w:tcPr>
            <w:tcW w:w="0" w:type="auto"/>
            <w:vAlign w:val="center"/>
            <w:hideMark/>
          </w:tcPr>
          <w:p w14:paraId="202D2B23"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0.129</w:t>
            </w:r>
          </w:p>
        </w:tc>
        <w:tc>
          <w:tcPr>
            <w:tcW w:w="0" w:type="auto"/>
            <w:vAlign w:val="center"/>
            <w:hideMark/>
          </w:tcPr>
          <w:p w14:paraId="7FDCA62B"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0.027</w:t>
            </w:r>
          </w:p>
        </w:tc>
        <w:tc>
          <w:tcPr>
            <w:tcW w:w="0" w:type="auto"/>
            <w:vAlign w:val="center"/>
            <w:hideMark/>
          </w:tcPr>
          <w:p w14:paraId="4EDFBDC3"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4.82</w:t>
            </w:r>
          </w:p>
        </w:tc>
        <w:tc>
          <w:tcPr>
            <w:tcW w:w="0" w:type="auto"/>
            <w:vAlign w:val="center"/>
            <w:hideMark/>
          </w:tcPr>
          <w:p w14:paraId="787FC6EA"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&lt; .001</w:t>
            </w:r>
          </w:p>
        </w:tc>
        <w:tc>
          <w:tcPr>
            <w:tcW w:w="0" w:type="auto"/>
            <w:vAlign w:val="center"/>
            <w:hideMark/>
          </w:tcPr>
          <w:p w14:paraId="58FF007C"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[0.076, 0.183]</w:t>
            </w:r>
          </w:p>
        </w:tc>
      </w:tr>
      <w:tr w:rsidR="00ED32B3" w:rsidRPr="00D67274" w14:paraId="6FB02655" w14:textId="77777777" w:rsidTr="002F443F">
        <w:trPr>
          <w:trHeight w:val="60"/>
          <w:tblCellSpacing w:w="15" w:type="dxa"/>
        </w:trPr>
        <w:tc>
          <w:tcPr>
            <w:tcW w:w="0" w:type="auto"/>
            <w:vAlign w:val="center"/>
            <w:hideMark/>
          </w:tcPr>
          <w:p w14:paraId="426CD46A"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Direct effect (c′)</w:t>
            </w:r>
          </w:p>
        </w:tc>
        <w:tc>
          <w:tcPr>
            <w:tcW w:w="0" w:type="auto"/>
            <w:vAlign w:val="center"/>
            <w:hideMark/>
          </w:tcPr>
          <w:p w14:paraId="641DBB1A"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0.048</w:t>
            </w:r>
          </w:p>
        </w:tc>
        <w:tc>
          <w:tcPr>
            <w:tcW w:w="0" w:type="auto"/>
            <w:vAlign w:val="center"/>
            <w:hideMark/>
          </w:tcPr>
          <w:p w14:paraId="639FB10E"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0.031</w:t>
            </w:r>
          </w:p>
        </w:tc>
        <w:tc>
          <w:tcPr>
            <w:tcW w:w="0" w:type="auto"/>
            <w:vAlign w:val="center"/>
            <w:hideMark/>
          </w:tcPr>
          <w:p w14:paraId="00585369"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1.56</w:t>
            </w:r>
          </w:p>
        </w:tc>
        <w:tc>
          <w:tcPr>
            <w:tcW w:w="0" w:type="auto"/>
            <w:vAlign w:val="center"/>
            <w:hideMark/>
          </w:tcPr>
          <w:p w14:paraId="57849725"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.121</w:t>
            </w:r>
          </w:p>
        </w:tc>
        <w:tc>
          <w:tcPr>
            <w:tcW w:w="0" w:type="auto"/>
            <w:vAlign w:val="center"/>
            <w:hideMark/>
          </w:tcPr>
          <w:p w14:paraId="14A74288"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[−0.013, 0.109]</w:t>
            </w:r>
          </w:p>
        </w:tc>
      </w:tr>
    </w:tbl>
    <w:p w14:paraId="2B3B06D6" w14:textId="14841206" w:rsidR="005D7C6F" w:rsidRPr="00D67274" w:rsidRDefault="005D7C6F" w:rsidP="00D7607B">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 xml:space="preserve">Table </w:t>
      </w:r>
      <w:r w:rsidR="00326C10" w:rsidRPr="00D67274">
        <w:rPr>
          <w:rFonts w:ascii="Times New Roman" w:hAnsi="Times New Roman" w:cs="Times New Roman"/>
          <w:b/>
          <w:bCs/>
          <w:color w:val="000000" w:themeColor="text1"/>
        </w:rPr>
        <w:t>6</w:t>
      </w:r>
      <w:r w:rsidRPr="00D67274">
        <w:rPr>
          <w:rFonts w:ascii="Times New Roman" w:hAnsi="Times New Roman" w:cs="Times New Roman"/>
          <w:b/>
          <w:bCs/>
          <w:color w:val="000000" w:themeColor="text1"/>
        </w:rPr>
        <w:t>:</w:t>
      </w:r>
      <w:r w:rsidRPr="00D67274">
        <w:rPr>
          <w:rFonts w:ascii="Times New Roman" w:hAnsi="Times New Roman" w:cs="Times New Roman"/>
          <w:color w:val="000000" w:themeColor="text1"/>
        </w:rPr>
        <w:t xml:space="preserve"> Total, direct, and indirect effects of IKS on entrepreneurial competitiveness</w:t>
      </w:r>
    </w:p>
    <w:p w14:paraId="5FD7B3AC" w14:textId="40B4C08C" w:rsidR="00AA4300" w:rsidRPr="00D67274" w:rsidRDefault="005D7C6F" w:rsidP="00D7607B">
      <w:pPr>
        <w:spacing w:after="24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Source:</w:t>
      </w:r>
      <w:r w:rsidRPr="00D67274">
        <w:rPr>
          <w:rFonts w:ascii="Times New Roman" w:hAnsi="Times New Roman" w:cs="Times New Roman"/>
          <w:color w:val="000000" w:themeColor="text1"/>
        </w:rPr>
        <w:t xml:space="preserve"> SPSS 27</w:t>
      </w:r>
    </w:p>
    <w:p w14:paraId="0352E242" w14:textId="785D8150" w:rsidR="00B53E78" w:rsidRPr="00D67274" w:rsidRDefault="00B53E78" w:rsidP="006D6D51">
      <w:pPr>
        <w:spacing w:line="360" w:lineRule="auto"/>
        <w:jc w:val="both"/>
        <w:rPr>
          <w:rFonts w:ascii="Times New Roman" w:hAnsi="Times New Roman" w:cs="Times New Roman"/>
          <w:b/>
          <w:bCs/>
          <w:color w:val="000000" w:themeColor="text1"/>
        </w:rPr>
      </w:pPr>
      <w:r w:rsidRPr="00D67274">
        <w:rPr>
          <w:rFonts w:ascii="Times New Roman" w:hAnsi="Times New Roman" w:cs="Times New Roman"/>
          <w:color w:val="000000" w:themeColor="text1"/>
        </w:rPr>
        <w:t xml:space="preserve">Hypothesis 10 explicitly tested the serial mediation logic. This sequence examines whether indigenous knowledge first enhances operational adaptation, which subsequently fosters creative </w:t>
      </w:r>
      <w:r w:rsidRPr="00D67274">
        <w:rPr>
          <w:rFonts w:ascii="Times New Roman" w:hAnsi="Times New Roman" w:cs="Times New Roman"/>
          <w:color w:val="000000" w:themeColor="text1"/>
        </w:rPr>
        <w:lastRenderedPageBreak/>
        <w:t>innovation, ultimately driving market competitiveness. As detailed in Table 7</w:t>
      </w:r>
      <w:r w:rsidR="006D6D51" w:rsidRPr="00D67274">
        <w:rPr>
          <w:rFonts w:ascii="Times New Roman" w:hAnsi="Times New Roman" w:cs="Times New Roman"/>
          <w:color w:val="000000" w:themeColor="text1"/>
        </w:rPr>
        <w:t xml:space="preserve"> below</w:t>
      </w:r>
      <w:r w:rsidRPr="00D67274">
        <w:rPr>
          <w:rFonts w:ascii="Times New Roman" w:hAnsi="Times New Roman" w:cs="Times New Roman"/>
          <w:color w:val="000000" w:themeColor="text1"/>
        </w:rPr>
        <w:t>, the total indirect effect was significant (b = 0.082, 95% CI [0.045, 0.122]). Examination of individual paths revealed that the effect operated primarily via innovation alone (b = 0.040, 95% CI [0.008, 0.079]) and through the specified serial pathway from adaptation to innovation (b = 0.015, 95% CI [0.003, 0.032]). Because this sequential mechanism proved statistically significant, H10 is fully supported.</w:t>
      </w:r>
    </w:p>
    <w:p w14:paraId="53BB7D4B" w14:textId="483DBB9A" w:rsidR="00ED32B3" w:rsidRPr="00D67274" w:rsidRDefault="00ED32B3" w:rsidP="002F443F">
      <w:pPr>
        <w:spacing w:after="0" w:line="24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Bootstrapped indirect effects of IKS → Competitiveness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27"/>
        <w:gridCol w:w="1096"/>
        <w:gridCol w:w="914"/>
        <w:gridCol w:w="1207"/>
        <w:gridCol w:w="1236"/>
      </w:tblGrid>
      <w:tr w:rsidR="00ED32B3" w:rsidRPr="00D67274" w14:paraId="77D03DAC" w14:textId="77777777" w:rsidTr="002F443F">
        <w:trPr>
          <w:tblHeader/>
          <w:tblCellSpacing w:w="15" w:type="dxa"/>
        </w:trPr>
        <w:tc>
          <w:tcPr>
            <w:tcW w:w="0" w:type="auto"/>
            <w:vAlign w:val="center"/>
            <w:hideMark/>
          </w:tcPr>
          <w:p w14:paraId="5AC28E2C"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Path</w:t>
            </w:r>
          </w:p>
        </w:tc>
        <w:tc>
          <w:tcPr>
            <w:tcW w:w="0" w:type="auto"/>
            <w:vAlign w:val="center"/>
            <w:hideMark/>
          </w:tcPr>
          <w:p w14:paraId="74D50559"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Indirect b</w:t>
            </w:r>
          </w:p>
        </w:tc>
        <w:tc>
          <w:tcPr>
            <w:tcW w:w="0" w:type="auto"/>
            <w:vAlign w:val="center"/>
            <w:hideMark/>
          </w:tcPr>
          <w:p w14:paraId="2B3B1F98"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Boot SE</w:t>
            </w:r>
          </w:p>
        </w:tc>
        <w:tc>
          <w:tcPr>
            <w:tcW w:w="0" w:type="auto"/>
            <w:vAlign w:val="center"/>
            <w:hideMark/>
          </w:tcPr>
          <w:p w14:paraId="1637D23A"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Boot LLCI</w:t>
            </w:r>
          </w:p>
        </w:tc>
        <w:tc>
          <w:tcPr>
            <w:tcW w:w="0" w:type="auto"/>
            <w:vAlign w:val="center"/>
            <w:hideMark/>
          </w:tcPr>
          <w:p w14:paraId="7688C3E6" w14:textId="77777777" w:rsidR="00ED32B3" w:rsidRPr="00D67274" w:rsidRDefault="00ED32B3" w:rsidP="00AA4300">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t>Boot ULCI</w:t>
            </w:r>
          </w:p>
        </w:tc>
      </w:tr>
      <w:tr w:rsidR="00ED32B3" w:rsidRPr="00D67274" w14:paraId="5281301F" w14:textId="77777777" w:rsidTr="002F443F">
        <w:trPr>
          <w:tblCellSpacing w:w="15" w:type="dxa"/>
        </w:trPr>
        <w:tc>
          <w:tcPr>
            <w:tcW w:w="0" w:type="auto"/>
            <w:vAlign w:val="center"/>
            <w:hideMark/>
          </w:tcPr>
          <w:p w14:paraId="0ADAD7B7"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Total indirect</w:t>
            </w:r>
          </w:p>
        </w:tc>
        <w:tc>
          <w:tcPr>
            <w:tcW w:w="0" w:type="auto"/>
            <w:vAlign w:val="center"/>
            <w:hideMark/>
          </w:tcPr>
          <w:p w14:paraId="08922E12"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0.082</w:t>
            </w:r>
          </w:p>
        </w:tc>
        <w:tc>
          <w:tcPr>
            <w:tcW w:w="0" w:type="auto"/>
            <w:vAlign w:val="center"/>
            <w:hideMark/>
          </w:tcPr>
          <w:p w14:paraId="6AFE30EB"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0.019</w:t>
            </w:r>
          </w:p>
        </w:tc>
        <w:tc>
          <w:tcPr>
            <w:tcW w:w="0" w:type="auto"/>
            <w:vAlign w:val="center"/>
            <w:hideMark/>
          </w:tcPr>
          <w:p w14:paraId="34A7930B"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0.045</w:t>
            </w:r>
          </w:p>
        </w:tc>
        <w:tc>
          <w:tcPr>
            <w:tcW w:w="0" w:type="auto"/>
            <w:vAlign w:val="center"/>
            <w:hideMark/>
          </w:tcPr>
          <w:p w14:paraId="1BC0E796"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0.122</w:t>
            </w:r>
          </w:p>
        </w:tc>
      </w:tr>
      <w:tr w:rsidR="00ED32B3" w:rsidRPr="00D67274" w14:paraId="49569446" w14:textId="77777777" w:rsidTr="002F443F">
        <w:trPr>
          <w:tblCellSpacing w:w="15" w:type="dxa"/>
        </w:trPr>
        <w:tc>
          <w:tcPr>
            <w:tcW w:w="0" w:type="auto"/>
            <w:vAlign w:val="center"/>
            <w:hideMark/>
          </w:tcPr>
          <w:p w14:paraId="411FEBCE"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IKS → ADAPT → COMP</w:t>
            </w:r>
          </w:p>
        </w:tc>
        <w:tc>
          <w:tcPr>
            <w:tcW w:w="0" w:type="auto"/>
            <w:vAlign w:val="center"/>
            <w:hideMark/>
          </w:tcPr>
          <w:p w14:paraId="00A60FD0"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0.027</w:t>
            </w:r>
          </w:p>
        </w:tc>
        <w:tc>
          <w:tcPr>
            <w:tcW w:w="0" w:type="auto"/>
            <w:vAlign w:val="center"/>
            <w:hideMark/>
          </w:tcPr>
          <w:p w14:paraId="7DB94718"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0.018</w:t>
            </w:r>
          </w:p>
        </w:tc>
        <w:tc>
          <w:tcPr>
            <w:tcW w:w="0" w:type="auto"/>
            <w:vAlign w:val="center"/>
            <w:hideMark/>
          </w:tcPr>
          <w:p w14:paraId="47E96E30"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−0.006</w:t>
            </w:r>
          </w:p>
        </w:tc>
        <w:tc>
          <w:tcPr>
            <w:tcW w:w="0" w:type="auto"/>
            <w:vAlign w:val="center"/>
            <w:hideMark/>
          </w:tcPr>
          <w:p w14:paraId="6135003A"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0.065</w:t>
            </w:r>
          </w:p>
        </w:tc>
      </w:tr>
      <w:tr w:rsidR="00ED32B3" w:rsidRPr="00D67274" w14:paraId="1652BC4F" w14:textId="77777777" w:rsidTr="002F443F">
        <w:trPr>
          <w:tblCellSpacing w:w="15" w:type="dxa"/>
        </w:trPr>
        <w:tc>
          <w:tcPr>
            <w:tcW w:w="0" w:type="auto"/>
            <w:vAlign w:val="center"/>
            <w:hideMark/>
          </w:tcPr>
          <w:p w14:paraId="19832E27"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IKS → INNOV → COMP</w:t>
            </w:r>
          </w:p>
        </w:tc>
        <w:tc>
          <w:tcPr>
            <w:tcW w:w="0" w:type="auto"/>
            <w:vAlign w:val="center"/>
            <w:hideMark/>
          </w:tcPr>
          <w:p w14:paraId="588E5726"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0.040</w:t>
            </w:r>
          </w:p>
        </w:tc>
        <w:tc>
          <w:tcPr>
            <w:tcW w:w="0" w:type="auto"/>
            <w:vAlign w:val="center"/>
            <w:hideMark/>
          </w:tcPr>
          <w:p w14:paraId="67B2237F"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0.018</w:t>
            </w:r>
          </w:p>
        </w:tc>
        <w:tc>
          <w:tcPr>
            <w:tcW w:w="0" w:type="auto"/>
            <w:vAlign w:val="center"/>
            <w:hideMark/>
          </w:tcPr>
          <w:p w14:paraId="38089F0C"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0.008</w:t>
            </w:r>
          </w:p>
        </w:tc>
        <w:tc>
          <w:tcPr>
            <w:tcW w:w="0" w:type="auto"/>
            <w:vAlign w:val="center"/>
            <w:hideMark/>
          </w:tcPr>
          <w:p w14:paraId="3DCA5604"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0.079</w:t>
            </w:r>
          </w:p>
        </w:tc>
      </w:tr>
      <w:tr w:rsidR="00ED32B3" w:rsidRPr="00D67274" w14:paraId="051B092B" w14:textId="77777777" w:rsidTr="002F443F">
        <w:trPr>
          <w:tblCellSpacing w:w="15" w:type="dxa"/>
        </w:trPr>
        <w:tc>
          <w:tcPr>
            <w:tcW w:w="0" w:type="auto"/>
            <w:vAlign w:val="center"/>
            <w:hideMark/>
          </w:tcPr>
          <w:p w14:paraId="7F0EE8E7"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IKS → ADAPT → INNOV → COMP</w:t>
            </w:r>
          </w:p>
        </w:tc>
        <w:tc>
          <w:tcPr>
            <w:tcW w:w="0" w:type="auto"/>
            <w:vAlign w:val="center"/>
            <w:hideMark/>
          </w:tcPr>
          <w:p w14:paraId="7A09EDAF"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0.015</w:t>
            </w:r>
          </w:p>
        </w:tc>
        <w:tc>
          <w:tcPr>
            <w:tcW w:w="0" w:type="auto"/>
            <w:vAlign w:val="center"/>
            <w:hideMark/>
          </w:tcPr>
          <w:p w14:paraId="69F057DF"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0.008</w:t>
            </w:r>
          </w:p>
        </w:tc>
        <w:tc>
          <w:tcPr>
            <w:tcW w:w="0" w:type="auto"/>
            <w:vAlign w:val="center"/>
            <w:hideMark/>
          </w:tcPr>
          <w:p w14:paraId="4467E53F"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0.003</w:t>
            </w:r>
          </w:p>
        </w:tc>
        <w:tc>
          <w:tcPr>
            <w:tcW w:w="0" w:type="auto"/>
            <w:vAlign w:val="center"/>
            <w:hideMark/>
          </w:tcPr>
          <w:p w14:paraId="60D2768E" w14:textId="77777777" w:rsidR="00ED32B3" w:rsidRPr="00D67274" w:rsidRDefault="00ED32B3" w:rsidP="00AA4300">
            <w:pPr>
              <w:spacing w:after="0" w:line="360" w:lineRule="auto"/>
              <w:jc w:val="both"/>
              <w:rPr>
                <w:rFonts w:ascii="Times New Roman" w:hAnsi="Times New Roman" w:cs="Times New Roman"/>
                <w:color w:val="000000" w:themeColor="text1"/>
              </w:rPr>
            </w:pPr>
            <w:r w:rsidRPr="00D67274">
              <w:rPr>
                <w:rFonts w:ascii="Times New Roman" w:hAnsi="Times New Roman" w:cs="Times New Roman"/>
                <w:color w:val="000000" w:themeColor="text1"/>
              </w:rPr>
              <w:t>0.032</w:t>
            </w:r>
          </w:p>
        </w:tc>
      </w:tr>
    </w:tbl>
    <w:p w14:paraId="0532FE4E" w14:textId="37EF7DB6" w:rsidR="002525EC" w:rsidRPr="00D67274" w:rsidRDefault="002525EC" w:rsidP="00D7607B">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 xml:space="preserve">Table </w:t>
      </w:r>
      <w:r w:rsidR="00B53E78" w:rsidRPr="00D67274">
        <w:rPr>
          <w:rFonts w:ascii="Times New Roman" w:hAnsi="Times New Roman" w:cs="Times New Roman"/>
          <w:b/>
          <w:bCs/>
          <w:color w:val="000000" w:themeColor="text1"/>
        </w:rPr>
        <w:t>7</w:t>
      </w:r>
      <w:r w:rsidRPr="00D67274">
        <w:rPr>
          <w:rFonts w:ascii="Times New Roman" w:hAnsi="Times New Roman" w:cs="Times New Roman"/>
          <w:b/>
          <w:bCs/>
          <w:color w:val="000000" w:themeColor="text1"/>
        </w:rPr>
        <w:t>:</w:t>
      </w:r>
      <w:r w:rsidRPr="00D67274">
        <w:rPr>
          <w:rFonts w:ascii="Times New Roman" w:hAnsi="Times New Roman" w:cs="Times New Roman"/>
          <w:color w:val="000000" w:themeColor="text1"/>
        </w:rPr>
        <w:t xml:space="preserve"> </w:t>
      </w:r>
      <w:r w:rsidR="005D7C6F" w:rsidRPr="00D67274">
        <w:rPr>
          <w:rFonts w:ascii="Times New Roman" w:hAnsi="Times New Roman" w:cs="Times New Roman"/>
          <w:color w:val="000000" w:themeColor="text1"/>
        </w:rPr>
        <w:t>Bootstrapped indirect effects of IKS → Competitiveness</w:t>
      </w:r>
    </w:p>
    <w:p w14:paraId="793B7974" w14:textId="503E6845" w:rsidR="006D7C2A" w:rsidRPr="00D67274" w:rsidRDefault="006D7C2A" w:rsidP="006D6D51">
      <w:pPr>
        <w:spacing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Source:</w:t>
      </w:r>
      <w:r w:rsidRPr="00D67274">
        <w:rPr>
          <w:rFonts w:ascii="Times New Roman" w:hAnsi="Times New Roman" w:cs="Times New Roman"/>
          <w:color w:val="000000" w:themeColor="text1"/>
        </w:rPr>
        <w:t xml:space="preserve"> SPSS 27</w:t>
      </w:r>
    </w:p>
    <w:p w14:paraId="5DDFD51B" w14:textId="5606A05A" w:rsidR="00CD42F4" w:rsidRPr="00D67274" w:rsidRDefault="00CD42F4" w:rsidP="00CD42F4">
      <w:pPr>
        <w:spacing w:after="0" w:line="36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Visual Synthesis of Key Findings</w:t>
      </w:r>
    </w:p>
    <w:p w14:paraId="138E4AB9" w14:textId="77777777" w:rsidR="00CD42F4" w:rsidRPr="00D67274" w:rsidRDefault="00CD42F4" w:rsidP="006D6D51">
      <w:pPr>
        <w:spacing w:after="0" w:line="360" w:lineRule="auto"/>
        <w:jc w:val="both"/>
        <w:rPr>
          <w:rFonts w:ascii="Times New Roman" w:hAnsi="Times New Roman" w:cs="Times New Roman"/>
          <w:color w:val="000000" w:themeColor="text1"/>
        </w:rPr>
      </w:pPr>
      <w:r w:rsidRPr="00D67274">
        <w:rPr>
          <w:rFonts w:ascii="Times New Roman" w:hAnsi="Times New Roman" w:cs="Times New Roman"/>
          <w:noProof/>
          <w:color w:val="000000" w:themeColor="text1"/>
        </w:rPr>
        <w:drawing>
          <wp:inline distT="0" distB="0" distL="0" distR="0" wp14:anchorId="1A5A31A8" wp14:editId="60E09534">
            <wp:extent cx="5943600" cy="3253563"/>
            <wp:effectExtent l="0" t="0" r="0" b="0"/>
            <wp:docPr id="369981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81634" name="Picture 3699816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7620" cy="3255763"/>
                    </a:xfrm>
                    <a:prstGeom prst="rect">
                      <a:avLst/>
                    </a:prstGeom>
                  </pic:spPr>
                </pic:pic>
              </a:graphicData>
            </a:graphic>
          </wp:inline>
        </w:drawing>
      </w:r>
    </w:p>
    <w:p w14:paraId="54D56A41" w14:textId="77777777" w:rsidR="00CD42F4" w:rsidRPr="00D67274" w:rsidRDefault="00CD42F4" w:rsidP="00CD42F4">
      <w:pPr>
        <w:spacing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Figure 2</w:t>
      </w:r>
      <w:r w:rsidRPr="00D67274">
        <w:rPr>
          <w:rFonts w:ascii="Times New Roman" w:hAnsi="Times New Roman" w:cs="Times New Roman"/>
          <w:color w:val="000000" w:themeColor="text1"/>
        </w:rPr>
        <w:t xml:space="preserve">: Indirect Effects of IKS on Growth and Competitiveness via Adaptation and Innovation. </w:t>
      </w:r>
      <w:r w:rsidRPr="00D67274">
        <w:rPr>
          <w:rFonts w:ascii="Times New Roman" w:hAnsi="Times New Roman" w:cs="Times New Roman"/>
          <w:b/>
          <w:bCs/>
          <w:color w:val="000000" w:themeColor="text1"/>
        </w:rPr>
        <w:t>Source:</w:t>
      </w:r>
      <w:r w:rsidRPr="00D67274">
        <w:rPr>
          <w:rFonts w:ascii="Times New Roman" w:hAnsi="Times New Roman" w:cs="Times New Roman"/>
          <w:color w:val="000000" w:themeColor="text1"/>
        </w:rPr>
        <w:t xml:space="preserve"> SPSS 27</w:t>
      </w:r>
    </w:p>
    <w:p w14:paraId="6EFF62E5" w14:textId="47EFE730" w:rsidR="00CD42F4" w:rsidRPr="00D67274" w:rsidRDefault="006D6D51" w:rsidP="006D6D51">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lastRenderedPageBreak/>
        <w:t>C</w:t>
      </w:r>
      <w:r w:rsidR="00CD42F4" w:rsidRPr="00D67274">
        <w:rPr>
          <w:rFonts w:ascii="Times New Roman" w:hAnsi="Times New Roman" w:cs="Times New Roman"/>
          <w:color w:val="000000" w:themeColor="text1"/>
          <w:lang w:val="en-GB"/>
        </w:rPr>
        <w:t xml:space="preserve">omparing the indirect effects </w:t>
      </w:r>
      <w:r w:rsidRPr="00D67274">
        <w:rPr>
          <w:rFonts w:ascii="Times New Roman" w:hAnsi="Times New Roman" w:cs="Times New Roman"/>
          <w:color w:val="000000" w:themeColor="text1"/>
          <w:lang w:val="en-GB"/>
        </w:rPr>
        <w:t xml:space="preserve">of IKS as shown in figure 2 above </w:t>
      </w:r>
      <w:r w:rsidR="00CD42F4" w:rsidRPr="00D67274">
        <w:rPr>
          <w:rFonts w:ascii="Times New Roman" w:hAnsi="Times New Roman" w:cs="Times New Roman"/>
          <w:color w:val="000000" w:themeColor="text1"/>
          <w:lang w:val="en-GB"/>
        </w:rPr>
        <w:t>provides a clear visualisation of the mediating roles of adaptation and innovation. Synthesizing these findings reveals a distinct bifurcation in capability impacts. For growth, the only significant indirect pathway was through adaptation, confirming that adaptive capacity is the central mechanism translating Indigenous Knowledge Systems into business expansion. Conversely, the pattern for competitiveness indicates that market advantage is driven less by adaptation in isolation and more by innovation, either directly or as the outcome of sequential adaptive processes.</w:t>
      </w:r>
    </w:p>
    <w:p w14:paraId="45EABA98" w14:textId="77777777" w:rsidR="00E266B3" w:rsidRPr="00D67274" w:rsidRDefault="00E266B3" w:rsidP="00E266B3">
      <w:pPr>
        <w:spacing w:line="360" w:lineRule="auto"/>
        <w:jc w:val="both"/>
        <w:rPr>
          <w:rFonts w:ascii="Times New Roman" w:hAnsi="Times New Roman" w:cs="Times New Roman"/>
          <w:color w:val="000000" w:themeColor="text1"/>
        </w:rPr>
      </w:pPr>
      <w:r w:rsidRPr="00D67274">
        <w:rPr>
          <w:rFonts w:ascii="Times New Roman" w:hAnsi="Times New Roman" w:cs="Times New Roman"/>
          <w:noProof/>
          <w:color w:val="000000" w:themeColor="text1"/>
        </w:rPr>
        <w:drawing>
          <wp:inline distT="0" distB="0" distL="0" distR="0" wp14:anchorId="29BB3EC4" wp14:editId="5B0AB06D">
            <wp:extent cx="5943600" cy="3902149"/>
            <wp:effectExtent l="0" t="0" r="0" b="0"/>
            <wp:docPr id="12485255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25558" name="Picture 124852555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61834" cy="3914120"/>
                    </a:xfrm>
                    <a:prstGeom prst="rect">
                      <a:avLst/>
                    </a:prstGeom>
                  </pic:spPr>
                </pic:pic>
              </a:graphicData>
            </a:graphic>
          </wp:inline>
        </w:drawing>
      </w:r>
    </w:p>
    <w:p w14:paraId="59053C93" w14:textId="77777777" w:rsidR="00E266B3" w:rsidRPr="00D67274" w:rsidRDefault="00E266B3" w:rsidP="00E266B3">
      <w:pPr>
        <w:spacing w:after="0" w:line="360" w:lineRule="auto"/>
        <w:jc w:val="both"/>
        <w:rPr>
          <w:rFonts w:ascii="Times New Roman" w:hAnsi="Times New Roman" w:cs="Times New Roman"/>
          <w:color w:val="000000" w:themeColor="text1"/>
        </w:rPr>
      </w:pPr>
      <w:r w:rsidRPr="00D67274">
        <w:rPr>
          <w:rFonts w:ascii="Times New Roman" w:hAnsi="Times New Roman" w:cs="Times New Roman"/>
          <w:b/>
          <w:bCs/>
          <w:color w:val="000000" w:themeColor="text1"/>
        </w:rPr>
        <w:t>Figure 3:</w:t>
      </w:r>
      <w:r w:rsidRPr="00D67274">
        <w:rPr>
          <w:rFonts w:ascii="Times New Roman" w:hAnsi="Times New Roman" w:cs="Times New Roman"/>
          <w:color w:val="000000" w:themeColor="text1"/>
        </w:rPr>
        <w:t xml:space="preserve"> Path coefficients for the Indigenous Dynamic Capabilities Mediation (IDCM) model predicting entrepreneurial growth and competitiveness. </w:t>
      </w:r>
    </w:p>
    <w:p w14:paraId="18A9D205" w14:textId="06986F03" w:rsidR="00E266B3" w:rsidRPr="00D67274" w:rsidRDefault="00E266B3" w:rsidP="00E266B3">
      <w:pPr>
        <w:spacing w:line="360" w:lineRule="auto"/>
        <w:jc w:val="both"/>
        <w:rPr>
          <w:rFonts w:ascii="Times New Roman" w:hAnsi="Times New Roman" w:cs="Times New Roman"/>
          <w:i/>
          <w:iCs/>
          <w:color w:val="000000" w:themeColor="text1"/>
          <w:lang w:val="en-GB"/>
        </w:rPr>
      </w:pPr>
      <w:r w:rsidRPr="00D67274">
        <w:rPr>
          <w:rFonts w:ascii="Times New Roman" w:hAnsi="Times New Roman" w:cs="Times New Roman"/>
          <w:b/>
          <w:bCs/>
          <w:color w:val="000000" w:themeColor="text1"/>
        </w:rPr>
        <w:t>Source:</w:t>
      </w:r>
      <w:r w:rsidRPr="00D67274">
        <w:rPr>
          <w:rFonts w:ascii="Times New Roman" w:hAnsi="Times New Roman" w:cs="Times New Roman"/>
          <w:color w:val="000000" w:themeColor="text1"/>
        </w:rPr>
        <w:t xml:space="preserve"> SPSS 27</w:t>
      </w:r>
    </w:p>
    <w:p w14:paraId="3E1C00C5" w14:textId="60441DF9" w:rsidR="002406E8" w:rsidRPr="00D67274" w:rsidRDefault="00CD42F4" w:rsidP="00E266B3">
      <w:pPr>
        <w:spacing w:after="0"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Figure 3 </w:t>
      </w:r>
      <w:r w:rsidR="006D6D51" w:rsidRPr="00D67274">
        <w:rPr>
          <w:rFonts w:ascii="Times New Roman" w:hAnsi="Times New Roman" w:cs="Times New Roman"/>
          <w:color w:val="000000" w:themeColor="text1"/>
          <w:lang w:val="en-GB"/>
        </w:rPr>
        <w:t xml:space="preserve">above </w:t>
      </w:r>
      <w:r w:rsidRPr="00D67274">
        <w:rPr>
          <w:rFonts w:ascii="Times New Roman" w:hAnsi="Times New Roman" w:cs="Times New Roman"/>
          <w:color w:val="000000" w:themeColor="text1"/>
          <w:lang w:val="en-GB"/>
        </w:rPr>
        <w:t>illustrates the unstandardised coefficients for each path in the model. This visualisation structurally reinforces the synthesized results: adaptation serves as the dominant engine for growth, while innovation and the sequential adaptation to innovation chain act as the decisive drivers for competitiveness.</w:t>
      </w:r>
    </w:p>
    <w:p w14:paraId="7C41B81C" w14:textId="77777777" w:rsidR="006D6D51" w:rsidRPr="00D67274" w:rsidRDefault="006D6D51" w:rsidP="00E266B3">
      <w:pPr>
        <w:spacing w:after="0" w:line="360" w:lineRule="auto"/>
        <w:jc w:val="both"/>
        <w:rPr>
          <w:rFonts w:ascii="Times New Roman" w:hAnsi="Times New Roman" w:cs="Times New Roman"/>
          <w:color w:val="000000" w:themeColor="text1"/>
          <w:lang w:val="en-GB"/>
        </w:rPr>
      </w:pPr>
    </w:p>
    <w:p w14:paraId="526D9F6B" w14:textId="77777777" w:rsidR="00B74A83" w:rsidRPr="00D67274" w:rsidRDefault="00B74A83" w:rsidP="00B74A83">
      <w:pPr>
        <w:spacing w:after="0" w:line="360" w:lineRule="auto"/>
        <w:jc w:val="both"/>
        <w:rPr>
          <w:rFonts w:ascii="Times New Roman" w:hAnsi="Times New Roman" w:cs="Times New Roman"/>
          <w:b/>
          <w:bCs/>
          <w:color w:val="000000" w:themeColor="text1"/>
          <w:lang w:val="en-GB"/>
        </w:rPr>
      </w:pPr>
      <w:r w:rsidRPr="00D67274">
        <w:rPr>
          <w:rFonts w:ascii="Times New Roman" w:hAnsi="Times New Roman" w:cs="Times New Roman"/>
          <w:b/>
          <w:bCs/>
          <w:color w:val="000000" w:themeColor="text1"/>
          <w:lang w:val="en-GB"/>
        </w:rPr>
        <w:lastRenderedPageBreak/>
        <w:t>Discussion</w:t>
      </w:r>
    </w:p>
    <w:p w14:paraId="5289BCCA" w14:textId="77777777" w:rsidR="00B74A83" w:rsidRPr="00D67274" w:rsidRDefault="00B74A83" w:rsidP="006D6D51">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The analysis provides new insights into how Indigenous Knowledge Systems contribute to entrepreneurial outcomes through the mediating functions of adaptation and innovation. While previous scholarship has emphasised the cultural and ecological significance of indigenous knowledge in shaping entrepreneurial practice (Chaudhari, 2024; </w:t>
      </w:r>
      <w:proofErr w:type="spellStart"/>
      <w:r w:rsidRPr="00D67274">
        <w:rPr>
          <w:rFonts w:ascii="Times New Roman" w:hAnsi="Times New Roman" w:cs="Times New Roman"/>
          <w:color w:val="000000" w:themeColor="text1"/>
          <w:lang w:val="en-GB"/>
        </w:rPr>
        <w:t>Mugambiwa</w:t>
      </w:r>
      <w:proofErr w:type="spellEnd"/>
      <w:r w:rsidRPr="00D67274">
        <w:rPr>
          <w:rFonts w:ascii="Times New Roman" w:hAnsi="Times New Roman" w:cs="Times New Roman"/>
          <w:color w:val="000000" w:themeColor="text1"/>
          <w:lang w:val="en-GB"/>
        </w:rPr>
        <w:t>, 2021), this study demonstrates that the benefits of Indigenous Knowledge Systems are not direct. Instead, they operate through dynamic capabilities that determine whether knowledge is converted into stability or competitive advantage. The Indigenous Dynamic Capabilities Mediation model therefore clarifies the sequential pathways through which cultural resources are mobilised, adding precision to debates that often treat indigenous knowledge as a static input.</w:t>
      </w:r>
    </w:p>
    <w:p w14:paraId="091C60F6" w14:textId="77777777" w:rsidR="00B74A83" w:rsidRPr="00D67274" w:rsidRDefault="00B74A83" w:rsidP="006D6D51">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A critical theoretical contribution of this study is the identified bifurcation in how dynamic capabilities function. Growth is explained primarily through adaptation, as entrepreneurs who embed indigenous knowledge into their routines show greater capacity to reconfigure operations, sustain resource use, and respond to volatility. These results resonate with resilience studies that view adaptation as a frontline capability enabling survival and continuity in turbulent contexts (Correia et al., 2021). However, addressing the nonsignificant finding regarding innovation and growth (Hypothesis 5) requires a deeper theoretical interpretation. The absence of a strong direct role for innovation in predicting growth challenges mainstream perspectives, which often privilege innovation as the universal driver of expansion (Hernandez Linares et al., 2023). In the context of indigenous entrepreneurship, which often operates under resource constraints, this nonsignificant finding suggests that stability and operational efficiency must precede scale. For these ventures, the path to growth is strictly incremental. Pursuing novelty without first establishing an adaptive, resilient foundation does not yield physical expansion.</w:t>
      </w:r>
    </w:p>
    <w:p w14:paraId="20C06D19" w14:textId="77777777" w:rsidR="00B74A83" w:rsidRPr="00D67274" w:rsidRDefault="00B74A83" w:rsidP="006D6D51">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Competitiveness follows a fundamentally different trajectory. Here, innovation is the decisive mediator, with both the direct pathway from indigenous knowledge to competitiveness via innovation and the sequential pathway through adaptation and innovation reaching significance. These results confirm the view that competitiveness depends not only on resilience but also on the capacity to differentiate through new products, services, or processes (Kim &amp; Ahn, 2017). Adaptation alone had only a modest effect on competitiveness. This highlights a crucial theoretical nuance: while adaptive capacity sustains continuity, it must be actively transformed into innovation </w:t>
      </w:r>
      <w:r w:rsidRPr="00D67274">
        <w:rPr>
          <w:rFonts w:ascii="Times New Roman" w:hAnsi="Times New Roman" w:cs="Times New Roman"/>
          <w:color w:val="000000" w:themeColor="text1"/>
          <w:lang w:val="en-GB"/>
        </w:rPr>
        <w:lastRenderedPageBreak/>
        <w:t>to create unique market advantages. This distinction significantly sharpens Dynamic Capabilities Theory. Mainstream applications of the theory typically assume that adaptation and innovation work in tandem simultaneously. The empirical evidence here proves that their relative importance and temporal sequencing vary strictly depending on the specific entrepreneurial outcome sought.</w:t>
      </w:r>
    </w:p>
    <w:p w14:paraId="1126269C" w14:textId="77777777" w:rsidR="00B74A83" w:rsidRPr="00D67274" w:rsidRDefault="00B74A83" w:rsidP="006D6D51">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These findings extend Human Capital Theory as well. Demographic variables such as education and experience were included as covariates and did not emerge as strong predictors of outcomes once indigenous knowledge and dynamic capabilities were accounted for. This indicates that while human capital provides the foundation for accessing and applying cultural resources, its influence is mediated through knowledge and capability development. Rather than acting as direct levers of performance, demographic factors appear to shape absorptive capacity, consistent with prior claims that education and experience condition the ability of an entrepreneur to utilise tacit and local knowledge (Onwuegbuzie, 2009). The Indigenous Dynamic Capabilities Mediation model therefore integrates human capital into a broader explanatory chain, positioning it strictly as an enabler rather than a determinant of entrepreneurial outcomes.</w:t>
      </w:r>
    </w:p>
    <w:p w14:paraId="7FA3EFEE" w14:textId="77777777" w:rsidR="00B74A83" w:rsidRPr="00D67274" w:rsidRDefault="00B74A83" w:rsidP="006D6D51">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The results also refine Indigenous Knowledge Theory. The full mediation of the direct paths from indigenous knowledge to both growth and competitiveness proves that cultural heritage is not automatically economically viable. This challenges stereotypes of indigenous knowledge as mere static tradition and instead highlights its role in producing dynamic, market relevant capabilities when intentionally mobilised. The study provides robust empirical grounding for claims that indigenous knowledge should be understood as a highly strategic form of contextual intellectual capital (Agrawal, 1995; Dell et al., 2024).</w:t>
      </w:r>
    </w:p>
    <w:p w14:paraId="2D836F8C" w14:textId="45E48CC2" w:rsidR="00B74A83" w:rsidRPr="00D67274" w:rsidRDefault="00B74A83" w:rsidP="00F55B7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 xml:space="preserve">Practical implications emerge from these theoretical insights. For indigenous entrepreneurs, the findings highlight the absolute necessity to deliberately cultivate adaptation before pursuing innovation. Adaptive strategies grounded in indigenous practices (such as community cooperation, ecological stewardship, and oral knowledge transmission) create the resilience necessary for sustainable growth. Once stability is secured, innovation becomes the pathway to competitiveness, allowing entrepreneurs to convert resilience into differentiation. Support programs for indigenous entrepreneurship should therefore be sequenced carefully. Early stage interventions must emphasize adaptive skills, while later stage support should focus strictly on innovation capacity and market positioning. Policy makers and development agencies must also recognise that </w:t>
      </w:r>
      <w:r w:rsidRPr="00D67274">
        <w:rPr>
          <w:rFonts w:ascii="Times New Roman" w:hAnsi="Times New Roman" w:cs="Times New Roman"/>
          <w:color w:val="000000" w:themeColor="text1"/>
          <w:lang w:val="en-GB"/>
        </w:rPr>
        <w:lastRenderedPageBreak/>
        <w:t>innovation grounded in indigenous culture offers unique forms of competitiveness that cannot be replicated using generic Western business models, making cultural knowledge a distinctive asset in global markets.</w:t>
      </w:r>
    </w:p>
    <w:p w14:paraId="466D46BE" w14:textId="77777777" w:rsidR="00B74A83" w:rsidRPr="00D67274" w:rsidRDefault="00B74A83" w:rsidP="00B74A83">
      <w:pPr>
        <w:spacing w:after="0" w:line="360" w:lineRule="auto"/>
        <w:jc w:val="both"/>
        <w:rPr>
          <w:rFonts w:ascii="Times New Roman" w:hAnsi="Times New Roman" w:cs="Times New Roman"/>
          <w:color w:val="000000" w:themeColor="text1"/>
          <w:lang w:val="en-GB"/>
        </w:rPr>
      </w:pPr>
      <w:r w:rsidRPr="00D67274">
        <w:rPr>
          <w:rFonts w:ascii="Times New Roman" w:hAnsi="Times New Roman" w:cs="Times New Roman"/>
          <w:b/>
          <w:bCs/>
          <w:color w:val="000000" w:themeColor="text1"/>
          <w:lang w:val="en-GB"/>
        </w:rPr>
        <w:t>Conclusion and Limitations</w:t>
      </w:r>
    </w:p>
    <w:p w14:paraId="693FBB64" w14:textId="77777777" w:rsidR="00B74A83" w:rsidRPr="00D67274" w:rsidRDefault="00B74A83" w:rsidP="00F55B7E">
      <w:pPr>
        <w:spacing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This study set out to clarify how Indigenous Knowledge Systems influence entrepreneurial outcomes developing and testing the Indigenous Dynamic Capabilities Mediation model. Moving beyond descriptive accounts of cultural entrepreneurship, this research synthesizes a novel theoretical framework proving that cultural heritage only generates economic value when transformed into active operational capabilities. The core insight added to existing knowledge is the sequential and bifurcated nature of dynamic capabilities in these contexts. Specifically, the study establishes that adaptation is the indispensable engine for scaling operations and achieving growth, whereas innovation acts as the subsequent catalyst required to sustain market competitiveness. Integrating Human Capital Theory, Indigenous Knowledge Theory, and Dynamic Capabilities Theory, the study provides a cohesive explanation for how demographic enablers, cultural resources, and strategic actions interact. The findings provide a clear roadmap for policy and practice, advising that entrepreneurial support systems must stop treating growth and competitiveness as identical goals. Instead, interventions must be temporally staged, fortifying adaptive resilience first before funding innovative differentiation.</w:t>
      </w:r>
    </w:p>
    <w:p w14:paraId="4D04D966" w14:textId="4595D6CE" w:rsidR="00B74A83" w:rsidRPr="00D67274" w:rsidRDefault="00B74A83" w:rsidP="00B74A83">
      <w:pPr>
        <w:spacing w:after="0" w:line="360" w:lineRule="auto"/>
        <w:jc w:val="both"/>
        <w:rPr>
          <w:rFonts w:ascii="Times New Roman" w:hAnsi="Times New Roman" w:cs="Times New Roman"/>
          <w:color w:val="000000" w:themeColor="text1"/>
          <w:lang w:val="en-GB"/>
        </w:rPr>
      </w:pPr>
      <w:r w:rsidRPr="00D67274">
        <w:rPr>
          <w:rFonts w:ascii="Times New Roman" w:hAnsi="Times New Roman" w:cs="Times New Roman"/>
          <w:color w:val="000000" w:themeColor="text1"/>
          <w:lang w:val="en-GB"/>
        </w:rPr>
        <w:t>Despite these contributions, the study presents specific limitations that strictly inform future research directions. First, the cross-sectional design limits absolute causal claims, particularly concerning the temporal sequencing of adaptation and innovation. Although the statistical serial mediation supports a model where innovation builds upon adaptation, longitudinal research is urgently needed to track the exact time lag required for adaptive practices to mature into innovative outputs. Second, while the purposive sample successfully captured a diverse global snapshot of indigenous entrepreneurs, it restricts broader generalisability. Future research must conduct comparative studies across specific sectors (for example, comparing agricultural ventures with digital indigenous enterprises) to see if the adaptation to growth pathway remains uniform. Finally, because this study focused on internal firm capabilities, future investigations should incorporate external institutional variables to explore how regional policies either accelerate or hinder the transformation of indigenous knowledge into competitive innovation.</w:t>
      </w:r>
    </w:p>
    <w:p w14:paraId="608373CE" w14:textId="77777777" w:rsidR="006674E5" w:rsidRPr="00D67274" w:rsidRDefault="00612624" w:rsidP="00843B87">
      <w:pPr>
        <w:spacing w:after="0" w:line="360" w:lineRule="auto"/>
        <w:jc w:val="both"/>
        <w:rPr>
          <w:rFonts w:ascii="Times New Roman" w:hAnsi="Times New Roman" w:cs="Times New Roman"/>
          <w:b/>
          <w:bCs/>
          <w:color w:val="000000" w:themeColor="text1"/>
        </w:rPr>
      </w:pPr>
      <w:r w:rsidRPr="00D67274">
        <w:rPr>
          <w:rFonts w:ascii="Times New Roman" w:hAnsi="Times New Roman" w:cs="Times New Roman"/>
          <w:b/>
          <w:bCs/>
          <w:color w:val="000000" w:themeColor="text1"/>
        </w:rPr>
        <w:lastRenderedPageBreak/>
        <w:t>References</w:t>
      </w:r>
    </w:p>
    <w:p w14:paraId="31698A05"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Abid, N., Ceci, F., &amp; Aftab, J. (2024). Attaining sustainable business performance under resource constraints: Insights from an emerging economy. </w:t>
      </w:r>
      <w:r w:rsidRPr="00D67274">
        <w:rPr>
          <w:rFonts w:ascii="Times New Roman" w:eastAsia="Times New Roman" w:hAnsi="Times New Roman" w:cs="Times New Roman"/>
          <w:i/>
          <w:iCs/>
          <w:color w:val="000000" w:themeColor="text1"/>
          <w:kern w:val="0"/>
          <w14:ligatures w14:val="none"/>
        </w:rPr>
        <w:t>Sustainable Development, 32</w:t>
      </w:r>
      <w:r w:rsidRPr="00D67274">
        <w:rPr>
          <w:rFonts w:ascii="Times New Roman" w:eastAsia="Times New Roman" w:hAnsi="Times New Roman" w:cs="Times New Roman"/>
          <w:color w:val="000000" w:themeColor="text1"/>
          <w:kern w:val="0"/>
          <w14:ligatures w14:val="none"/>
        </w:rPr>
        <w:t>(3), 2031–2048. https://doi.org/10.1002/sd.2763</w:t>
      </w:r>
    </w:p>
    <w:p w14:paraId="38E0AF38" w14:textId="77777777" w:rsidR="0075318A" w:rsidRPr="00D67274" w:rsidRDefault="0075318A" w:rsidP="0074155B">
      <w:pPr>
        <w:pStyle w:val="NormalWeb"/>
        <w:spacing w:after="120" w:line="240" w:lineRule="auto"/>
        <w:ind w:left="539" w:hanging="539"/>
        <w:jc w:val="both"/>
        <w:rPr>
          <w:color w:val="000000" w:themeColor="text1"/>
        </w:rPr>
      </w:pPr>
      <w:proofErr w:type="spellStart"/>
      <w:r w:rsidRPr="00D67274">
        <w:rPr>
          <w:color w:val="000000" w:themeColor="text1"/>
        </w:rPr>
        <w:t>Ayandibu</w:t>
      </w:r>
      <w:proofErr w:type="spellEnd"/>
      <w:r w:rsidRPr="00D67274">
        <w:rPr>
          <w:color w:val="000000" w:themeColor="text1"/>
        </w:rPr>
        <w:t xml:space="preserve">, A. O. (2025). Integrating indigenous knowledge systems into entrepreneurship education: A South African perspective. </w:t>
      </w:r>
      <w:r w:rsidRPr="00D67274">
        <w:rPr>
          <w:rStyle w:val="Emphasis"/>
          <w:color w:val="000000" w:themeColor="text1"/>
        </w:rPr>
        <w:t>International Journal of Research in Business and Social Science, 14</w:t>
      </w:r>
      <w:r w:rsidRPr="00D67274">
        <w:rPr>
          <w:color w:val="000000" w:themeColor="text1"/>
        </w:rPr>
        <w:t>(2), 123–132. https://doi.org/10.20525/ijrbs.v14i2.4263</w:t>
      </w:r>
    </w:p>
    <w:p w14:paraId="1EAEC32C"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proofErr w:type="spellStart"/>
      <w:r w:rsidRPr="00D67274">
        <w:rPr>
          <w:rFonts w:ascii="Times New Roman" w:eastAsia="Times New Roman" w:hAnsi="Times New Roman" w:cs="Times New Roman"/>
          <w:color w:val="000000" w:themeColor="text1"/>
          <w:kern w:val="0"/>
          <w14:ligatures w14:val="none"/>
        </w:rPr>
        <w:t>Celume</w:t>
      </w:r>
      <w:proofErr w:type="spellEnd"/>
      <w:r w:rsidRPr="00D67274">
        <w:rPr>
          <w:rFonts w:ascii="Times New Roman" w:eastAsia="Times New Roman" w:hAnsi="Times New Roman" w:cs="Times New Roman"/>
          <w:color w:val="000000" w:themeColor="text1"/>
          <w:kern w:val="0"/>
          <w14:ligatures w14:val="none"/>
        </w:rPr>
        <w:t xml:space="preserve">, S. A. B. (2024). </w:t>
      </w:r>
      <w:r w:rsidRPr="00D67274">
        <w:rPr>
          <w:rFonts w:ascii="Times New Roman" w:eastAsia="Times New Roman" w:hAnsi="Times New Roman" w:cs="Times New Roman"/>
          <w:i/>
          <w:iCs/>
          <w:color w:val="000000" w:themeColor="text1"/>
          <w:kern w:val="0"/>
          <w14:ligatures w14:val="none"/>
        </w:rPr>
        <w:t>Contextualizing indigenous venturing: Emerging insights for context-based indigenous entrepreneurship research</w:t>
      </w:r>
      <w:r w:rsidRPr="00D67274">
        <w:rPr>
          <w:rFonts w:ascii="Times New Roman" w:eastAsia="Times New Roman" w:hAnsi="Times New Roman" w:cs="Times New Roman"/>
          <w:color w:val="000000" w:themeColor="text1"/>
          <w:kern w:val="0"/>
          <w14:ligatures w14:val="none"/>
        </w:rPr>
        <w:t xml:space="preserve"> (Doctoral thesis, Universidad del Desarrollo). </w:t>
      </w:r>
      <w:proofErr w:type="spellStart"/>
      <w:r w:rsidRPr="00D67274">
        <w:rPr>
          <w:rFonts w:ascii="Times New Roman" w:eastAsia="Times New Roman" w:hAnsi="Times New Roman" w:cs="Times New Roman"/>
          <w:color w:val="000000" w:themeColor="text1"/>
          <w:kern w:val="0"/>
          <w14:ligatures w14:val="none"/>
        </w:rPr>
        <w:t>Repositorio</w:t>
      </w:r>
      <w:proofErr w:type="spellEnd"/>
      <w:r w:rsidRPr="00D67274">
        <w:rPr>
          <w:rFonts w:ascii="Times New Roman" w:eastAsia="Times New Roman" w:hAnsi="Times New Roman" w:cs="Times New Roman"/>
          <w:color w:val="000000" w:themeColor="text1"/>
          <w:kern w:val="0"/>
          <w14:ligatures w14:val="none"/>
        </w:rPr>
        <w:t xml:space="preserve"> UDD. https://doi.org/10.52611/11447/8739</w:t>
      </w:r>
    </w:p>
    <w:p w14:paraId="318241EE"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Cervantes-Loreto, A., &amp; Mika, J. P. (2023). Māori businesses in Aotearoa New Zealand: Modelling indigenous enterprise using self-identification and ownership. </w:t>
      </w:r>
      <w:r w:rsidRPr="00D67274">
        <w:rPr>
          <w:rFonts w:ascii="Times New Roman" w:eastAsia="Times New Roman" w:hAnsi="Times New Roman" w:cs="Times New Roman"/>
          <w:i/>
          <w:iCs/>
          <w:color w:val="000000" w:themeColor="text1"/>
          <w:kern w:val="0"/>
          <w14:ligatures w14:val="none"/>
        </w:rPr>
        <w:t>Statistical Journal of the IAOS, 39</w:t>
      </w:r>
      <w:r w:rsidRPr="00D67274">
        <w:rPr>
          <w:rFonts w:ascii="Times New Roman" w:eastAsia="Times New Roman" w:hAnsi="Times New Roman" w:cs="Times New Roman"/>
          <w:color w:val="000000" w:themeColor="text1"/>
          <w:kern w:val="0"/>
          <w14:ligatures w14:val="none"/>
        </w:rPr>
        <w:t>(4), 815–824. https://doi.org/10.3233/SJI-230084</w:t>
      </w:r>
    </w:p>
    <w:p w14:paraId="6D282438"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Chaudhari, A. K. (2024). Tribal knowledge system: A modern approach for development sustainable business models. </w:t>
      </w:r>
      <w:r w:rsidRPr="00D67274">
        <w:rPr>
          <w:rFonts w:ascii="Times New Roman" w:eastAsia="Times New Roman" w:hAnsi="Times New Roman" w:cs="Times New Roman"/>
          <w:i/>
          <w:iCs/>
          <w:color w:val="000000" w:themeColor="text1"/>
          <w:kern w:val="0"/>
          <w14:ligatures w14:val="none"/>
        </w:rPr>
        <w:t>European Economic Letters, 14</w:t>
      </w:r>
      <w:r w:rsidRPr="00D67274">
        <w:rPr>
          <w:rFonts w:ascii="Times New Roman" w:eastAsia="Times New Roman" w:hAnsi="Times New Roman" w:cs="Times New Roman"/>
          <w:color w:val="000000" w:themeColor="text1"/>
          <w:kern w:val="0"/>
          <w14:ligatures w14:val="none"/>
        </w:rPr>
        <w:t>(4), 1536–1541. https://doi.org/10.52783/eel.v14i4.2285</w:t>
      </w:r>
    </w:p>
    <w:p w14:paraId="3802739A"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Correia, R. J., Teixeira, M. S., &amp; Dias, J. G. (2021). Dynamic capabilities: Antecedents and implications for firms’ performance. </w:t>
      </w:r>
      <w:r w:rsidRPr="00D67274">
        <w:rPr>
          <w:rFonts w:ascii="Times New Roman" w:eastAsia="Times New Roman" w:hAnsi="Times New Roman" w:cs="Times New Roman"/>
          <w:i/>
          <w:iCs/>
          <w:color w:val="000000" w:themeColor="text1"/>
          <w:kern w:val="0"/>
          <w14:ligatures w14:val="none"/>
        </w:rPr>
        <w:t>International Journal of Productivity and Performance Management, 71</w:t>
      </w:r>
      <w:r w:rsidRPr="00D67274">
        <w:rPr>
          <w:rFonts w:ascii="Times New Roman" w:eastAsia="Times New Roman" w:hAnsi="Times New Roman" w:cs="Times New Roman"/>
          <w:color w:val="000000" w:themeColor="text1"/>
          <w:kern w:val="0"/>
          <w14:ligatures w14:val="none"/>
        </w:rPr>
        <w:t>(8), 3270–3292. https://doi.org/10.1108/IJPPM-12-2019-0587</w:t>
      </w:r>
    </w:p>
    <w:p w14:paraId="5119AD24" w14:textId="77777777" w:rsidR="0075318A" w:rsidRPr="00D67274" w:rsidRDefault="0075318A" w:rsidP="0074155B">
      <w:pPr>
        <w:spacing w:after="120" w:line="240" w:lineRule="auto"/>
        <w:ind w:left="539" w:hanging="539"/>
        <w:jc w:val="both"/>
        <w:rPr>
          <w:rFonts w:ascii="Times New Roman" w:hAnsi="Times New Roman" w:cs="Times New Roman"/>
          <w:color w:val="000000" w:themeColor="text1"/>
        </w:rPr>
      </w:pPr>
      <w:r w:rsidRPr="00D67274">
        <w:rPr>
          <w:rFonts w:ascii="Times New Roman" w:hAnsi="Times New Roman" w:cs="Times New Roman"/>
          <w:color w:val="000000" w:themeColor="text1"/>
        </w:rPr>
        <w:t xml:space="preserve">Creswell, J. W., &amp; Creswell, J. D. (2018). </w:t>
      </w:r>
      <w:r w:rsidRPr="00D67274">
        <w:rPr>
          <w:rFonts w:ascii="Times New Roman" w:hAnsi="Times New Roman" w:cs="Times New Roman"/>
          <w:i/>
          <w:iCs/>
          <w:color w:val="000000" w:themeColor="text1"/>
        </w:rPr>
        <w:t>Research design: Qualitative, quantitative, and mixed methods approaches</w:t>
      </w:r>
      <w:r w:rsidRPr="00D67274">
        <w:rPr>
          <w:rFonts w:ascii="Times New Roman" w:hAnsi="Times New Roman" w:cs="Times New Roman"/>
          <w:color w:val="000000" w:themeColor="text1"/>
        </w:rPr>
        <w:t xml:space="preserve"> (5th ed.). Sage.</w:t>
      </w:r>
    </w:p>
    <w:p w14:paraId="611421E2"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David, P. A., &amp; López, J. G. G. (2003). </w:t>
      </w:r>
      <w:r w:rsidRPr="00D67274">
        <w:rPr>
          <w:rFonts w:ascii="Times New Roman" w:eastAsia="Times New Roman" w:hAnsi="Times New Roman" w:cs="Times New Roman"/>
          <w:i/>
          <w:iCs/>
          <w:color w:val="000000" w:themeColor="text1"/>
          <w:kern w:val="0"/>
          <w14:ligatures w14:val="none"/>
        </w:rPr>
        <w:t>Knowledge, capabilities and human capital formation in economic growth</w:t>
      </w:r>
      <w:r w:rsidRPr="00D67274">
        <w:rPr>
          <w:rFonts w:ascii="Times New Roman" w:eastAsia="Times New Roman" w:hAnsi="Times New Roman" w:cs="Times New Roman"/>
          <w:color w:val="000000" w:themeColor="text1"/>
          <w:kern w:val="0"/>
          <w14:ligatures w14:val="none"/>
        </w:rPr>
        <w:t>. (Treasury Working Paper 01/13). New Zealand Treasury. (</w:t>
      </w:r>
      <w:proofErr w:type="spellStart"/>
      <w:r w:rsidRPr="00D67274">
        <w:rPr>
          <w:rFonts w:ascii="Times New Roman" w:eastAsia="Times New Roman" w:hAnsi="Times New Roman" w:cs="Times New Roman"/>
          <w:color w:val="000000" w:themeColor="text1"/>
          <w:kern w:val="0"/>
          <w14:ligatures w14:val="none"/>
        </w:rPr>
        <w:t>RePEc</w:t>
      </w:r>
      <w:proofErr w:type="spellEnd"/>
      <w:r w:rsidRPr="00D67274">
        <w:rPr>
          <w:rFonts w:ascii="Times New Roman" w:eastAsia="Times New Roman" w:hAnsi="Times New Roman" w:cs="Times New Roman"/>
          <w:color w:val="000000" w:themeColor="text1"/>
          <w:kern w:val="0"/>
          <w14:ligatures w14:val="none"/>
        </w:rPr>
        <w:t>: NZT/</w:t>
      </w:r>
      <w:proofErr w:type="spellStart"/>
      <w:r w:rsidRPr="00D67274">
        <w:rPr>
          <w:rFonts w:ascii="Times New Roman" w:eastAsia="Times New Roman" w:hAnsi="Times New Roman" w:cs="Times New Roman"/>
          <w:color w:val="000000" w:themeColor="text1"/>
          <w:kern w:val="0"/>
          <w14:ligatures w14:val="none"/>
        </w:rPr>
        <w:t>nztwps</w:t>
      </w:r>
      <w:proofErr w:type="spellEnd"/>
      <w:r w:rsidRPr="00D67274">
        <w:rPr>
          <w:rFonts w:ascii="Times New Roman" w:eastAsia="Times New Roman" w:hAnsi="Times New Roman" w:cs="Times New Roman"/>
          <w:color w:val="000000" w:themeColor="text1"/>
          <w:kern w:val="0"/>
          <w14:ligatures w14:val="none"/>
        </w:rPr>
        <w:t>/01-13)</w:t>
      </w:r>
    </w:p>
    <w:p w14:paraId="5C64B2D7"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Dell, K., Lythberg, B., &amp; Woods, C. (2024). Managing Māori entrepreneurial ecosystems: Features, characteristics, and capabilities. In G. Jack, M. Evans, B. Lythberg, &amp; J. Mika (Eds.), </w:t>
      </w:r>
      <w:r w:rsidRPr="00D67274">
        <w:rPr>
          <w:rFonts w:ascii="Times New Roman" w:eastAsia="Times New Roman" w:hAnsi="Times New Roman" w:cs="Times New Roman"/>
          <w:i/>
          <w:iCs/>
          <w:color w:val="000000" w:themeColor="text1"/>
          <w:kern w:val="0"/>
          <w14:ligatures w14:val="none"/>
        </w:rPr>
        <w:t>Managing the post-colony: Voices from Aotearoa, Australia and the Pacific</w:t>
      </w:r>
      <w:r w:rsidRPr="00D67274">
        <w:rPr>
          <w:rFonts w:ascii="Times New Roman" w:eastAsia="Times New Roman" w:hAnsi="Times New Roman" w:cs="Times New Roman"/>
          <w:color w:val="000000" w:themeColor="text1"/>
          <w:kern w:val="0"/>
          <w14:ligatures w14:val="none"/>
        </w:rPr>
        <w:t xml:space="preserve"> (pp. 65–76). Springer. https://doi.org/10.1007/978-981-97-0319-7_5</w:t>
      </w:r>
    </w:p>
    <w:p w14:paraId="1E2DD6D9" w14:textId="77777777" w:rsidR="0075318A" w:rsidRPr="00D67274" w:rsidRDefault="0075318A" w:rsidP="0074155B">
      <w:pPr>
        <w:pStyle w:val="NormalWeb"/>
        <w:spacing w:after="120" w:line="240" w:lineRule="auto"/>
        <w:ind w:left="539" w:hanging="539"/>
        <w:jc w:val="both"/>
        <w:rPr>
          <w:color w:val="000000" w:themeColor="text1"/>
        </w:rPr>
      </w:pPr>
      <w:r w:rsidRPr="00D67274">
        <w:rPr>
          <w:color w:val="000000" w:themeColor="text1"/>
        </w:rPr>
        <w:t xml:space="preserve">Dharmasiri, S., Baird, T., &amp; colleagues. (2025). From roots to resilience: Exploring the drivers of indigenous entrepreneurship for climate adaptation. </w:t>
      </w:r>
      <w:r w:rsidRPr="00D67274">
        <w:rPr>
          <w:rStyle w:val="Emphasis"/>
          <w:color w:val="000000" w:themeColor="text1"/>
        </w:rPr>
        <w:t>Sustainability, 17</w:t>
      </w:r>
      <w:r w:rsidRPr="00D67274">
        <w:rPr>
          <w:color w:val="000000" w:themeColor="text1"/>
        </w:rPr>
        <w:t xml:space="preserve">(10), 4472. </w:t>
      </w:r>
      <w:hyperlink r:id="rId11" w:tgtFrame="_new" w:history="1">
        <w:r w:rsidRPr="00D67274">
          <w:rPr>
            <w:rStyle w:val="Hyperlink"/>
            <w:color w:val="000000" w:themeColor="text1"/>
          </w:rPr>
          <w:t>https://doi.org/10.3390/su17104472</w:t>
        </w:r>
      </w:hyperlink>
    </w:p>
    <w:p w14:paraId="5F97F628"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Ekene, A. K., Lee, K. S., Mdhluli, T. T., &amp; Thobejane, T. D. (2023). Placing indigenous knowledge at the core of production and marketing of medicinal plant (</w:t>
      </w:r>
      <w:proofErr w:type="spellStart"/>
      <w:r w:rsidRPr="00D67274">
        <w:rPr>
          <w:rFonts w:ascii="Times New Roman" w:eastAsia="Times New Roman" w:hAnsi="Times New Roman" w:cs="Times New Roman"/>
          <w:color w:val="000000" w:themeColor="text1"/>
          <w:kern w:val="0"/>
          <w14:ligatures w14:val="none"/>
        </w:rPr>
        <w:t>Mpesu</w:t>
      </w:r>
      <w:proofErr w:type="spellEnd"/>
      <w:r w:rsidRPr="00D67274">
        <w:rPr>
          <w:rFonts w:ascii="Times New Roman" w:eastAsia="Times New Roman" w:hAnsi="Times New Roman" w:cs="Times New Roman"/>
          <w:color w:val="000000" w:themeColor="text1"/>
          <w:kern w:val="0"/>
          <w14:ligatures w14:val="none"/>
        </w:rPr>
        <w:t xml:space="preserve">) in Zimbabwe and South Africa. In O. Adeola (Ed.), </w:t>
      </w:r>
      <w:r w:rsidRPr="00D67274">
        <w:rPr>
          <w:rFonts w:ascii="Times New Roman" w:eastAsia="Times New Roman" w:hAnsi="Times New Roman" w:cs="Times New Roman"/>
          <w:i/>
          <w:iCs/>
          <w:color w:val="000000" w:themeColor="text1"/>
          <w:kern w:val="0"/>
          <w14:ligatures w14:val="none"/>
        </w:rPr>
        <w:t>Casebook of Indigenous Business Practices in Africa</w:t>
      </w:r>
      <w:r w:rsidRPr="00D67274">
        <w:rPr>
          <w:rFonts w:ascii="Times New Roman" w:eastAsia="Times New Roman" w:hAnsi="Times New Roman" w:cs="Times New Roman"/>
          <w:color w:val="000000" w:themeColor="text1"/>
          <w:kern w:val="0"/>
          <w14:ligatures w14:val="none"/>
        </w:rPr>
        <w:t xml:space="preserve"> (pp. 167–185). Emerald Publishing. </w:t>
      </w:r>
      <w:hyperlink r:id="rId12" w:history="1">
        <w:r w:rsidRPr="00D67274">
          <w:rPr>
            <w:rStyle w:val="Hyperlink"/>
            <w:rFonts w:ascii="Times New Roman" w:eastAsia="Times New Roman" w:hAnsi="Times New Roman" w:cs="Times New Roman"/>
            <w:color w:val="000000" w:themeColor="text1"/>
            <w:kern w:val="0"/>
            <w14:ligatures w14:val="none"/>
          </w:rPr>
          <w:t>https://doi.org/10.1108/978-1-80262-251-520231017</w:t>
        </w:r>
      </w:hyperlink>
    </w:p>
    <w:p w14:paraId="63CB46A1"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hAnsi="Times New Roman" w:cs="Times New Roman"/>
          <w:color w:val="000000" w:themeColor="text1"/>
        </w:rPr>
        <w:t xml:space="preserve">Etikan, I., Musa, S. A., &amp; Alkassim, R. S. (2016). Comparison of convenience sampling and purposive sampling. </w:t>
      </w:r>
      <w:r w:rsidRPr="00D67274">
        <w:rPr>
          <w:rFonts w:ascii="Times New Roman" w:hAnsi="Times New Roman" w:cs="Times New Roman"/>
          <w:i/>
          <w:iCs/>
          <w:color w:val="000000" w:themeColor="text1"/>
        </w:rPr>
        <w:t>American Journal of Theoretical and Applied Statistics, 5</w:t>
      </w:r>
      <w:r w:rsidRPr="00D67274">
        <w:rPr>
          <w:rFonts w:ascii="Times New Roman" w:hAnsi="Times New Roman" w:cs="Times New Roman"/>
          <w:color w:val="000000" w:themeColor="text1"/>
        </w:rPr>
        <w:t>(1), 1–4. https://doi.org/10.11648/j.ajtas.20160501.11</w:t>
      </w:r>
    </w:p>
    <w:p w14:paraId="08617020" w14:textId="77777777" w:rsidR="0075318A" w:rsidRPr="00D67274" w:rsidRDefault="0075318A" w:rsidP="0074155B">
      <w:pPr>
        <w:spacing w:after="120" w:line="240" w:lineRule="auto"/>
        <w:ind w:left="539" w:hanging="539"/>
        <w:jc w:val="both"/>
        <w:rPr>
          <w:rFonts w:ascii="Times New Roman" w:hAnsi="Times New Roman" w:cs="Times New Roman"/>
          <w:color w:val="000000" w:themeColor="text1"/>
        </w:rPr>
      </w:pPr>
      <w:r w:rsidRPr="00D67274">
        <w:rPr>
          <w:rFonts w:ascii="Times New Roman" w:hAnsi="Times New Roman" w:cs="Times New Roman"/>
          <w:color w:val="000000" w:themeColor="text1"/>
        </w:rPr>
        <w:t xml:space="preserve">Evans, J. R., &amp; Mathur, A. (2018). The value of online surveys: A look back and a look ahead. </w:t>
      </w:r>
      <w:r w:rsidRPr="00D67274">
        <w:rPr>
          <w:rFonts w:ascii="Times New Roman" w:hAnsi="Times New Roman" w:cs="Times New Roman"/>
          <w:i/>
          <w:iCs/>
          <w:color w:val="000000" w:themeColor="text1"/>
        </w:rPr>
        <w:t>Internet Research, 28</w:t>
      </w:r>
      <w:r w:rsidRPr="00D67274">
        <w:rPr>
          <w:rFonts w:ascii="Times New Roman" w:hAnsi="Times New Roman" w:cs="Times New Roman"/>
          <w:color w:val="000000" w:themeColor="text1"/>
        </w:rPr>
        <w:t>(4), 854–887. https://doi.org/10.1108/IntR-03-2018-0089</w:t>
      </w:r>
    </w:p>
    <w:p w14:paraId="1D1722BD" w14:textId="77777777" w:rsidR="0075318A" w:rsidRPr="00D67274" w:rsidRDefault="0075318A" w:rsidP="0074155B">
      <w:pPr>
        <w:pStyle w:val="NormalWeb"/>
        <w:spacing w:after="120" w:line="240" w:lineRule="auto"/>
        <w:ind w:left="539" w:hanging="539"/>
        <w:jc w:val="both"/>
        <w:rPr>
          <w:color w:val="000000" w:themeColor="text1"/>
        </w:rPr>
      </w:pPr>
      <w:r w:rsidRPr="00D67274">
        <w:rPr>
          <w:color w:val="000000" w:themeColor="text1"/>
        </w:rPr>
        <w:lastRenderedPageBreak/>
        <w:t xml:space="preserve">Eze, S. C., Chinedu-Eze, V. C., &amp; Bello, A. O. (2023). Can location factors moderate the effects of demographic composition of SME owner-managers on mobile marketing adoption? </w:t>
      </w:r>
      <w:r w:rsidRPr="00D67274">
        <w:rPr>
          <w:rStyle w:val="Emphasis"/>
          <w:color w:val="000000" w:themeColor="text1"/>
        </w:rPr>
        <w:t>PLOS ONE, 18</w:t>
      </w:r>
      <w:r w:rsidRPr="00D67274">
        <w:rPr>
          <w:color w:val="000000" w:themeColor="text1"/>
        </w:rPr>
        <w:t xml:space="preserve">(8), e0289954. </w:t>
      </w:r>
      <w:hyperlink r:id="rId13" w:tgtFrame="_new" w:history="1">
        <w:r w:rsidRPr="00D67274">
          <w:rPr>
            <w:rStyle w:val="Hyperlink"/>
            <w:color w:val="000000" w:themeColor="text1"/>
          </w:rPr>
          <w:t>https://doi.org/10.1371/journal.pone.0289954</w:t>
        </w:r>
      </w:hyperlink>
    </w:p>
    <w:p w14:paraId="1B9C7F75" w14:textId="77777777" w:rsidR="0075318A" w:rsidRPr="00D67274" w:rsidRDefault="0075318A" w:rsidP="0074155B">
      <w:pPr>
        <w:spacing w:after="0" w:line="240" w:lineRule="auto"/>
        <w:ind w:left="540" w:hanging="540"/>
        <w:jc w:val="both"/>
        <w:rPr>
          <w:rFonts w:ascii="Times New Roman" w:hAnsi="Times New Roman" w:cs="Times New Roman"/>
          <w:color w:val="000000" w:themeColor="text1"/>
        </w:rPr>
      </w:pPr>
      <w:r w:rsidRPr="00D67274">
        <w:rPr>
          <w:rFonts w:ascii="Times New Roman" w:hAnsi="Times New Roman" w:cs="Times New Roman"/>
          <w:color w:val="000000" w:themeColor="text1"/>
        </w:rPr>
        <w:t xml:space="preserve">Farzaneh, M., Wilden, R., Afshari, L., &amp; </w:t>
      </w:r>
      <w:proofErr w:type="spellStart"/>
      <w:r w:rsidRPr="00D67274">
        <w:rPr>
          <w:rFonts w:ascii="Times New Roman" w:hAnsi="Times New Roman" w:cs="Times New Roman"/>
          <w:color w:val="000000" w:themeColor="text1"/>
        </w:rPr>
        <w:t>Mehralian</w:t>
      </w:r>
      <w:proofErr w:type="spellEnd"/>
      <w:r w:rsidRPr="00D67274">
        <w:rPr>
          <w:rFonts w:ascii="Times New Roman" w:hAnsi="Times New Roman" w:cs="Times New Roman"/>
          <w:color w:val="000000" w:themeColor="text1"/>
        </w:rPr>
        <w:t xml:space="preserve">, G. (2022). Dynamic capabilities and innovation ambidexterity: The roles of intellectual capital and innovation orientation. Journal of Business Research, 148, 47–59. https://doi.org/10.1016/j.jbusres.2022.04.030 </w:t>
      </w:r>
    </w:p>
    <w:p w14:paraId="5DD27A54" w14:textId="77777777" w:rsidR="0075318A" w:rsidRPr="00D67274" w:rsidRDefault="0075318A" w:rsidP="0074155B">
      <w:pPr>
        <w:pStyle w:val="NormalWeb"/>
        <w:spacing w:after="120" w:line="240" w:lineRule="auto"/>
        <w:ind w:left="539" w:hanging="539"/>
        <w:jc w:val="both"/>
        <w:rPr>
          <w:color w:val="000000" w:themeColor="text1"/>
        </w:rPr>
      </w:pPr>
      <w:r w:rsidRPr="00D67274">
        <w:rPr>
          <w:color w:val="000000" w:themeColor="text1"/>
        </w:rPr>
        <w:t xml:space="preserve">Gupta, S. (2013). Indigenous knowledge and women entrepreneurs among </w:t>
      </w:r>
      <w:proofErr w:type="spellStart"/>
      <w:r w:rsidRPr="00D67274">
        <w:rPr>
          <w:color w:val="000000" w:themeColor="text1"/>
        </w:rPr>
        <w:t>Rajbanshis</w:t>
      </w:r>
      <w:proofErr w:type="spellEnd"/>
      <w:r w:rsidRPr="00D67274">
        <w:rPr>
          <w:color w:val="000000" w:themeColor="text1"/>
        </w:rPr>
        <w:t xml:space="preserve">: A case study. </w:t>
      </w:r>
      <w:r w:rsidRPr="00D67274">
        <w:rPr>
          <w:rStyle w:val="Emphasis"/>
          <w:color w:val="000000" w:themeColor="text1"/>
        </w:rPr>
        <w:t>International Research Journal of Social Sciences, 2</w:t>
      </w:r>
      <w:r w:rsidRPr="00D67274">
        <w:rPr>
          <w:color w:val="000000" w:themeColor="text1"/>
        </w:rPr>
        <w:t xml:space="preserve">(2), 19–25. </w:t>
      </w:r>
      <w:hyperlink r:id="rId14" w:tgtFrame="_new" w:history="1">
        <w:r w:rsidRPr="00D67274">
          <w:rPr>
            <w:rStyle w:val="Hyperlink"/>
            <w:color w:val="000000" w:themeColor="text1"/>
          </w:rPr>
          <w:t>https://www.isca.me/IJSS/Archive/v2/i2/3.ISCA-IRJSS-2012-04.php</w:t>
        </w:r>
      </w:hyperlink>
    </w:p>
    <w:p w14:paraId="6EABC5A6" w14:textId="77777777" w:rsidR="0075318A" w:rsidRPr="00D67274" w:rsidRDefault="0075318A" w:rsidP="0074155B">
      <w:pPr>
        <w:spacing w:after="120" w:line="240" w:lineRule="auto"/>
        <w:ind w:left="539" w:hanging="539"/>
        <w:jc w:val="both"/>
        <w:rPr>
          <w:rFonts w:ascii="Times New Roman" w:hAnsi="Times New Roman" w:cs="Times New Roman"/>
          <w:color w:val="000000" w:themeColor="text1"/>
        </w:rPr>
      </w:pPr>
      <w:r w:rsidRPr="00D67274">
        <w:rPr>
          <w:rFonts w:ascii="Times New Roman" w:hAnsi="Times New Roman" w:cs="Times New Roman"/>
          <w:color w:val="000000" w:themeColor="text1"/>
        </w:rPr>
        <w:t xml:space="preserve">Hayes, A. F. (2022). </w:t>
      </w:r>
      <w:r w:rsidRPr="00D67274">
        <w:rPr>
          <w:rFonts w:ascii="Times New Roman" w:hAnsi="Times New Roman" w:cs="Times New Roman"/>
          <w:i/>
          <w:iCs/>
          <w:color w:val="000000" w:themeColor="text1"/>
        </w:rPr>
        <w:t>Introduction to mediation, moderation, and conditional process analysis: A regression-based approach</w:t>
      </w:r>
      <w:r w:rsidRPr="00D67274">
        <w:rPr>
          <w:rFonts w:ascii="Times New Roman" w:hAnsi="Times New Roman" w:cs="Times New Roman"/>
          <w:color w:val="000000" w:themeColor="text1"/>
        </w:rPr>
        <w:t xml:space="preserve"> (3rd ed.). Guilford Press.</w:t>
      </w:r>
    </w:p>
    <w:p w14:paraId="4ECA690A" w14:textId="77777777" w:rsidR="0075318A" w:rsidRPr="00D67274" w:rsidRDefault="0075318A" w:rsidP="0075318A">
      <w:pPr>
        <w:spacing w:after="0" w:line="240" w:lineRule="auto"/>
        <w:ind w:left="540" w:hanging="540"/>
        <w:jc w:val="both"/>
        <w:rPr>
          <w:rFonts w:ascii="Times New Roman" w:hAnsi="Times New Roman" w:cs="Times New Roman"/>
          <w:color w:val="000000" w:themeColor="text1"/>
        </w:rPr>
      </w:pPr>
      <w:r w:rsidRPr="00D67274">
        <w:rPr>
          <w:rFonts w:ascii="Times New Roman" w:hAnsi="Times New Roman" w:cs="Times New Roman"/>
          <w:color w:val="000000" w:themeColor="text1"/>
        </w:rPr>
        <w:t xml:space="preserve">Heider, A., Gerken, M., Van Dinther, N., &amp; </w:t>
      </w:r>
      <w:proofErr w:type="spellStart"/>
      <w:r w:rsidRPr="00D67274">
        <w:rPr>
          <w:rFonts w:ascii="Times New Roman" w:hAnsi="Times New Roman" w:cs="Times New Roman"/>
          <w:color w:val="000000" w:themeColor="text1"/>
        </w:rPr>
        <w:t>Hülsbeck</w:t>
      </w:r>
      <w:proofErr w:type="spellEnd"/>
      <w:r w:rsidRPr="00D67274">
        <w:rPr>
          <w:rFonts w:ascii="Times New Roman" w:hAnsi="Times New Roman" w:cs="Times New Roman"/>
          <w:color w:val="000000" w:themeColor="text1"/>
        </w:rPr>
        <w:t xml:space="preserve">, M. (2021). Business model innovation through dynamic capabilities in small and medium enterprises – Evidence from the German </w:t>
      </w:r>
      <w:proofErr w:type="spellStart"/>
      <w:r w:rsidRPr="00D67274">
        <w:rPr>
          <w:rFonts w:ascii="Times New Roman" w:hAnsi="Times New Roman" w:cs="Times New Roman"/>
          <w:color w:val="000000" w:themeColor="text1"/>
        </w:rPr>
        <w:t>Mittelstand</w:t>
      </w:r>
      <w:proofErr w:type="spellEnd"/>
      <w:r w:rsidRPr="00D67274">
        <w:rPr>
          <w:rFonts w:ascii="Times New Roman" w:hAnsi="Times New Roman" w:cs="Times New Roman"/>
          <w:color w:val="000000" w:themeColor="text1"/>
        </w:rPr>
        <w:t>. Journal of Business Research, 130, 635–645. https://doi.org/10.1016/j.jbusres.2020.04.051</w:t>
      </w:r>
    </w:p>
    <w:p w14:paraId="462C88A9"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Hernández-Linares, R., López-Fernández, M. C., García-Piqueres, G., Pina e Cunha, M., &amp; Rego, A. (2024). How knowledge-based dynamic capabilities relate to firm performance: The mediating role of entrepreneurial orientation. </w:t>
      </w:r>
      <w:r w:rsidRPr="00D67274">
        <w:rPr>
          <w:rFonts w:ascii="Times New Roman" w:eastAsia="Times New Roman" w:hAnsi="Times New Roman" w:cs="Times New Roman"/>
          <w:i/>
          <w:iCs/>
          <w:color w:val="000000" w:themeColor="text1"/>
          <w:kern w:val="0"/>
          <w14:ligatures w14:val="none"/>
        </w:rPr>
        <w:t>Review of Managerial Science, 18</w:t>
      </w:r>
      <w:r w:rsidRPr="00D67274">
        <w:rPr>
          <w:rFonts w:ascii="Times New Roman" w:eastAsia="Times New Roman" w:hAnsi="Times New Roman" w:cs="Times New Roman"/>
          <w:color w:val="000000" w:themeColor="text1"/>
          <w:kern w:val="0"/>
          <w14:ligatures w14:val="none"/>
        </w:rPr>
        <w:t>(8), 2781–2813. https://doi.org/10.1007/s11846-023-00691-4</w:t>
      </w:r>
    </w:p>
    <w:p w14:paraId="3583A80B" w14:textId="77777777" w:rsidR="0075318A" w:rsidRPr="00D67274" w:rsidRDefault="0075318A" w:rsidP="0074155B">
      <w:pPr>
        <w:spacing w:after="120" w:line="240" w:lineRule="auto"/>
        <w:ind w:left="539" w:hanging="539"/>
        <w:jc w:val="both"/>
        <w:rPr>
          <w:rFonts w:ascii="Times New Roman" w:hAnsi="Times New Roman" w:cs="Times New Roman"/>
          <w:color w:val="000000" w:themeColor="text1"/>
        </w:rPr>
      </w:pPr>
      <w:r w:rsidRPr="00D67274">
        <w:rPr>
          <w:rFonts w:ascii="Times New Roman" w:hAnsi="Times New Roman" w:cs="Times New Roman"/>
          <w:color w:val="000000" w:themeColor="text1"/>
        </w:rPr>
        <w:t xml:space="preserve">Joshi, A., Kale, S., Chandel, S., &amp; Pal, D. K. (2015). Likert scale: Explored and explained. </w:t>
      </w:r>
      <w:r w:rsidRPr="00D67274">
        <w:rPr>
          <w:rFonts w:ascii="Times New Roman" w:hAnsi="Times New Roman" w:cs="Times New Roman"/>
          <w:i/>
          <w:iCs/>
          <w:color w:val="000000" w:themeColor="text1"/>
        </w:rPr>
        <w:t>British Journal of Applied Science &amp; Technology, 7</w:t>
      </w:r>
      <w:r w:rsidRPr="00D67274">
        <w:rPr>
          <w:rFonts w:ascii="Times New Roman" w:hAnsi="Times New Roman" w:cs="Times New Roman"/>
          <w:color w:val="000000" w:themeColor="text1"/>
        </w:rPr>
        <w:t>(4), 396–403. https://doi.org/10.9734/BJAST/2015/14975</w:t>
      </w:r>
    </w:p>
    <w:p w14:paraId="16D27003"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Karan. (2018). Nurturing innovation and fostering entrepreneurship ecosystem in the knowledge economy. </w:t>
      </w:r>
      <w:r w:rsidRPr="00D67274">
        <w:rPr>
          <w:rFonts w:ascii="Times New Roman" w:eastAsia="Times New Roman" w:hAnsi="Times New Roman" w:cs="Times New Roman"/>
          <w:i/>
          <w:iCs/>
          <w:color w:val="000000" w:themeColor="text1"/>
          <w:kern w:val="0"/>
          <w14:ligatures w14:val="none"/>
        </w:rPr>
        <w:t>International Journal of Emerging Technologies and Innovative Research, 5</w:t>
      </w:r>
      <w:r w:rsidRPr="00D67274">
        <w:rPr>
          <w:rFonts w:ascii="Times New Roman" w:eastAsia="Times New Roman" w:hAnsi="Times New Roman" w:cs="Times New Roman"/>
          <w:color w:val="000000" w:themeColor="text1"/>
          <w:kern w:val="0"/>
          <w14:ligatures w14:val="none"/>
        </w:rPr>
        <w:t>(6), 518–522.</w:t>
      </w:r>
    </w:p>
    <w:p w14:paraId="221FD78B" w14:textId="77777777" w:rsidR="0075318A" w:rsidRPr="00D67274" w:rsidRDefault="0075318A" w:rsidP="0074155B">
      <w:pPr>
        <w:pStyle w:val="NormalWeb"/>
        <w:spacing w:after="120" w:line="240" w:lineRule="auto"/>
        <w:ind w:left="539" w:hanging="539"/>
        <w:jc w:val="both"/>
        <w:rPr>
          <w:color w:val="000000" w:themeColor="text1"/>
        </w:rPr>
      </w:pPr>
      <w:r w:rsidRPr="00D67274">
        <w:rPr>
          <w:color w:val="000000" w:themeColor="text1"/>
        </w:rPr>
        <w:t xml:space="preserve">Kesa, H. (2024). Financial literacy and creative thinking amongst rural entrepreneurs: Case of Sundanese local wisdom in West Java, Indonesia. </w:t>
      </w:r>
      <w:r w:rsidRPr="00D67274">
        <w:rPr>
          <w:rStyle w:val="Emphasis"/>
          <w:color w:val="000000" w:themeColor="text1"/>
        </w:rPr>
        <w:t>Academy of Entrepreneurship Journal, 30</w:t>
      </w:r>
      <w:r w:rsidRPr="00D67274">
        <w:rPr>
          <w:color w:val="000000" w:themeColor="text1"/>
        </w:rPr>
        <w:t xml:space="preserve">(1), 45–60. </w:t>
      </w:r>
      <w:hyperlink r:id="rId15" w:tgtFrame="_new" w:history="1">
        <w:r w:rsidRPr="00D67274">
          <w:rPr>
            <w:rStyle w:val="Hyperlink"/>
            <w:color w:val="000000" w:themeColor="text1"/>
          </w:rPr>
          <w:t>https://www.abacademies.org/articles/financial-literacy-and-creative-thinking-amongst-rural-entrepreneurs-case-of-sundanese-local-wisdom-in-west-java-indonesia-16554.html</w:t>
        </w:r>
      </w:hyperlink>
    </w:p>
    <w:p w14:paraId="3A9CA8AB"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Kim, J.-K., &amp; Ahn, D. H. (2017). Effects of the fitness among entrepreneurship, dynamic capabilities and innovation activities on business performance. </w:t>
      </w:r>
      <w:r w:rsidRPr="00D67274">
        <w:rPr>
          <w:rFonts w:ascii="Times New Roman" w:eastAsia="Times New Roman" w:hAnsi="Times New Roman" w:cs="Times New Roman"/>
          <w:i/>
          <w:iCs/>
          <w:color w:val="000000" w:themeColor="text1"/>
          <w:kern w:val="0"/>
          <w14:ligatures w14:val="none"/>
        </w:rPr>
        <w:t>Journal of Digital Convergence, 15</w:t>
      </w:r>
      <w:r w:rsidRPr="00D67274">
        <w:rPr>
          <w:rFonts w:ascii="Times New Roman" w:eastAsia="Times New Roman" w:hAnsi="Times New Roman" w:cs="Times New Roman"/>
          <w:color w:val="000000" w:themeColor="text1"/>
          <w:kern w:val="0"/>
          <w14:ligatures w14:val="none"/>
        </w:rPr>
        <w:t>(1), 163–172. https://doi.org/10.14400/JDC.2017.15.1.163</w:t>
      </w:r>
    </w:p>
    <w:p w14:paraId="26FF724D"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Koryak, O., Mole, K. F., Lockett, A., Hayton, J. C., Ucbasaran, D., &amp; Hodgkinson, G. P. (2015). Entrepreneurial leadership, capabilities and firm growth. </w:t>
      </w:r>
      <w:r w:rsidRPr="00D67274">
        <w:rPr>
          <w:rFonts w:ascii="Times New Roman" w:eastAsia="Times New Roman" w:hAnsi="Times New Roman" w:cs="Times New Roman"/>
          <w:i/>
          <w:iCs/>
          <w:color w:val="000000" w:themeColor="text1"/>
          <w:kern w:val="0"/>
          <w14:ligatures w14:val="none"/>
        </w:rPr>
        <w:t>International Small Business Journal, 33</w:t>
      </w:r>
      <w:r w:rsidRPr="00D67274">
        <w:rPr>
          <w:rFonts w:ascii="Times New Roman" w:eastAsia="Times New Roman" w:hAnsi="Times New Roman" w:cs="Times New Roman"/>
          <w:color w:val="000000" w:themeColor="text1"/>
          <w:kern w:val="0"/>
          <w14:ligatures w14:val="none"/>
        </w:rPr>
        <w:t>(1), 89–105. https://doi.org/10.1177/0266242614558315</w:t>
      </w:r>
    </w:p>
    <w:p w14:paraId="30D0C712"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Liao, Y. (2023). An empirical model of university competitiveness and rankings: The effects of entrepreneurial behaviors and dynamic capabilities. </w:t>
      </w:r>
      <w:r w:rsidRPr="00D67274">
        <w:rPr>
          <w:rFonts w:ascii="Times New Roman" w:eastAsia="Times New Roman" w:hAnsi="Times New Roman" w:cs="Times New Roman"/>
          <w:i/>
          <w:iCs/>
          <w:color w:val="000000" w:themeColor="text1"/>
          <w:kern w:val="0"/>
          <w14:ligatures w14:val="none"/>
        </w:rPr>
        <w:t>Asia-Pacific Management Review, 29</w:t>
      </w:r>
      <w:r w:rsidRPr="00D67274">
        <w:rPr>
          <w:rFonts w:ascii="Times New Roman" w:eastAsia="Times New Roman" w:hAnsi="Times New Roman" w:cs="Times New Roman"/>
          <w:color w:val="000000" w:themeColor="text1"/>
          <w:kern w:val="0"/>
          <w14:ligatures w14:val="none"/>
        </w:rPr>
        <w:t>(1), 70–79. https://doi.org/10.1016/j.apmrv.2023.04.005</w:t>
      </w:r>
    </w:p>
    <w:p w14:paraId="5471C1DF"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Lieu, N. T. Y., Hiep, P. M., &amp; Hieu, C. V. (2024). Research model on the relationship between dynamic capabilities and business performance through the mediating variable of business model innovation: The case of enterprises in Binh Duong province. </w:t>
      </w:r>
      <w:r w:rsidRPr="00D67274">
        <w:rPr>
          <w:rFonts w:ascii="Times New Roman" w:eastAsia="Times New Roman" w:hAnsi="Times New Roman" w:cs="Times New Roman"/>
          <w:i/>
          <w:iCs/>
          <w:color w:val="000000" w:themeColor="text1"/>
          <w:kern w:val="0"/>
          <w14:ligatures w14:val="none"/>
        </w:rPr>
        <w:t xml:space="preserve">International Journal of </w:t>
      </w:r>
      <w:r w:rsidRPr="00D67274">
        <w:rPr>
          <w:rFonts w:ascii="Times New Roman" w:eastAsia="Times New Roman" w:hAnsi="Times New Roman" w:cs="Times New Roman"/>
          <w:i/>
          <w:iCs/>
          <w:color w:val="000000" w:themeColor="text1"/>
          <w:kern w:val="0"/>
          <w14:ligatures w14:val="none"/>
        </w:rPr>
        <w:lastRenderedPageBreak/>
        <w:t>Multidisciplinary Research and Growth Evaluation, 5</w:t>
      </w:r>
      <w:r w:rsidRPr="00D67274">
        <w:rPr>
          <w:rFonts w:ascii="Times New Roman" w:eastAsia="Times New Roman" w:hAnsi="Times New Roman" w:cs="Times New Roman"/>
          <w:color w:val="000000" w:themeColor="text1"/>
          <w:kern w:val="0"/>
          <w14:ligatures w14:val="none"/>
        </w:rPr>
        <w:t>(6), 285–292. https://doi.org/10.54660/ijmrge.2024.5.6.285-292</w:t>
      </w:r>
    </w:p>
    <w:p w14:paraId="2B277B07"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Madsen, E. L., Alsos, G. A., Borch, O. J., Ljunggren, E., &amp; Brastad, B. (2007). Developing entrepreneurial orientation: The role of dynamic capabilities and intangible resources. In C. Galbraith &amp; C. Stiles (Eds.), </w:t>
      </w:r>
      <w:r w:rsidRPr="00D67274">
        <w:rPr>
          <w:rFonts w:ascii="Times New Roman" w:eastAsia="Times New Roman" w:hAnsi="Times New Roman" w:cs="Times New Roman"/>
          <w:i/>
          <w:iCs/>
          <w:color w:val="000000" w:themeColor="text1"/>
          <w:kern w:val="0"/>
          <w14:ligatures w14:val="none"/>
        </w:rPr>
        <w:t>Developmental entrepreneurship: Adversity, risk, and isolation</w:t>
      </w:r>
      <w:r w:rsidRPr="00D67274">
        <w:rPr>
          <w:rFonts w:ascii="Times New Roman" w:eastAsia="Times New Roman" w:hAnsi="Times New Roman" w:cs="Times New Roman"/>
          <w:color w:val="000000" w:themeColor="text1"/>
          <w:kern w:val="0"/>
          <w14:ligatures w14:val="none"/>
        </w:rPr>
        <w:t xml:space="preserve"> (pp. 185–204). Elsevier.</w:t>
      </w:r>
    </w:p>
    <w:p w14:paraId="24A78E6A" w14:textId="77777777" w:rsidR="0075318A" w:rsidRPr="00D67274" w:rsidRDefault="0075318A" w:rsidP="0074155B">
      <w:pPr>
        <w:pStyle w:val="NormalWeb"/>
        <w:spacing w:after="120" w:line="240" w:lineRule="auto"/>
        <w:ind w:left="539" w:hanging="539"/>
        <w:jc w:val="both"/>
        <w:rPr>
          <w:color w:val="000000" w:themeColor="text1"/>
        </w:rPr>
      </w:pPr>
      <w:proofErr w:type="spellStart"/>
      <w:r w:rsidRPr="00D67274">
        <w:rPr>
          <w:color w:val="000000" w:themeColor="text1"/>
        </w:rPr>
        <w:t>Manyaga</w:t>
      </w:r>
      <w:proofErr w:type="spellEnd"/>
      <w:r w:rsidRPr="00D67274">
        <w:rPr>
          <w:color w:val="000000" w:themeColor="text1"/>
        </w:rPr>
        <w:t xml:space="preserve">, M. B., Goldman, G. A., &amp; Thomas, P. (2024). Sustaining SMEs through Indigenous Knowledge Systems: Exploring opportunities and challenges. </w:t>
      </w:r>
      <w:r w:rsidRPr="00D67274">
        <w:rPr>
          <w:rStyle w:val="Emphasis"/>
          <w:color w:val="000000" w:themeColor="text1"/>
        </w:rPr>
        <w:t>Southern African Journal of Entrepreneurship and Small Business Management, 16</w:t>
      </w:r>
      <w:r w:rsidRPr="00D67274">
        <w:rPr>
          <w:color w:val="000000" w:themeColor="text1"/>
        </w:rPr>
        <w:t xml:space="preserve">(1), 1–12. </w:t>
      </w:r>
      <w:hyperlink r:id="rId16" w:tgtFrame="_new" w:history="1">
        <w:r w:rsidRPr="00D67274">
          <w:rPr>
            <w:rStyle w:val="Hyperlink"/>
            <w:color w:val="000000" w:themeColor="text1"/>
          </w:rPr>
          <w:t>https://doi.org/10.4102/sajesbm.v16i1.882</w:t>
        </w:r>
      </w:hyperlink>
    </w:p>
    <w:p w14:paraId="4B0F4E4D"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Monroy, A. C., &amp; Díaz Nieto, E. S. (2019). </w:t>
      </w:r>
      <w:proofErr w:type="spellStart"/>
      <w:r w:rsidRPr="00D67274">
        <w:rPr>
          <w:rFonts w:ascii="Times New Roman" w:eastAsia="Times New Roman" w:hAnsi="Times New Roman" w:cs="Times New Roman"/>
          <w:color w:val="000000" w:themeColor="text1"/>
          <w:kern w:val="0"/>
          <w14:ligatures w14:val="none"/>
        </w:rPr>
        <w:t>Influencia</w:t>
      </w:r>
      <w:proofErr w:type="spellEnd"/>
      <w:r w:rsidRPr="00D67274">
        <w:rPr>
          <w:rFonts w:ascii="Times New Roman" w:eastAsia="Times New Roman" w:hAnsi="Times New Roman" w:cs="Times New Roman"/>
          <w:color w:val="000000" w:themeColor="text1"/>
          <w:kern w:val="0"/>
          <w14:ligatures w14:val="none"/>
        </w:rPr>
        <w:t xml:space="preserve"> de las </w:t>
      </w:r>
      <w:proofErr w:type="spellStart"/>
      <w:r w:rsidRPr="00D67274">
        <w:rPr>
          <w:rFonts w:ascii="Times New Roman" w:eastAsia="Times New Roman" w:hAnsi="Times New Roman" w:cs="Times New Roman"/>
          <w:color w:val="000000" w:themeColor="text1"/>
          <w:kern w:val="0"/>
          <w14:ligatures w14:val="none"/>
        </w:rPr>
        <w:t>capacidades</w:t>
      </w:r>
      <w:proofErr w:type="spellEnd"/>
      <w:r w:rsidRPr="00D67274">
        <w:rPr>
          <w:rFonts w:ascii="Times New Roman" w:eastAsia="Times New Roman" w:hAnsi="Times New Roman" w:cs="Times New Roman"/>
          <w:color w:val="000000" w:themeColor="text1"/>
          <w:kern w:val="0"/>
          <w14:ligatures w14:val="none"/>
        </w:rPr>
        <w:t xml:space="preserve"> </w:t>
      </w:r>
      <w:proofErr w:type="spellStart"/>
      <w:r w:rsidRPr="00D67274">
        <w:rPr>
          <w:rFonts w:ascii="Times New Roman" w:eastAsia="Times New Roman" w:hAnsi="Times New Roman" w:cs="Times New Roman"/>
          <w:color w:val="000000" w:themeColor="text1"/>
          <w:kern w:val="0"/>
          <w14:ligatures w14:val="none"/>
        </w:rPr>
        <w:t>dinámicas</w:t>
      </w:r>
      <w:proofErr w:type="spellEnd"/>
      <w:r w:rsidRPr="00D67274">
        <w:rPr>
          <w:rFonts w:ascii="Times New Roman" w:eastAsia="Times New Roman" w:hAnsi="Times New Roman" w:cs="Times New Roman"/>
          <w:color w:val="000000" w:themeColor="text1"/>
          <w:kern w:val="0"/>
          <w14:ligatures w14:val="none"/>
        </w:rPr>
        <w:t xml:space="preserve"> </w:t>
      </w:r>
      <w:proofErr w:type="spellStart"/>
      <w:r w:rsidRPr="00D67274">
        <w:rPr>
          <w:rFonts w:ascii="Times New Roman" w:eastAsia="Times New Roman" w:hAnsi="Times New Roman" w:cs="Times New Roman"/>
          <w:color w:val="000000" w:themeColor="text1"/>
          <w:kern w:val="0"/>
          <w14:ligatures w14:val="none"/>
        </w:rPr>
        <w:t>en</w:t>
      </w:r>
      <w:proofErr w:type="spellEnd"/>
      <w:r w:rsidRPr="00D67274">
        <w:rPr>
          <w:rFonts w:ascii="Times New Roman" w:eastAsia="Times New Roman" w:hAnsi="Times New Roman" w:cs="Times New Roman"/>
          <w:color w:val="000000" w:themeColor="text1"/>
          <w:kern w:val="0"/>
          <w14:ligatures w14:val="none"/>
        </w:rPr>
        <w:t xml:space="preserve"> la </w:t>
      </w:r>
      <w:proofErr w:type="spellStart"/>
      <w:r w:rsidRPr="00D67274">
        <w:rPr>
          <w:rFonts w:ascii="Times New Roman" w:eastAsia="Times New Roman" w:hAnsi="Times New Roman" w:cs="Times New Roman"/>
          <w:color w:val="000000" w:themeColor="text1"/>
          <w:kern w:val="0"/>
          <w14:ligatures w14:val="none"/>
        </w:rPr>
        <w:t>cultura</w:t>
      </w:r>
      <w:proofErr w:type="spellEnd"/>
      <w:r w:rsidRPr="00D67274">
        <w:rPr>
          <w:rFonts w:ascii="Times New Roman" w:eastAsia="Times New Roman" w:hAnsi="Times New Roman" w:cs="Times New Roman"/>
          <w:color w:val="000000" w:themeColor="text1"/>
          <w:kern w:val="0"/>
          <w14:ligatures w14:val="none"/>
        </w:rPr>
        <w:t xml:space="preserve"> de alto </w:t>
      </w:r>
      <w:proofErr w:type="spellStart"/>
      <w:r w:rsidRPr="00D67274">
        <w:rPr>
          <w:rFonts w:ascii="Times New Roman" w:eastAsia="Times New Roman" w:hAnsi="Times New Roman" w:cs="Times New Roman"/>
          <w:color w:val="000000" w:themeColor="text1"/>
          <w:kern w:val="0"/>
          <w14:ligatures w14:val="none"/>
        </w:rPr>
        <w:t>desempeño</w:t>
      </w:r>
      <w:proofErr w:type="spellEnd"/>
      <w:r w:rsidRPr="00D67274">
        <w:rPr>
          <w:rFonts w:ascii="Times New Roman" w:eastAsia="Times New Roman" w:hAnsi="Times New Roman" w:cs="Times New Roman"/>
          <w:color w:val="000000" w:themeColor="text1"/>
          <w:kern w:val="0"/>
          <w14:ligatures w14:val="none"/>
        </w:rPr>
        <w:t xml:space="preserve"> y </w:t>
      </w:r>
      <w:proofErr w:type="spellStart"/>
      <w:r w:rsidRPr="00D67274">
        <w:rPr>
          <w:rFonts w:ascii="Times New Roman" w:eastAsia="Times New Roman" w:hAnsi="Times New Roman" w:cs="Times New Roman"/>
          <w:color w:val="000000" w:themeColor="text1"/>
          <w:kern w:val="0"/>
          <w14:ligatures w14:val="none"/>
        </w:rPr>
        <w:t>competitividad</w:t>
      </w:r>
      <w:proofErr w:type="spellEnd"/>
      <w:r w:rsidRPr="00D67274">
        <w:rPr>
          <w:rFonts w:ascii="Times New Roman" w:eastAsia="Times New Roman" w:hAnsi="Times New Roman" w:cs="Times New Roman"/>
          <w:color w:val="000000" w:themeColor="text1"/>
          <w:kern w:val="0"/>
          <w14:ligatures w14:val="none"/>
        </w:rPr>
        <w:t xml:space="preserve">. </w:t>
      </w:r>
      <w:r w:rsidRPr="00D67274">
        <w:rPr>
          <w:rFonts w:ascii="Times New Roman" w:eastAsia="Times New Roman" w:hAnsi="Times New Roman" w:cs="Times New Roman"/>
          <w:i/>
          <w:iCs/>
          <w:color w:val="000000" w:themeColor="text1"/>
          <w:kern w:val="0"/>
          <w14:ligatures w14:val="none"/>
        </w:rPr>
        <w:t xml:space="preserve">SUMMA. Revista </w:t>
      </w:r>
      <w:proofErr w:type="spellStart"/>
      <w:r w:rsidRPr="00D67274">
        <w:rPr>
          <w:rFonts w:ascii="Times New Roman" w:eastAsia="Times New Roman" w:hAnsi="Times New Roman" w:cs="Times New Roman"/>
          <w:i/>
          <w:iCs/>
          <w:color w:val="000000" w:themeColor="text1"/>
          <w:kern w:val="0"/>
          <w14:ligatures w14:val="none"/>
        </w:rPr>
        <w:t>Disciplinaria</w:t>
      </w:r>
      <w:proofErr w:type="spellEnd"/>
      <w:r w:rsidRPr="00D67274">
        <w:rPr>
          <w:rFonts w:ascii="Times New Roman" w:eastAsia="Times New Roman" w:hAnsi="Times New Roman" w:cs="Times New Roman"/>
          <w:i/>
          <w:iCs/>
          <w:color w:val="000000" w:themeColor="text1"/>
          <w:kern w:val="0"/>
          <w14:ligatures w14:val="none"/>
        </w:rPr>
        <w:t xml:space="preserve"> </w:t>
      </w:r>
      <w:proofErr w:type="spellStart"/>
      <w:r w:rsidRPr="00D67274">
        <w:rPr>
          <w:rFonts w:ascii="Times New Roman" w:eastAsia="Times New Roman" w:hAnsi="Times New Roman" w:cs="Times New Roman"/>
          <w:i/>
          <w:iCs/>
          <w:color w:val="000000" w:themeColor="text1"/>
          <w:kern w:val="0"/>
          <w14:ligatures w14:val="none"/>
        </w:rPr>
        <w:t>en</w:t>
      </w:r>
      <w:proofErr w:type="spellEnd"/>
      <w:r w:rsidRPr="00D67274">
        <w:rPr>
          <w:rFonts w:ascii="Times New Roman" w:eastAsia="Times New Roman" w:hAnsi="Times New Roman" w:cs="Times New Roman"/>
          <w:i/>
          <w:iCs/>
          <w:color w:val="000000" w:themeColor="text1"/>
          <w:kern w:val="0"/>
          <w14:ligatures w14:val="none"/>
        </w:rPr>
        <w:t xml:space="preserve"> </w:t>
      </w:r>
      <w:proofErr w:type="spellStart"/>
      <w:r w:rsidRPr="00D67274">
        <w:rPr>
          <w:rFonts w:ascii="Times New Roman" w:eastAsia="Times New Roman" w:hAnsi="Times New Roman" w:cs="Times New Roman"/>
          <w:i/>
          <w:iCs/>
          <w:color w:val="000000" w:themeColor="text1"/>
          <w:kern w:val="0"/>
          <w14:ligatures w14:val="none"/>
        </w:rPr>
        <w:t>Ciencias</w:t>
      </w:r>
      <w:proofErr w:type="spellEnd"/>
      <w:r w:rsidRPr="00D67274">
        <w:rPr>
          <w:rFonts w:ascii="Times New Roman" w:eastAsia="Times New Roman" w:hAnsi="Times New Roman" w:cs="Times New Roman"/>
          <w:i/>
          <w:iCs/>
          <w:color w:val="000000" w:themeColor="text1"/>
          <w:kern w:val="0"/>
          <w14:ligatures w14:val="none"/>
        </w:rPr>
        <w:t xml:space="preserve"> </w:t>
      </w:r>
      <w:proofErr w:type="spellStart"/>
      <w:r w:rsidRPr="00D67274">
        <w:rPr>
          <w:rFonts w:ascii="Times New Roman" w:eastAsia="Times New Roman" w:hAnsi="Times New Roman" w:cs="Times New Roman"/>
          <w:i/>
          <w:iCs/>
          <w:color w:val="000000" w:themeColor="text1"/>
          <w:kern w:val="0"/>
          <w14:ligatures w14:val="none"/>
        </w:rPr>
        <w:t>Económicas</w:t>
      </w:r>
      <w:proofErr w:type="spellEnd"/>
      <w:r w:rsidRPr="00D67274">
        <w:rPr>
          <w:rFonts w:ascii="Times New Roman" w:eastAsia="Times New Roman" w:hAnsi="Times New Roman" w:cs="Times New Roman"/>
          <w:i/>
          <w:iCs/>
          <w:color w:val="000000" w:themeColor="text1"/>
          <w:kern w:val="0"/>
          <w14:ligatures w14:val="none"/>
        </w:rPr>
        <w:t xml:space="preserve"> y </w:t>
      </w:r>
      <w:proofErr w:type="spellStart"/>
      <w:r w:rsidRPr="00D67274">
        <w:rPr>
          <w:rFonts w:ascii="Times New Roman" w:eastAsia="Times New Roman" w:hAnsi="Times New Roman" w:cs="Times New Roman"/>
          <w:i/>
          <w:iCs/>
          <w:color w:val="000000" w:themeColor="text1"/>
          <w:kern w:val="0"/>
          <w14:ligatures w14:val="none"/>
        </w:rPr>
        <w:t>Sociales</w:t>
      </w:r>
      <w:proofErr w:type="spellEnd"/>
      <w:r w:rsidRPr="00D67274">
        <w:rPr>
          <w:rFonts w:ascii="Times New Roman" w:eastAsia="Times New Roman" w:hAnsi="Times New Roman" w:cs="Times New Roman"/>
          <w:i/>
          <w:iCs/>
          <w:color w:val="000000" w:themeColor="text1"/>
          <w:kern w:val="0"/>
          <w14:ligatures w14:val="none"/>
        </w:rPr>
        <w:t>, 1</w:t>
      </w:r>
      <w:r w:rsidRPr="00D67274">
        <w:rPr>
          <w:rFonts w:ascii="Times New Roman" w:eastAsia="Times New Roman" w:hAnsi="Times New Roman" w:cs="Times New Roman"/>
          <w:color w:val="000000" w:themeColor="text1"/>
          <w:kern w:val="0"/>
          <w14:ligatures w14:val="none"/>
        </w:rPr>
        <w:t>(2), 115–130.</w:t>
      </w:r>
    </w:p>
    <w:p w14:paraId="253BB8FD"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proofErr w:type="spellStart"/>
      <w:r w:rsidRPr="00D67274">
        <w:rPr>
          <w:rFonts w:ascii="Times New Roman" w:eastAsia="Times New Roman" w:hAnsi="Times New Roman" w:cs="Times New Roman"/>
          <w:color w:val="000000" w:themeColor="text1"/>
          <w:kern w:val="0"/>
          <w14:ligatures w14:val="none"/>
        </w:rPr>
        <w:t>Mugambiwa</w:t>
      </w:r>
      <w:proofErr w:type="spellEnd"/>
      <w:r w:rsidRPr="00D67274">
        <w:rPr>
          <w:rFonts w:ascii="Times New Roman" w:eastAsia="Times New Roman" w:hAnsi="Times New Roman" w:cs="Times New Roman"/>
          <w:color w:val="000000" w:themeColor="text1"/>
          <w:kern w:val="0"/>
          <w14:ligatures w14:val="none"/>
        </w:rPr>
        <w:t xml:space="preserve">, S. S. (2021). Integrating indigenous knowledge systems in entrepreneurship: A case of horticulture farmers in Mutoko District of Zimbabwe. </w:t>
      </w:r>
      <w:r w:rsidRPr="00D67274">
        <w:rPr>
          <w:rFonts w:ascii="Times New Roman" w:eastAsia="Times New Roman" w:hAnsi="Times New Roman" w:cs="Times New Roman"/>
          <w:i/>
          <w:iCs/>
          <w:color w:val="000000" w:themeColor="text1"/>
          <w:kern w:val="0"/>
          <w14:ligatures w14:val="none"/>
        </w:rPr>
        <w:t>Indonesian Journal of Social and Environmental Issues, 2</w:t>
      </w:r>
      <w:r w:rsidRPr="00D67274">
        <w:rPr>
          <w:rFonts w:ascii="Times New Roman" w:eastAsia="Times New Roman" w:hAnsi="Times New Roman" w:cs="Times New Roman"/>
          <w:color w:val="000000" w:themeColor="text1"/>
          <w:kern w:val="0"/>
          <w14:ligatures w14:val="none"/>
        </w:rPr>
        <w:t>(3), 221–226. https://doi.org/10.47540/ijsei.v2i3.297</w:t>
      </w:r>
    </w:p>
    <w:p w14:paraId="7F3493A7"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Muriuki, B. K. (2018). Dynamic capabilities as a precursor to corporate innovation and competitive advantage: The role of human capital. [Unpublished manuscript]. University of Nairobi.</w:t>
      </w:r>
    </w:p>
    <w:p w14:paraId="1F117464" w14:textId="77777777" w:rsidR="0075318A" w:rsidRPr="00D67274" w:rsidRDefault="0075318A" w:rsidP="0074155B">
      <w:pPr>
        <w:spacing w:after="120" w:line="240" w:lineRule="auto"/>
        <w:ind w:left="539" w:hanging="539"/>
        <w:jc w:val="both"/>
        <w:rPr>
          <w:rFonts w:ascii="Times New Roman" w:hAnsi="Times New Roman" w:cs="Times New Roman"/>
          <w:color w:val="000000" w:themeColor="text1"/>
        </w:rPr>
      </w:pPr>
      <w:r w:rsidRPr="00D67274">
        <w:rPr>
          <w:rFonts w:ascii="Times New Roman" w:hAnsi="Times New Roman" w:cs="Times New Roman"/>
          <w:color w:val="000000" w:themeColor="text1"/>
        </w:rPr>
        <w:t xml:space="preserve">Nunnally, J. C., &amp; Bernstein, I. H. (1994). </w:t>
      </w:r>
      <w:r w:rsidRPr="00D67274">
        <w:rPr>
          <w:rFonts w:ascii="Times New Roman" w:hAnsi="Times New Roman" w:cs="Times New Roman"/>
          <w:i/>
          <w:iCs/>
          <w:color w:val="000000" w:themeColor="text1"/>
        </w:rPr>
        <w:t>Psychometric theory</w:t>
      </w:r>
      <w:r w:rsidRPr="00D67274">
        <w:rPr>
          <w:rFonts w:ascii="Times New Roman" w:hAnsi="Times New Roman" w:cs="Times New Roman"/>
          <w:color w:val="000000" w:themeColor="text1"/>
        </w:rPr>
        <w:t xml:space="preserve"> (3rd ed.). McGraw-Hill.</w:t>
      </w:r>
    </w:p>
    <w:p w14:paraId="7BAAEA94"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Olaopa, O. R., &amp; Ogundare, S. (2024). Indigenous knowledge (IK) as a paradigm shift in entrepreneurship development and poverty alleviation: Issues and policy recommendations. In B. </w:t>
      </w:r>
      <w:proofErr w:type="spellStart"/>
      <w:r w:rsidRPr="00D67274">
        <w:rPr>
          <w:rFonts w:ascii="Times New Roman" w:eastAsia="Times New Roman" w:hAnsi="Times New Roman" w:cs="Times New Roman"/>
          <w:color w:val="000000" w:themeColor="text1"/>
          <w:kern w:val="0"/>
          <w14:ligatures w14:val="none"/>
        </w:rPr>
        <w:t>Alareeni</w:t>
      </w:r>
      <w:proofErr w:type="spellEnd"/>
      <w:r w:rsidRPr="00D67274">
        <w:rPr>
          <w:rFonts w:ascii="Times New Roman" w:eastAsia="Times New Roman" w:hAnsi="Times New Roman" w:cs="Times New Roman"/>
          <w:color w:val="000000" w:themeColor="text1"/>
          <w:kern w:val="0"/>
          <w14:ligatures w14:val="none"/>
        </w:rPr>
        <w:t xml:space="preserve"> &amp; A. Hamdan (Eds.), </w:t>
      </w:r>
      <w:r w:rsidRPr="00D67274">
        <w:rPr>
          <w:rFonts w:ascii="Times New Roman" w:eastAsia="Times New Roman" w:hAnsi="Times New Roman" w:cs="Times New Roman"/>
          <w:i/>
          <w:iCs/>
          <w:color w:val="000000" w:themeColor="text1"/>
          <w:kern w:val="0"/>
          <w14:ligatures w14:val="none"/>
        </w:rPr>
        <w:t>Technology: Toward Business Sustainability. Proceedings of the International Conference on Business and Technology (ICBT 2023), Volume 4</w:t>
      </w:r>
      <w:r w:rsidRPr="00D67274">
        <w:rPr>
          <w:rFonts w:ascii="Times New Roman" w:eastAsia="Times New Roman" w:hAnsi="Times New Roman" w:cs="Times New Roman"/>
          <w:color w:val="000000" w:themeColor="text1"/>
          <w:kern w:val="0"/>
          <w14:ligatures w14:val="none"/>
        </w:rPr>
        <w:t xml:space="preserve"> (Lecture Notes in Networks and Systems, Vol. 927, pp. 270–278). Springer. https://doi.org/10.1007/978-3-031-54009-7_25</w:t>
      </w:r>
    </w:p>
    <w:p w14:paraId="66F63031"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Onwuegbuzie, H. N. (2009). Integrating mainstream knowledge with indigenous knowledge: Towards a conceptual framework of the innovation process of indigenous entrepreneurs. </w:t>
      </w:r>
      <w:r w:rsidRPr="00D67274">
        <w:rPr>
          <w:rFonts w:ascii="Times New Roman" w:eastAsia="Times New Roman" w:hAnsi="Times New Roman" w:cs="Times New Roman"/>
          <w:i/>
          <w:iCs/>
          <w:color w:val="000000" w:themeColor="text1"/>
          <w:kern w:val="0"/>
          <w14:ligatures w14:val="none"/>
        </w:rPr>
        <w:t>Social Science Research Network</w:t>
      </w:r>
      <w:r w:rsidRPr="00D67274">
        <w:rPr>
          <w:rFonts w:ascii="Times New Roman" w:eastAsia="Times New Roman" w:hAnsi="Times New Roman" w:cs="Times New Roman"/>
          <w:color w:val="000000" w:themeColor="text1"/>
          <w:kern w:val="0"/>
          <w14:ligatures w14:val="none"/>
        </w:rPr>
        <w:t>. https://doi.org/10.2139/ssrn.1841764</w:t>
      </w:r>
    </w:p>
    <w:p w14:paraId="0DA3AE88"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Onwuegbuzie, H. N. (2011). Changing the present and creating the future through indigenous knowledge and entrepreneurship. </w:t>
      </w:r>
      <w:r w:rsidRPr="00D67274">
        <w:rPr>
          <w:rFonts w:ascii="Times New Roman" w:eastAsia="Times New Roman" w:hAnsi="Times New Roman" w:cs="Times New Roman"/>
          <w:i/>
          <w:iCs/>
          <w:color w:val="000000" w:themeColor="text1"/>
          <w:kern w:val="0"/>
          <w14:ligatures w14:val="none"/>
        </w:rPr>
        <w:t>Social Science Research Network</w:t>
      </w:r>
      <w:r w:rsidRPr="00D67274">
        <w:rPr>
          <w:rFonts w:ascii="Times New Roman" w:eastAsia="Times New Roman" w:hAnsi="Times New Roman" w:cs="Times New Roman"/>
          <w:color w:val="000000" w:themeColor="text1"/>
          <w:kern w:val="0"/>
          <w14:ligatures w14:val="none"/>
        </w:rPr>
        <w:t>. https://doi.org/10.2139/ssrn.1841824</w:t>
      </w:r>
    </w:p>
    <w:p w14:paraId="5B6B4C01"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Onwuegbuzie, H. N., </w:t>
      </w:r>
      <w:proofErr w:type="spellStart"/>
      <w:r w:rsidRPr="00D67274">
        <w:rPr>
          <w:rFonts w:ascii="Times New Roman" w:eastAsia="Times New Roman" w:hAnsi="Times New Roman" w:cs="Times New Roman"/>
          <w:color w:val="000000" w:themeColor="text1"/>
          <w:kern w:val="0"/>
          <w14:ligatures w14:val="none"/>
        </w:rPr>
        <w:t>Mafimisebi</w:t>
      </w:r>
      <w:proofErr w:type="spellEnd"/>
      <w:r w:rsidRPr="00D67274">
        <w:rPr>
          <w:rFonts w:ascii="Times New Roman" w:eastAsia="Times New Roman" w:hAnsi="Times New Roman" w:cs="Times New Roman"/>
          <w:color w:val="000000" w:themeColor="text1"/>
          <w:kern w:val="0"/>
          <w14:ligatures w14:val="none"/>
        </w:rPr>
        <w:t xml:space="preserve">, O. P., &amp; </w:t>
      </w:r>
      <w:proofErr w:type="spellStart"/>
      <w:r w:rsidRPr="00D67274">
        <w:rPr>
          <w:rFonts w:ascii="Times New Roman" w:eastAsia="Times New Roman" w:hAnsi="Times New Roman" w:cs="Times New Roman"/>
          <w:color w:val="000000" w:themeColor="text1"/>
          <w:kern w:val="0"/>
          <w14:ligatures w14:val="none"/>
        </w:rPr>
        <w:t>Orighoyegha</w:t>
      </w:r>
      <w:proofErr w:type="spellEnd"/>
      <w:r w:rsidRPr="00D67274">
        <w:rPr>
          <w:rFonts w:ascii="Times New Roman" w:eastAsia="Times New Roman" w:hAnsi="Times New Roman" w:cs="Times New Roman"/>
          <w:color w:val="000000" w:themeColor="text1"/>
          <w:kern w:val="0"/>
          <w14:ligatures w14:val="none"/>
        </w:rPr>
        <w:t xml:space="preserve">, E. (2024). Indigenous knowledge and entrepreneurship as a strategy for sustainable development in Africa. </w:t>
      </w:r>
      <w:r w:rsidRPr="00D67274">
        <w:rPr>
          <w:rFonts w:ascii="Times New Roman" w:eastAsia="Times New Roman" w:hAnsi="Times New Roman" w:cs="Times New Roman"/>
          <w:i/>
          <w:iCs/>
          <w:color w:val="000000" w:themeColor="text1"/>
          <w:kern w:val="0"/>
          <w14:ligatures w14:val="none"/>
        </w:rPr>
        <w:t>FIIB Business Review</w:t>
      </w:r>
      <w:r w:rsidRPr="00D67274">
        <w:rPr>
          <w:rFonts w:ascii="Times New Roman" w:eastAsia="Times New Roman" w:hAnsi="Times New Roman" w:cs="Times New Roman"/>
          <w:color w:val="000000" w:themeColor="text1"/>
          <w:kern w:val="0"/>
          <w14:ligatures w14:val="none"/>
        </w:rPr>
        <w:t>. Advance online publication. https://doi.org/10.1177/23197145241288403</w:t>
      </w:r>
    </w:p>
    <w:p w14:paraId="3E4FAFD5"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Østergaard, A., &amp; Marinova, S. T. (2018). Human capital in the entrepreneurship ecosystem. </w:t>
      </w:r>
      <w:r w:rsidRPr="00D67274">
        <w:rPr>
          <w:rFonts w:ascii="Times New Roman" w:eastAsia="Times New Roman" w:hAnsi="Times New Roman" w:cs="Times New Roman"/>
          <w:i/>
          <w:iCs/>
          <w:color w:val="000000" w:themeColor="text1"/>
          <w:kern w:val="0"/>
          <w14:ligatures w14:val="none"/>
        </w:rPr>
        <w:t>International Journal of Entrepreneurship and Small Business, 35</w:t>
      </w:r>
      <w:r w:rsidRPr="00D67274">
        <w:rPr>
          <w:rFonts w:ascii="Times New Roman" w:eastAsia="Times New Roman" w:hAnsi="Times New Roman" w:cs="Times New Roman"/>
          <w:color w:val="000000" w:themeColor="text1"/>
          <w:kern w:val="0"/>
          <w14:ligatures w14:val="none"/>
        </w:rPr>
        <w:t>(3), 391–407. https://doi.org/10.1504/IJESB.2018.095907</w:t>
      </w:r>
    </w:p>
    <w:p w14:paraId="121966AF"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Qin, X., &amp; Yu, H. (2012). Impacts of knowledge network on enterprise’s innovation: An empirical study from the perspective of dynamic capabilities. </w:t>
      </w:r>
      <w:r w:rsidRPr="00D67274">
        <w:rPr>
          <w:rFonts w:ascii="Times New Roman" w:eastAsia="Times New Roman" w:hAnsi="Times New Roman" w:cs="Times New Roman"/>
          <w:i/>
          <w:iCs/>
          <w:color w:val="000000" w:themeColor="text1"/>
          <w:kern w:val="0"/>
          <w14:ligatures w14:val="none"/>
        </w:rPr>
        <w:t>R&amp;D Management (China), 24</w:t>
      </w:r>
      <w:r w:rsidRPr="00D67274">
        <w:rPr>
          <w:rFonts w:ascii="Times New Roman" w:eastAsia="Times New Roman" w:hAnsi="Times New Roman" w:cs="Times New Roman"/>
          <w:color w:val="000000" w:themeColor="text1"/>
          <w:kern w:val="0"/>
          <w14:ligatures w14:val="none"/>
        </w:rPr>
        <w:t>(6), 12–22. https://doi.org/10.3969/j.issn.1004-8308.2012.06.002</w:t>
      </w:r>
    </w:p>
    <w:p w14:paraId="7384F50E"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lastRenderedPageBreak/>
        <w:t xml:space="preserve">Rastogi, P. N. (2000). Sustaining enterprise competitiveness – is human capital the answer? </w:t>
      </w:r>
      <w:r w:rsidRPr="00D67274">
        <w:rPr>
          <w:rFonts w:ascii="Times New Roman" w:eastAsia="Times New Roman" w:hAnsi="Times New Roman" w:cs="Times New Roman"/>
          <w:i/>
          <w:iCs/>
          <w:color w:val="000000" w:themeColor="text1"/>
          <w:kern w:val="0"/>
          <w14:ligatures w14:val="none"/>
        </w:rPr>
        <w:t>Human Systems Management, 19</w:t>
      </w:r>
      <w:r w:rsidRPr="00D67274">
        <w:rPr>
          <w:rFonts w:ascii="Times New Roman" w:eastAsia="Times New Roman" w:hAnsi="Times New Roman" w:cs="Times New Roman"/>
          <w:color w:val="000000" w:themeColor="text1"/>
          <w:kern w:val="0"/>
          <w14:ligatures w14:val="none"/>
        </w:rPr>
        <w:t>(3), 193–203. https://doi.org/10.3233/HSM-2000-19306</w:t>
      </w:r>
    </w:p>
    <w:p w14:paraId="4EB9FDBD" w14:textId="77777777" w:rsidR="0075318A" w:rsidRPr="00D67274" w:rsidRDefault="0075318A" w:rsidP="0074155B">
      <w:pPr>
        <w:pStyle w:val="NormalWeb"/>
        <w:spacing w:after="120" w:line="240" w:lineRule="auto"/>
        <w:ind w:left="539" w:hanging="539"/>
        <w:jc w:val="both"/>
        <w:rPr>
          <w:color w:val="000000" w:themeColor="text1"/>
        </w:rPr>
      </w:pPr>
      <w:r w:rsidRPr="00D67274">
        <w:rPr>
          <w:color w:val="000000" w:themeColor="text1"/>
        </w:rPr>
        <w:t xml:space="preserve">Reach Alliance. (2023). Indigenous self-determination: Indigenous knowledge systems as an adaptive tool for resilience among migrant women entrepreneurs. </w:t>
      </w:r>
      <w:r w:rsidRPr="00D67274">
        <w:rPr>
          <w:rStyle w:val="Emphasis"/>
          <w:color w:val="000000" w:themeColor="text1"/>
        </w:rPr>
        <w:t>The Reach Alliance</w:t>
      </w:r>
      <w:r w:rsidRPr="00D67274">
        <w:rPr>
          <w:color w:val="000000" w:themeColor="text1"/>
        </w:rPr>
        <w:t xml:space="preserve">. </w:t>
      </w:r>
      <w:hyperlink r:id="rId17" w:tgtFrame="_new" w:history="1">
        <w:r w:rsidRPr="00D67274">
          <w:rPr>
            <w:rStyle w:val="Hyperlink"/>
            <w:color w:val="000000" w:themeColor="text1"/>
          </w:rPr>
          <w:t>https://reachalliance.org/case-study/adaption-for-sustenance-amongst-south-african-migrants/</w:t>
        </w:r>
      </w:hyperlink>
    </w:p>
    <w:p w14:paraId="50482BFA"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Romero Sainz, A. K., Bernal Domínguez, D., &amp; Guzmán Lares, G. G. (2024). </w:t>
      </w:r>
      <w:proofErr w:type="spellStart"/>
      <w:r w:rsidRPr="00D67274">
        <w:rPr>
          <w:rFonts w:ascii="Times New Roman" w:eastAsia="Times New Roman" w:hAnsi="Times New Roman" w:cs="Times New Roman"/>
          <w:color w:val="000000" w:themeColor="text1"/>
          <w:kern w:val="0"/>
          <w14:ligatures w14:val="none"/>
        </w:rPr>
        <w:t>Capacidades</w:t>
      </w:r>
      <w:proofErr w:type="spellEnd"/>
      <w:r w:rsidRPr="00D67274">
        <w:rPr>
          <w:rFonts w:ascii="Times New Roman" w:eastAsia="Times New Roman" w:hAnsi="Times New Roman" w:cs="Times New Roman"/>
          <w:color w:val="000000" w:themeColor="text1"/>
          <w:kern w:val="0"/>
          <w14:ligatures w14:val="none"/>
        </w:rPr>
        <w:t xml:space="preserve"> </w:t>
      </w:r>
      <w:proofErr w:type="spellStart"/>
      <w:r w:rsidRPr="00D67274">
        <w:rPr>
          <w:rFonts w:ascii="Times New Roman" w:eastAsia="Times New Roman" w:hAnsi="Times New Roman" w:cs="Times New Roman"/>
          <w:color w:val="000000" w:themeColor="text1"/>
          <w:kern w:val="0"/>
          <w14:ligatures w14:val="none"/>
        </w:rPr>
        <w:t>dinámicas</w:t>
      </w:r>
      <w:proofErr w:type="spellEnd"/>
      <w:r w:rsidRPr="00D67274">
        <w:rPr>
          <w:rFonts w:ascii="Times New Roman" w:eastAsia="Times New Roman" w:hAnsi="Times New Roman" w:cs="Times New Roman"/>
          <w:color w:val="000000" w:themeColor="text1"/>
          <w:kern w:val="0"/>
          <w14:ligatures w14:val="none"/>
        </w:rPr>
        <w:t xml:space="preserve"> </w:t>
      </w:r>
      <w:proofErr w:type="spellStart"/>
      <w:r w:rsidRPr="00D67274">
        <w:rPr>
          <w:rFonts w:ascii="Times New Roman" w:eastAsia="Times New Roman" w:hAnsi="Times New Roman" w:cs="Times New Roman"/>
          <w:color w:val="000000" w:themeColor="text1"/>
          <w:kern w:val="0"/>
          <w14:ligatures w14:val="none"/>
        </w:rPr>
        <w:t>como</w:t>
      </w:r>
      <w:proofErr w:type="spellEnd"/>
      <w:r w:rsidRPr="00D67274">
        <w:rPr>
          <w:rFonts w:ascii="Times New Roman" w:eastAsia="Times New Roman" w:hAnsi="Times New Roman" w:cs="Times New Roman"/>
          <w:color w:val="000000" w:themeColor="text1"/>
          <w:kern w:val="0"/>
          <w14:ligatures w14:val="none"/>
        </w:rPr>
        <w:t xml:space="preserve"> factor de </w:t>
      </w:r>
      <w:proofErr w:type="spellStart"/>
      <w:r w:rsidRPr="00D67274">
        <w:rPr>
          <w:rFonts w:ascii="Times New Roman" w:eastAsia="Times New Roman" w:hAnsi="Times New Roman" w:cs="Times New Roman"/>
          <w:color w:val="000000" w:themeColor="text1"/>
          <w:kern w:val="0"/>
          <w14:ligatures w14:val="none"/>
        </w:rPr>
        <w:t>crecimiento</w:t>
      </w:r>
      <w:proofErr w:type="spellEnd"/>
      <w:r w:rsidRPr="00D67274">
        <w:rPr>
          <w:rFonts w:ascii="Times New Roman" w:eastAsia="Times New Roman" w:hAnsi="Times New Roman" w:cs="Times New Roman"/>
          <w:color w:val="000000" w:themeColor="text1"/>
          <w:kern w:val="0"/>
          <w14:ligatures w14:val="none"/>
        </w:rPr>
        <w:t xml:space="preserve"> </w:t>
      </w:r>
      <w:proofErr w:type="spellStart"/>
      <w:r w:rsidRPr="00D67274">
        <w:rPr>
          <w:rFonts w:ascii="Times New Roman" w:eastAsia="Times New Roman" w:hAnsi="Times New Roman" w:cs="Times New Roman"/>
          <w:color w:val="000000" w:themeColor="text1"/>
          <w:kern w:val="0"/>
          <w14:ligatures w14:val="none"/>
        </w:rPr>
        <w:t>empresarial</w:t>
      </w:r>
      <w:proofErr w:type="spellEnd"/>
      <w:r w:rsidRPr="00D67274">
        <w:rPr>
          <w:rFonts w:ascii="Times New Roman" w:eastAsia="Times New Roman" w:hAnsi="Times New Roman" w:cs="Times New Roman"/>
          <w:color w:val="000000" w:themeColor="text1"/>
          <w:kern w:val="0"/>
          <w14:ligatures w14:val="none"/>
        </w:rPr>
        <w:t xml:space="preserve">: Un </w:t>
      </w:r>
      <w:proofErr w:type="spellStart"/>
      <w:r w:rsidRPr="00D67274">
        <w:rPr>
          <w:rFonts w:ascii="Times New Roman" w:eastAsia="Times New Roman" w:hAnsi="Times New Roman" w:cs="Times New Roman"/>
          <w:color w:val="000000" w:themeColor="text1"/>
          <w:kern w:val="0"/>
          <w14:ligatures w14:val="none"/>
        </w:rPr>
        <w:t>enfoque</w:t>
      </w:r>
      <w:proofErr w:type="spellEnd"/>
      <w:r w:rsidRPr="00D67274">
        <w:rPr>
          <w:rFonts w:ascii="Times New Roman" w:eastAsia="Times New Roman" w:hAnsi="Times New Roman" w:cs="Times New Roman"/>
          <w:color w:val="000000" w:themeColor="text1"/>
          <w:kern w:val="0"/>
          <w14:ligatures w14:val="none"/>
        </w:rPr>
        <w:t xml:space="preserve"> de </w:t>
      </w:r>
      <w:proofErr w:type="spellStart"/>
      <w:r w:rsidRPr="00D67274">
        <w:rPr>
          <w:rFonts w:ascii="Times New Roman" w:eastAsia="Times New Roman" w:hAnsi="Times New Roman" w:cs="Times New Roman"/>
          <w:color w:val="000000" w:themeColor="text1"/>
          <w:kern w:val="0"/>
          <w14:ligatures w14:val="none"/>
        </w:rPr>
        <w:t>análisis</w:t>
      </w:r>
      <w:proofErr w:type="spellEnd"/>
      <w:r w:rsidRPr="00D67274">
        <w:rPr>
          <w:rFonts w:ascii="Times New Roman" w:eastAsia="Times New Roman" w:hAnsi="Times New Roman" w:cs="Times New Roman"/>
          <w:color w:val="000000" w:themeColor="text1"/>
          <w:kern w:val="0"/>
          <w14:ligatures w14:val="none"/>
        </w:rPr>
        <w:t xml:space="preserve"> </w:t>
      </w:r>
      <w:proofErr w:type="spellStart"/>
      <w:r w:rsidRPr="00D67274">
        <w:rPr>
          <w:rFonts w:ascii="Times New Roman" w:eastAsia="Times New Roman" w:hAnsi="Times New Roman" w:cs="Times New Roman"/>
          <w:color w:val="000000" w:themeColor="text1"/>
          <w:kern w:val="0"/>
          <w14:ligatures w14:val="none"/>
        </w:rPr>
        <w:t>bibliométrico</w:t>
      </w:r>
      <w:proofErr w:type="spellEnd"/>
      <w:r w:rsidRPr="00D67274">
        <w:rPr>
          <w:rFonts w:ascii="Times New Roman" w:eastAsia="Times New Roman" w:hAnsi="Times New Roman" w:cs="Times New Roman"/>
          <w:color w:val="000000" w:themeColor="text1"/>
          <w:kern w:val="0"/>
          <w14:ligatures w14:val="none"/>
        </w:rPr>
        <w:t xml:space="preserve">. </w:t>
      </w:r>
      <w:r w:rsidRPr="00D67274">
        <w:rPr>
          <w:rFonts w:ascii="Times New Roman" w:eastAsia="Times New Roman" w:hAnsi="Times New Roman" w:cs="Times New Roman"/>
          <w:i/>
          <w:iCs/>
          <w:color w:val="000000" w:themeColor="text1"/>
          <w:kern w:val="0"/>
          <w14:ligatures w14:val="none"/>
        </w:rPr>
        <w:t xml:space="preserve">Revista de </w:t>
      </w:r>
      <w:proofErr w:type="spellStart"/>
      <w:r w:rsidRPr="00D67274">
        <w:rPr>
          <w:rFonts w:ascii="Times New Roman" w:eastAsia="Times New Roman" w:hAnsi="Times New Roman" w:cs="Times New Roman"/>
          <w:i/>
          <w:iCs/>
          <w:color w:val="000000" w:themeColor="text1"/>
          <w:kern w:val="0"/>
          <w14:ligatures w14:val="none"/>
        </w:rPr>
        <w:t>Investigación</w:t>
      </w:r>
      <w:proofErr w:type="spellEnd"/>
      <w:r w:rsidRPr="00D67274">
        <w:rPr>
          <w:rFonts w:ascii="Times New Roman" w:eastAsia="Times New Roman" w:hAnsi="Times New Roman" w:cs="Times New Roman"/>
          <w:i/>
          <w:iCs/>
          <w:color w:val="000000" w:themeColor="text1"/>
          <w:kern w:val="0"/>
          <w14:ligatures w14:val="none"/>
        </w:rPr>
        <w:t xml:space="preserve"> </w:t>
      </w:r>
      <w:proofErr w:type="spellStart"/>
      <w:r w:rsidRPr="00D67274">
        <w:rPr>
          <w:rFonts w:ascii="Times New Roman" w:eastAsia="Times New Roman" w:hAnsi="Times New Roman" w:cs="Times New Roman"/>
          <w:i/>
          <w:iCs/>
          <w:color w:val="000000" w:themeColor="text1"/>
          <w:kern w:val="0"/>
          <w14:ligatures w14:val="none"/>
        </w:rPr>
        <w:t>Académica</w:t>
      </w:r>
      <w:proofErr w:type="spellEnd"/>
      <w:r w:rsidRPr="00D67274">
        <w:rPr>
          <w:rFonts w:ascii="Times New Roman" w:eastAsia="Times New Roman" w:hAnsi="Times New Roman" w:cs="Times New Roman"/>
          <w:i/>
          <w:iCs/>
          <w:color w:val="000000" w:themeColor="text1"/>
          <w:kern w:val="0"/>
          <w14:ligatures w14:val="none"/>
        </w:rPr>
        <w:t xml:space="preserve"> Sin Frontera, (41)</w:t>
      </w:r>
      <w:r w:rsidRPr="00D67274">
        <w:rPr>
          <w:rFonts w:ascii="Times New Roman" w:eastAsia="Times New Roman" w:hAnsi="Times New Roman" w:cs="Times New Roman"/>
          <w:color w:val="000000" w:themeColor="text1"/>
          <w:kern w:val="0"/>
          <w14:ligatures w14:val="none"/>
        </w:rPr>
        <w:t>, 1–15. https://doi.org/10.46589/riasf.vi41.652</w:t>
      </w:r>
    </w:p>
    <w:p w14:paraId="7BCBFA5F"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Sarkar, S., Coelho, D. M., &amp; </w:t>
      </w:r>
      <w:proofErr w:type="spellStart"/>
      <w:r w:rsidRPr="00D67274">
        <w:rPr>
          <w:rFonts w:ascii="Times New Roman" w:eastAsia="Times New Roman" w:hAnsi="Times New Roman" w:cs="Times New Roman"/>
          <w:color w:val="000000" w:themeColor="text1"/>
          <w:kern w:val="0"/>
          <w14:ligatures w14:val="none"/>
        </w:rPr>
        <w:t>Maroco</w:t>
      </w:r>
      <w:proofErr w:type="spellEnd"/>
      <w:r w:rsidRPr="00D67274">
        <w:rPr>
          <w:rFonts w:ascii="Times New Roman" w:eastAsia="Times New Roman" w:hAnsi="Times New Roman" w:cs="Times New Roman"/>
          <w:color w:val="000000" w:themeColor="text1"/>
          <w:kern w:val="0"/>
          <w14:ligatures w14:val="none"/>
        </w:rPr>
        <w:t xml:space="preserve">, J. (2016). Strategic orientations, dynamic capabilities, and firm performance: An analysis for knowledge intensive business services. </w:t>
      </w:r>
      <w:r w:rsidRPr="00D67274">
        <w:rPr>
          <w:rFonts w:ascii="Times New Roman" w:eastAsia="Times New Roman" w:hAnsi="Times New Roman" w:cs="Times New Roman"/>
          <w:i/>
          <w:iCs/>
          <w:color w:val="000000" w:themeColor="text1"/>
          <w:kern w:val="0"/>
          <w14:ligatures w14:val="none"/>
        </w:rPr>
        <w:t>Journal of the Knowledge Economy, 7</w:t>
      </w:r>
      <w:r w:rsidRPr="00D67274">
        <w:rPr>
          <w:rFonts w:ascii="Times New Roman" w:eastAsia="Times New Roman" w:hAnsi="Times New Roman" w:cs="Times New Roman"/>
          <w:color w:val="000000" w:themeColor="text1"/>
          <w:kern w:val="0"/>
          <w14:ligatures w14:val="none"/>
        </w:rPr>
        <w:t>(4), 984–999. https://doi.org/10.1007/s13132-016-0415-3</w:t>
      </w:r>
    </w:p>
    <w:p w14:paraId="5B510592" w14:textId="77777777" w:rsidR="0075318A" w:rsidRPr="00D67274" w:rsidRDefault="0075318A" w:rsidP="0074155B">
      <w:pPr>
        <w:pStyle w:val="NormalWeb"/>
        <w:spacing w:after="120" w:line="240" w:lineRule="auto"/>
        <w:ind w:left="539" w:hanging="539"/>
        <w:jc w:val="both"/>
        <w:rPr>
          <w:color w:val="000000" w:themeColor="text1"/>
        </w:rPr>
      </w:pPr>
      <w:r w:rsidRPr="00D67274">
        <w:rPr>
          <w:color w:val="000000" w:themeColor="text1"/>
        </w:rPr>
        <w:t xml:space="preserve">Tamene, T. A., Dalle, G., &amp; Addis, G. (2024). Influence of socio-demographic factors on medicinal plant knowledge among three selected ethnic groups in south-central Ethiopia. </w:t>
      </w:r>
      <w:r w:rsidRPr="00D67274">
        <w:rPr>
          <w:rStyle w:val="Emphasis"/>
          <w:color w:val="000000" w:themeColor="text1"/>
        </w:rPr>
        <w:t>Journal of Ethnobiology and Ethnomedicine, 20</w:t>
      </w:r>
      <w:r w:rsidRPr="00D67274">
        <w:rPr>
          <w:color w:val="000000" w:themeColor="text1"/>
        </w:rPr>
        <w:t>(1), 72. https://doi.org/10.1186/s13002-024-00672-1</w:t>
      </w:r>
    </w:p>
    <w:p w14:paraId="4E4FA401" w14:textId="77777777" w:rsidR="0075318A" w:rsidRPr="00D67274" w:rsidRDefault="0075318A" w:rsidP="0074155B">
      <w:pPr>
        <w:spacing w:after="120" w:line="240" w:lineRule="auto"/>
        <w:ind w:left="539" w:hanging="539"/>
        <w:jc w:val="both"/>
        <w:rPr>
          <w:rFonts w:ascii="Times New Roman" w:hAnsi="Times New Roman" w:cs="Times New Roman"/>
          <w:color w:val="000000" w:themeColor="text1"/>
        </w:rPr>
      </w:pPr>
      <w:r w:rsidRPr="00D67274">
        <w:rPr>
          <w:rFonts w:ascii="Times New Roman" w:hAnsi="Times New Roman" w:cs="Times New Roman"/>
          <w:color w:val="000000" w:themeColor="text1"/>
        </w:rPr>
        <w:t xml:space="preserve">Teece, D. J. (2007). Explicating dynamic capabilities: The nature and </w:t>
      </w:r>
      <w:proofErr w:type="spellStart"/>
      <w:r w:rsidRPr="00D67274">
        <w:rPr>
          <w:rFonts w:ascii="Times New Roman" w:hAnsi="Times New Roman" w:cs="Times New Roman"/>
          <w:color w:val="000000" w:themeColor="text1"/>
        </w:rPr>
        <w:t>microfoundations</w:t>
      </w:r>
      <w:proofErr w:type="spellEnd"/>
      <w:r w:rsidRPr="00D67274">
        <w:rPr>
          <w:rFonts w:ascii="Times New Roman" w:hAnsi="Times New Roman" w:cs="Times New Roman"/>
          <w:color w:val="000000" w:themeColor="text1"/>
        </w:rPr>
        <w:t xml:space="preserve"> of (sustainable) enterprise performance. </w:t>
      </w:r>
      <w:r w:rsidRPr="00D67274">
        <w:rPr>
          <w:rFonts w:ascii="Times New Roman" w:hAnsi="Times New Roman" w:cs="Times New Roman"/>
          <w:i/>
          <w:iCs/>
          <w:color w:val="000000" w:themeColor="text1"/>
        </w:rPr>
        <w:t>Strategic Management Journal, 28</w:t>
      </w:r>
      <w:r w:rsidRPr="00D67274">
        <w:rPr>
          <w:rFonts w:ascii="Times New Roman" w:hAnsi="Times New Roman" w:cs="Times New Roman"/>
          <w:color w:val="000000" w:themeColor="text1"/>
        </w:rPr>
        <w:t xml:space="preserve">(13), 1319–1350. </w:t>
      </w:r>
      <w:hyperlink r:id="rId18" w:history="1">
        <w:r w:rsidRPr="00D67274">
          <w:rPr>
            <w:rStyle w:val="Hyperlink"/>
            <w:rFonts w:ascii="Times New Roman" w:hAnsi="Times New Roman" w:cs="Times New Roman"/>
            <w:color w:val="000000" w:themeColor="text1"/>
          </w:rPr>
          <w:t>https://doi.org/10.1002/smj.640</w:t>
        </w:r>
      </w:hyperlink>
    </w:p>
    <w:p w14:paraId="60539EC4" w14:textId="77777777" w:rsidR="0075318A" w:rsidRPr="00D67274" w:rsidRDefault="0075318A" w:rsidP="0074155B">
      <w:pPr>
        <w:spacing w:after="120" w:line="240" w:lineRule="auto"/>
        <w:ind w:left="539" w:hanging="539"/>
        <w:jc w:val="both"/>
        <w:rPr>
          <w:rFonts w:ascii="Times New Roman" w:eastAsia="Times New Roman" w:hAnsi="Times New Roman" w:cs="Times New Roman"/>
          <w:color w:val="000000" w:themeColor="text1"/>
          <w:kern w:val="0"/>
          <w14:ligatures w14:val="none"/>
        </w:rPr>
      </w:pPr>
      <w:proofErr w:type="spellStart"/>
      <w:r w:rsidRPr="00D67274">
        <w:rPr>
          <w:rFonts w:ascii="Times New Roman" w:eastAsia="Times New Roman" w:hAnsi="Times New Roman" w:cs="Times New Roman"/>
          <w:color w:val="000000" w:themeColor="text1"/>
          <w:kern w:val="0"/>
          <w14:ligatures w14:val="none"/>
        </w:rPr>
        <w:t>Telussa</w:t>
      </w:r>
      <w:proofErr w:type="spellEnd"/>
      <w:r w:rsidRPr="00D67274">
        <w:rPr>
          <w:rFonts w:ascii="Times New Roman" w:eastAsia="Times New Roman" w:hAnsi="Times New Roman" w:cs="Times New Roman"/>
          <w:color w:val="000000" w:themeColor="text1"/>
          <w:kern w:val="0"/>
          <w14:ligatures w14:val="none"/>
        </w:rPr>
        <w:t xml:space="preserve">, J., Stam, E., &amp; </w:t>
      </w:r>
      <w:proofErr w:type="spellStart"/>
      <w:r w:rsidRPr="00D67274">
        <w:rPr>
          <w:rFonts w:ascii="Times New Roman" w:eastAsia="Times New Roman" w:hAnsi="Times New Roman" w:cs="Times New Roman"/>
          <w:color w:val="000000" w:themeColor="text1"/>
          <w:kern w:val="0"/>
          <w14:ligatures w14:val="none"/>
        </w:rPr>
        <w:t>Gibcus</w:t>
      </w:r>
      <w:proofErr w:type="spellEnd"/>
      <w:r w:rsidRPr="00D67274">
        <w:rPr>
          <w:rFonts w:ascii="Times New Roman" w:eastAsia="Times New Roman" w:hAnsi="Times New Roman" w:cs="Times New Roman"/>
          <w:color w:val="000000" w:themeColor="text1"/>
          <w:kern w:val="0"/>
          <w14:ligatures w14:val="none"/>
        </w:rPr>
        <w:t xml:space="preserve">, P. (2006). Entrepreneurship, dynamic capabilities and new firm growth. </w:t>
      </w:r>
      <w:r w:rsidRPr="00D67274">
        <w:rPr>
          <w:rFonts w:ascii="Times New Roman" w:eastAsia="Times New Roman" w:hAnsi="Times New Roman" w:cs="Times New Roman"/>
          <w:i/>
          <w:iCs/>
          <w:color w:val="000000" w:themeColor="text1"/>
          <w:kern w:val="0"/>
          <w14:ligatures w14:val="none"/>
        </w:rPr>
        <w:t>Scales Research Report H200623</w:t>
      </w:r>
      <w:r w:rsidRPr="00D67274">
        <w:rPr>
          <w:rFonts w:ascii="Times New Roman" w:eastAsia="Times New Roman" w:hAnsi="Times New Roman" w:cs="Times New Roman"/>
          <w:color w:val="000000" w:themeColor="text1"/>
          <w:kern w:val="0"/>
          <w14:ligatures w14:val="none"/>
        </w:rPr>
        <w:t>. EIM Business and Policy Research.</w:t>
      </w:r>
    </w:p>
    <w:p w14:paraId="475895F7" w14:textId="38C50645" w:rsidR="007E2305" w:rsidRPr="00D67274" w:rsidRDefault="0075318A" w:rsidP="005635F4">
      <w:pPr>
        <w:spacing w:after="0" w:line="240" w:lineRule="auto"/>
        <w:ind w:left="540" w:hanging="540"/>
        <w:jc w:val="both"/>
        <w:rPr>
          <w:rFonts w:ascii="Times New Roman" w:eastAsia="Times New Roman" w:hAnsi="Times New Roman" w:cs="Times New Roman"/>
          <w:color w:val="000000" w:themeColor="text1"/>
          <w:kern w:val="0"/>
          <w14:ligatures w14:val="none"/>
        </w:rPr>
      </w:pPr>
      <w:r w:rsidRPr="00D67274">
        <w:rPr>
          <w:rFonts w:ascii="Times New Roman" w:eastAsia="Times New Roman" w:hAnsi="Times New Roman" w:cs="Times New Roman"/>
          <w:color w:val="000000" w:themeColor="text1"/>
          <w:kern w:val="0"/>
          <w14:ligatures w14:val="none"/>
        </w:rPr>
        <w:t xml:space="preserve">Ye, L., Sun, F., Hu, S., &amp; Peng, Z. (2013). Entrepreneurial resources, dynamic capabilities and the performance of high-tech start-ups: A comparative study with high-tech companies in Taiwan. </w:t>
      </w:r>
      <w:r w:rsidRPr="00D67274">
        <w:rPr>
          <w:rFonts w:ascii="Times New Roman" w:eastAsia="Times New Roman" w:hAnsi="Times New Roman" w:cs="Times New Roman"/>
          <w:i/>
          <w:iCs/>
          <w:color w:val="000000" w:themeColor="text1"/>
          <w:kern w:val="0"/>
          <w14:ligatures w14:val="none"/>
        </w:rPr>
        <w:t>Studies in Science of Science, 31</w:t>
      </w:r>
      <w:r w:rsidRPr="00D67274">
        <w:rPr>
          <w:rFonts w:ascii="Times New Roman" w:eastAsia="Times New Roman" w:hAnsi="Times New Roman" w:cs="Times New Roman"/>
          <w:color w:val="000000" w:themeColor="text1"/>
          <w:kern w:val="0"/>
          <w14:ligatures w14:val="none"/>
        </w:rPr>
        <w:t>(11), 1654–1661. (CNKI: 1003-2053/2013.11)</w:t>
      </w:r>
    </w:p>
    <w:sectPr w:rsidR="007E2305" w:rsidRPr="00D672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77964" w14:textId="77777777" w:rsidR="006711F5" w:rsidRDefault="006711F5" w:rsidP="00523B8A">
      <w:pPr>
        <w:spacing w:after="0" w:line="240" w:lineRule="auto"/>
      </w:pPr>
      <w:r>
        <w:separator/>
      </w:r>
    </w:p>
  </w:endnote>
  <w:endnote w:type="continuationSeparator" w:id="0">
    <w:p w14:paraId="6F8C87DE" w14:textId="77777777" w:rsidR="006711F5" w:rsidRDefault="006711F5" w:rsidP="0052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D5F1" w14:textId="77777777" w:rsidR="006711F5" w:rsidRDefault="006711F5" w:rsidP="00523B8A">
      <w:pPr>
        <w:spacing w:after="0" w:line="240" w:lineRule="auto"/>
      </w:pPr>
      <w:r>
        <w:separator/>
      </w:r>
    </w:p>
  </w:footnote>
  <w:footnote w:type="continuationSeparator" w:id="0">
    <w:p w14:paraId="3C02D67F" w14:textId="77777777" w:rsidR="006711F5" w:rsidRDefault="006711F5" w:rsidP="00523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BC4"/>
    <w:multiLevelType w:val="multilevel"/>
    <w:tmpl w:val="E70A3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1033B"/>
    <w:multiLevelType w:val="multilevel"/>
    <w:tmpl w:val="322A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F6D1E"/>
    <w:multiLevelType w:val="hybridMultilevel"/>
    <w:tmpl w:val="C1EA9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A67309"/>
    <w:multiLevelType w:val="multilevel"/>
    <w:tmpl w:val="D7046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25810"/>
    <w:multiLevelType w:val="multilevel"/>
    <w:tmpl w:val="3EDE4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9653F5"/>
    <w:multiLevelType w:val="multilevel"/>
    <w:tmpl w:val="6D2A7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94A1A"/>
    <w:multiLevelType w:val="multilevel"/>
    <w:tmpl w:val="F5D2F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585AE1"/>
    <w:multiLevelType w:val="multilevel"/>
    <w:tmpl w:val="85F8F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338830">
    <w:abstractNumId w:val="1"/>
  </w:num>
  <w:num w:numId="2" w16cid:durableId="975329325">
    <w:abstractNumId w:val="7"/>
  </w:num>
  <w:num w:numId="3" w16cid:durableId="697122760">
    <w:abstractNumId w:val="5"/>
  </w:num>
  <w:num w:numId="4" w16cid:durableId="347607784">
    <w:abstractNumId w:val="0"/>
  </w:num>
  <w:num w:numId="5" w16cid:durableId="262500474">
    <w:abstractNumId w:val="6"/>
  </w:num>
  <w:num w:numId="6" w16cid:durableId="1735471925">
    <w:abstractNumId w:val="4"/>
  </w:num>
  <w:num w:numId="7" w16cid:durableId="2136171667">
    <w:abstractNumId w:val="3"/>
  </w:num>
  <w:num w:numId="8" w16cid:durableId="121222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xMzU0MzS2NDc1MLZU0lEKTi0uzszPAykwrAUA+aNhSiwAAAA="/>
  </w:docVars>
  <w:rsids>
    <w:rsidRoot w:val="0062009E"/>
    <w:rsid w:val="000136DD"/>
    <w:rsid w:val="00016DA1"/>
    <w:rsid w:val="0004643D"/>
    <w:rsid w:val="0005178F"/>
    <w:rsid w:val="00054CB5"/>
    <w:rsid w:val="00076920"/>
    <w:rsid w:val="00083A9E"/>
    <w:rsid w:val="00115926"/>
    <w:rsid w:val="00115AE5"/>
    <w:rsid w:val="001646E7"/>
    <w:rsid w:val="0019207E"/>
    <w:rsid w:val="00193009"/>
    <w:rsid w:val="00197ABB"/>
    <w:rsid w:val="001B2C67"/>
    <w:rsid w:val="001B4ADA"/>
    <w:rsid w:val="001C07B9"/>
    <w:rsid w:val="001F10F2"/>
    <w:rsid w:val="00222278"/>
    <w:rsid w:val="00234BDC"/>
    <w:rsid w:val="00234FB6"/>
    <w:rsid w:val="002406E8"/>
    <w:rsid w:val="002525EC"/>
    <w:rsid w:val="00265259"/>
    <w:rsid w:val="002753A1"/>
    <w:rsid w:val="002850CC"/>
    <w:rsid w:val="00290892"/>
    <w:rsid w:val="0029664E"/>
    <w:rsid w:val="002A2F84"/>
    <w:rsid w:val="002A4258"/>
    <w:rsid w:val="002B7A94"/>
    <w:rsid w:val="002F443F"/>
    <w:rsid w:val="003229A8"/>
    <w:rsid w:val="0032664D"/>
    <w:rsid w:val="00326C10"/>
    <w:rsid w:val="003273DE"/>
    <w:rsid w:val="003450DD"/>
    <w:rsid w:val="00352623"/>
    <w:rsid w:val="003526A0"/>
    <w:rsid w:val="004026A3"/>
    <w:rsid w:val="00422047"/>
    <w:rsid w:val="004636B7"/>
    <w:rsid w:val="00472A04"/>
    <w:rsid w:val="00494552"/>
    <w:rsid w:val="004B6C12"/>
    <w:rsid w:val="004E4AB3"/>
    <w:rsid w:val="004F1F13"/>
    <w:rsid w:val="004F435E"/>
    <w:rsid w:val="00523B8A"/>
    <w:rsid w:val="00524AC8"/>
    <w:rsid w:val="005370E7"/>
    <w:rsid w:val="005635F4"/>
    <w:rsid w:val="005C7C35"/>
    <w:rsid w:val="005D54D8"/>
    <w:rsid w:val="005D6D89"/>
    <w:rsid w:val="005D7C6F"/>
    <w:rsid w:val="00601828"/>
    <w:rsid w:val="00612624"/>
    <w:rsid w:val="00612C31"/>
    <w:rsid w:val="00613824"/>
    <w:rsid w:val="0062009E"/>
    <w:rsid w:val="00623AAF"/>
    <w:rsid w:val="006475CF"/>
    <w:rsid w:val="00650BA3"/>
    <w:rsid w:val="006674E5"/>
    <w:rsid w:val="00667F91"/>
    <w:rsid w:val="006711F5"/>
    <w:rsid w:val="00690083"/>
    <w:rsid w:val="006C6EEE"/>
    <w:rsid w:val="006D6D51"/>
    <w:rsid w:val="006D7C2A"/>
    <w:rsid w:val="006F713F"/>
    <w:rsid w:val="0074155B"/>
    <w:rsid w:val="007440F3"/>
    <w:rsid w:val="0075318A"/>
    <w:rsid w:val="00761702"/>
    <w:rsid w:val="00777E90"/>
    <w:rsid w:val="007B67A1"/>
    <w:rsid w:val="007D109B"/>
    <w:rsid w:val="007E2305"/>
    <w:rsid w:val="007E46C1"/>
    <w:rsid w:val="008110FB"/>
    <w:rsid w:val="00843B87"/>
    <w:rsid w:val="008469E9"/>
    <w:rsid w:val="0085641E"/>
    <w:rsid w:val="0086386A"/>
    <w:rsid w:val="0087659C"/>
    <w:rsid w:val="00887F3A"/>
    <w:rsid w:val="008B7605"/>
    <w:rsid w:val="008D39C5"/>
    <w:rsid w:val="0091032F"/>
    <w:rsid w:val="0091094E"/>
    <w:rsid w:val="009345D4"/>
    <w:rsid w:val="0097424B"/>
    <w:rsid w:val="009D6F01"/>
    <w:rsid w:val="009E34C3"/>
    <w:rsid w:val="009F42A4"/>
    <w:rsid w:val="00A12D8F"/>
    <w:rsid w:val="00A37B8B"/>
    <w:rsid w:val="00A5729C"/>
    <w:rsid w:val="00A64E2B"/>
    <w:rsid w:val="00A706EA"/>
    <w:rsid w:val="00AA0956"/>
    <w:rsid w:val="00AA4300"/>
    <w:rsid w:val="00AA4E11"/>
    <w:rsid w:val="00AD33B7"/>
    <w:rsid w:val="00AE648F"/>
    <w:rsid w:val="00AF088C"/>
    <w:rsid w:val="00B044D5"/>
    <w:rsid w:val="00B53E78"/>
    <w:rsid w:val="00B5429E"/>
    <w:rsid w:val="00B546B2"/>
    <w:rsid w:val="00B74A83"/>
    <w:rsid w:val="00B83092"/>
    <w:rsid w:val="00BF500A"/>
    <w:rsid w:val="00C0287E"/>
    <w:rsid w:val="00C1352F"/>
    <w:rsid w:val="00C23060"/>
    <w:rsid w:val="00C2679E"/>
    <w:rsid w:val="00C926A3"/>
    <w:rsid w:val="00CD42F4"/>
    <w:rsid w:val="00D160E6"/>
    <w:rsid w:val="00D25B0C"/>
    <w:rsid w:val="00D37CCB"/>
    <w:rsid w:val="00D431A9"/>
    <w:rsid w:val="00D62BFC"/>
    <w:rsid w:val="00D667F4"/>
    <w:rsid w:val="00D67274"/>
    <w:rsid w:val="00D7607B"/>
    <w:rsid w:val="00D93ADD"/>
    <w:rsid w:val="00D97C5A"/>
    <w:rsid w:val="00DA4E53"/>
    <w:rsid w:val="00DD67EF"/>
    <w:rsid w:val="00E06329"/>
    <w:rsid w:val="00E266B3"/>
    <w:rsid w:val="00E57693"/>
    <w:rsid w:val="00E71E25"/>
    <w:rsid w:val="00E936EC"/>
    <w:rsid w:val="00EA2A46"/>
    <w:rsid w:val="00EA35AE"/>
    <w:rsid w:val="00ED32B3"/>
    <w:rsid w:val="00ED4BB5"/>
    <w:rsid w:val="00EF33BF"/>
    <w:rsid w:val="00F01E01"/>
    <w:rsid w:val="00F05C60"/>
    <w:rsid w:val="00F55B7E"/>
    <w:rsid w:val="00F55DCC"/>
    <w:rsid w:val="00F839A9"/>
    <w:rsid w:val="00F96E48"/>
    <w:rsid w:val="00FD33AA"/>
    <w:rsid w:val="00FE6281"/>
    <w:rsid w:val="00FF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A782"/>
  <w15:chartTrackingRefBased/>
  <w15:docId w15:val="{685A4214-8D84-4B42-9D3E-34D8AD71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0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200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200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00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00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0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0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200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200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00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00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0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09E"/>
    <w:rPr>
      <w:rFonts w:eastAsiaTheme="majorEastAsia" w:cstheme="majorBidi"/>
      <w:color w:val="272727" w:themeColor="text1" w:themeTint="D8"/>
    </w:rPr>
  </w:style>
  <w:style w:type="paragraph" w:styleId="Title">
    <w:name w:val="Title"/>
    <w:basedOn w:val="Normal"/>
    <w:next w:val="Normal"/>
    <w:link w:val="TitleChar"/>
    <w:uiPriority w:val="10"/>
    <w:qFormat/>
    <w:rsid w:val="00620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09E"/>
    <w:pPr>
      <w:spacing w:before="160"/>
      <w:jc w:val="center"/>
    </w:pPr>
    <w:rPr>
      <w:i/>
      <w:iCs/>
      <w:color w:val="404040" w:themeColor="text1" w:themeTint="BF"/>
    </w:rPr>
  </w:style>
  <w:style w:type="character" w:customStyle="1" w:styleId="QuoteChar">
    <w:name w:val="Quote Char"/>
    <w:basedOn w:val="DefaultParagraphFont"/>
    <w:link w:val="Quote"/>
    <w:uiPriority w:val="29"/>
    <w:rsid w:val="0062009E"/>
    <w:rPr>
      <w:i/>
      <w:iCs/>
      <w:color w:val="404040" w:themeColor="text1" w:themeTint="BF"/>
    </w:rPr>
  </w:style>
  <w:style w:type="paragraph" w:styleId="ListParagraph">
    <w:name w:val="List Paragraph"/>
    <w:basedOn w:val="Normal"/>
    <w:uiPriority w:val="34"/>
    <w:qFormat/>
    <w:rsid w:val="0062009E"/>
    <w:pPr>
      <w:ind w:left="720"/>
      <w:contextualSpacing/>
    </w:pPr>
  </w:style>
  <w:style w:type="character" w:styleId="IntenseEmphasis">
    <w:name w:val="Intense Emphasis"/>
    <w:basedOn w:val="DefaultParagraphFont"/>
    <w:uiPriority w:val="21"/>
    <w:qFormat/>
    <w:rsid w:val="0062009E"/>
    <w:rPr>
      <w:i/>
      <w:iCs/>
      <w:color w:val="2F5496" w:themeColor="accent1" w:themeShade="BF"/>
    </w:rPr>
  </w:style>
  <w:style w:type="paragraph" w:styleId="IntenseQuote">
    <w:name w:val="Intense Quote"/>
    <w:basedOn w:val="Normal"/>
    <w:next w:val="Normal"/>
    <w:link w:val="IntenseQuoteChar"/>
    <w:uiPriority w:val="30"/>
    <w:qFormat/>
    <w:rsid w:val="006200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09E"/>
    <w:rPr>
      <w:i/>
      <w:iCs/>
      <w:color w:val="2F5496" w:themeColor="accent1" w:themeShade="BF"/>
    </w:rPr>
  </w:style>
  <w:style w:type="character" w:styleId="IntenseReference">
    <w:name w:val="Intense Reference"/>
    <w:basedOn w:val="DefaultParagraphFont"/>
    <w:uiPriority w:val="32"/>
    <w:qFormat/>
    <w:rsid w:val="0062009E"/>
    <w:rPr>
      <w:b/>
      <w:bCs/>
      <w:smallCaps/>
      <w:color w:val="2F5496" w:themeColor="accent1" w:themeShade="BF"/>
      <w:spacing w:val="5"/>
    </w:rPr>
  </w:style>
  <w:style w:type="paragraph" w:styleId="NormalWeb">
    <w:name w:val="Normal (Web)"/>
    <w:basedOn w:val="Normal"/>
    <w:uiPriority w:val="99"/>
    <w:semiHidden/>
    <w:unhideWhenUsed/>
    <w:rsid w:val="00EA35AE"/>
    <w:rPr>
      <w:rFonts w:ascii="Times New Roman" w:hAnsi="Times New Roman" w:cs="Times New Roman"/>
    </w:rPr>
  </w:style>
  <w:style w:type="character" w:styleId="Strong">
    <w:name w:val="Strong"/>
    <w:basedOn w:val="DefaultParagraphFont"/>
    <w:uiPriority w:val="22"/>
    <w:qFormat/>
    <w:rsid w:val="002406E8"/>
    <w:rPr>
      <w:b/>
      <w:bCs/>
    </w:rPr>
  </w:style>
  <w:style w:type="character" w:styleId="Hyperlink">
    <w:name w:val="Hyperlink"/>
    <w:basedOn w:val="DefaultParagraphFont"/>
    <w:uiPriority w:val="99"/>
    <w:unhideWhenUsed/>
    <w:rsid w:val="006674E5"/>
    <w:rPr>
      <w:color w:val="0563C1" w:themeColor="hyperlink"/>
      <w:u w:val="single"/>
    </w:rPr>
  </w:style>
  <w:style w:type="character" w:styleId="UnresolvedMention">
    <w:name w:val="Unresolved Mention"/>
    <w:basedOn w:val="DefaultParagraphFont"/>
    <w:uiPriority w:val="99"/>
    <w:semiHidden/>
    <w:unhideWhenUsed/>
    <w:rsid w:val="006674E5"/>
    <w:rPr>
      <w:color w:val="605E5C"/>
      <w:shd w:val="clear" w:color="auto" w:fill="E1DFDD"/>
    </w:rPr>
  </w:style>
  <w:style w:type="character" w:styleId="Emphasis">
    <w:name w:val="Emphasis"/>
    <w:basedOn w:val="DefaultParagraphFont"/>
    <w:uiPriority w:val="20"/>
    <w:qFormat/>
    <w:rsid w:val="006674E5"/>
    <w:rPr>
      <w:i/>
      <w:iCs/>
    </w:rPr>
  </w:style>
  <w:style w:type="paragraph" w:styleId="Header">
    <w:name w:val="header"/>
    <w:basedOn w:val="Normal"/>
    <w:link w:val="HeaderChar"/>
    <w:uiPriority w:val="99"/>
    <w:unhideWhenUsed/>
    <w:rsid w:val="00523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B8A"/>
  </w:style>
  <w:style w:type="paragraph" w:styleId="Footer">
    <w:name w:val="footer"/>
    <w:basedOn w:val="Normal"/>
    <w:link w:val="FooterChar"/>
    <w:uiPriority w:val="99"/>
    <w:unhideWhenUsed/>
    <w:rsid w:val="00523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371/journal.pone.0289954" TargetMode="External"/><Relationship Id="rId18" Type="http://schemas.openxmlformats.org/officeDocument/2006/relationships/hyperlink" Target="https://doi.org/10.1002/smj.6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08/978-1-80262-251-520231017" TargetMode="External"/><Relationship Id="rId17" Type="http://schemas.openxmlformats.org/officeDocument/2006/relationships/hyperlink" Target="https://reachalliance.org/case-study/adaption-for-sustenance-amongst-south-african-migrants/" TargetMode="External"/><Relationship Id="rId2" Type="http://schemas.openxmlformats.org/officeDocument/2006/relationships/numbering" Target="numbering.xml"/><Relationship Id="rId16" Type="http://schemas.openxmlformats.org/officeDocument/2006/relationships/hyperlink" Target="https://doi.org/10.4102/sajesbm.v16i1.88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7104472" TargetMode="External"/><Relationship Id="rId5" Type="http://schemas.openxmlformats.org/officeDocument/2006/relationships/webSettings" Target="webSettings.xml"/><Relationship Id="rId15" Type="http://schemas.openxmlformats.org/officeDocument/2006/relationships/hyperlink" Target="https://www.abacademies.org/articles/financial-literacy-and-creative-thinking-amongst-rural-entrepreneurs-case-of-sundanese-local-wisdom-in-west-java-indonesia-16554.html"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sca.me/IJSS/Archive/v2/i2/3.ISCA-IRJSS-2012-04.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8BFA0-FF9C-4874-88D6-4E2E5EF89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33</Pages>
  <Words>10412</Words>
  <Characters>68512</Characters>
  <Application>Microsoft Office Word</Application>
  <DocSecurity>0</DocSecurity>
  <Lines>1245</Lines>
  <Paragraphs>519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Henry A. Aluko</dc:creator>
  <cp:keywords/>
  <dc:description/>
  <cp:lastModifiedBy>Dr Henry A. Aluko</cp:lastModifiedBy>
  <cp:revision>76</cp:revision>
  <dcterms:created xsi:type="dcterms:W3CDTF">2025-09-24T08:45:00Z</dcterms:created>
  <dcterms:modified xsi:type="dcterms:W3CDTF">2026-05-11T08:38:00Z</dcterms:modified>
  <cp:category/>
</cp:coreProperties>
</file>