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097D7" w14:textId="77777777" w:rsidR="00B86BDD" w:rsidRDefault="00B86BDD" w:rsidP="009120BA">
      <w:pPr>
        <w:spacing w:after="0" w:line="360" w:lineRule="auto"/>
        <w:jc w:val="center"/>
        <w:rPr>
          <w:rFonts w:ascii="Times New Roman" w:hAnsi="Times New Roman"/>
          <w:b/>
          <w:bCs/>
          <w:sz w:val="24"/>
          <w:szCs w:val="24"/>
          <w:lang w:val="en-US"/>
        </w:rPr>
      </w:pPr>
    </w:p>
    <w:p w14:paraId="12585B60" w14:textId="77777777" w:rsidR="00B86BDD" w:rsidRDefault="00B86BDD" w:rsidP="00F276F2">
      <w:pPr>
        <w:spacing w:after="0" w:line="360" w:lineRule="auto"/>
        <w:rPr>
          <w:rFonts w:ascii="Times New Roman" w:hAnsi="Times New Roman"/>
          <w:b/>
          <w:bCs/>
          <w:sz w:val="24"/>
          <w:szCs w:val="24"/>
          <w:lang w:val="en-US"/>
        </w:rPr>
      </w:pPr>
    </w:p>
    <w:p w14:paraId="197206F0" w14:textId="11EED46F" w:rsidR="009120BA" w:rsidRDefault="009120BA" w:rsidP="009120BA">
      <w:pPr>
        <w:spacing w:after="0" w:line="360" w:lineRule="auto"/>
        <w:jc w:val="center"/>
        <w:rPr>
          <w:rFonts w:ascii="Times New Roman" w:hAnsi="Times New Roman"/>
          <w:b/>
          <w:bCs/>
          <w:sz w:val="24"/>
          <w:szCs w:val="24"/>
          <w:lang w:val="en-US"/>
        </w:rPr>
      </w:pPr>
      <w:r>
        <w:rPr>
          <w:rFonts w:ascii="Times New Roman" w:hAnsi="Times New Roman"/>
          <w:b/>
          <w:bCs/>
          <w:sz w:val="24"/>
          <w:szCs w:val="24"/>
          <w:lang w:val="en-US"/>
        </w:rPr>
        <w:t>THE MODERATING ROLE OF DIRECTIVE VS. ADAPTIVE LEADERSHIP STYLES IN OVERCOMING GEOPOLITICAL SUPPLY RISKS FOR RARE EARTH ELEMENTS IN UK SUPPLY CHAINS</w:t>
      </w:r>
    </w:p>
    <w:p w14:paraId="4680E600" w14:textId="77777777" w:rsidR="009120BA" w:rsidRDefault="009120BA" w:rsidP="009120BA">
      <w:pPr>
        <w:spacing w:after="0" w:line="360" w:lineRule="auto"/>
        <w:jc w:val="center"/>
        <w:rPr>
          <w:rFonts w:ascii="Times New Roman" w:hAnsi="Times New Roman"/>
          <w:b/>
          <w:bCs/>
          <w:sz w:val="24"/>
          <w:szCs w:val="24"/>
          <w:lang w:val="en-US"/>
        </w:rPr>
      </w:pPr>
    </w:p>
    <w:p w14:paraId="795BE953" w14:textId="77777777" w:rsidR="007E6BBE" w:rsidRDefault="007E6BBE" w:rsidP="009120BA">
      <w:pPr>
        <w:spacing w:after="0" w:line="360" w:lineRule="auto"/>
        <w:jc w:val="center"/>
        <w:rPr>
          <w:rFonts w:ascii="Times New Roman" w:hAnsi="Times New Roman"/>
          <w:b/>
          <w:bCs/>
          <w:sz w:val="24"/>
          <w:szCs w:val="24"/>
          <w:lang w:val="en-US"/>
        </w:rPr>
      </w:pPr>
    </w:p>
    <w:p w14:paraId="36BF4371" w14:textId="77777777" w:rsidR="007E6BBE" w:rsidRDefault="007E6BBE" w:rsidP="009120BA">
      <w:pPr>
        <w:spacing w:after="0" w:line="360" w:lineRule="auto"/>
        <w:jc w:val="center"/>
        <w:rPr>
          <w:rFonts w:ascii="Times New Roman" w:hAnsi="Times New Roman"/>
          <w:b/>
          <w:bCs/>
          <w:sz w:val="24"/>
          <w:szCs w:val="24"/>
          <w:lang w:val="en-US"/>
        </w:rPr>
      </w:pPr>
    </w:p>
    <w:p w14:paraId="0DD7A510" w14:textId="77777777" w:rsidR="007E6BBE" w:rsidRDefault="007E6BBE" w:rsidP="009120BA">
      <w:pPr>
        <w:spacing w:after="0" w:line="360" w:lineRule="auto"/>
        <w:jc w:val="center"/>
        <w:rPr>
          <w:rFonts w:ascii="Times New Roman" w:hAnsi="Times New Roman"/>
          <w:b/>
          <w:bCs/>
          <w:sz w:val="24"/>
          <w:szCs w:val="24"/>
          <w:lang w:val="en-US"/>
        </w:rPr>
      </w:pPr>
    </w:p>
    <w:p w14:paraId="7CC75751" w14:textId="7D6242F4" w:rsidR="009120BA" w:rsidRDefault="00BE40A1" w:rsidP="00BE40A1">
      <w:pPr>
        <w:spacing w:after="0" w:line="360" w:lineRule="auto"/>
        <w:rPr>
          <w:rFonts w:ascii="Times New Roman" w:hAnsi="Times New Roman"/>
          <w:b/>
          <w:bCs/>
          <w:sz w:val="24"/>
          <w:szCs w:val="24"/>
          <w:lang w:val="en-US"/>
        </w:rPr>
      </w:pPr>
      <w:r>
        <w:rPr>
          <w:rFonts w:ascii="Times New Roman" w:hAnsi="Times New Roman"/>
          <w:b/>
          <w:bCs/>
          <w:sz w:val="24"/>
          <w:szCs w:val="24"/>
          <w:lang w:val="en-US"/>
        </w:rPr>
        <w:t xml:space="preserve">                                                                  BY</w:t>
      </w:r>
    </w:p>
    <w:p w14:paraId="02AD9566" w14:textId="77777777" w:rsidR="00584AB7" w:rsidRDefault="00584AB7" w:rsidP="00BE40A1">
      <w:pPr>
        <w:spacing w:after="0" w:line="360" w:lineRule="auto"/>
        <w:rPr>
          <w:rFonts w:ascii="Times New Roman" w:hAnsi="Times New Roman"/>
          <w:b/>
          <w:bCs/>
          <w:sz w:val="24"/>
          <w:szCs w:val="24"/>
          <w:lang w:val="en-US"/>
        </w:rPr>
      </w:pPr>
    </w:p>
    <w:p w14:paraId="0749A43B" w14:textId="77777777" w:rsidR="00584AB7" w:rsidRDefault="00584AB7" w:rsidP="00BE40A1">
      <w:pPr>
        <w:spacing w:after="0" w:line="360" w:lineRule="auto"/>
        <w:rPr>
          <w:rFonts w:ascii="Times New Roman" w:hAnsi="Times New Roman"/>
          <w:b/>
          <w:bCs/>
          <w:sz w:val="24"/>
          <w:szCs w:val="24"/>
          <w:lang w:val="en-US"/>
        </w:rPr>
      </w:pPr>
    </w:p>
    <w:p w14:paraId="2B5EAE1B" w14:textId="77777777" w:rsidR="007E6BBE" w:rsidRDefault="007E6BBE" w:rsidP="00BE40A1">
      <w:pPr>
        <w:spacing w:after="0" w:line="360" w:lineRule="auto"/>
        <w:rPr>
          <w:rFonts w:ascii="Times New Roman" w:hAnsi="Times New Roman"/>
          <w:b/>
          <w:bCs/>
          <w:sz w:val="24"/>
          <w:szCs w:val="24"/>
          <w:lang w:val="en-US"/>
        </w:rPr>
      </w:pPr>
    </w:p>
    <w:p w14:paraId="3E9F09E6" w14:textId="70969527" w:rsidR="00FD1E00" w:rsidRDefault="00584AB7" w:rsidP="00FD1E00">
      <w:pPr>
        <w:spacing w:after="0" w:line="360" w:lineRule="auto"/>
        <w:rPr>
          <w:rFonts w:ascii="Times New Roman" w:hAnsi="Times New Roman"/>
          <w:b/>
          <w:bCs/>
          <w:sz w:val="24"/>
          <w:szCs w:val="24"/>
          <w:lang w:val="en-US"/>
        </w:rPr>
      </w:pPr>
      <w:r>
        <w:rPr>
          <w:rFonts w:ascii="Times New Roman" w:hAnsi="Times New Roman"/>
          <w:b/>
          <w:bCs/>
          <w:sz w:val="24"/>
          <w:szCs w:val="24"/>
          <w:lang w:val="en-US"/>
        </w:rPr>
        <w:t xml:space="preserve">                                               </w:t>
      </w:r>
    </w:p>
    <w:p w14:paraId="066DA77B" w14:textId="36ACA4B1" w:rsidR="009120BA" w:rsidRDefault="00FD1E00" w:rsidP="00FD1E00">
      <w:pPr>
        <w:spacing w:after="0" w:line="360" w:lineRule="auto"/>
        <w:rPr>
          <w:rFonts w:ascii="Times New Roman" w:hAnsi="Times New Roman"/>
          <w:b/>
          <w:bCs/>
          <w:sz w:val="24"/>
          <w:szCs w:val="24"/>
          <w:lang w:val="en-US"/>
        </w:rPr>
      </w:pPr>
      <w:r>
        <w:rPr>
          <w:rFonts w:ascii="Times New Roman" w:hAnsi="Times New Roman"/>
          <w:b/>
          <w:bCs/>
          <w:sz w:val="24"/>
          <w:szCs w:val="24"/>
          <w:lang w:val="en-US"/>
        </w:rPr>
        <w:t xml:space="preserve">                                    </w:t>
      </w:r>
      <w:r w:rsidR="00F276F2">
        <w:rPr>
          <w:rFonts w:ascii="Times New Roman" w:hAnsi="Times New Roman"/>
          <w:b/>
          <w:bCs/>
          <w:sz w:val="24"/>
          <w:szCs w:val="24"/>
          <w:lang w:val="en-US"/>
        </w:rPr>
        <w:t xml:space="preserve">           EBO CHINWE RACHAEL</w:t>
      </w:r>
    </w:p>
    <w:p w14:paraId="5230529C" w14:textId="77777777" w:rsidR="00E12F95" w:rsidRDefault="00E12F95" w:rsidP="00FD1E00">
      <w:pPr>
        <w:spacing w:after="0" w:line="360" w:lineRule="auto"/>
        <w:rPr>
          <w:rFonts w:ascii="Times New Roman" w:hAnsi="Times New Roman"/>
          <w:b/>
          <w:bCs/>
          <w:sz w:val="24"/>
          <w:szCs w:val="24"/>
          <w:lang w:val="en-US"/>
        </w:rPr>
      </w:pPr>
    </w:p>
    <w:p w14:paraId="5EE98255" w14:textId="77777777" w:rsidR="007E6BBE" w:rsidRDefault="007E6BBE" w:rsidP="00FD1E00">
      <w:pPr>
        <w:spacing w:after="0" w:line="360" w:lineRule="auto"/>
        <w:rPr>
          <w:rFonts w:ascii="Times New Roman" w:hAnsi="Times New Roman"/>
          <w:b/>
          <w:bCs/>
          <w:sz w:val="24"/>
          <w:szCs w:val="24"/>
          <w:lang w:val="en-US"/>
        </w:rPr>
      </w:pPr>
    </w:p>
    <w:p w14:paraId="3C3D11CB" w14:textId="77777777" w:rsidR="00E12F95" w:rsidRDefault="00E12F95" w:rsidP="00FD1E00">
      <w:pPr>
        <w:spacing w:after="0" w:line="360" w:lineRule="auto"/>
        <w:rPr>
          <w:rFonts w:ascii="Times New Roman" w:hAnsi="Times New Roman"/>
          <w:b/>
          <w:bCs/>
          <w:sz w:val="24"/>
          <w:szCs w:val="24"/>
          <w:lang w:val="en-US"/>
        </w:rPr>
      </w:pPr>
    </w:p>
    <w:p w14:paraId="32E97126" w14:textId="77777777" w:rsidR="009B0086" w:rsidRDefault="009B0086" w:rsidP="00FD1E00">
      <w:pPr>
        <w:spacing w:after="0" w:line="360" w:lineRule="auto"/>
        <w:rPr>
          <w:rFonts w:ascii="Times New Roman" w:hAnsi="Times New Roman"/>
          <w:b/>
          <w:bCs/>
          <w:sz w:val="24"/>
          <w:szCs w:val="24"/>
          <w:lang w:val="en-US"/>
        </w:rPr>
      </w:pPr>
    </w:p>
    <w:p w14:paraId="23AA4EDA" w14:textId="77777777" w:rsidR="00712E54" w:rsidRDefault="00712E54" w:rsidP="00FD1E00">
      <w:pPr>
        <w:spacing w:after="0" w:line="360" w:lineRule="auto"/>
        <w:rPr>
          <w:rFonts w:ascii="Times New Roman" w:hAnsi="Times New Roman"/>
          <w:b/>
          <w:bCs/>
          <w:sz w:val="24"/>
          <w:szCs w:val="24"/>
          <w:lang w:val="en-US"/>
        </w:rPr>
      </w:pPr>
    </w:p>
    <w:p w14:paraId="271C228D" w14:textId="77777777" w:rsidR="00712E54" w:rsidRDefault="00712E54" w:rsidP="00FD1E00">
      <w:pPr>
        <w:spacing w:after="0" w:line="360" w:lineRule="auto"/>
        <w:rPr>
          <w:rFonts w:ascii="Times New Roman" w:hAnsi="Times New Roman"/>
          <w:b/>
          <w:bCs/>
          <w:sz w:val="24"/>
          <w:szCs w:val="24"/>
          <w:lang w:val="en-US"/>
        </w:rPr>
      </w:pPr>
    </w:p>
    <w:p w14:paraId="583C2B1B" w14:textId="77777777" w:rsidR="00712E54" w:rsidRDefault="00712E54" w:rsidP="00FD1E00">
      <w:pPr>
        <w:spacing w:after="0" w:line="360" w:lineRule="auto"/>
        <w:rPr>
          <w:rFonts w:ascii="Times New Roman" w:hAnsi="Times New Roman"/>
          <w:b/>
          <w:bCs/>
          <w:sz w:val="24"/>
          <w:szCs w:val="24"/>
          <w:lang w:val="en-US"/>
        </w:rPr>
      </w:pPr>
    </w:p>
    <w:p w14:paraId="3CEA0775" w14:textId="77777777" w:rsidR="00712E54" w:rsidRDefault="00712E54" w:rsidP="00FD1E00">
      <w:pPr>
        <w:spacing w:after="0" w:line="360" w:lineRule="auto"/>
        <w:rPr>
          <w:rFonts w:ascii="Times New Roman" w:hAnsi="Times New Roman"/>
          <w:b/>
          <w:bCs/>
          <w:sz w:val="24"/>
          <w:szCs w:val="24"/>
          <w:lang w:val="en-US"/>
        </w:rPr>
      </w:pPr>
    </w:p>
    <w:p w14:paraId="498372B2" w14:textId="77777777" w:rsidR="00712E54" w:rsidRDefault="00712E54" w:rsidP="00FD1E00">
      <w:pPr>
        <w:spacing w:after="0" w:line="360" w:lineRule="auto"/>
        <w:rPr>
          <w:rFonts w:ascii="Times New Roman" w:hAnsi="Times New Roman"/>
          <w:b/>
          <w:bCs/>
          <w:sz w:val="24"/>
          <w:szCs w:val="24"/>
          <w:lang w:val="en-US"/>
        </w:rPr>
      </w:pPr>
    </w:p>
    <w:p w14:paraId="2790589B" w14:textId="77777777" w:rsidR="00712E54" w:rsidRDefault="00712E54" w:rsidP="00FD1E00">
      <w:pPr>
        <w:spacing w:after="0" w:line="360" w:lineRule="auto"/>
        <w:rPr>
          <w:rFonts w:ascii="Times New Roman" w:hAnsi="Times New Roman"/>
          <w:b/>
          <w:bCs/>
          <w:sz w:val="24"/>
          <w:szCs w:val="24"/>
          <w:lang w:val="en-US"/>
        </w:rPr>
      </w:pPr>
    </w:p>
    <w:p w14:paraId="19C3B2E1" w14:textId="77777777" w:rsidR="00712E54" w:rsidRDefault="00712E54" w:rsidP="00FD1E00">
      <w:pPr>
        <w:spacing w:after="0" w:line="360" w:lineRule="auto"/>
        <w:rPr>
          <w:rFonts w:ascii="Times New Roman" w:hAnsi="Times New Roman"/>
          <w:b/>
          <w:bCs/>
          <w:sz w:val="24"/>
          <w:szCs w:val="24"/>
          <w:lang w:val="en-US"/>
        </w:rPr>
      </w:pPr>
    </w:p>
    <w:p w14:paraId="627A29ED" w14:textId="77777777" w:rsidR="00712E54" w:rsidRDefault="00712E54" w:rsidP="00FD1E00">
      <w:pPr>
        <w:spacing w:after="0" w:line="360" w:lineRule="auto"/>
        <w:rPr>
          <w:rFonts w:ascii="Times New Roman" w:hAnsi="Times New Roman"/>
          <w:b/>
          <w:bCs/>
          <w:sz w:val="24"/>
          <w:szCs w:val="24"/>
          <w:lang w:val="en-US"/>
        </w:rPr>
      </w:pPr>
    </w:p>
    <w:p w14:paraId="4E834E6B" w14:textId="77777777" w:rsidR="009B0086" w:rsidRDefault="009B0086" w:rsidP="00FD1E00">
      <w:pPr>
        <w:spacing w:after="0" w:line="360" w:lineRule="auto"/>
        <w:rPr>
          <w:rFonts w:ascii="Times New Roman" w:hAnsi="Times New Roman"/>
          <w:b/>
          <w:bCs/>
          <w:sz w:val="24"/>
          <w:szCs w:val="24"/>
          <w:lang w:val="en-US"/>
        </w:rPr>
      </w:pPr>
    </w:p>
    <w:p w14:paraId="09026BB6" w14:textId="77777777" w:rsidR="009B0086" w:rsidRDefault="009B0086" w:rsidP="00FD1E00">
      <w:pPr>
        <w:spacing w:after="0" w:line="360" w:lineRule="auto"/>
        <w:rPr>
          <w:rFonts w:ascii="Times New Roman" w:hAnsi="Times New Roman"/>
          <w:b/>
          <w:bCs/>
          <w:sz w:val="24"/>
          <w:szCs w:val="24"/>
          <w:lang w:val="en-US"/>
        </w:rPr>
      </w:pPr>
    </w:p>
    <w:p w14:paraId="224EFF91" w14:textId="77777777" w:rsidR="00F93DB6" w:rsidRDefault="00F93DB6" w:rsidP="00FD1E00">
      <w:pPr>
        <w:spacing w:after="0" w:line="360" w:lineRule="auto"/>
        <w:rPr>
          <w:rFonts w:ascii="Times New Roman" w:hAnsi="Times New Roman"/>
          <w:b/>
          <w:bCs/>
          <w:sz w:val="24"/>
          <w:szCs w:val="24"/>
          <w:lang w:val="en-US"/>
        </w:rPr>
      </w:pPr>
    </w:p>
    <w:p w14:paraId="1ACF41B1" w14:textId="77777777" w:rsidR="00F93DB6" w:rsidRDefault="00F93DB6" w:rsidP="00FD1E00">
      <w:pPr>
        <w:spacing w:after="0" w:line="360" w:lineRule="auto"/>
        <w:rPr>
          <w:rFonts w:ascii="Times New Roman" w:hAnsi="Times New Roman"/>
          <w:b/>
          <w:bCs/>
          <w:sz w:val="24"/>
          <w:szCs w:val="24"/>
          <w:lang w:val="en-US"/>
        </w:rPr>
      </w:pPr>
    </w:p>
    <w:p w14:paraId="58A8CCB3" w14:textId="77777777" w:rsidR="00F93DB6" w:rsidRDefault="00F93DB6" w:rsidP="00FD1E00">
      <w:pPr>
        <w:spacing w:after="0" w:line="360" w:lineRule="auto"/>
        <w:rPr>
          <w:rFonts w:ascii="Times New Roman" w:hAnsi="Times New Roman"/>
          <w:b/>
          <w:bCs/>
          <w:sz w:val="24"/>
          <w:szCs w:val="24"/>
          <w:lang w:val="en-US"/>
        </w:rPr>
      </w:pPr>
    </w:p>
    <w:p w14:paraId="189DEFBB" w14:textId="77777777" w:rsidR="009B0086" w:rsidRDefault="009B0086" w:rsidP="00FD1E00">
      <w:pPr>
        <w:spacing w:after="0" w:line="360" w:lineRule="auto"/>
        <w:rPr>
          <w:rFonts w:ascii="Times New Roman" w:hAnsi="Times New Roman"/>
          <w:b/>
          <w:bCs/>
          <w:sz w:val="24"/>
          <w:szCs w:val="24"/>
          <w:lang w:val="en-US"/>
        </w:rPr>
      </w:pPr>
    </w:p>
    <w:p w14:paraId="4A590838" w14:textId="77777777" w:rsidR="00453001" w:rsidRDefault="00453001" w:rsidP="009120BA">
      <w:pPr>
        <w:spacing w:after="0" w:line="360" w:lineRule="auto"/>
        <w:rPr>
          <w:rFonts w:ascii="Times New Roman" w:hAnsi="Times New Roman"/>
          <w:b/>
          <w:bCs/>
          <w:sz w:val="24"/>
          <w:szCs w:val="24"/>
          <w:lang w:val="en-US"/>
        </w:rPr>
      </w:pPr>
    </w:p>
    <w:p w14:paraId="2FCB50FE" w14:textId="77777777" w:rsidR="004D7C64" w:rsidRDefault="004D7C64" w:rsidP="009120BA">
      <w:pPr>
        <w:spacing w:after="0" w:line="360" w:lineRule="auto"/>
        <w:rPr>
          <w:rFonts w:ascii="Times New Roman" w:hAnsi="Times New Roman"/>
          <w:b/>
          <w:bCs/>
          <w:sz w:val="24"/>
          <w:szCs w:val="24"/>
          <w:lang w:val="en-US"/>
        </w:rPr>
      </w:pPr>
    </w:p>
    <w:p w14:paraId="5AB92AD2" w14:textId="77777777" w:rsidR="004D7C64" w:rsidRDefault="004D7C64" w:rsidP="009120BA">
      <w:pPr>
        <w:spacing w:after="0" w:line="360" w:lineRule="auto"/>
        <w:rPr>
          <w:rFonts w:ascii="Times New Roman" w:hAnsi="Times New Roman"/>
          <w:b/>
          <w:bCs/>
          <w:sz w:val="24"/>
          <w:szCs w:val="24"/>
          <w:lang w:val="en-US"/>
        </w:rPr>
      </w:pPr>
    </w:p>
    <w:p w14:paraId="043679B8" w14:textId="3412A537" w:rsidR="009120BA" w:rsidRDefault="009120BA" w:rsidP="009120BA">
      <w:pPr>
        <w:spacing w:after="0" w:line="360" w:lineRule="auto"/>
        <w:rPr>
          <w:rFonts w:ascii="Times New Roman" w:hAnsi="Times New Roman"/>
          <w:b/>
          <w:bCs/>
          <w:sz w:val="24"/>
          <w:szCs w:val="24"/>
          <w:lang w:val="en-US"/>
        </w:rPr>
      </w:pPr>
      <w:r>
        <w:rPr>
          <w:rFonts w:ascii="Times New Roman" w:hAnsi="Times New Roman"/>
          <w:b/>
          <w:bCs/>
          <w:sz w:val="24"/>
          <w:szCs w:val="24"/>
          <w:lang w:val="en-US"/>
        </w:rPr>
        <w:t>Abstract</w:t>
      </w:r>
    </w:p>
    <w:p w14:paraId="38E83254" w14:textId="3B28F2FA" w:rsidR="009120BA" w:rsidRDefault="009120BA" w:rsidP="009120BA">
      <w:pPr>
        <w:spacing w:after="0" w:line="360" w:lineRule="auto"/>
        <w:jc w:val="both"/>
      </w:pPr>
      <w:r>
        <w:rPr>
          <w:rFonts w:ascii="Times New Roman" w:hAnsi="Times New Roman"/>
          <w:b/>
          <w:bCs/>
          <w:sz w:val="24"/>
          <w:szCs w:val="24"/>
          <w:lang w:val="en-US"/>
        </w:rPr>
        <w:t>Background:</w:t>
      </w:r>
      <w:r>
        <w:rPr>
          <w:rFonts w:ascii="Times New Roman" w:hAnsi="Times New Roman"/>
          <w:sz w:val="24"/>
          <w:szCs w:val="24"/>
          <w:lang w:val="en-US"/>
        </w:rPr>
        <w:t xml:space="preserve"> Rare earth elements (REEs) are critical </w:t>
      </w:r>
      <w:r w:rsidR="004D1BD5">
        <w:rPr>
          <w:rFonts w:ascii="Times New Roman" w:hAnsi="Times New Roman"/>
          <w:sz w:val="24"/>
          <w:szCs w:val="24"/>
          <w:lang w:val="en-US"/>
        </w:rPr>
        <w:t xml:space="preserve">constituents </w:t>
      </w:r>
      <w:r>
        <w:rPr>
          <w:rFonts w:ascii="Times New Roman" w:hAnsi="Times New Roman"/>
          <w:sz w:val="24"/>
          <w:szCs w:val="24"/>
          <w:lang w:val="en-US"/>
        </w:rPr>
        <w:t xml:space="preserve">for renewable energy, electronics, defense, and </w:t>
      </w:r>
      <w:r w:rsidR="000C2D0E">
        <w:rPr>
          <w:rFonts w:ascii="Times New Roman" w:hAnsi="Times New Roman"/>
          <w:sz w:val="24"/>
          <w:szCs w:val="24"/>
          <w:lang w:val="en-US"/>
        </w:rPr>
        <w:t>higher-level</w:t>
      </w:r>
      <w:r>
        <w:rPr>
          <w:rFonts w:ascii="Times New Roman" w:hAnsi="Times New Roman"/>
          <w:sz w:val="24"/>
          <w:szCs w:val="24"/>
          <w:lang w:val="en-US"/>
        </w:rPr>
        <w:t xml:space="preserve"> manufacturing. However, increasing geopolitical tensions, export restrictions, and the concentration of global REE supply have heightened concerns regarding supply security and continuity. This study </w:t>
      </w:r>
      <w:r w:rsidR="00A6453D">
        <w:rPr>
          <w:rFonts w:ascii="Times New Roman" w:hAnsi="Times New Roman"/>
          <w:sz w:val="24"/>
          <w:szCs w:val="24"/>
          <w:lang w:val="en-US"/>
        </w:rPr>
        <w:t>assesse</w:t>
      </w:r>
      <w:r w:rsidR="00857BC9">
        <w:rPr>
          <w:rFonts w:ascii="Times New Roman" w:hAnsi="Times New Roman"/>
          <w:sz w:val="24"/>
          <w:szCs w:val="24"/>
          <w:lang w:val="en-US"/>
        </w:rPr>
        <w:t>s</w:t>
      </w:r>
      <w:r>
        <w:rPr>
          <w:rFonts w:ascii="Times New Roman" w:hAnsi="Times New Roman"/>
          <w:sz w:val="24"/>
          <w:szCs w:val="24"/>
          <w:lang w:val="en-US"/>
        </w:rPr>
        <w:t xml:space="preserve"> the moderating role of directive and adaptive leadership in overcoming geopolitical supply risks and enhancing organizational resilience and supply chain performance in REE-dependent organizations.</w:t>
      </w:r>
    </w:p>
    <w:p w14:paraId="3EDF99FB" w14:textId="2E27CA36" w:rsidR="009120BA" w:rsidRDefault="009120BA" w:rsidP="009120BA">
      <w:pPr>
        <w:spacing w:after="0" w:line="360" w:lineRule="auto"/>
        <w:jc w:val="both"/>
      </w:pPr>
      <w:r>
        <w:rPr>
          <w:rFonts w:ascii="Times New Roman" w:hAnsi="Times New Roman"/>
          <w:b/>
          <w:bCs/>
          <w:sz w:val="24"/>
          <w:szCs w:val="24"/>
          <w:lang w:val="en-US"/>
        </w:rPr>
        <w:t>Aim:</w:t>
      </w:r>
      <w:r>
        <w:rPr>
          <w:rFonts w:ascii="Times New Roman" w:hAnsi="Times New Roman"/>
          <w:sz w:val="24"/>
          <w:szCs w:val="24"/>
          <w:lang w:val="en-US"/>
        </w:rPr>
        <w:t xml:space="preserve"> The study investigated the effects of geopolitical supply risk exposure on organizational resilience and supply chain performance while assessing how directive and adaptive leadership styles contribute to mitigating these risks</w:t>
      </w:r>
      <w:r w:rsidR="00B81A91">
        <w:rPr>
          <w:rFonts w:ascii="Times New Roman" w:hAnsi="Times New Roman"/>
          <w:sz w:val="24"/>
          <w:szCs w:val="24"/>
          <w:lang w:val="en-US"/>
        </w:rPr>
        <w:t>.</w:t>
      </w:r>
    </w:p>
    <w:p w14:paraId="23230761" w14:textId="29ADFB0D" w:rsidR="009120BA" w:rsidRDefault="009120BA" w:rsidP="009120BA">
      <w:pPr>
        <w:spacing w:after="0" w:line="360" w:lineRule="auto"/>
        <w:jc w:val="both"/>
      </w:pPr>
      <w:r>
        <w:rPr>
          <w:rFonts w:ascii="Times New Roman" w:hAnsi="Times New Roman"/>
          <w:b/>
          <w:bCs/>
          <w:sz w:val="24"/>
          <w:szCs w:val="24"/>
          <w:lang w:val="en-US"/>
        </w:rPr>
        <w:t>Methods:</w:t>
      </w:r>
      <w:r>
        <w:rPr>
          <w:rFonts w:ascii="Times New Roman" w:hAnsi="Times New Roman"/>
          <w:sz w:val="24"/>
          <w:szCs w:val="24"/>
          <w:lang w:val="en-US"/>
        </w:rPr>
        <w:t xml:space="preserve"> A quantitative research approach was adopted </w:t>
      </w:r>
      <w:r w:rsidR="00742D28">
        <w:rPr>
          <w:rFonts w:ascii="Times New Roman" w:hAnsi="Times New Roman"/>
          <w:sz w:val="24"/>
          <w:szCs w:val="24"/>
          <w:lang w:val="en-US"/>
        </w:rPr>
        <w:t>with the use of</w:t>
      </w:r>
      <w:r w:rsidR="0063501F">
        <w:rPr>
          <w:rFonts w:ascii="Times New Roman" w:hAnsi="Times New Roman"/>
          <w:sz w:val="24"/>
          <w:szCs w:val="24"/>
          <w:lang w:val="en-US"/>
        </w:rPr>
        <w:t xml:space="preserve"> </w:t>
      </w:r>
      <w:r>
        <w:rPr>
          <w:rFonts w:ascii="Times New Roman" w:hAnsi="Times New Roman"/>
          <w:sz w:val="24"/>
          <w:szCs w:val="24"/>
          <w:lang w:val="en-US"/>
        </w:rPr>
        <w:t xml:space="preserve">structured </w:t>
      </w:r>
      <w:proofErr w:type="gramStart"/>
      <w:r>
        <w:rPr>
          <w:rFonts w:ascii="Times New Roman" w:hAnsi="Times New Roman"/>
          <w:sz w:val="24"/>
          <w:szCs w:val="24"/>
          <w:lang w:val="en-US"/>
        </w:rPr>
        <w:t>questionnaire</w:t>
      </w:r>
      <w:proofErr w:type="gramEnd"/>
      <w:r>
        <w:rPr>
          <w:rFonts w:ascii="Times New Roman" w:hAnsi="Times New Roman"/>
          <w:sz w:val="24"/>
          <w:szCs w:val="24"/>
          <w:lang w:val="en-US"/>
        </w:rPr>
        <w:t xml:space="preserve"> administered to professionals working in REE-dependent sectors. Of the 120 questionnaires distributed, 90 valid responses were analyzed. Data were analyzed </w:t>
      </w:r>
      <w:r w:rsidR="00192306">
        <w:rPr>
          <w:rFonts w:ascii="Times New Roman" w:hAnsi="Times New Roman"/>
          <w:sz w:val="24"/>
          <w:szCs w:val="24"/>
          <w:lang w:val="en-US"/>
        </w:rPr>
        <w:t>with the use of</w:t>
      </w:r>
      <w:r>
        <w:rPr>
          <w:rFonts w:ascii="Times New Roman" w:hAnsi="Times New Roman"/>
          <w:sz w:val="24"/>
          <w:szCs w:val="24"/>
          <w:lang w:val="en-US"/>
        </w:rPr>
        <w:t xml:space="preserve"> descriptive statistics, reliability analysis, correlation analysis, ordinary least squares regression, and mediation and moderation analyses.</w:t>
      </w:r>
    </w:p>
    <w:p w14:paraId="11DEDBDF" w14:textId="2A33792B" w:rsidR="009120BA" w:rsidRDefault="009120BA" w:rsidP="009120BA">
      <w:pPr>
        <w:spacing w:after="0" w:line="360" w:lineRule="auto"/>
        <w:jc w:val="both"/>
      </w:pPr>
      <w:r>
        <w:rPr>
          <w:rFonts w:ascii="Times New Roman" w:hAnsi="Times New Roman"/>
          <w:b/>
          <w:bCs/>
          <w:sz w:val="24"/>
          <w:szCs w:val="24"/>
          <w:lang w:val="en-US"/>
        </w:rPr>
        <w:t>Findings:</w:t>
      </w:r>
      <w:r>
        <w:rPr>
          <w:rFonts w:ascii="Times New Roman" w:hAnsi="Times New Roman"/>
          <w:sz w:val="24"/>
          <w:szCs w:val="24"/>
          <w:lang w:val="en-US"/>
        </w:rPr>
        <w:t xml:space="preserve"> The results showed that geopolitical supply risk exposure did not significantly affect organizational resilience but had significant</w:t>
      </w:r>
      <w:r w:rsidR="00441D33">
        <w:rPr>
          <w:rFonts w:ascii="Times New Roman" w:hAnsi="Times New Roman"/>
          <w:sz w:val="24"/>
          <w:szCs w:val="24"/>
          <w:lang w:val="en-US"/>
        </w:rPr>
        <w:t xml:space="preserve"> and</w:t>
      </w:r>
      <w:r>
        <w:rPr>
          <w:rFonts w:ascii="Times New Roman" w:hAnsi="Times New Roman"/>
          <w:sz w:val="24"/>
          <w:szCs w:val="24"/>
          <w:lang w:val="en-US"/>
        </w:rPr>
        <w:t xml:space="preserve"> negative effect on supply chain performance (β = –0.237, </w:t>
      </w:r>
      <w:r>
        <w:rPr>
          <w:rFonts w:ascii="Times New Roman" w:hAnsi="Times New Roman"/>
          <w:i/>
          <w:iCs/>
          <w:sz w:val="24"/>
          <w:szCs w:val="24"/>
          <w:lang w:val="en-US"/>
        </w:rPr>
        <w:t>p</w:t>
      </w:r>
      <w:r>
        <w:rPr>
          <w:rFonts w:ascii="Times New Roman" w:hAnsi="Times New Roman"/>
          <w:sz w:val="24"/>
          <w:szCs w:val="24"/>
          <w:lang w:val="en-US"/>
        </w:rPr>
        <w:t xml:space="preserve"> &lt; .05). Both directive leadership (β = 0.215, </w:t>
      </w:r>
      <w:r>
        <w:rPr>
          <w:rFonts w:ascii="Times New Roman" w:hAnsi="Times New Roman"/>
          <w:i/>
          <w:iCs/>
          <w:sz w:val="24"/>
          <w:szCs w:val="24"/>
          <w:lang w:val="en-US"/>
        </w:rPr>
        <w:t>p</w:t>
      </w:r>
      <w:r>
        <w:rPr>
          <w:rFonts w:ascii="Times New Roman" w:hAnsi="Times New Roman"/>
          <w:sz w:val="24"/>
          <w:szCs w:val="24"/>
          <w:lang w:val="en-US"/>
        </w:rPr>
        <w:t xml:space="preserve"> &lt; .05) and adaptive leadership (β = 0.469, </w:t>
      </w:r>
      <w:r>
        <w:rPr>
          <w:rFonts w:ascii="Times New Roman" w:hAnsi="Times New Roman"/>
          <w:i/>
          <w:iCs/>
          <w:sz w:val="24"/>
          <w:szCs w:val="24"/>
          <w:lang w:val="en-US"/>
        </w:rPr>
        <w:t>p</w:t>
      </w:r>
      <w:r>
        <w:rPr>
          <w:rFonts w:ascii="Times New Roman" w:hAnsi="Times New Roman"/>
          <w:sz w:val="24"/>
          <w:szCs w:val="24"/>
          <w:lang w:val="en-US"/>
        </w:rPr>
        <w:t xml:space="preserve"> &lt; .001) positively influenced organizational resilience, with adaptive leadership demonstrating the stronger effect. Organizational resilience also positively influenced supply chain performance (β = 0.402, </w:t>
      </w:r>
      <w:r>
        <w:rPr>
          <w:rFonts w:ascii="Times New Roman" w:hAnsi="Times New Roman"/>
          <w:i/>
          <w:iCs/>
          <w:sz w:val="24"/>
          <w:szCs w:val="24"/>
          <w:lang w:val="en-US"/>
        </w:rPr>
        <w:t>p</w:t>
      </w:r>
      <w:r>
        <w:rPr>
          <w:rFonts w:ascii="Times New Roman" w:hAnsi="Times New Roman"/>
          <w:sz w:val="24"/>
          <w:szCs w:val="24"/>
          <w:lang w:val="en-US"/>
        </w:rPr>
        <w:t xml:space="preserve"> &lt; .001). In the combined model, adaptive leadership remained the stronge</w:t>
      </w:r>
      <w:r w:rsidR="00595454">
        <w:rPr>
          <w:rFonts w:ascii="Times New Roman" w:hAnsi="Times New Roman"/>
          <w:sz w:val="24"/>
          <w:szCs w:val="24"/>
          <w:lang w:val="en-US"/>
        </w:rPr>
        <w:t>st amongst others</w:t>
      </w:r>
      <w:r>
        <w:rPr>
          <w:rFonts w:ascii="Times New Roman" w:hAnsi="Times New Roman"/>
          <w:sz w:val="24"/>
          <w:szCs w:val="24"/>
          <w:lang w:val="en-US"/>
        </w:rPr>
        <w:t xml:space="preserve"> predictor of organizational resilience (β = 0.356, </w:t>
      </w:r>
      <w:r>
        <w:rPr>
          <w:rFonts w:ascii="Times New Roman" w:hAnsi="Times New Roman"/>
          <w:i/>
          <w:iCs/>
          <w:sz w:val="24"/>
          <w:szCs w:val="24"/>
          <w:lang w:val="en-US"/>
        </w:rPr>
        <w:t>p</w:t>
      </w:r>
      <w:r>
        <w:rPr>
          <w:rFonts w:ascii="Times New Roman" w:hAnsi="Times New Roman"/>
          <w:sz w:val="24"/>
          <w:szCs w:val="24"/>
          <w:lang w:val="en-US"/>
        </w:rPr>
        <w:t xml:space="preserve"> &lt; .001).</w:t>
      </w:r>
    </w:p>
    <w:p w14:paraId="2DA5C65D" w14:textId="4B560D80" w:rsidR="009120BA" w:rsidRDefault="009120BA" w:rsidP="009120BA">
      <w:pPr>
        <w:spacing w:after="0" w:line="360" w:lineRule="auto"/>
        <w:jc w:val="both"/>
      </w:pPr>
      <w:r>
        <w:rPr>
          <w:rFonts w:ascii="Times New Roman" w:hAnsi="Times New Roman"/>
          <w:b/>
          <w:bCs/>
          <w:sz w:val="24"/>
          <w:szCs w:val="24"/>
          <w:lang w:val="en-US"/>
        </w:rPr>
        <w:t>Conclusion:</w:t>
      </w:r>
      <w:r>
        <w:rPr>
          <w:rFonts w:ascii="Times New Roman" w:hAnsi="Times New Roman"/>
          <w:sz w:val="24"/>
          <w:szCs w:val="24"/>
          <w:lang w:val="en-US"/>
        </w:rPr>
        <w:t xml:space="preserve"> The findings demonstrate that adaptive leadership and organizational resilience are critical for mitigating the </w:t>
      </w:r>
      <w:r w:rsidR="00A94C43">
        <w:rPr>
          <w:rFonts w:ascii="Times New Roman" w:hAnsi="Times New Roman"/>
          <w:sz w:val="24"/>
          <w:szCs w:val="24"/>
          <w:lang w:val="en-US"/>
        </w:rPr>
        <w:t>adversarial</w:t>
      </w:r>
      <w:r>
        <w:rPr>
          <w:rFonts w:ascii="Times New Roman" w:hAnsi="Times New Roman"/>
          <w:sz w:val="24"/>
          <w:szCs w:val="24"/>
          <w:lang w:val="en-US"/>
        </w:rPr>
        <w:t xml:space="preserve"> effects of geopolitical supply risks and sustaining supply chain performance in REE-dependent organizations. The study contributes to the literature by providing empirical evidence on the leadership</w:t>
      </w:r>
      <w:r w:rsidR="007E7897">
        <w:rPr>
          <w:rFonts w:ascii="Times New Roman" w:hAnsi="Times New Roman"/>
          <w:sz w:val="24"/>
          <w:szCs w:val="24"/>
          <w:lang w:val="en-US"/>
        </w:rPr>
        <w:t xml:space="preserve"> </w:t>
      </w:r>
      <w:r>
        <w:rPr>
          <w:rFonts w:ascii="Times New Roman" w:hAnsi="Times New Roman"/>
          <w:sz w:val="24"/>
          <w:szCs w:val="24"/>
          <w:lang w:val="en-US"/>
        </w:rPr>
        <w:t xml:space="preserve">resilience relationship in context of critical mineral supply chains and offers practical guidance for managers and policymakers </w:t>
      </w:r>
      <w:r w:rsidR="00E8500F">
        <w:rPr>
          <w:rFonts w:ascii="Times New Roman" w:hAnsi="Times New Roman"/>
          <w:sz w:val="24"/>
          <w:szCs w:val="24"/>
          <w:lang w:val="en-US"/>
        </w:rPr>
        <w:t>with intensions</w:t>
      </w:r>
      <w:r>
        <w:rPr>
          <w:rFonts w:ascii="Times New Roman" w:hAnsi="Times New Roman"/>
          <w:sz w:val="24"/>
          <w:szCs w:val="24"/>
          <w:lang w:val="en-US"/>
        </w:rPr>
        <w:t xml:space="preserve"> </w:t>
      </w:r>
      <w:r w:rsidR="00E8500F">
        <w:rPr>
          <w:rFonts w:ascii="Times New Roman" w:hAnsi="Times New Roman"/>
          <w:sz w:val="24"/>
          <w:szCs w:val="24"/>
          <w:lang w:val="en-US"/>
        </w:rPr>
        <w:t>of</w:t>
      </w:r>
      <w:r>
        <w:rPr>
          <w:rFonts w:ascii="Times New Roman" w:hAnsi="Times New Roman"/>
          <w:sz w:val="24"/>
          <w:szCs w:val="24"/>
          <w:lang w:val="en-US"/>
        </w:rPr>
        <w:t xml:space="preserve"> </w:t>
      </w:r>
      <w:proofErr w:type="gramStart"/>
      <w:r>
        <w:rPr>
          <w:rFonts w:ascii="Times New Roman" w:hAnsi="Times New Roman"/>
          <w:sz w:val="24"/>
          <w:szCs w:val="24"/>
          <w:lang w:val="en-US"/>
        </w:rPr>
        <w:t>strengthen</w:t>
      </w:r>
      <w:proofErr w:type="gramEnd"/>
      <w:r>
        <w:rPr>
          <w:rFonts w:ascii="Times New Roman" w:hAnsi="Times New Roman"/>
          <w:sz w:val="24"/>
          <w:szCs w:val="24"/>
          <w:lang w:val="en-US"/>
        </w:rPr>
        <w:t xml:space="preserve"> supply chain resilience and preparedness a</w:t>
      </w:r>
      <w:r w:rsidR="00E8500F">
        <w:rPr>
          <w:rFonts w:ascii="Times New Roman" w:hAnsi="Times New Roman"/>
          <w:sz w:val="24"/>
          <w:szCs w:val="24"/>
          <w:lang w:val="en-US"/>
        </w:rPr>
        <w:t>long with</w:t>
      </w:r>
      <w:r>
        <w:rPr>
          <w:rFonts w:ascii="Times New Roman" w:hAnsi="Times New Roman"/>
          <w:sz w:val="24"/>
          <w:szCs w:val="24"/>
          <w:lang w:val="en-US"/>
        </w:rPr>
        <w:t xml:space="preserve"> increasing geopolitical uncertainty.</w:t>
      </w:r>
    </w:p>
    <w:p w14:paraId="4BB7BB25" w14:textId="77777777" w:rsidR="009120BA" w:rsidRDefault="009120BA" w:rsidP="009120BA">
      <w:pPr>
        <w:spacing w:after="0" w:line="360" w:lineRule="auto"/>
        <w:jc w:val="both"/>
        <w:rPr>
          <w:rFonts w:ascii="Times New Roman" w:hAnsi="Times New Roman"/>
          <w:sz w:val="24"/>
          <w:szCs w:val="24"/>
          <w:lang w:val="en-US"/>
        </w:rPr>
      </w:pPr>
    </w:p>
    <w:p w14:paraId="629360B7" w14:textId="77777777" w:rsidR="009120BA" w:rsidRDefault="009120BA" w:rsidP="009120BA">
      <w:pPr>
        <w:spacing w:after="0" w:line="360" w:lineRule="auto"/>
        <w:rPr>
          <w:rFonts w:ascii="Times New Roman" w:hAnsi="Times New Roman"/>
          <w:b/>
          <w:bCs/>
          <w:sz w:val="24"/>
          <w:szCs w:val="24"/>
          <w:lang w:val="en-US"/>
        </w:rPr>
      </w:pPr>
    </w:p>
    <w:p w14:paraId="4AF24A5C" w14:textId="77777777" w:rsidR="009120BA" w:rsidRDefault="009120BA" w:rsidP="009120BA">
      <w:pPr>
        <w:spacing w:after="0" w:line="360" w:lineRule="auto"/>
        <w:rPr>
          <w:rFonts w:ascii="Times New Roman" w:hAnsi="Times New Roman"/>
          <w:b/>
          <w:bCs/>
          <w:sz w:val="24"/>
          <w:szCs w:val="24"/>
          <w:lang w:val="en-US"/>
        </w:rPr>
      </w:pPr>
    </w:p>
    <w:p w14:paraId="4C1B8B41" w14:textId="77777777" w:rsidR="009120BA" w:rsidRDefault="009120BA" w:rsidP="009120BA">
      <w:pPr>
        <w:spacing w:after="0" w:line="360" w:lineRule="auto"/>
        <w:rPr>
          <w:rFonts w:ascii="Times New Roman" w:hAnsi="Times New Roman"/>
          <w:b/>
          <w:bCs/>
          <w:sz w:val="24"/>
          <w:szCs w:val="24"/>
          <w:lang w:val="en-US"/>
        </w:rPr>
      </w:pPr>
    </w:p>
    <w:p w14:paraId="57BA22AA" w14:textId="77777777" w:rsidR="009120BA" w:rsidRPr="00C17A18" w:rsidRDefault="009120BA" w:rsidP="009120BA">
      <w:pPr>
        <w:keepNext/>
        <w:keepLines/>
        <w:spacing w:before="240" w:after="0" w:line="251" w:lineRule="auto"/>
      </w:pPr>
      <w:r w:rsidRPr="00C17A18">
        <w:rPr>
          <w:rFonts w:ascii="Times New Roman" w:eastAsia="Times New Roman" w:hAnsi="Times New Roman"/>
          <w:b/>
          <w:bCs/>
          <w:kern w:val="0"/>
          <w:sz w:val="24"/>
          <w:szCs w:val="24"/>
          <w:lang w:val="en-US"/>
        </w:rPr>
        <w:t>Table of Contents</w:t>
      </w:r>
    </w:p>
    <w:p w14:paraId="1AD0BCBC" w14:textId="77777777" w:rsidR="009120BA" w:rsidRDefault="009120BA" w:rsidP="009120BA">
      <w:pPr>
        <w:tabs>
          <w:tab w:val="right" w:leader="dot" w:pos="9350"/>
        </w:tabs>
        <w:spacing w:after="100" w:line="276" w:lineRule="auto"/>
      </w:pPr>
      <w:r>
        <w:fldChar w:fldCharType="begin"/>
      </w:r>
      <w:r>
        <w:instrText xml:space="preserve"> TOC \o "1-3" \u \h </w:instrText>
      </w:r>
      <w:r>
        <w:fldChar w:fldCharType="separate"/>
      </w:r>
      <w:hyperlink r:id="rId6" w:anchor="_Toc232013495" w:history="1">
        <w:r>
          <w:rPr>
            <w:rStyle w:val="Hyperlink"/>
            <w:rFonts w:ascii="Times New Roman" w:hAnsi="Times New Roman"/>
            <w:sz w:val="24"/>
            <w:szCs w:val="24"/>
            <w:lang w:val="en-US"/>
          </w:rPr>
          <w:t>CHAPTER ONE</w:t>
        </w:r>
        <w:r>
          <w:rPr>
            <w:rStyle w:val="Hyperlink"/>
            <w:rFonts w:ascii="Times New Roman" w:hAnsi="Times New Roman"/>
            <w:color w:val="auto"/>
            <w:sz w:val="24"/>
            <w:szCs w:val="24"/>
            <w:lang w:val="en-US"/>
          </w:rPr>
          <w:tab/>
          <w:t>4</w:t>
        </w:r>
      </w:hyperlink>
    </w:p>
    <w:p w14:paraId="54E53E21" w14:textId="77777777" w:rsidR="009120BA" w:rsidRDefault="009120BA" w:rsidP="009120BA">
      <w:pPr>
        <w:tabs>
          <w:tab w:val="right" w:leader="dot" w:pos="960"/>
          <w:tab w:val="right" w:leader="dot" w:pos="9350"/>
        </w:tabs>
        <w:spacing w:after="100" w:line="276" w:lineRule="auto"/>
        <w:ind w:left="240"/>
      </w:pPr>
      <w:hyperlink r:id="rId7" w:anchor="_Toc232013496" w:history="1">
        <w:r>
          <w:rPr>
            <w:rStyle w:val="Hyperlink"/>
            <w:rFonts w:ascii="Times New Roman" w:hAnsi="Times New Roman"/>
            <w:sz w:val="24"/>
            <w:szCs w:val="24"/>
            <w:lang w:val="en-US"/>
          </w:rPr>
          <w:t>1.0.</w:t>
        </w:r>
        <w:r>
          <w:rPr>
            <w:rStyle w:val="Hyperlink"/>
            <w:rFonts w:ascii="Times New Roman" w:hAnsi="Times New Roman"/>
            <w:color w:val="auto"/>
            <w:sz w:val="24"/>
            <w:szCs w:val="24"/>
            <w:lang w:val="en-US"/>
          </w:rPr>
          <w:tab/>
        </w:r>
        <w:r>
          <w:rPr>
            <w:rStyle w:val="Hyperlink"/>
            <w:rFonts w:ascii="Times New Roman" w:hAnsi="Times New Roman"/>
            <w:sz w:val="24"/>
            <w:szCs w:val="24"/>
            <w:lang w:val="en-US"/>
          </w:rPr>
          <w:t>Introduction</w:t>
        </w:r>
        <w:r>
          <w:rPr>
            <w:rStyle w:val="Hyperlink"/>
            <w:rFonts w:ascii="Times New Roman" w:hAnsi="Times New Roman"/>
            <w:color w:val="auto"/>
            <w:sz w:val="24"/>
            <w:szCs w:val="24"/>
            <w:lang w:val="en-US"/>
          </w:rPr>
          <w:tab/>
          <w:t>4</w:t>
        </w:r>
      </w:hyperlink>
    </w:p>
    <w:p w14:paraId="798D5CEA" w14:textId="77777777" w:rsidR="009120BA" w:rsidRDefault="009120BA" w:rsidP="009120BA">
      <w:pPr>
        <w:tabs>
          <w:tab w:val="right" w:leader="dot" w:pos="9350"/>
        </w:tabs>
        <w:spacing w:after="100" w:line="276" w:lineRule="auto"/>
        <w:ind w:left="240"/>
      </w:pPr>
      <w:hyperlink r:id="rId8" w:anchor="_Toc232013497" w:history="1">
        <w:r>
          <w:rPr>
            <w:rStyle w:val="Hyperlink"/>
            <w:rFonts w:ascii="Times New Roman" w:hAnsi="Times New Roman"/>
            <w:sz w:val="24"/>
            <w:szCs w:val="24"/>
            <w:lang w:val="en-US"/>
          </w:rPr>
          <w:t>1.2. Research aim</w:t>
        </w:r>
        <w:r>
          <w:rPr>
            <w:rStyle w:val="Hyperlink"/>
            <w:rFonts w:ascii="Times New Roman" w:hAnsi="Times New Roman"/>
            <w:color w:val="auto"/>
            <w:sz w:val="24"/>
            <w:szCs w:val="24"/>
            <w:lang w:val="en-US"/>
          </w:rPr>
          <w:tab/>
          <w:t>8</w:t>
        </w:r>
      </w:hyperlink>
    </w:p>
    <w:p w14:paraId="3F32708C" w14:textId="77777777" w:rsidR="009120BA" w:rsidRDefault="009120BA" w:rsidP="009120BA">
      <w:pPr>
        <w:tabs>
          <w:tab w:val="right" w:leader="dot" w:pos="9350"/>
        </w:tabs>
        <w:spacing w:after="100" w:line="276" w:lineRule="auto"/>
        <w:ind w:left="240"/>
      </w:pPr>
      <w:hyperlink r:id="rId9" w:anchor="_Toc232013498" w:history="1">
        <w:r>
          <w:rPr>
            <w:rStyle w:val="Hyperlink"/>
            <w:rFonts w:ascii="Times New Roman" w:hAnsi="Times New Roman"/>
            <w:sz w:val="24"/>
            <w:szCs w:val="24"/>
            <w:lang w:val="en-US"/>
          </w:rPr>
          <w:t>1.2.1. Specific objectives</w:t>
        </w:r>
        <w:r>
          <w:rPr>
            <w:rStyle w:val="Hyperlink"/>
            <w:rFonts w:ascii="Times New Roman" w:hAnsi="Times New Roman"/>
            <w:color w:val="auto"/>
            <w:sz w:val="24"/>
            <w:szCs w:val="24"/>
            <w:lang w:val="en-US"/>
          </w:rPr>
          <w:tab/>
          <w:t>8</w:t>
        </w:r>
      </w:hyperlink>
    </w:p>
    <w:p w14:paraId="0D14884C" w14:textId="77777777" w:rsidR="009120BA" w:rsidRDefault="009120BA" w:rsidP="009120BA">
      <w:pPr>
        <w:tabs>
          <w:tab w:val="right" w:leader="dot" w:pos="9350"/>
        </w:tabs>
        <w:spacing w:after="100" w:line="276" w:lineRule="auto"/>
        <w:ind w:left="240"/>
      </w:pPr>
      <w:hyperlink r:id="rId10" w:anchor="_Toc232013499" w:history="1">
        <w:r>
          <w:rPr>
            <w:rStyle w:val="Hyperlink"/>
            <w:rFonts w:ascii="Times New Roman" w:hAnsi="Times New Roman"/>
            <w:sz w:val="24"/>
            <w:szCs w:val="24"/>
            <w:lang w:val="en-US"/>
          </w:rPr>
          <w:t>1.3. Research question</w:t>
        </w:r>
        <w:r>
          <w:rPr>
            <w:rStyle w:val="Hyperlink"/>
            <w:rFonts w:ascii="Times New Roman" w:hAnsi="Times New Roman"/>
            <w:color w:val="auto"/>
            <w:sz w:val="24"/>
            <w:szCs w:val="24"/>
            <w:lang w:val="en-US"/>
          </w:rPr>
          <w:tab/>
          <w:t>9</w:t>
        </w:r>
      </w:hyperlink>
    </w:p>
    <w:p w14:paraId="67BD927D" w14:textId="77777777" w:rsidR="009120BA" w:rsidRDefault="009120BA" w:rsidP="009120BA">
      <w:pPr>
        <w:tabs>
          <w:tab w:val="right" w:leader="dot" w:pos="9350"/>
        </w:tabs>
        <w:spacing w:after="100" w:line="276" w:lineRule="auto"/>
        <w:ind w:left="240"/>
      </w:pPr>
      <w:hyperlink r:id="rId11" w:anchor="_Toc232013500" w:history="1">
        <w:r>
          <w:rPr>
            <w:rStyle w:val="Hyperlink"/>
            <w:rFonts w:ascii="Times New Roman" w:hAnsi="Times New Roman"/>
            <w:sz w:val="24"/>
            <w:szCs w:val="24"/>
            <w:lang w:val="en-US"/>
          </w:rPr>
          <w:t>1.4. Research rationale</w:t>
        </w:r>
        <w:r>
          <w:rPr>
            <w:rStyle w:val="Hyperlink"/>
            <w:rFonts w:ascii="Times New Roman" w:hAnsi="Times New Roman"/>
            <w:color w:val="auto"/>
            <w:sz w:val="24"/>
            <w:szCs w:val="24"/>
            <w:lang w:val="en-US"/>
          </w:rPr>
          <w:tab/>
          <w:t>9</w:t>
        </w:r>
      </w:hyperlink>
    </w:p>
    <w:p w14:paraId="6EA9BF2B" w14:textId="77777777" w:rsidR="009120BA" w:rsidRDefault="009120BA" w:rsidP="009120BA">
      <w:pPr>
        <w:tabs>
          <w:tab w:val="right" w:leader="dot" w:pos="9350"/>
        </w:tabs>
        <w:spacing w:after="100" w:line="276" w:lineRule="auto"/>
      </w:pPr>
      <w:hyperlink r:id="rId12" w:anchor="_Toc232013501" w:history="1">
        <w:r>
          <w:rPr>
            <w:rStyle w:val="Hyperlink"/>
            <w:rFonts w:ascii="Times New Roman" w:hAnsi="Times New Roman"/>
            <w:sz w:val="24"/>
            <w:szCs w:val="24"/>
            <w:lang w:val="en-US"/>
          </w:rPr>
          <w:t>CHAPTER TWO</w:t>
        </w:r>
        <w:r>
          <w:rPr>
            <w:rStyle w:val="Hyperlink"/>
            <w:rFonts w:ascii="Times New Roman" w:hAnsi="Times New Roman"/>
            <w:color w:val="auto"/>
            <w:sz w:val="24"/>
            <w:szCs w:val="24"/>
            <w:lang w:val="en-US"/>
          </w:rPr>
          <w:tab/>
          <w:t>12</w:t>
        </w:r>
      </w:hyperlink>
    </w:p>
    <w:p w14:paraId="0117B4D5" w14:textId="77777777" w:rsidR="009120BA" w:rsidRDefault="009120BA" w:rsidP="009120BA">
      <w:pPr>
        <w:tabs>
          <w:tab w:val="right" w:leader="dot" w:pos="9350"/>
        </w:tabs>
        <w:spacing w:after="100" w:line="276" w:lineRule="auto"/>
        <w:ind w:left="240"/>
      </w:pPr>
      <w:hyperlink r:id="rId13" w:anchor="_Toc232013502" w:history="1">
        <w:r>
          <w:rPr>
            <w:rStyle w:val="Hyperlink"/>
            <w:rFonts w:ascii="Times New Roman" w:hAnsi="Times New Roman"/>
            <w:sz w:val="24"/>
            <w:szCs w:val="24"/>
            <w:lang w:val="en-US"/>
          </w:rPr>
          <w:t>2.0.   Literature review</w:t>
        </w:r>
        <w:r>
          <w:rPr>
            <w:rStyle w:val="Hyperlink"/>
            <w:rFonts w:ascii="Times New Roman" w:hAnsi="Times New Roman"/>
            <w:color w:val="auto"/>
            <w:sz w:val="24"/>
            <w:szCs w:val="24"/>
            <w:lang w:val="en-US"/>
          </w:rPr>
          <w:tab/>
          <w:t>12</w:t>
        </w:r>
      </w:hyperlink>
    </w:p>
    <w:p w14:paraId="05810B8D" w14:textId="77777777" w:rsidR="009120BA" w:rsidRDefault="009120BA" w:rsidP="009120BA">
      <w:pPr>
        <w:tabs>
          <w:tab w:val="right" w:leader="dot" w:pos="9350"/>
        </w:tabs>
        <w:spacing w:after="100" w:line="276" w:lineRule="auto"/>
        <w:ind w:left="240"/>
      </w:pPr>
      <w:hyperlink r:id="rId14" w:anchor="_Toc232013503" w:history="1">
        <w:r>
          <w:rPr>
            <w:rStyle w:val="Hyperlink"/>
            <w:rFonts w:ascii="Times New Roman" w:hAnsi="Times New Roman"/>
            <w:sz w:val="24"/>
            <w:szCs w:val="24"/>
            <w:lang w:val="en-US"/>
          </w:rPr>
          <w:t>2.1.  Introduction</w:t>
        </w:r>
        <w:r>
          <w:rPr>
            <w:rStyle w:val="Hyperlink"/>
            <w:rFonts w:ascii="Times New Roman" w:hAnsi="Times New Roman"/>
            <w:color w:val="auto"/>
            <w:sz w:val="24"/>
            <w:szCs w:val="24"/>
            <w:lang w:val="en-US"/>
          </w:rPr>
          <w:tab/>
          <w:t>12</w:t>
        </w:r>
      </w:hyperlink>
    </w:p>
    <w:p w14:paraId="42A4CE3B" w14:textId="77777777" w:rsidR="009120BA" w:rsidRDefault="009120BA" w:rsidP="009120BA">
      <w:pPr>
        <w:tabs>
          <w:tab w:val="right" w:leader="dot" w:pos="9350"/>
        </w:tabs>
        <w:spacing w:after="100" w:line="276" w:lineRule="auto"/>
        <w:ind w:left="240"/>
      </w:pPr>
      <w:hyperlink r:id="rId15" w:anchor="_Toc232013504" w:history="1">
        <w:r>
          <w:rPr>
            <w:rStyle w:val="Hyperlink"/>
            <w:rFonts w:ascii="Times New Roman" w:hAnsi="Times New Roman"/>
            <w:sz w:val="24"/>
            <w:szCs w:val="24"/>
            <w:lang w:val="en-US"/>
          </w:rPr>
          <w:t>2.2. Supply chain risks</w:t>
        </w:r>
        <w:r>
          <w:rPr>
            <w:rStyle w:val="Hyperlink"/>
            <w:rFonts w:ascii="Times New Roman" w:hAnsi="Times New Roman"/>
            <w:color w:val="auto"/>
            <w:sz w:val="24"/>
            <w:szCs w:val="24"/>
            <w:lang w:val="en-US"/>
          </w:rPr>
          <w:tab/>
          <w:t>12</w:t>
        </w:r>
      </w:hyperlink>
    </w:p>
    <w:p w14:paraId="478880A3" w14:textId="77777777" w:rsidR="009120BA" w:rsidRDefault="009120BA" w:rsidP="009120BA">
      <w:pPr>
        <w:tabs>
          <w:tab w:val="right" w:leader="dot" w:pos="9350"/>
        </w:tabs>
        <w:spacing w:after="100" w:line="276" w:lineRule="auto"/>
        <w:ind w:left="240"/>
      </w:pPr>
      <w:hyperlink r:id="rId16" w:anchor="_Toc232013505" w:history="1">
        <w:r>
          <w:rPr>
            <w:rStyle w:val="Hyperlink"/>
            <w:rFonts w:ascii="Times New Roman" w:hAnsi="Times New Roman"/>
            <w:sz w:val="24"/>
            <w:szCs w:val="24"/>
            <w:lang w:val="en-US"/>
          </w:rPr>
          <w:t>2.3.  Geopolitical risks</w:t>
        </w:r>
        <w:r>
          <w:rPr>
            <w:rStyle w:val="Hyperlink"/>
            <w:rFonts w:ascii="Times New Roman" w:hAnsi="Times New Roman"/>
            <w:color w:val="auto"/>
            <w:sz w:val="24"/>
            <w:szCs w:val="24"/>
            <w:lang w:val="en-US"/>
          </w:rPr>
          <w:tab/>
          <w:t>13</w:t>
        </w:r>
      </w:hyperlink>
    </w:p>
    <w:p w14:paraId="5ABBC794" w14:textId="77777777" w:rsidR="009120BA" w:rsidRDefault="009120BA" w:rsidP="009120BA">
      <w:pPr>
        <w:tabs>
          <w:tab w:val="right" w:leader="dot" w:pos="9350"/>
        </w:tabs>
        <w:spacing w:after="100" w:line="276" w:lineRule="auto"/>
        <w:ind w:left="240"/>
      </w:pPr>
      <w:hyperlink r:id="rId17" w:anchor="_Toc232013506" w:history="1">
        <w:r>
          <w:rPr>
            <w:rStyle w:val="Hyperlink"/>
            <w:rFonts w:ascii="Times New Roman" w:hAnsi="Times New Roman"/>
            <w:sz w:val="24"/>
            <w:szCs w:val="24"/>
            <w:lang w:val="en-US"/>
          </w:rPr>
          <w:t>2.3.1. Types of geopolitical risks impacting CRM supply chains</w:t>
        </w:r>
        <w:r>
          <w:rPr>
            <w:rStyle w:val="Hyperlink"/>
            <w:rFonts w:ascii="Times New Roman" w:hAnsi="Times New Roman"/>
            <w:color w:val="auto"/>
            <w:sz w:val="24"/>
            <w:szCs w:val="24"/>
            <w:lang w:val="en-US"/>
          </w:rPr>
          <w:tab/>
          <w:t>14</w:t>
        </w:r>
      </w:hyperlink>
    </w:p>
    <w:p w14:paraId="70E454DA" w14:textId="77777777" w:rsidR="009120BA" w:rsidRDefault="009120BA" w:rsidP="009120BA">
      <w:pPr>
        <w:tabs>
          <w:tab w:val="right" w:leader="dot" w:pos="9350"/>
        </w:tabs>
        <w:spacing w:after="100" w:line="276" w:lineRule="auto"/>
        <w:ind w:left="240"/>
      </w:pPr>
      <w:hyperlink r:id="rId18" w:anchor="_Toc232013507" w:history="1">
        <w:r>
          <w:rPr>
            <w:rStyle w:val="Hyperlink"/>
            <w:rFonts w:ascii="Times New Roman" w:hAnsi="Times New Roman"/>
            <w:sz w:val="24"/>
            <w:szCs w:val="24"/>
            <w:lang w:val="en-US"/>
          </w:rPr>
          <w:t>2.4. Geopolitics and Geo-economics of REE</w:t>
        </w:r>
        <w:r>
          <w:rPr>
            <w:rStyle w:val="Hyperlink"/>
            <w:rFonts w:ascii="Times New Roman" w:hAnsi="Times New Roman"/>
            <w:color w:val="auto"/>
            <w:sz w:val="24"/>
            <w:szCs w:val="24"/>
            <w:lang w:val="en-US"/>
          </w:rPr>
          <w:tab/>
          <w:t>16</w:t>
        </w:r>
      </w:hyperlink>
    </w:p>
    <w:p w14:paraId="0298121B" w14:textId="77777777" w:rsidR="009120BA" w:rsidRDefault="009120BA" w:rsidP="009120BA">
      <w:pPr>
        <w:tabs>
          <w:tab w:val="right" w:leader="dot" w:pos="9350"/>
        </w:tabs>
        <w:spacing w:after="100" w:line="276" w:lineRule="auto"/>
        <w:ind w:left="240"/>
      </w:pPr>
      <w:hyperlink r:id="rId19" w:anchor="_Toc232013508" w:history="1">
        <w:r>
          <w:rPr>
            <w:rStyle w:val="Hyperlink"/>
            <w:rFonts w:ascii="Times New Roman" w:hAnsi="Times New Roman"/>
            <w:sz w:val="24"/>
            <w:szCs w:val="24"/>
            <w:lang w:val="en-US"/>
          </w:rPr>
          <w:t>2.5.  Leadership behaviors for decision-making in crisis management teams</w:t>
        </w:r>
        <w:r>
          <w:rPr>
            <w:rStyle w:val="Hyperlink"/>
            <w:rFonts w:ascii="Times New Roman" w:hAnsi="Times New Roman"/>
            <w:color w:val="auto"/>
            <w:sz w:val="24"/>
            <w:szCs w:val="24"/>
            <w:lang w:val="en-US"/>
          </w:rPr>
          <w:tab/>
          <w:t>17</w:t>
        </w:r>
      </w:hyperlink>
    </w:p>
    <w:p w14:paraId="1EFB404C" w14:textId="77777777" w:rsidR="009120BA" w:rsidRDefault="009120BA" w:rsidP="009120BA">
      <w:pPr>
        <w:tabs>
          <w:tab w:val="right" w:leader="dot" w:pos="9350"/>
        </w:tabs>
        <w:spacing w:after="100" w:line="276" w:lineRule="auto"/>
        <w:ind w:left="240"/>
      </w:pPr>
      <w:hyperlink r:id="rId20" w:anchor="_Toc232013509" w:history="1">
        <w:r>
          <w:rPr>
            <w:rStyle w:val="Hyperlink"/>
            <w:rFonts w:ascii="Times New Roman" w:hAnsi="Times New Roman"/>
            <w:sz w:val="24"/>
            <w:szCs w:val="24"/>
            <w:lang w:val="en-US"/>
          </w:rPr>
          <w:t>2.6.  Effective Leadership Style in Pursuit of Resilient Supply Chain</w:t>
        </w:r>
        <w:r>
          <w:rPr>
            <w:rStyle w:val="Hyperlink"/>
            <w:rFonts w:ascii="Times New Roman" w:hAnsi="Times New Roman"/>
            <w:color w:val="auto"/>
            <w:sz w:val="24"/>
            <w:szCs w:val="24"/>
            <w:lang w:val="en-US"/>
          </w:rPr>
          <w:tab/>
          <w:t>18</w:t>
        </w:r>
      </w:hyperlink>
    </w:p>
    <w:p w14:paraId="27DE56B7" w14:textId="77777777" w:rsidR="009120BA" w:rsidRDefault="009120BA" w:rsidP="009120BA">
      <w:pPr>
        <w:tabs>
          <w:tab w:val="right" w:leader="dot" w:pos="9350"/>
        </w:tabs>
        <w:spacing w:after="100" w:line="276" w:lineRule="auto"/>
        <w:ind w:left="240"/>
      </w:pPr>
      <w:hyperlink r:id="rId21" w:anchor="_Toc232013510" w:history="1">
        <w:r>
          <w:rPr>
            <w:rStyle w:val="Hyperlink"/>
            <w:rFonts w:ascii="Times New Roman" w:hAnsi="Times New Roman"/>
            <w:sz w:val="24"/>
            <w:szCs w:val="24"/>
            <w:lang w:val="en-US"/>
          </w:rPr>
          <w:t>2.7.  Moderating Role of Leadership Styles in Supply Chain Risk</w:t>
        </w:r>
        <w:r>
          <w:rPr>
            <w:rStyle w:val="Hyperlink"/>
            <w:rFonts w:ascii="Times New Roman" w:hAnsi="Times New Roman"/>
            <w:color w:val="auto"/>
            <w:sz w:val="24"/>
            <w:szCs w:val="24"/>
            <w:lang w:val="en-US"/>
          </w:rPr>
          <w:tab/>
          <w:t>19</w:t>
        </w:r>
      </w:hyperlink>
    </w:p>
    <w:p w14:paraId="17B17051" w14:textId="77777777" w:rsidR="009120BA" w:rsidRDefault="009120BA" w:rsidP="009120BA">
      <w:pPr>
        <w:tabs>
          <w:tab w:val="right" w:leader="dot" w:pos="9350"/>
        </w:tabs>
        <w:spacing w:after="100" w:line="276" w:lineRule="auto"/>
        <w:ind w:left="240"/>
      </w:pPr>
      <w:hyperlink r:id="rId22" w:anchor="_Toc232013511" w:history="1">
        <w:r>
          <w:rPr>
            <w:rStyle w:val="Hyperlink"/>
            <w:rFonts w:ascii="Times New Roman" w:hAnsi="Times New Roman"/>
            <w:sz w:val="24"/>
            <w:szCs w:val="24"/>
            <w:lang w:val="en-US"/>
          </w:rPr>
          <w:t>2.8   Adaptive vs Directive leadership</w:t>
        </w:r>
        <w:r>
          <w:rPr>
            <w:rStyle w:val="Hyperlink"/>
            <w:rFonts w:ascii="Times New Roman" w:hAnsi="Times New Roman"/>
            <w:color w:val="auto"/>
            <w:sz w:val="24"/>
            <w:szCs w:val="24"/>
            <w:lang w:val="en-US"/>
          </w:rPr>
          <w:tab/>
          <w:t>21</w:t>
        </w:r>
      </w:hyperlink>
    </w:p>
    <w:p w14:paraId="0D2E91FF" w14:textId="77777777" w:rsidR="009120BA" w:rsidRDefault="009120BA" w:rsidP="009120BA">
      <w:pPr>
        <w:tabs>
          <w:tab w:val="right" w:leader="dot" w:pos="9350"/>
        </w:tabs>
        <w:spacing w:after="100" w:line="276" w:lineRule="auto"/>
        <w:ind w:left="240"/>
      </w:pPr>
      <w:hyperlink r:id="rId23" w:anchor="_Toc232013512" w:history="1">
        <w:r>
          <w:rPr>
            <w:rStyle w:val="Hyperlink"/>
            <w:rFonts w:ascii="Times New Roman" w:hAnsi="Times New Roman"/>
            <w:sz w:val="24"/>
            <w:szCs w:val="24"/>
            <w:lang w:val="en-US"/>
          </w:rPr>
          <w:t>2.9. Theoretical framework</w:t>
        </w:r>
        <w:r>
          <w:rPr>
            <w:rStyle w:val="Hyperlink"/>
            <w:rFonts w:ascii="Times New Roman" w:hAnsi="Times New Roman"/>
            <w:color w:val="auto"/>
            <w:sz w:val="24"/>
            <w:szCs w:val="24"/>
            <w:lang w:val="en-US"/>
          </w:rPr>
          <w:tab/>
          <w:t>23</w:t>
        </w:r>
      </w:hyperlink>
    </w:p>
    <w:p w14:paraId="4EA38A73" w14:textId="77777777" w:rsidR="009120BA" w:rsidRDefault="009120BA" w:rsidP="009120BA">
      <w:pPr>
        <w:tabs>
          <w:tab w:val="right" w:leader="dot" w:pos="9350"/>
        </w:tabs>
        <w:spacing w:after="100" w:line="276" w:lineRule="auto"/>
        <w:ind w:left="240"/>
      </w:pPr>
      <w:hyperlink r:id="rId24" w:anchor="_Toc232013513" w:history="1">
        <w:r>
          <w:rPr>
            <w:rStyle w:val="Hyperlink"/>
            <w:rFonts w:ascii="Times New Roman" w:hAnsi="Times New Roman"/>
            <w:sz w:val="24"/>
            <w:szCs w:val="24"/>
            <w:lang w:val="en-US"/>
          </w:rPr>
          <w:t>2.9.1. Dynamic Capabilities Theory (DCT)</w:t>
        </w:r>
        <w:r>
          <w:rPr>
            <w:rStyle w:val="Hyperlink"/>
            <w:rFonts w:ascii="Times New Roman" w:hAnsi="Times New Roman"/>
            <w:color w:val="auto"/>
            <w:sz w:val="24"/>
            <w:szCs w:val="24"/>
            <w:lang w:val="en-US"/>
          </w:rPr>
          <w:tab/>
          <w:t>23</w:t>
        </w:r>
      </w:hyperlink>
    </w:p>
    <w:p w14:paraId="73033B0F" w14:textId="77777777" w:rsidR="009120BA" w:rsidRDefault="009120BA" w:rsidP="009120BA">
      <w:pPr>
        <w:tabs>
          <w:tab w:val="right" w:leader="dot" w:pos="9350"/>
        </w:tabs>
        <w:spacing w:after="100" w:line="276" w:lineRule="auto"/>
        <w:ind w:left="240"/>
      </w:pPr>
      <w:hyperlink r:id="rId25" w:anchor="_Toc232013514" w:history="1">
        <w:r>
          <w:rPr>
            <w:rStyle w:val="Hyperlink"/>
            <w:rFonts w:ascii="Times New Roman" w:hAnsi="Times New Roman"/>
            <w:sz w:val="24"/>
            <w:szCs w:val="24"/>
            <w:lang w:val="en-US"/>
          </w:rPr>
          <w:t>2.9.2. Resource Dependence Theory (RDT)</w:t>
        </w:r>
        <w:r>
          <w:rPr>
            <w:rStyle w:val="Hyperlink"/>
            <w:rFonts w:ascii="Times New Roman" w:hAnsi="Times New Roman"/>
            <w:color w:val="auto"/>
            <w:sz w:val="24"/>
            <w:szCs w:val="24"/>
            <w:lang w:val="en-US"/>
          </w:rPr>
          <w:tab/>
          <w:t>24</w:t>
        </w:r>
      </w:hyperlink>
    </w:p>
    <w:p w14:paraId="5DFDB41F" w14:textId="77777777" w:rsidR="009120BA" w:rsidRDefault="009120BA" w:rsidP="009120BA">
      <w:pPr>
        <w:tabs>
          <w:tab w:val="right" w:leader="dot" w:pos="9350"/>
        </w:tabs>
        <w:spacing w:after="100" w:line="276" w:lineRule="auto"/>
        <w:ind w:left="240"/>
      </w:pPr>
      <w:hyperlink r:id="rId26" w:anchor="_Toc232013515" w:history="1">
        <w:r>
          <w:rPr>
            <w:rStyle w:val="Hyperlink"/>
            <w:rFonts w:ascii="Times New Roman" w:hAnsi="Times New Roman"/>
            <w:sz w:val="24"/>
            <w:szCs w:val="24"/>
            <w:lang w:val="en-US"/>
          </w:rPr>
          <w:t>2.10.  Empirical review</w:t>
        </w:r>
        <w:r>
          <w:rPr>
            <w:rStyle w:val="Hyperlink"/>
            <w:rFonts w:ascii="Times New Roman" w:hAnsi="Times New Roman"/>
            <w:color w:val="auto"/>
            <w:sz w:val="24"/>
            <w:szCs w:val="24"/>
            <w:lang w:val="en-US"/>
          </w:rPr>
          <w:tab/>
          <w:t>24</w:t>
        </w:r>
      </w:hyperlink>
    </w:p>
    <w:p w14:paraId="68F3E4E6" w14:textId="77777777" w:rsidR="009120BA" w:rsidRDefault="009120BA" w:rsidP="009120BA">
      <w:pPr>
        <w:tabs>
          <w:tab w:val="right" w:leader="dot" w:pos="9350"/>
        </w:tabs>
        <w:spacing w:after="100" w:line="276" w:lineRule="auto"/>
      </w:pPr>
      <w:hyperlink r:id="rId27" w:anchor="_Toc232013516" w:history="1">
        <w:r>
          <w:rPr>
            <w:rStyle w:val="Hyperlink"/>
            <w:rFonts w:ascii="Times New Roman" w:hAnsi="Times New Roman"/>
            <w:sz w:val="24"/>
            <w:szCs w:val="24"/>
            <w:lang w:val="en-US"/>
          </w:rPr>
          <w:t>CHAPTER THREE</w:t>
        </w:r>
        <w:r>
          <w:rPr>
            <w:rStyle w:val="Hyperlink"/>
            <w:rFonts w:ascii="Times New Roman" w:hAnsi="Times New Roman"/>
            <w:color w:val="auto"/>
            <w:sz w:val="24"/>
            <w:szCs w:val="24"/>
            <w:lang w:val="en-US"/>
          </w:rPr>
          <w:tab/>
          <w:t>33</w:t>
        </w:r>
      </w:hyperlink>
    </w:p>
    <w:p w14:paraId="6FA12B03" w14:textId="77777777" w:rsidR="009120BA" w:rsidRDefault="009120BA" w:rsidP="009120BA">
      <w:pPr>
        <w:tabs>
          <w:tab w:val="right" w:leader="dot" w:pos="9350"/>
        </w:tabs>
        <w:spacing w:after="100" w:line="276" w:lineRule="auto"/>
        <w:ind w:left="240"/>
      </w:pPr>
      <w:hyperlink r:id="rId28" w:anchor="_Toc232013517" w:history="1">
        <w:r>
          <w:rPr>
            <w:rStyle w:val="Hyperlink"/>
            <w:rFonts w:ascii="Times New Roman" w:hAnsi="Times New Roman"/>
            <w:sz w:val="24"/>
            <w:szCs w:val="24"/>
            <w:lang w:val="en-US"/>
          </w:rPr>
          <w:t>3.0 Methodology</w:t>
        </w:r>
        <w:r>
          <w:rPr>
            <w:rStyle w:val="Hyperlink"/>
            <w:rFonts w:ascii="Times New Roman" w:hAnsi="Times New Roman"/>
            <w:color w:val="auto"/>
            <w:sz w:val="24"/>
            <w:szCs w:val="24"/>
            <w:lang w:val="en-US"/>
          </w:rPr>
          <w:tab/>
          <w:t>33</w:t>
        </w:r>
      </w:hyperlink>
    </w:p>
    <w:p w14:paraId="14FBFBAB" w14:textId="77777777" w:rsidR="009120BA" w:rsidRDefault="009120BA" w:rsidP="009120BA">
      <w:pPr>
        <w:tabs>
          <w:tab w:val="right" w:leader="dot" w:pos="9350"/>
        </w:tabs>
        <w:spacing w:after="100" w:line="276" w:lineRule="auto"/>
        <w:ind w:left="240"/>
      </w:pPr>
      <w:hyperlink r:id="rId29" w:anchor="_Toc232013518" w:history="1">
        <w:r>
          <w:rPr>
            <w:rStyle w:val="Hyperlink"/>
            <w:rFonts w:ascii="Times New Roman" w:hAnsi="Times New Roman"/>
            <w:sz w:val="24"/>
            <w:szCs w:val="24"/>
            <w:lang w:val="en-US"/>
          </w:rPr>
          <w:t>3.1 Introduction</w:t>
        </w:r>
        <w:r>
          <w:rPr>
            <w:rStyle w:val="Hyperlink"/>
            <w:rFonts w:ascii="Times New Roman" w:hAnsi="Times New Roman"/>
            <w:color w:val="auto"/>
            <w:sz w:val="24"/>
            <w:szCs w:val="24"/>
            <w:lang w:val="en-US"/>
          </w:rPr>
          <w:tab/>
          <w:t>33</w:t>
        </w:r>
      </w:hyperlink>
    </w:p>
    <w:p w14:paraId="21F2800D" w14:textId="77777777" w:rsidR="009120BA" w:rsidRDefault="009120BA" w:rsidP="009120BA">
      <w:pPr>
        <w:tabs>
          <w:tab w:val="right" w:leader="dot" w:pos="9350"/>
        </w:tabs>
        <w:spacing w:after="100" w:line="276" w:lineRule="auto"/>
        <w:ind w:left="240"/>
      </w:pPr>
      <w:hyperlink r:id="rId30" w:anchor="_Toc232013519" w:history="1">
        <w:r>
          <w:rPr>
            <w:rStyle w:val="Hyperlink"/>
            <w:rFonts w:ascii="Times New Roman" w:hAnsi="Times New Roman"/>
            <w:sz w:val="24"/>
            <w:szCs w:val="24"/>
            <w:lang w:val="en-US"/>
          </w:rPr>
          <w:t>3.2. Research Philosophy</w:t>
        </w:r>
        <w:r>
          <w:rPr>
            <w:rStyle w:val="Hyperlink"/>
            <w:rFonts w:ascii="Times New Roman" w:hAnsi="Times New Roman"/>
            <w:color w:val="auto"/>
            <w:sz w:val="24"/>
            <w:szCs w:val="24"/>
            <w:lang w:val="en-US"/>
          </w:rPr>
          <w:tab/>
          <w:t>33</w:t>
        </w:r>
      </w:hyperlink>
    </w:p>
    <w:p w14:paraId="6F273DA6" w14:textId="77777777" w:rsidR="009120BA" w:rsidRDefault="009120BA" w:rsidP="009120BA">
      <w:pPr>
        <w:tabs>
          <w:tab w:val="right" w:leader="dot" w:pos="9350"/>
        </w:tabs>
        <w:spacing w:after="100" w:line="276" w:lineRule="auto"/>
        <w:ind w:left="240"/>
      </w:pPr>
      <w:hyperlink r:id="rId31" w:anchor="_Toc232013520" w:history="1">
        <w:r>
          <w:rPr>
            <w:rStyle w:val="Hyperlink"/>
            <w:rFonts w:ascii="Times New Roman" w:hAnsi="Times New Roman"/>
            <w:sz w:val="24"/>
            <w:szCs w:val="24"/>
            <w:lang w:val="en-US"/>
          </w:rPr>
          <w:t>3.3. Research Approach</w:t>
        </w:r>
        <w:r>
          <w:rPr>
            <w:rStyle w:val="Hyperlink"/>
            <w:rFonts w:ascii="Times New Roman" w:hAnsi="Times New Roman"/>
            <w:color w:val="auto"/>
            <w:sz w:val="24"/>
            <w:szCs w:val="24"/>
            <w:lang w:val="en-US"/>
          </w:rPr>
          <w:tab/>
          <w:t>34</w:t>
        </w:r>
      </w:hyperlink>
    </w:p>
    <w:p w14:paraId="4F74FBB8" w14:textId="77777777" w:rsidR="009120BA" w:rsidRDefault="009120BA" w:rsidP="009120BA">
      <w:pPr>
        <w:tabs>
          <w:tab w:val="right" w:leader="dot" w:pos="9350"/>
        </w:tabs>
        <w:spacing w:after="100" w:line="276" w:lineRule="auto"/>
        <w:ind w:left="240"/>
      </w:pPr>
      <w:hyperlink r:id="rId32" w:anchor="_Toc232013521" w:history="1">
        <w:r>
          <w:rPr>
            <w:rStyle w:val="Hyperlink"/>
            <w:rFonts w:ascii="Times New Roman" w:hAnsi="Times New Roman"/>
            <w:sz w:val="24"/>
            <w:szCs w:val="24"/>
            <w:lang w:val="en-US"/>
          </w:rPr>
          <w:t>3.4. Research Strategy</w:t>
        </w:r>
        <w:r>
          <w:rPr>
            <w:rStyle w:val="Hyperlink"/>
            <w:rFonts w:ascii="Times New Roman" w:hAnsi="Times New Roman"/>
            <w:color w:val="auto"/>
            <w:sz w:val="24"/>
            <w:szCs w:val="24"/>
            <w:lang w:val="en-US"/>
          </w:rPr>
          <w:tab/>
          <w:t>35</w:t>
        </w:r>
      </w:hyperlink>
    </w:p>
    <w:p w14:paraId="55E9A9C5" w14:textId="77777777" w:rsidR="009120BA" w:rsidRDefault="009120BA" w:rsidP="009120BA">
      <w:pPr>
        <w:tabs>
          <w:tab w:val="right" w:leader="dot" w:pos="9350"/>
        </w:tabs>
        <w:spacing w:after="100" w:line="276" w:lineRule="auto"/>
        <w:ind w:left="240"/>
      </w:pPr>
      <w:hyperlink r:id="rId33" w:anchor="_Toc232013522" w:history="1">
        <w:r>
          <w:rPr>
            <w:rStyle w:val="Hyperlink"/>
            <w:rFonts w:ascii="Times New Roman" w:hAnsi="Times New Roman"/>
            <w:sz w:val="24"/>
            <w:szCs w:val="24"/>
            <w:lang w:val="en-US"/>
          </w:rPr>
          <w:t>3.5. Methodological Choice</w:t>
        </w:r>
        <w:r>
          <w:rPr>
            <w:rStyle w:val="Hyperlink"/>
            <w:rFonts w:ascii="Times New Roman" w:hAnsi="Times New Roman"/>
            <w:color w:val="auto"/>
            <w:sz w:val="24"/>
            <w:szCs w:val="24"/>
            <w:lang w:val="en-US"/>
          </w:rPr>
          <w:tab/>
          <w:t>36</w:t>
        </w:r>
      </w:hyperlink>
    </w:p>
    <w:p w14:paraId="0022C1F0" w14:textId="77777777" w:rsidR="009120BA" w:rsidRDefault="009120BA" w:rsidP="009120BA">
      <w:pPr>
        <w:tabs>
          <w:tab w:val="right" w:leader="dot" w:pos="9350"/>
        </w:tabs>
        <w:spacing w:after="100" w:line="276" w:lineRule="auto"/>
        <w:ind w:left="240"/>
      </w:pPr>
      <w:hyperlink r:id="rId34" w:anchor="_Toc232013523" w:history="1">
        <w:r>
          <w:rPr>
            <w:rStyle w:val="Hyperlink"/>
            <w:rFonts w:ascii="Times New Roman" w:hAnsi="Times New Roman"/>
            <w:sz w:val="24"/>
            <w:szCs w:val="24"/>
            <w:lang w:val="en-US"/>
          </w:rPr>
          <w:t>3.6. Time Horizon</w:t>
        </w:r>
        <w:r>
          <w:rPr>
            <w:rStyle w:val="Hyperlink"/>
            <w:rFonts w:ascii="Times New Roman" w:hAnsi="Times New Roman"/>
            <w:color w:val="auto"/>
            <w:sz w:val="24"/>
            <w:szCs w:val="24"/>
            <w:lang w:val="en-US"/>
          </w:rPr>
          <w:tab/>
          <w:t>37</w:t>
        </w:r>
      </w:hyperlink>
    </w:p>
    <w:p w14:paraId="5076BFB8" w14:textId="77777777" w:rsidR="009120BA" w:rsidRDefault="009120BA" w:rsidP="009120BA">
      <w:pPr>
        <w:tabs>
          <w:tab w:val="right" w:leader="dot" w:pos="9350"/>
        </w:tabs>
        <w:spacing w:after="100" w:line="276" w:lineRule="auto"/>
        <w:ind w:left="240"/>
      </w:pPr>
      <w:hyperlink r:id="rId35" w:anchor="_Toc232013524" w:history="1">
        <w:r>
          <w:rPr>
            <w:rStyle w:val="Hyperlink"/>
            <w:rFonts w:ascii="Times New Roman" w:hAnsi="Times New Roman"/>
            <w:sz w:val="24"/>
            <w:szCs w:val="24"/>
            <w:lang w:val="en-US"/>
          </w:rPr>
          <w:t>3.7. Techniques</w:t>
        </w:r>
        <w:r>
          <w:rPr>
            <w:rStyle w:val="Hyperlink"/>
            <w:rFonts w:ascii="Times New Roman" w:hAnsi="Times New Roman"/>
            <w:color w:val="auto"/>
            <w:sz w:val="24"/>
            <w:szCs w:val="24"/>
            <w:lang w:val="en-US"/>
          </w:rPr>
          <w:tab/>
          <w:t>37</w:t>
        </w:r>
      </w:hyperlink>
    </w:p>
    <w:p w14:paraId="76A5E423" w14:textId="77777777" w:rsidR="009120BA" w:rsidRDefault="009120BA" w:rsidP="009120BA">
      <w:pPr>
        <w:tabs>
          <w:tab w:val="right" w:leader="dot" w:pos="9350"/>
        </w:tabs>
        <w:spacing w:after="100" w:line="276" w:lineRule="auto"/>
        <w:ind w:left="240"/>
      </w:pPr>
      <w:hyperlink r:id="rId36" w:anchor="_Toc232013525" w:history="1">
        <w:r>
          <w:rPr>
            <w:rStyle w:val="Hyperlink"/>
            <w:rFonts w:ascii="Times New Roman" w:hAnsi="Times New Roman"/>
            <w:sz w:val="24"/>
            <w:szCs w:val="24"/>
            <w:lang w:val="en-US"/>
          </w:rPr>
          <w:t>3.7.1. Data Collection Method</w:t>
        </w:r>
        <w:r>
          <w:rPr>
            <w:rStyle w:val="Hyperlink"/>
            <w:rFonts w:ascii="Times New Roman" w:hAnsi="Times New Roman"/>
            <w:color w:val="auto"/>
            <w:sz w:val="24"/>
            <w:szCs w:val="24"/>
            <w:lang w:val="en-US"/>
          </w:rPr>
          <w:tab/>
          <w:t>37</w:t>
        </w:r>
      </w:hyperlink>
    </w:p>
    <w:p w14:paraId="552E0953" w14:textId="77777777" w:rsidR="009120BA" w:rsidRDefault="009120BA" w:rsidP="009120BA">
      <w:pPr>
        <w:tabs>
          <w:tab w:val="right" w:leader="dot" w:pos="9350"/>
        </w:tabs>
        <w:spacing w:after="100" w:line="276" w:lineRule="auto"/>
        <w:ind w:left="240"/>
      </w:pPr>
      <w:hyperlink r:id="rId37" w:anchor="_Toc232013526" w:history="1">
        <w:r>
          <w:rPr>
            <w:rStyle w:val="Hyperlink"/>
            <w:rFonts w:ascii="Times New Roman" w:hAnsi="Times New Roman"/>
            <w:sz w:val="24"/>
            <w:szCs w:val="24"/>
            <w:lang w:val="en-US"/>
          </w:rPr>
          <w:t>3.7.2. Targeted population</w:t>
        </w:r>
        <w:r>
          <w:rPr>
            <w:rStyle w:val="Hyperlink"/>
            <w:rFonts w:ascii="Times New Roman" w:hAnsi="Times New Roman"/>
            <w:color w:val="auto"/>
            <w:sz w:val="24"/>
            <w:szCs w:val="24"/>
            <w:lang w:val="en-US"/>
          </w:rPr>
          <w:tab/>
          <w:t>38</w:t>
        </w:r>
      </w:hyperlink>
    </w:p>
    <w:p w14:paraId="6228A3AB" w14:textId="77777777" w:rsidR="009120BA" w:rsidRDefault="009120BA" w:rsidP="009120BA">
      <w:pPr>
        <w:tabs>
          <w:tab w:val="right" w:leader="dot" w:pos="9350"/>
        </w:tabs>
        <w:spacing w:after="100" w:line="276" w:lineRule="auto"/>
        <w:ind w:left="240"/>
      </w:pPr>
      <w:hyperlink r:id="rId38" w:anchor="_Toc232013527" w:history="1">
        <w:r>
          <w:rPr>
            <w:rStyle w:val="Hyperlink"/>
            <w:rFonts w:ascii="Times New Roman" w:hAnsi="Times New Roman"/>
            <w:sz w:val="24"/>
            <w:szCs w:val="24"/>
            <w:lang w:val="en-US"/>
          </w:rPr>
          <w:t>3.7.3. Sampling Technique</w:t>
        </w:r>
        <w:r>
          <w:rPr>
            <w:rStyle w:val="Hyperlink"/>
            <w:rFonts w:ascii="Times New Roman" w:hAnsi="Times New Roman"/>
            <w:color w:val="auto"/>
            <w:sz w:val="24"/>
            <w:szCs w:val="24"/>
            <w:lang w:val="en-US"/>
          </w:rPr>
          <w:tab/>
          <w:t>39</w:t>
        </w:r>
      </w:hyperlink>
    </w:p>
    <w:p w14:paraId="4C1BD440" w14:textId="77777777" w:rsidR="009120BA" w:rsidRDefault="009120BA" w:rsidP="009120BA">
      <w:pPr>
        <w:tabs>
          <w:tab w:val="right" w:leader="dot" w:pos="9350"/>
        </w:tabs>
        <w:spacing w:after="100" w:line="276" w:lineRule="auto"/>
        <w:ind w:left="240"/>
      </w:pPr>
      <w:hyperlink r:id="rId39" w:anchor="_Toc232013528" w:history="1">
        <w:r>
          <w:rPr>
            <w:rStyle w:val="Hyperlink"/>
            <w:rFonts w:ascii="Times New Roman" w:hAnsi="Times New Roman"/>
            <w:sz w:val="24"/>
            <w:szCs w:val="24"/>
            <w:lang w:val="en-US"/>
          </w:rPr>
          <w:t>3.7.4. Research Instrument Design</w:t>
        </w:r>
        <w:r>
          <w:rPr>
            <w:rStyle w:val="Hyperlink"/>
            <w:rFonts w:ascii="Times New Roman" w:hAnsi="Times New Roman"/>
            <w:color w:val="auto"/>
            <w:sz w:val="24"/>
            <w:szCs w:val="24"/>
            <w:lang w:val="en-US"/>
          </w:rPr>
          <w:tab/>
          <w:t>39</w:t>
        </w:r>
      </w:hyperlink>
    </w:p>
    <w:p w14:paraId="62AA8220" w14:textId="77777777" w:rsidR="009120BA" w:rsidRDefault="009120BA" w:rsidP="009120BA">
      <w:pPr>
        <w:tabs>
          <w:tab w:val="right" w:leader="dot" w:pos="9350"/>
        </w:tabs>
        <w:spacing w:after="100" w:line="276" w:lineRule="auto"/>
        <w:ind w:left="240"/>
      </w:pPr>
      <w:hyperlink r:id="rId40" w:anchor="_Toc232013529" w:history="1">
        <w:r>
          <w:rPr>
            <w:rStyle w:val="Hyperlink"/>
            <w:rFonts w:ascii="Times New Roman" w:hAnsi="Times New Roman"/>
            <w:sz w:val="24"/>
            <w:szCs w:val="24"/>
            <w:lang w:val="en-US"/>
          </w:rPr>
          <w:t>3.8.  Data Analysis</w:t>
        </w:r>
        <w:r>
          <w:rPr>
            <w:rStyle w:val="Hyperlink"/>
            <w:rFonts w:ascii="Times New Roman" w:hAnsi="Times New Roman"/>
            <w:color w:val="auto"/>
            <w:sz w:val="24"/>
            <w:szCs w:val="24"/>
            <w:lang w:val="en-US"/>
          </w:rPr>
          <w:tab/>
          <w:t>40</w:t>
        </w:r>
      </w:hyperlink>
    </w:p>
    <w:p w14:paraId="424EEE86" w14:textId="77777777" w:rsidR="009120BA" w:rsidRDefault="009120BA" w:rsidP="009120BA">
      <w:pPr>
        <w:tabs>
          <w:tab w:val="right" w:leader="dot" w:pos="9350"/>
        </w:tabs>
        <w:spacing w:after="100" w:line="276" w:lineRule="auto"/>
      </w:pPr>
      <w:hyperlink r:id="rId41" w:anchor="_Toc232013530" w:history="1">
        <w:r>
          <w:rPr>
            <w:rStyle w:val="Hyperlink"/>
            <w:rFonts w:ascii="Times New Roman" w:hAnsi="Times New Roman"/>
            <w:sz w:val="24"/>
            <w:szCs w:val="24"/>
            <w:lang w:val="en-US"/>
          </w:rPr>
          <w:t>CHAPTER FOUR</w:t>
        </w:r>
        <w:r>
          <w:rPr>
            <w:rStyle w:val="Hyperlink"/>
            <w:rFonts w:ascii="Times New Roman" w:hAnsi="Times New Roman"/>
            <w:color w:val="auto"/>
            <w:sz w:val="24"/>
            <w:szCs w:val="24"/>
            <w:lang w:val="en-US"/>
          </w:rPr>
          <w:tab/>
          <w:t>42</w:t>
        </w:r>
      </w:hyperlink>
    </w:p>
    <w:p w14:paraId="69216FE8" w14:textId="77777777" w:rsidR="009120BA" w:rsidRDefault="009120BA" w:rsidP="009120BA">
      <w:pPr>
        <w:tabs>
          <w:tab w:val="right" w:leader="dot" w:pos="9350"/>
        </w:tabs>
        <w:spacing w:after="100" w:line="276" w:lineRule="auto"/>
        <w:ind w:left="240"/>
      </w:pPr>
      <w:hyperlink r:id="rId42" w:anchor="_Toc232013531" w:history="1">
        <w:r>
          <w:rPr>
            <w:rStyle w:val="Hyperlink"/>
            <w:rFonts w:ascii="Times New Roman" w:hAnsi="Times New Roman"/>
            <w:sz w:val="24"/>
            <w:szCs w:val="24"/>
            <w:lang w:val="en-US"/>
          </w:rPr>
          <w:t>RESULTS AND DISCUSSION</w:t>
        </w:r>
        <w:r>
          <w:rPr>
            <w:rStyle w:val="Hyperlink"/>
            <w:rFonts w:ascii="Times New Roman" w:hAnsi="Times New Roman"/>
            <w:color w:val="auto"/>
            <w:sz w:val="24"/>
            <w:szCs w:val="24"/>
            <w:lang w:val="en-US"/>
          </w:rPr>
          <w:tab/>
          <w:t>42</w:t>
        </w:r>
      </w:hyperlink>
    </w:p>
    <w:p w14:paraId="42CF0055" w14:textId="77777777" w:rsidR="009120BA" w:rsidRDefault="009120BA" w:rsidP="009120BA">
      <w:pPr>
        <w:tabs>
          <w:tab w:val="right" w:leader="dot" w:pos="9350"/>
        </w:tabs>
        <w:spacing w:after="100" w:line="276" w:lineRule="auto"/>
        <w:ind w:left="240"/>
      </w:pPr>
      <w:hyperlink r:id="rId43" w:anchor="_Toc232013532" w:history="1">
        <w:r>
          <w:rPr>
            <w:rStyle w:val="Hyperlink"/>
            <w:rFonts w:ascii="Times New Roman" w:hAnsi="Times New Roman"/>
            <w:sz w:val="24"/>
            <w:szCs w:val="24"/>
            <w:lang w:val="en-US"/>
          </w:rPr>
          <w:t>4.0.  Introduction</w:t>
        </w:r>
        <w:r>
          <w:rPr>
            <w:rStyle w:val="Hyperlink"/>
            <w:rFonts w:ascii="Times New Roman" w:hAnsi="Times New Roman"/>
            <w:color w:val="auto"/>
            <w:sz w:val="24"/>
            <w:szCs w:val="24"/>
            <w:lang w:val="en-US"/>
          </w:rPr>
          <w:tab/>
          <w:t>42</w:t>
        </w:r>
      </w:hyperlink>
    </w:p>
    <w:p w14:paraId="1A4C89AF" w14:textId="77777777" w:rsidR="009120BA" w:rsidRDefault="009120BA" w:rsidP="009120BA">
      <w:pPr>
        <w:tabs>
          <w:tab w:val="right" w:leader="dot" w:pos="9350"/>
        </w:tabs>
        <w:spacing w:after="100" w:line="276" w:lineRule="auto"/>
        <w:ind w:left="240"/>
      </w:pPr>
      <w:hyperlink r:id="rId44" w:anchor="_Toc232013533" w:history="1">
        <w:r>
          <w:rPr>
            <w:rStyle w:val="Hyperlink"/>
            <w:rFonts w:ascii="Times New Roman" w:hAnsi="Times New Roman"/>
            <w:sz w:val="24"/>
            <w:szCs w:val="24"/>
            <w:lang w:val="en-US"/>
          </w:rPr>
          <w:t>4.1 Demographic Data of Respondents</w:t>
        </w:r>
        <w:r>
          <w:rPr>
            <w:rStyle w:val="Hyperlink"/>
            <w:rFonts w:ascii="Times New Roman" w:hAnsi="Times New Roman"/>
            <w:color w:val="auto"/>
            <w:sz w:val="24"/>
            <w:szCs w:val="24"/>
            <w:lang w:val="en-US"/>
          </w:rPr>
          <w:tab/>
          <w:t>42</w:t>
        </w:r>
      </w:hyperlink>
    </w:p>
    <w:p w14:paraId="054AB906" w14:textId="77777777" w:rsidR="009120BA" w:rsidRDefault="009120BA" w:rsidP="009120BA">
      <w:pPr>
        <w:tabs>
          <w:tab w:val="right" w:leader="dot" w:pos="9350"/>
        </w:tabs>
        <w:spacing w:after="100" w:line="276" w:lineRule="auto"/>
        <w:ind w:left="240"/>
      </w:pPr>
      <w:hyperlink r:id="rId45" w:anchor="_Toc232013534" w:history="1">
        <w:r>
          <w:rPr>
            <w:rStyle w:val="Hyperlink"/>
            <w:rFonts w:ascii="Times New Roman" w:hAnsi="Times New Roman"/>
            <w:sz w:val="24"/>
            <w:szCs w:val="24"/>
            <w:lang w:val="en-US"/>
          </w:rPr>
          <w:t>4.2 Reliability Test Results</w:t>
        </w:r>
        <w:r>
          <w:rPr>
            <w:rStyle w:val="Hyperlink"/>
            <w:rFonts w:ascii="Times New Roman" w:hAnsi="Times New Roman"/>
            <w:color w:val="auto"/>
            <w:sz w:val="24"/>
            <w:szCs w:val="24"/>
            <w:lang w:val="en-US"/>
          </w:rPr>
          <w:tab/>
          <w:t>46</w:t>
        </w:r>
      </w:hyperlink>
    </w:p>
    <w:p w14:paraId="1EA8C25F" w14:textId="77777777" w:rsidR="009120BA" w:rsidRDefault="009120BA" w:rsidP="009120BA">
      <w:pPr>
        <w:tabs>
          <w:tab w:val="right" w:leader="dot" w:pos="9350"/>
        </w:tabs>
        <w:spacing w:after="100" w:line="276" w:lineRule="auto"/>
        <w:ind w:left="240"/>
      </w:pPr>
      <w:hyperlink r:id="rId46" w:anchor="_Toc232013535" w:history="1">
        <w:r>
          <w:rPr>
            <w:rStyle w:val="Hyperlink"/>
            <w:rFonts w:ascii="Times New Roman" w:hAnsi="Times New Roman"/>
            <w:sz w:val="24"/>
            <w:szCs w:val="24"/>
            <w:lang w:val="en-US"/>
          </w:rPr>
          <w:t>4.3 Preliminary Data Analysis</w:t>
        </w:r>
        <w:r>
          <w:rPr>
            <w:rStyle w:val="Hyperlink"/>
            <w:rFonts w:ascii="Times New Roman" w:hAnsi="Times New Roman"/>
            <w:color w:val="auto"/>
            <w:sz w:val="24"/>
            <w:szCs w:val="24"/>
            <w:lang w:val="en-US"/>
          </w:rPr>
          <w:tab/>
          <w:t>46</w:t>
        </w:r>
      </w:hyperlink>
    </w:p>
    <w:p w14:paraId="4B3569EA" w14:textId="77777777" w:rsidR="009120BA" w:rsidRDefault="009120BA" w:rsidP="009120BA">
      <w:pPr>
        <w:tabs>
          <w:tab w:val="right" w:leader="dot" w:pos="9350"/>
        </w:tabs>
        <w:spacing w:after="100" w:line="276" w:lineRule="auto"/>
        <w:ind w:left="240"/>
      </w:pPr>
      <w:hyperlink r:id="rId47" w:anchor="_Toc232013536" w:history="1">
        <w:r>
          <w:rPr>
            <w:rStyle w:val="Hyperlink"/>
            <w:rFonts w:ascii="Times New Roman" w:hAnsi="Times New Roman"/>
            <w:sz w:val="24"/>
            <w:szCs w:val="24"/>
            <w:lang w:val="en-US"/>
          </w:rPr>
          <w:t>4.3.1 Descriptive Statistics of Constructs</w:t>
        </w:r>
        <w:r>
          <w:rPr>
            <w:rStyle w:val="Hyperlink"/>
            <w:rFonts w:ascii="Times New Roman" w:hAnsi="Times New Roman"/>
            <w:color w:val="auto"/>
            <w:sz w:val="24"/>
            <w:szCs w:val="24"/>
            <w:lang w:val="en-US"/>
          </w:rPr>
          <w:tab/>
          <w:t>47</w:t>
        </w:r>
      </w:hyperlink>
    </w:p>
    <w:p w14:paraId="5B2D00B6" w14:textId="77777777" w:rsidR="009120BA" w:rsidRDefault="009120BA" w:rsidP="009120BA">
      <w:pPr>
        <w:tabs>
          <w:tab w:val="right" w:leader="dot" w:pos="9350"/>
        </w:tabs>
        <w:spacing w:after="100" w:line="276" w:lineRule="auto"/>
        <w:ind w:left="240"/>
      </w:pPr>
      <w:hyperlink r:id="rId48" w:anchor="_Toc232013537" w:history="1">
        <w:r>
          <w:rPr>
            <w:rStyle w:val="Hyperlink"/>
            <w:rFonts w:ascii="Times New Roman" w:hAnsi="Times New Roman"/>
            <w:sz w:val="24"/>
            <w:szCs w:val="24"/>
            <w:lang w:val="en-US"/>
          </w:rPr>
          <w:t>4.3.2 Correlation Analysis</w:t>
        </w:r>
        <w:r>
          <w:rPr>
            <w:rStyle w:val="Hyperlink"/>
            <w:rFonts w:ascii="Times New Roman" w:hAnsi="Times New Roman"/>
            <w:color w:val="auto"/>
            <w:sz w:val="24"/>
            <w:szCs w:val="24"/>
            <w:lang w:val="en-US"/>
          </w:rPr>
          <w:tab/>
          <w:t>49</w:t>
        </w:r>
      </w:hyperlink>
    </w:p>
    <w:p w14:paraId="688123A0" w14:textId="77777777" w:rsidR="009120BA" w:rsidRDefault="009120BA" w:rsidP="009120BA">
      <w:pPr>
        <w:tabs>
          <w:tab w:val="right" w:leader="dot" w:pos="9350"/>
        </w:tabs>
        <w:spacing w:after="100" w:line="276" w:lineRule="auto"/>
        <w:ind w:left="240"/>
      </w:pPr>
      <w:hyperlink r:id="rId49" w:anchor="_Toc232013538" w:history="1">
        <w:r>
          <w:rPr>
            <w:rStyle w:val="Hyperlink"/>
            <w:rFonts w:ascii="Times New Roman" w:hAnsi="Times New Roman"/>
            <w:sz w:val="24"/>
            <w:szCs w:val="24"/>
            <w:lang w:val="en-US"/>
          </w:rPr>
          <w:t>4.3.3 Normality Properties of Series Residuals</w:t>
        </w:r>
        <w:r>
          <w:rPr>
            <w:rStyle w:val="Hyperlink"/>
            <w:rFonts w:ascii="Times New Roman" w:hAnsi="Times New Roman"/>
            <w:color w:val="auto"/>
            <w:sz w:val="24"/>
            <w:szCs w:val="24"/>
            <w:lang w:val="en-US"/>
          </w:rPr>
          <w:tab/>
          <w:t>50</w:t>
        </w:r>
      </w:hyperlink>
    </w:p>
    <w:p w14:paraId="3D40A557" w14:textId="77777777" w:rsidR="009120BA" w:rsidRDefault="009120BA" w:rsidP="009120BA">
      <w:pPr>
        <w:tabs>
          <w:tab w:val="right" w:leader="dot" w:pos="9350"/>
        </w:tabs>
        <w:spacing w:after="100" w:line="276" w:lineRule="auto"/>
        <w:ind w:left="240"/>
      </w:pPr>
      <w:hyperlink r:id="rId50" w:anchor="_Toc232013539" w:history="1">
        <w:r>
          <w:rPr>
            <w:rStyle w:val="Hyperlink"/>
            <w:rFonts w:ascii="Times New Roman" w:hAnsi="Times New Roman"/>
            <w:sz w:val="24"/>
            <w:szCs w:val="24"/>
            <w:lang w:val="en-US"/>
          </w:rPr>
          <w:t>4.4. Effect of geopolitical risk on organisational resilience in REE-dependent organisations.</w:t>
        </w:r>
        <w:r>
          <w:rPr>
            <w:rStyle w:val="Hyperlink"/>
            <w:rFonts w:ascii="Times New Roman" w:hAnsi="Times New Roman"/>
            <w:color w:val="auto"/>
            <w:sz w:val="24"/>
            <w:szCs w:val="24"/>
            <w:lang w:val="en-US"/>
          </w:rPr>
          <w:tab/>
          <w:t>51</w:t>
        </w:r>
      </w:hyperlink>
    </w:p>
    <w:p w14:paraId="7413C9E0" w14:textId="77777777" w:rsidR="009120BA" w:rsidRDefault="009120BA" w:rsidP="009120BA">
      <w:pPr>
        <w:tabs>
          <w:tab w:val="right" w:leader="dot" w:pos="9350"/>
        </w:tabs>
        <w:spacing w:after="100" w:line="276" w:lineRule="auto"/>
        <w:ind w:left="240"/>
      </w:pPr>
      <w:hyperlink r:id="rId51" w:anchor="_Toc232013540" w:history="1">
        <w:r>
          <w:rPr>
            <w:rStyle w:val="Hyperlink"/>
            <w:rFonts w:ascii="Times New Roman" w:hAnsi="Times New Roman"/>
            <w:sz w:val="24"/>
            <w:szCs w:val="24"/>
            <w:lang w:val="en-US"/>
          </w:rPr>
          <w:t>4.5. Effect of geopolitical risk on supply chain performance in REE-dependent organisations.</w:t>
        </w:r>
        <w:r>
          <w:rPr>
            <w:rStyle w:val="Hyperlink"/>
            <w:rFonts w:ascii="Times New Roman" w:hAnsi="Times New Roman"/>
            <w:color w:val="auto"/>
            <w:sz w:val="24"/>
            <w:szCs w:val="24"/>
            <w:lang w:val="en-US"/>
          </w:rPr>
          <w:tab/>
          <w:t>53</w:t>
        </w:r>
      </w:hyperlink>
    </w:p>
    <w:p w14:paraId="36349D52" w14:textId="77777777" w:rsidR="009120BA" w:rsidRDefault="009120BA" w:rsidP="009120BA">
      <w:pPr>
        <w:tabs>
          <w:tab w:val="right" w:leader="dot" w:pos="9350"/>
        </w:tabs>
        <w:spacing w:after="100" w:line="276" w:lineRule="auto"/>
        <w:ind w:left="240"/>
      </w:pPr>
      <w:hyperlink r:id="rId52" w:anchor="_Toc232013541" w:history="1">
        <w:r>
          <w:rPr>
            <w:rStyle w:val="Hyperlink"/>
            <w:rFonts w:ascii="Times New Roman" w:hAnsi="Times New Roman"/>
            <w:sz w:val="24"/>
            <w:szCs w:val="24"/>
            <w:lang w:val="en-US"/>
          </w:rPr>
          <w:t>4.6. Influence of directive leadership on organisational resilience</w:t>
        </w:r>
        <w:r>
          <w:rPr>
            <w:rStyle w:val="Hyperlink"/>
            <w:rFonts w:ascii="Times New Roman" w:hAnsi="Times New Roman"/>
            <w:color w:val="auto"/>
            <w:sz w:val="24"/>
            <w:szCs w:val="24"/>
            <w:lang w:val="en-US"/>
          </w:rPr>
          <w:tab/>
          <w:t>53</w:t>
        </w:r>
      </w:hyperlink>
    </w:p>
    <w:p w14:paraId="1B8431E0" w14:textId="77777777" w:rsidR="009120BA" w:rsidRDefault="009120BA" w:rsidP="009120BA">
      <w:pPr>
        <w:tabs>
          <w:tab w:val="right" w:leader="dot" w:pos="9350"/>
        </w:tabs>
        <w:spacing w:after="100" w:line="276" w:lineRule="auto"/>
        <w:ind w:left="240"/>
      </w:pPr>
      <w:hyperlink r:id="rId53" w:anchor="_Toc232013542" w:history="1">
        <w:r>
          <w:rPr>
            <w:rStyle w:val="Hyperlink"/>
            <w:rFonts w:ascii="Times New Roman" w:hAnsi="Times New Roman"/>
            <w:sz w:val="24"/>
            <w:szCs w:val="24"/>
            <w:lang w:val="en-US"/>
          </w:rPr>
          <w:t>4.7. Influence of adaptive leadership style on organisational resilience.</w:t>
        </w:r>
        <w:r>
          <w:rPr>
            <w:rStyle w:val="Hyperlink"/>
            <w:rFonts w:ascii="Times New Roman" w:hAnsi="Times New Roman"/>
            <w:color w:val="auto"/>
            <w:sz w:val="24"/>
            <w:szCs w:val="24"/>
            <w:lang w:val="en-US"/>
          </w:rPr>
          <w:tab/>
          <w:t>54</w:t>
        </w:r>
      </w:hyperlink>
    </w:p>
    <w:p w14:paraId="397A251C" w14:textId="77777777" w:rsidR="009120BA" w:rsidRDefault="009120BA" w:rsidP="009120BA">
      <w:pPr>
        <w:tabs>
          <w:tab w:val="right" w:leader="dot" w:pos="9350"/>
        </w:tabs>
        <w:spacing w:after="100" w:line="276" w:lineRule="auto"/>
        <w:ind w:left="240"/>
      </w:pPr>
      <w:hyperlink r:id="rId54" w:anchor="_Toc232013543" w:history="1">
        <w:r>
          <w:rPr>
            <w:rStyle w:val="Hyperlink"/>
            <w:rFonts w:ascii="Times New Roman" w:hAnsi="Times New Roman"/>
            <w:sz w:val="24"/>
            <w:szCs w:val="24"/>
            <w:lang w:val="en-US"/>
          </w:rPr>
          <w:t>4.8. Effect of organisational resilience on supply chain performance.</w:t>
        </w:r>
        <w:r>
          <w:rPr>
            <w:rStyle w:val="Hyperlink"/>
            <w:rFonts w:ascii="Times New Roman" w:hAnsi="Times New Roman"/>
            <w:color w:val="auto"/>
            <w:sz w:val="24"/>
            <w:szCs w:val="24"/>
            <w:lang w:val="en-US"/>
          </w:rPr>
          <w:tab/>
          <w:t>55</w:t>
        </w:r>
      </w:hyperlink>
    </w:p>
    <w:p w14:paraId="1DEE68A2" w14:textId="77777777" w:rsidR="009120BA" w:rsidRDefault="009120BA" w:rsidP="009120BA">
      <w:pPr>
        <w:tabs>
          <w:tab w:val="right" w:leader="dot" w:pos="9350"/>
        </w:tabs>
        <w:spacing w:after="100" w:line="276" w:lineRule="auto"/>
        <w:ind w:left="240"/>
      </w:pPr>
      <w:hyperlink r:id="rId55" w:anchor="_Toc232013544" w:history="1">
        <w:r>
          <w:rPr>
            <w:rStyle w:val="Hyperlink"/>
            <w:rFonts w:ascii="Times New Roman" w:hAnsi="Times New Roman"/>
            <w:sz w:val="24"/>
            <w:szCs w:val="24"/>
            <w:lang w:val="en-US"/>
          </w:rPr>
          <w:t>4.9. Combined influence of geopolitical risk and leadership styles on organisational resilience.</w:t>
        </w:r>
        <w:r>
          <w:rPr>
            <w:rStyle w:val="Hyperlink"/>
            <w:rFonts w:ascii="Times New Roman" w:hAnsi="Times New Roman"/>
            <w:color w:val="auto"/>
            <w:sz w:val="24"/>
            <w:szCs w:val="24"/>
            <w:lang w:val="en-US"/>
          </w:rPr>
          <w:tab/>
          <w:t>56</w:t>
        </w:r>
      </w:hyperlink>
    </w:p>
    <w:p w14:paraId="5E30D0F0" w14:textId="77777777" w:rsidR="009120BA" w:rsidRDefault="009120BA" w:rsidP="009120BA">
      <w:pPr>
        <w:tabs>
          <w:tab w:val="right" w:leader="dot" w:pos="9350"/>
        </w:tabs>
        <w:spacing w:after="100" w:line="276" w:lineRule="auto"/>
        <w:ind w:left="240"/>
      </w:pPr>
      <w:hyperlink r:id="rId56" w:anchor="_Toc232013545" w:history="1">
        <w:r>
          <w:rPr>
            <w:rStyle w:val="Hyperlink"/>
            <w:rFonts w:ascii="Times New Roman" w:hAnsi="Times New Roman"/>
            <w:sz w:val="24"/>
            <w:szCs w:val="24"/>
            <w:lang w:val="en-US"/>
          </w:rPr>
          <w:t>4.10. Mediation effect of organisational resilience on the relationship between leadership styles and supply chain performance.</w:t>
        </w:r>
        <w:r>
          <w:rPr>
            <w:rStyle w:val="Hyperlink"/>
            <w:rFonts w:ascii="Times New Roman" w:hAnsi="Times New Roman"/>
            <w:color w:val="auto"/>
            <w:sz w:val="24"/>
            <w:szCs w:val="24"/>
            <w:lang w:val="en-US"/>
          </w:rPr>
          <w:tab/>
          <w:t>57</w:t>
        </w:r>
      </w:hyperlink>
    </w:p>
    <w:p w14:paraId="11CC68F9" w14:textId="77777777" w:rsidR="009120BA" w:rsidRDefault="009120BA" w:rsidP="009120BA">
      <w:pPr>
        <w:tabs>
          <w:tab w:val="right" w:leader="dot" w:pos="9350"/>
        </w:tabs>
        <w:spacing w:after="100" w:line="276" w:lineRule="auto"/>
        <w:ind w:left="240"/>
      </w:pPr>
      <w:hyperlink r:id="rId57" w:anchor="_Toc232013546" w:history="1">
        <w:r>
          <w:rPr>
            <w:rStyle w:val="Hyperlink"/>
            <w:rFonts w:ascii="Times New Roman" w:hAnsi="Times New Roman"/>
            <w:sz w:val="24"/>
            <w:szCs w:val="24"/>
            <w:lang w:val="en-US"/>
          </w:rPr>
          <w:t>4.11: Discussion of Findings</w:t>
        </w:r>
        <w:r>
          <w:rPr>
            <w:rStyle w:val="Hyperlink"/>
            <w:rFonts w:ascii="Times New Roman" w:hAnsi="Times New Roman"/>
            <w:color w:val="auto"/>
            <w:sz w:val="24"/>
            <w:szCs w:val="24"/>
            <w:lang w:val="en-US"/>
          </w:rPr>
          <w:tab/>
          <w:t>58</w:t>
        </w:r>
      </w:hyperlink>
    </w:p>
    <w:p w14:paraId="69E3CD81" w14:textId="77777777" w:rsidR="009120BA" w:rsidRDefault="009120BA" w:rsidP="009120BA">
      <w:pPr>
        <w:tabs>
          <w:tab w:val="right" w:leader="dot" w:pos="9350"/>
        </w:tabs>
        <w:spacing w:after="100" w:line="276" w:lineRule="auto"/>
      </w:pPr>
      <w:hyperlink r:id="rId58" w:anchor="_Toc232013547" w:history="1">
        <w:r>
          <w:rPr>
            <w:rStyle w:val="Hyperlink"/>
            <w:rFonts w:ascii="Times New Roman" w:hAnsi="Times New Roman"/>
            <w:sz w:val="24"/>
            <w:szCs w:val="24"/>
            <w:lang w:val="en-US"/>
          </w:rPr>
          <w:t>CHAPTER FIVE</w:t>
        </w:r>
        <w:r>
          <w:rPr>
            <w:rStyle w:val="Hyperlink"/>
            <w:rFonts w:ascii="Times New Roman" w:hAnsi="Times New Roman"/>
            <w:color w:val="auto"/>
            <w:sz w:val="24"/>
            <w:szCs w:val="24"/>
            <w:lang w:val="en-US"/>
          </w:rPr>
          <w:tab/>
          <w:t>63</w:t>
        </w:r>
      </w:hyperlink>
    </w:p>
    <w:p w14:paraId="634FBEC7" w14:textId="77777777" w:rsidR="009120BA" w:rsidRDefault="009120BA" w:rsidP="009120BA">
      <w:pPr>
        <w:tabs>
          <w:tab w:val="right" w:leader="dot" w:pos="9350"/>
        </w:tabs>
        <w:spacing w:after="100" w:line="276" w:lineRule="auto"/>
        <w:ind w:left="240"/>
      </w:pPr>
      <w:hyperlink r:id="rId59" w:anchor="_Toc232013548" w:history="1">
        <w:r>
          <w:rPr>
            <w:rStyle w:val="Hyperlink"/>
            <w:rFonts w:ascii="Times New Roman" w:hAnsi="Times New Roman"/>
            <w:sz w:val="24"/>
            <w:szCs w:val="24"/>
            <w:lang w:val="en-US"/>
          </w:rPr>
          <w:t>SUMMARY, CONCLUSION AND RECOMMENDATIONS</w:t>
        </w:r>
        <w:r>
          <w:rPr>
            <w:rStyle w:val="Hyperlink"/>
            <w:rFonts w:ascii="Times New Roman" w:hAnsi="Times New Roman"/>
            <w:color w:val="auto"/>
            <w:sz w:val="24"/>
            <w:szCs w:val="24"/>
            <w:lang w:val="en-US"/>
          </w:rPr>
          <w:tab/>
          <w:t>63</w:t>
        </w:r>
      </w:hyperlink>
    </w:p>
    <w:p w14:paraId="0556CE3C" w14:textId="77777777" w:rsidR="009120BA" w:rsidRDefault="009120BA" w:rsidP="009120BA">
      <w:pPr>
        <w:tabs>
          <w:tab w:val="right" w:leader="dot" w:pos="9350"/>
        </w:tabs>
        <w:spacing w:after="100" w:line="276" w:lineRule="auto"/>
        <w:ind w:left="240"/>
      </w:pPr>
      <w:hyperlink r:id="rId60" w:anchor="_Toc232013549" w:history="1">
        <w:r>
          <w:rPr>
            <w:rStyle w:val="Hyperlink"/>
            <w:rFonts w:ascii="Times New Roman" w:hAnsi="Times New Roman"/>
            <w:sz w:val="24"/>
            <w:szCs w:val="24"/>
            <w:lang w:val="en-US"/>
          </w:rPr>
          <w:t>5.0. Summary of findings</w:t>
        </w:r>
        <w:r>
          <w:rPr>
            <w:rStyle w:val="Hyperlink"/>
            <w:rFonts w:ascii="Times New Roman" w:hAnsi="Times New Roman"/>
            <w:color w:val="auto"/>
            <w:sz w:val="24"/>
            <w:szCs w:val="24"/>
            <w:lang w:val="en-US"/>
          </w:rPr>
          <w:tab/>
          <w:t>63</w:t>
        </w:r>
      </w:hyperlink>
    </w:p>
    <w:p w14:paraId="6E328386" w14:textId="77777777" w:rsidR="009120BA" w:rsidRDefault="009120BA" w:rsidP="009120BA">
      <w:pPr>
        <w:tabs>
          <w:tab w:val="right" w:leader="dot" w:pos="9350"/>
        </w:tabs>
        <w:spacing w:after="100" w:line="276" w:lineRule="auto"/>
        <w:ind w:left="240"/>
      </w:pPr>
      <w:hyperlink r:id="rId61" w:anchor="_Toc232013550" w:history="1">
        <w:r>
          <w:rPr>
            <w:rStyle w:val="Hyperlink"/>
            <w:rFonts w:ascii="Times New Roman" w:hAnsi="Times New Roman"/>
            <w:sz w:val="24"/>
            <w:szCs w:val="24"/>
            <w:lang w:val="en-US"/>
          </w:rPr>
          <w:t>5.1. Conclusion</w:t>
        </w:r>
        <w:r>
          <w:rPr>
            <w:rStyle w:val="Hyperlink"/>
            <w:rFonts w:ascii="Times New Roman" w:hAnsi="Times New Roman"/>
            <w:color w:val="auto"/>
            <w:sz w:val="24"/>
            <w:szCs w:val="24"/>
            <w:lang w:val="en-US"/>
          </w:rPr>
          <w:tab/>
          <w:t>65</w:t>
        </w:r>
      </w:hyperlink>
    </w:p>
    <w:p w14:paraId="2068459A" w14:textId="3EE9E48E" w:rsidR="00171B3D" w:rsidRPr="00BC5F5B" w:rsidRDefault="00FA36DE" w:rsidP="009120BA">
      <w:pPr>
        <w:tabs>
          <w:tab w:val="right" w:leader="dot" w:pos="9350"/>
        </w:tabs>
        <w:spacing w:after="100" w:line="276" w:lineRule="auto"/>
        <w:ind w:left="240"/>
        <w:rPr>
          <w:rFonts w:ascii="Times New Roman" w:hAnsi="Times New Roman"/>
          <w:sz w:val="24"/>
          <w:szCs w:val="24"/>
        </w:rPr>
      </w:pPr>
      <w:r w:rsidRPr="00BC5F5B">
        <w:rPr>
          <w:rFonts w:ascii="Times New Roman" w:hAnsi="Times New Roman"/>
          <w:sz w:val="24"/>
          <w:szCs w:val="24"/>
        </w:rPr>
        <w:t xml:space="preserve">5.2 </w:t>
      </w:r>
      <w:r w:rsidR="00BC5F5B" w:rsidRPr="00BC5F5B">
        <w:rPr>
          <w:rFonts w:ascii="Times New Roman" w:hAnsi="Times New Roman"/>
          <w:sz w:val="24"/>
          <w:szCs w:val="24"/>
        </w:rPr>
        <w:t xml:space="preserve"> </w:t>
      </w:r>
      <w:r w:rsidR="00585E97">
        <w:rPr>
          <w:rFonts w:ascii="Times New Roman" w:hAnsi="Times New Roman"/>
          <w:sz w:val="24"/>
          <w:szCs w:val="24"/>
        </w:rPr>
        <w:t>Directions for future research</w:t>
      </w:r>
    </w:p>
    <w:p w14:paraId="22ECA092" w14:textId="77777777" w:rsidR="009120BA" w:rsidRDefault="009120BA" w:rsidP="009120BA">
      <w:pPr>
        <w:tabs>
          <w:tab w:val="right" w:leader="dot" w:pos="9350"/>
        </w:tabs>
        <w:spacing w:after="100" w:line="276" w:lineRule="auto"/>
        <w:ind w:left="240"/>
      </w:pPr>
      <w:hyperlink r:id="rId62" w:anchor="_Toc232013551" w:history="1">
        <w:r>
          <w:rPr>
            <w:rStyle w:val="Hyperlink"/>
            <w:rFonts w:ascii="Times New Roman" w:hAnsi="Times New Roman"/>
            <w:sz w:val="24"/>
            <w:szCs w:val="24"/>
            <w:lang w:val="en-US"/>
          </w:rPr>
          <w:t>5.2. Recommendations</w:t>
        </w:r>
        <w:r>
          <w:rPr>
            <w:rStyle w:val="Hyperlink"/>
            <w:rFonts w:ascii="Times New Roman" w:hAnsi="Times New Roman"/>
            <w:color w:val="auto"/>
            <w:sz w:val="24"/>
            <w:szCs w:val="24"/>
            <w:lang w:val="en-US"/>
          </w:rPr>
          <w:tab/>
          <w:t>66</w:t>
        </w:r>
      </w:hyperlink>
    </w:p>
    <w:p w14:paraId="6AD8C24D" w14:textId="77777777" w:rsidR="009120BA" w:rsidRDefault="009120BA" w:rsidP="009120BA">
      <w:pPr>
        <w:tabs>
          <w:tab w:val="right" w:leader="dot" w:pos="9350"/>
        </w:tabs>
        <w:spacing w:after="100" w:line="276" w:lineRule="auto"/>
        <w:ind w:left="240"/>
      </w:pPr>
      <w:hyperlink r:id="rId63" w:anchor="_Toc232013552" w:history="1">
        <w:r>
          <w:rPr>
            <w:rStyle w:val="Hyperlink"/>
            <w:rFonts w:ascii="Times New Roman" w:hAnsi="Times New Roman"/>
            <w:sz w:val="24"/>
            <w:szCs w:val="24"/>
            <w:lang w:val="en-US"/>
          </w:rPr>
          <w:t>References</w:t>
        </w:r>
        <w:r>
          <w:rPr>
            <w:rStyle w:val="Hyperlink"/>
            <w:rFonts w:ascii="Times New Roman" w:hAnsi="Times New Roman"/>
            <w:color w:val="auto"/>
            <w:sz w:val="24"/>
            <w:szCs w:val="24"/>
            <w:lang w:val="en-US"/>
          </w:rPr>
          <w:tab/>
          <w:t>67</w:t>
        </w:r>
      </w:hyperlink>
    </w:p>
    <w:p w14:paraId="18A2E5D5" w14:textId="77777777" w:rsidR="009120BA" w:rsidRDefault="009120BA" w:rsidP="009120BA">
      <w:pPr>
        <w:spacing w:line="276" w:lineRule="auto"/>
      </w:pPr>
      <w:r>
        <w:rPr>
          <w:color w:val="0000FF"/>
          <w:u w:val="single" w:color="000000"/>
        </w:rPr>
        <w:fldChar w:fldCharType="end"/>
      </w:r>
      <w:bookmarkStart w:id="0" w:name="_Toc232013495"/>
    </w:p>
    <w:p w14:paraId="3C57D88C" w14:textId="77777777" w:rsidR="009120BA" w:rsidRDefault="009120BA" w:rsidP="009120BA">
      <w:pPr>
        <w:spacing w:line="276" w:lineRule="auto"/>
        <w:rPr>
          <w:color w:val="0000FF"/>
          <w:sz w:val="24"/>
          <w:szCs w:val="24"/>
          <w:u w:val="single"/>
          <w:lang w:val="en-US"/>
        </w:rPr>
      </w:pPr>
    </w:p>
    <w:p w14:paraId="111B473B" w14:textId="77777777" w:rsidR="009120BA" w:rsidRDefault="009120BA" w:rsidP="009120BA">
      <w:pPr>
        <w:spacing w:line="276" w:lineRule="auto"/>
        <w:rPr>
          <w:color w:val="0000FF"/>
          <w:sz w:val="24"/>
          <w:szCs w:val="24"/>
          <w:u w:val="single"/>
          <w:lang w:val="en-US"/>
        </w:rPr>
      </w:pPr>
    </w:p>
    <w:p w14:paraId="4E4602FD" w14:textId="77777777" w:rsidR="009120BA" w:rsidRDefault="009120BA" w:rsidP="009120BA">
      <w:pPr>
        <w:spacing w:line="276" w:lineRule="auto"/>
        <w:rPr>
          <w:color w:val="0000FF"/>
          <w:sz w:val="24"/>
          <w:szCs w:val="24"/>
          <w:u w:val="single"/>
          <w:lang w:val="en-US"/>
        </w:rPr>
      </w:pPr>
    </w:p>
    <w:p w14:paraId="5E886A23" w14:textId="77777777" w:rsidR="009120BA" w:rsidRDefault="009120BA" w:rsidP="009120BA">
      <w:pPr>
        <w:spacing w:line="276" w:lineRule="auto"/>
        <w:rPr>
          <w:sz w:val="24"/>
          <w:szCs w:val="24"/>
          <w:lang w:val="en-US"/>
        </w:rPr>
      </w:pPr>
    </w:p>
    <w:p w14:paraId="325CBA66" w14:textId="77777777" w:rsidR="009120BA" w:rsidRDefault="009120BA" w:rsidP="009120BA">
      <w:pPr>
        <w:spacing w:line="276" w:lineRule="auto"/>
        <w:jc w:val="center"/>
        <w:rPr>
          <w:rFonts w:ascii="Times New Roman" w:hAnsi="Times New Roman"/>
          <w:b/>
          <w:bCs/>
          <w:sz w:val="24"/>
          <w:szCs w:val="24"/>
          <w:lang w:val="en-US"/>
        </w:rPr>
      </w:pPr>
      <w:r>
        <w:rPr>
          <w:rFonts w:ascii="Times New Roman" w:hAnsi="Times New Roman"/>
          <w:b/>
          <w:bCs/>
          <w:sz w:val="24"/>
          <w:szCs w:val="24"/>
          <w:lang w:val="en-US"/>
        </w:rPr>
        <w:t>CHAPTER ON</w:t>
      </w:r>
      <w:bookmarkEnd w:id="0"/>
      <w:r>
        <w:rPr>
          <w:rFonts w:ascii="Times New Roman" w:hAnsi="Times New Roman"/>
          <w:b/>
          <w:bCs/>
          <w:sz w:val="24"/>
          <w:szCs w:val="24"/>
          <w:lang w:val="en-US"/>
        </w:rPr>
        <w:t>E</w:t>
      </w:r>
    </w:p>
    <w:p w14:paraId="2A67B44C" w14:textId="77777777" w:rsidR="009120BA" w:rsidRDefault="009120BA" w:rsidP="009120BA">
      <w:pPr>
        <w:keepNext/>
        <w:keepLines/>
        <w:numPr>
          <w:ilvl w:val="0"/>
          <w:numId w:val="2"/>
        </w:numPr>
        <w:spacing w:before="160" w:after="80" w:line="276" w:lineRule="auto"/>
        <w:rPr>
          <w:rFonts w:ascii="Times New Roman" w:eastAsia="Times New Roman" w:hAnsi="Times New Roman"/>
          <w:b/>
          <w:bCs/>
          <w:sz w:val="24"/>
          <w:szCs w:val="24"/>
          <w:lang w:val="en-US"/>
        </w:rPr>
      </w:pPr>
      <w:bookmarkStart w:id="1" w:name="_Toc232013496"/>
      <w:r>
        <w:rPr>
          <w:rFonts w:ascii="Times New Roman" w:eastAsia="Times New Roman" w:hAnsi="Times New Roman"/>
          <w:b/>
          <w:bCs/>
          <w:sz w:val="24"/>
          <w:szCs w:val="24"/>
          <w:lang w:val="en-US"/>
        </w:rPr>
        <w:t>Introduction</w:t>
      </w:r>
      <w:bookmarkEnd w:id="1"/>
      <w:r>
        <w:rPr>
          <w:rFonts w:ascii="Times New Roman" w:eastAsia="Times New Roman" w:hAnsi="Times New Roman"/>
          <w:b/>
          <w:bCs/>
          <w:sz w:val="24"/>
          <w:szCs w:val="24"/>
          <w:lang w:val="en-US"/>
        </w:rPr>
        <w:t xml:space="preserve"> </w:t>
      </w:r>
    </w:p>
    <w:p w14:paraId="677C87E5" w14:textId="0EC0EACC" w:rsidR="009120BA" w:rsidRDefault="009120BA" w:rsidP="009120BA">
      <w:pPr>
        <w:spacing w:after="0" w:line="360" w:lineRule="auto"/>
        <w:ind w:firstLine="360"/>
        <w:jc w:val="both"/>
      </w:pPr>
      <w:r>
        <w:rPr>
          <w:rFonts w:ascii="Times New Roman" w:hAnsi="Times New Roman"/>
          <w:sz w:val="24"/>
          <w:szCs w:val="24"/>
          <w:lang w:val="en-US"/>
        </w:rPr>
        <w:t xml:space="preserve">The heightened strain among </w:t>
      </w:r>
      <w:r w:rsidR="00E508AB">
        <w:rPr>
          <w:rFonts w:ascii="Times New Roman" w:hAnsi="Times New Roman"/>
          <w:sz w:val="24"/>
          <w:szCs w:val="24"/>
          <w:lang w:val="en-US"/>
        </w:rPr>
        <w:t>di</w:t>
      </w:r>
      <w:r w:rsidR="004D56EE">
        <w:rPr>
          <w:rFonts w:ascii="Times New Roman" w:hAnsi="Times New Roman"/>
          <w:sz w:val="24"/>
          <w:szCs w:val="24"/>
          <w:lang w:val="en-US"/>
        </w:rPr>
        <w:t>verse</w:t>
      </w:r>
      <w:r>
        <w:rPr>
          <w:rFonts w:ascii="Times New Roman" w:hAnsi="Times New Roman"/>
          <w:sz w:val="24"/>
          <w:szCs w:val="24"/>
          <w:lang w:val="en-US"/>
        </w:rPr>
        <w:t xml:space="preserve"> regions, persistent trade conflicts, and the lasting repercussions of the COVID-19 pandemic have </w:t>
      </w:r>
      <w:r w:rsidR="002C683E">
        <w:rPr>
          <w:rFonts w:ascii="Times New Roman" w:hAnsi="Times New Roman"/>
          <w:sz w:val="24"/>
          <w:szCs w:val="24"/>
          <w:lang w:val="en-US"/>
        </w:rPr>
        <w:t xml:space="preserve">ignited </w:t>
      </w:r>
      <w:r>
        <w:rPr>
          <w:rFonts w:ascii="Times New Roman" w:hAnsi="Times New Roman"/>
          <w:sz w:val="24"/>
          <w:szCs w:val="24"/>
          <w:lang w:val="en-US"/>
        </w:rPr>
        <w:t xml:space="preserve">a new </w:t>
      </w:r>
      <w:r w:rsidR="005B0C06">
        <w:rPr>
          <w:rFonts w:ascii="Times New Roman" w:hAnsi="Times New Roman"/>
          <w:sz w:val="24"/>
          <w:szCs w:val="24"/>
          <w:lang w:val="en-US"/>
        </w:rPr>
        <w:t>circle</w:t>
      </w:r>
      <w:r>
        <w:rPr>
          <w:rFonts w:ascii="Times New Roman" w:hAnsi="Times New Roman"/>
          <w:sz w:val="24"/>
          <w:szCs w:val="24"/>
          <w:lang w:val="en-US"/>
        </w:rPr>
        <w:t xml:space="preserve"> of challenges for businesses leaders (</w:t>
      </w:r>
      <w:proofErr w:type="spellStart"/>
      <w:r>
        <w:rPr>
          <w:rFonts w:ascii="Times New Roman" w:hAnsi="Times New Roman"/>
          <w:sz w:val="24"/>
          <w:szCs w:val="24"/>
          <w:lang w:val="en-US"/>
        </w:rPr>
        <w:t>Moradlou</w:t>
      </w:r>
      <w:proofErr w:type="spellEnd"/>
      <w:r>
        <w:rPr>
          <w:rFonts w:ascii="Times New Roman" w:hAnsi="Times New Roman"/>
          <w:sz w:val="24"/>
          <w:szCs w:val="24"/>
          <w:lang w:val="en-US"/>
        </w:rPr>
        <w:t xml:space="preserve"> et al., 2021; </w:t>
      </w:r>
      <w:proofErr w:type="spellStart"/>
      <w:r>
        <w:rPr>
          <w:rFonts w:ascii="Times New Roman" w:hAnsi="Times New Roman"/>
          <w:sz w:val="24"/>
          <w:szCs w:val="24"/>
          <w:lang w:val="en-US"/>
        </w:rPr>
        <w:t>Cevik</w:t>
      </w:r>
      <w:proofErr w:type="spellEnd"/>
      <w:r>
        <w:rPr>
          <w:rFonts w:ascii="Times New Roman" w:hAnsi="Times New Roman"/>
          <w:sz w:val="24"/>
          <w:szCs w:val="24"/>
          <w:lang w:val="en-US"/>
        </w:rPr>
        <w:t xml:space="preserve">, 2025). Trade wars have a significant impact on international relations and economic security and are an important part of the current global economic discourse (Wheatley, 2024). Trade wars are characterized by the imposition of tariffs or quotas between countries, </w:t>
      </w:r>
      <w:proofErr w:type="gramStart"/>
      <w:r>
        <w:rPr>
          <w:rFonts w:ascii="Times New Roman" w:hAnsi="Times New Roman"/>
          <w:sz w:val="24"/>
          <w:szCs w:val="24"/>
          <w:lang w:val="en-US"/>
        </w:rPr>
        <w:t>seeks</w:t>
      </w:r>
      <w:proofErr w:type="gramEnd"/>
      <w:r>
        <w:rPr>
          <w:rFonts w:ascii="Times New Roman" w:hAnsi="Times New Roman"/>
          <w:sz w:val="24"/>
          <w:szCs w:val="24"/>
          <w:lang w:val="en-US"/>
        </w:rPr>
        <w:t xml:space="preserve"> to safeguard domestic industries but frequently leads to retaliatory actions, creating a vicious cycle of economic conflict (Wheatley, 2024). </w:t>
      </w:r>
      <w:proofErr w:type="spellStart"/>
      <w:r>
        <w:rPr>
          <w:rFonts w:ascii="Times New Roman" w:hAnsi="Times New Roman"/>
          <w:sz w:val="24"/>
          <w:szCs w:val="24"/>
          <w:lang w:val="en-US"/>
        </w:rPr>
        <w:t>Hajarath</w:t>
      </w:r>
      <w:proofErr w:type="spellEnd"/>
      <w:r>
        <w:rPr>
          <w:rFonts w:ascii="Times New Roman" w:hAnsi="Times New Roman"/>
          <w:sz w:val="24"/>
          <w:szCs w:val="24"/>
          <w:lang w:val="en-US"/>
        </w:rPr>
        <w:t xml:space="preserve"> and Chaitanya, (2025) noted that trade conflicts are significantly reshaping global supply chain tactics, affecting international trade and operational resilience. This is because global supply chain is a systematically structured and interlinked network that transcends national borders, involving processes from raw material procurement to production, processing, packaging, storage, transportation, and ultimate sales (Li et al., 2023). This complex and efficient supply chain system is susceptible to many interruptions that can compromise its general performance (Ren et al., 2026).</w:t>
      </w:r>
      <w:r>
        <w:rPr>
          <w:rFonts w:ascii="Times New Roman" w:eastAsia="Times New Roman" w:hAnsi="Times New Roman"/>
          <w:kern w:val="0"/>
          <w:sz w:val="24"/>
          <w:szCs w:val="24"/>
          <w:lang w:val="en-US"/>
        </w:rPr>
        <w:t xml:space="preserve"> Su et al. (2025) argue that </w:t>
      </w:r>
      <w:r>
        <w:rPr>
          <w:rFonts w:ascii="Times New Roman" w:hAnsi="Times New Roman"/>
          <w:sz w:val="24"/>
          <w:szCs w:val="24"/>
          <w:lang w:val="en-US"/>
        </w:rPr>
        <w:t xml:space="preserve">global supply chain forces can mitigate or intensify geopolitical risks under </w:t>
      </w:r>
      <w:proofErr w:type="gramStart"/>
      <w:r>
        <w:rPr>
          <w:rFonts w:ascii="Times New Roman" w:hAnsi="Times New Roman"/>
          <w:sz w:val="24"/>
          <w:szCs w:val="24"/>
          <w:lang w:val="en-US"/>
        </w:rPr>
        <w:t>particular economic</w:t>
      </w:r>
      <w:proofErr w:type="gramEnd"/>
      <w:r>
        <w:rPr>
          <w:rFonts w:ascii="Times New Roman" w:hAnsi="Times New Roman"/>
          <w:sz w:val="24"/>
          <w:szCs w:val="24"/>
          <w:lang w:val="en-US"/>
        </w:rPr>
        <w:t xml:space="preserve"> conditions.</w:t>
      </w:r>
    </w:p>
    <w:p w14:paraId="2F76568D" w14:textId="77777777" w:rsidR="009120BA" w:rsidRDefault="009120BA" w:rsidP="009120BA">
      <w:pPr>
        <w:spacing w:after="0" w:line="360" w:lineRule="auto"/>
        <w:ind w:firstLine="360"/>
        <w:jc w:val="both"/>
        <w:rPr>
          <w:rFonts w:ascii="Times New Roman" w:hAnsi="Times New Roman"/>
          <w:sz w:val="24"/>
          <w:szCs w:val="24"/>
          <w:lang w:val="en-US"/>
        </w:rPr>
      </w:pPr>
      <w:r>
        <w:rPr>
          <w:rFonts w:ascii="Times New Roman" w:hAnsi="Times New Roman"/>
          <w:sz w:val="24"/>
          <w:szCs w:val="24"/>
          <w:lang w:val="en-US"/>
        </w:rPr>
        <w:t xml:space="preserve"> Geopolitical risks precipitate supply and demand failures, volatility, and hazards that can interrupt corporate operations, thus compromising supply chain agility (SCA) (Ali et al., 2025; Iftikhar and Vlachos, 2025; Khan and Emon, 2025). Geopolitical risk not only undermines the efficacy of traditional business processes but also questions the fundamental principles of strategic decision-making and leadership (Krishnan, 2025). At present, geopolitics is not fixed; it is an evolving discourse among global actors (</w:t>
      </w:r>
      <w:proofErr w:type="spellStart"/>
      <w:r>
        <w:rPr>
          <w:rFonts w:ascii="Times New Roman" w:hAnsi="Times New Roman"/>
          <w:sz w:val="24"/>
          <w:szCs w:val="24"/>
          <w:lang w:val="en-US"/>
        </w:rPr>
        <w:t>Kunkunrat</w:t>
      </w:r>
      <w:proofErr w:type="spellEnd"/>
      <w:r>
        <w:rPr>
          <w:rFonts w:ascii="Times New Roman" w:hAnsi="Times New Roman"/>
          <w:sz w:val="24"/>
          <w:szCs w:val="24"/>
          <w:lang w:val="en-US"/>
        </w:rPr>
        <w:t xml:space="preserve">, 2021; </w:t>
      </w:r>
      <w:proofErr w:type="spellStart"/>
      <w:r>
        <w:rPr>
          <w:rFonts w:ascii="Times New Roman" w:hAnsi="Times New Roman"/>
          <w:sz w:val="24"/>
          <w:szCs w:val="24"/>
          <w:lang w:val="en-US"/>
        </w:rPr>
        <w:t>Oualaalou</w:t>
      </w:r>
      <w:proofErr w:type="spellEnd"/>
      <w:r>
        <w:rPr>
          <w:rFonts w:ascii="Times New Roman" w:hAnsi="Times New Roman"/>
          <w:sz w:val="24"/>
          <w:szCs w:val="24"/>
          <w:lang w:val="en-US"/>
        </w:rPr>
        <w:t xml:space="preserve">, 2021; </w:t>
      </w:r>
      <w:proofErr w:type="spellStart"/>
      <w:r>
        <w:rPr>
          <w:rFonts w:ascii="Times New Roman" w:hAnsi="Times New Roman"/>
          <w:sz w:val="24"/>
          <w:szCs w:val="24"/>
          <w:lang w:val="en-US"/>
        </w:rPr>
        <w:t>Zirojević</w:t>
      </w:r>
      <w:proofErr w:type="spellEnd"/>
      <w:r>
        <w:rPr>
          <w:rFonts w:ascii="Times New Roman" w:hAnsi="Times New Roman"/>
          <w:sz w:val="24"/>
          <w:szCs w:val="24"/>
          <w:lang w:val="en-US"/>
        </w:rPr>
        <w:t xml:space="preserve">, 2024; Borucka and Kozłowski, 2025). </w:t>
      </w:r>
    </w:p>
    <w:p w14:paraId="69E32A73" w14:textId="208D0374"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The notion of resilience has garnered considerable attention in management and organizational studies, especially as companies face progressively volatile situations. Researchers like Duchek (2020) and Hillmann and Guenther (2021) define resilience as a dynamic quality that allows companies to endure shocks, adjust to changing difficulties, and emerge more robust from crises. This capability-oriented framework is </w:t>
      </w:r>
      <w:r w:rsidR="00CE53EB">
        <w:rPr>
          <w:rFonts w:ascii="Times New Roman" w:hAnsi="Times New Roman"/>
          <w:sz w:val="24"/>
          <w:szCs w:val="24"/>
          <w:lang w:val="en-US"/>
        </w:rPr>
        <w:t>set</w:t>
      </w:r>
      <w:r>
        <w:rPr>
          <w:rFonts w:ascii="Times New Roman" w:hAnsi="Times New Roman"/>
          <w:sz w:val="24"/>
          <w:szCs w:val="24"/>
          <w:lang w:val="en-US"/>
        </w:rPr>
        <w:t xml:space="preserve"> in Teece’s (2007) </w:t>
      </w:r>
      <w:r>
        <w:rPr>
          <w:rFonts w:ascii="Times New Roman" w:hAnsi="Times New Roman"/>
          <w:sz w:val="24"/>
          <w:szCs w:val="24"/>
          <w:lang w:val="en-US"/>
        </w:rPr>
        <w:lastRenderedPageBreak/>
        <w:t xml:space="preserve">dynamic capabilities theory, highlighting sensing, seizing, and reconfiguring as essential components of adaptive performance. </w:t>
      </w:r>
    </w:p>
    <w:p w14:paraId="4AE065B4" w14:textId="4DE04435"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Strategic leadership is pivotal to this discussion. Leaders cultivate resilience by defining a vision, promoting adaptive cultures, and coordinating resources to empower firms to respond proactively to disturbances (</w:t>
      </w:r>
      <w:proofErr w:type="spellStart"/>
      <w:r>
        <w:rPr>
          <w:rFonts w:ascii="Times New Roman" w:hAnsi="Times New Roman"/>
          <w:sz w:val="24"/>
          <w:szCs w:val="24"/>
          <w:lang w:val="en-US"/>
        </w:rPr>
        <w:t>Lengnick</w:t>
      </w:r>
      <w:proofErr w:type="spellEnd"/>
      <w:r>
        <w:rPr>
          <w:rFonts w:ascii="Times New Roman" w:hAnsi="Times New Roman"/>
          <w:sz w:val="24"/>
          <w:szCs w:val="24"/>
          <w:lang w:val="en-US"/>
        </w:rPr>
        <w:t>-Hall et al., 2011; Vera et al., 2020). Literature emphasizes the importance of paradox navigation</w:t>
      </w:r>
      <w:r w:rsidR="00CA33E1">
        <w:rPr>
          <w:rFonts w:ascii="Times New Roman" w:hAnsi="Times New Roman"/>
          <w:sz w:val="24"/>
          <w:szCs w:val="24"/>
          <w:lang w:val="en-US"/>
        </w:rPr>
        <w:t xml:space="preserve">, </w:t>
      </w:r>
      <w:r>
        <w:rPr>
          <w:rFonts w:ascii="Times New Roman" w:hAnsi="Times New Roman"/>
          <w:sz w:val="24"/>
          <w:szCs w:val="24"/>
          <w:lang w:val="en-US"/>
        </w:rPr>
        <w:t xml:space="preserve">reconciling stability with flexibility, efficiency with innovation, and local responsiveness with global integration (Whittington et al., 2017). A notable aspect of resilience arises in reaction to geopolitical tensions. Studies demonstrate that supply chain vulnerability, trade conflicts, sanctions, and evolving alliances have compelled leaders to implement more politically adaptive measures (Ahmed et al., 2018; </w:t>
      </w:r>
      <w:proofErr w:type="spellStart"/>
      <w:r>
        <w:rPr>
          <w:rFonts w:ascii="Times New Roman" w:hAnsi="Times New Roman"/>
          <w:sz w:val="24"/>
          <w:szCs w:val="24"/>
          <w:lang w:val="en-US"/>
        </w:rPr>
        <w:t>Alblooshi</w:t>
      </w:r>
      <w:proofErr w:type="spellEnd"/>
      <w:r>
        <w:rPr>
          <w:rFonts w:ascii="Times New Roman" w:hAnsi="Times New Roman"/>
          <w:sz w:val="24"/>
          <w:szCs w:val="24"/>
          <w:lang w:val="en-US"/>
        </w:rPr>
        <w:t xml:space="preserve"> et al., 2021). Resilience in this field entails supplier diversity, scenario preparation, and fostering diplomatic relationships with stakeholders. There is very little empirical evidence of how organizations can effectively counter geopolitical risks within their supply chains via leadership and management practices. Previous </w:t>
      </w:r>
      <w:proofErr w:type="gramStart"/>
      <w:r>
        <w:rPr>
          <w:rFonts w:ascii="Times New Roman" w:hAnsi="Times New Roman"/>
          <w:sz w:val="24"/>
          <w:szCs w:val="24"/>
          <w:lang w:val="en-US"/>
        </w:rPr>
        <w:t>researches</w:t>
      </w:r>
      <w:proofErr w:type="gramEnd"/>
      <w:r>
        <w:rPr>
          <w:rFonts w:ascii="Times New Roman" w:hAnsi="Times New Roman"/>
          <w:sz w:val="24"/>
          <w:szCs w:val="24"/>
          <w:lang w:val="en-US"/>
        </w:rPr>
        <w:t xml:space="preserve"> have concentrated mostly on structural means such as diversification, localization, government policy actions, and technology while neglecting the </w:t>
      </w:r>
      <w:r w:rsidR="00C51B52">
        <w:rPr>
          <w:rFonts w:ascii="Times New Roman" w:hAnsi="Times New Roman"/>
          <w:sz w:val="24"/>
          <w:szCs w:val="24"/>
          <w:lang w:val="en-US"/>
        </w:rPr>
        <w:t xml:space="preserve">results </w:t>
      </w:r>
      <w:r>
        <w:rPr>
          <w:rFonts w:ascii="Times New Roman" w:hAnsi="Times New Roman"/>
          <w:sz w:val="24"/>
          <w:szCs w:val="24"/>
          <w:lang w:val="en-US"/>
        </w:rPr>
        <w:t>of leadership style on the efficacy of such measures. More specifically, the comparison between an adaptive and directive leadership style as regards developing resilience in the era of REE geopolitical risk has not been discussed in literature.</w:t>
      </w:r>
    </w:p>
    <w:p w14:paraId="1DAA81C2" w14:textId="0D301A83"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According to recent studies, business executives are crucial for skillfully managing, anticipating, and adapting to challenging situations through ongoing </w:t>
      </w:r>
      <w:r w:rsidR="00CC6583">
        <w:rPr>
          <w:rFonts w:ascii="Times New Roman" w:hAnsi="Times New Roman"/>
          <w:sz w:val="24"/>
          <w:szCs w:val="24"/>
          <w:lang w:val="en-US"/>
        </w:rPr>
        <w:t>improvement</w:t>
      </w:r>
      <w:r>
        <w:rPr>
          <w:rFonts w:ascii="Times New Roman" w:hAnsi="Times New Roman"/>
          <w:sz w:val="24"/>
          <w:szCs w:val="24"/>
          <w:lang w:val="en-US"/>
        </w:rPr>
        <w:t xml:space="preserve"> (Ahmed et al., 2018; </w:t>
      </w:r>
      <w:proofErr w:type="spellStart"/>
      <w:r>
        <w:rPr>
          <w:rFonts w:ascii="Times New Roman" w:hAnsi="Times New Roman"/>
          <w:sz w:val="24"/>
          <w:szCs w:val="24"/>
          <w:lang w:val="en-US"/>
        </w:rPr>
        <w:t>Alblooshi</w:t>
      </w:r>
      <w:proofErr w:type="spellEnd"/>
      <w:r>
        <w:rPr>
          <w:rFonts w:ascii="Times New Roman" w:hAnsi="Times New Roman"/>
          <w:sz w:val="24"/>
          <w:szCs w:val="24"/>
          <w:lang w:val="en-US"/>
        </w:rPr>
        <w:t xml:space="preserve"> et al., 2021). Geopolitical shocks often result in enduring changes to the </w:t>
      </w:r>
      <w:r w:rsidR="00F50FD5">
        <w:rPr>
          <w:rFonts w:ascii="Times New Roman" w:hAnsi="Times New Roman"/>
          <w:sz w:val="24"/>
          <w:szCs w:val="24"/>
          <w:lang w:val="en-US"/>
        </w:rPr>
        <w:t xml:space="preserve">vast </w:t>
      </w:r>
      <w:r>
        <w:rPr>
          <w:rFonts w:ascii="Times New Roman" w:hAnsi="Times New Roman"/>
          <w:sz w:val="24"/>
          <w:szCs w:val="24"/>
          <w:lang w:val="en-US"/>
        </w:rPr>
        <w:t xml:space="preserve">operational landscape for companies and supply chains, requiring business leaders to enact vital reforms to succeed in transformed business climate. Understanding how crucial it is for business executives to make wise decisions and adjust to changing conditions to tackle emerging challenges, supply chain research has examined the complex function of leadership in addressing modern business issues. Dubey (2023a, 2023b) underscored the vital role </w:t>
      </w:r>
      <w:proofErr w:type="gramStart"/>
      <w:r>
        <w:rPr>
          <w:rFonts w:ascii="Times New Roman" w:hAnsi="Times New Roman"/>
          <w:sz w:val="24"/>
          <w:szCs w:val="24"/>
          <w:lang w:val="en-US"/>
        </w:rPr>
        <w:t>of  crisis</w:t>
      </w:r>
      <w:proofErr w:type="gramEnd"/>
      <w:r>
        <w:rPr>
          <w:rFonts w:ascii="Times New Roman" w:hAnsi="Times New Roman"/>
          <w:sz w:val="24"/>
          <w:szCs w:val="24"/>
          <w:lang w:val="en-US"/>
        </w:rPr>
        <w:t xml:space="preserve"> leadership style</w:t>
      </w:r>
      <w:r w:rsidR="00BD2C40">
        <w:rPr>
          <w:rFonts w:ascii="Times New Roman" w:hAnsi="Times New Roman"/>
          <w:sz w:val="24"/>
          <w:szCs w:val="24"/>
          <w:lang w:val="en-US"/>
        </w:rPr>
        <w:t>,</w:t>
      </w:r>
      <w:r>
        <w:rPr>
          <w:rFonts w:ascii="Times New Roman" w:hAnsi="Times New Roman"/>
          <w:sz w:val="24"/>
          <w:szCs w:val="24"/>
          <w:lang w:val="en-US"/>
        </w:rPr>
        <w:t xml:space="preserve"> enhancing the relationship between digital transformation </w:t>
      </w:r>
      <w:proofErr w:type="gramStart"/>
      <w:r>
        <w:rPr>
          <w:rFonts w:ascii="Times New Roman" w:hAnsi="Times New Roman"/>
          <w:sz w:val="24"/>
          <w:szCs w:val="24"/>
          <w:lang w:val="en-US"/>
        </w:rPr>
        <w:t>a</w:t>
      </w:r>
      <w:r w:rsidR="00497CC9">
        <w:rPr>
          <w:rFonts w:ascii="Times New Roman" w:hAnsi="Times New Roman"/>
          <w:sz w:val="24"/>
          <w:szCs w:val="24"/>
          <w:lang w:val="en-US"/>
        </w:rPr>
        <w:t xml:space="preserve">longside </w:t>
      </w:r>
      <w:r>
        <w:rPr>
          <w:rFonts w:ascii="Times New Roman" w:hAnsi="Times New Roman"/>
          <w:sz w:val="24"/>
          <w:szCs w:val="24"/>
          <w:lang w:val="en-US"/>
        </w:rPr>
        <w:t xml:space="preserve"> collaboration</w:t>
      </w:r>
      <w:proofErr w:type="gramEnd"/>
      <w:r>
        <w:rPr>
          <w:rFonts w:ascii="Times New Roman" w:hAnsi="Times New Roman"/>
          <w:sz w:val="24"/>
          <w:szCs w:val="24"/>
          <w:lang w:val="en-US"/>
        </w:rPr>
        <w:t xml:space="preserve">. Prabhu and Srivastava (2023) emphasized the </w:t>
      </w:r>
      <w:proofErr w:type="gramStart"/>
      <w:r>
        <w:rPr>
          <w:rFonts w:ascii="Times New Roman" w:hAnsi="Times New Roman"/>
          <w:sz w:val="24"/>
          <w:szCs w:val="24"/>
          <w:lang w:val="en-US"/>
        </w:rPr>
        <w:t>efficacy</w:t>
      </w:r>
      <w:proofErr w:type="gramEnd"/>
      <w:r>
        <w:rPr>
          <w:rFonts w:ascii="Times New Roman" w:hAnsi="Times New Roman"/>
          <w:sz w:val="24"/>
          <w:szCs w:val="24"/>
          <w:lang w:val="en-US"/>
        </w:rPr>
        <w:t xml:space="preserve"> </w:t>
      </w:r>
      <w:r w:rsidR="007E3886">
        <w:rPr>
          <w:rFonts w:ascii="Times New Roman" w:hAnsi="Times New Roman"/>
          <w:sz w:val="24"/>
          <w:szCs w:val="24"/>
          <w:lang w:val="en-US"/>
        </w:rPr>
        <w:t>innovative</w:t>
      </w:r>
      <w:r>
        <w:rPr>
          <w:rFonts w:ascii="Times New Roman" w:hAnsi="Times New Roman"/>
          <w:sz w:val="24"/>
          <w:szCs w:val="24"/>
          <w:lang w:val="en-US"/>
        </w:rPr>
        <w:t xml:space="preserve"> leaders, underscoring their </w:t>
      </w:r>
      <w:r w:rsidR="008A53D1">
        <w:rPr>
          <w:rFonts w:ascii="Times New Roman" w:hAnsi="Times New Roman"/>
          <w:sz w:val="24"/>
          <w:szCs w:val="24"/>
          <w:lang w:val="en-US"/>
        </w:rPr>
        <w:t xml:space="preserve">unique </w:t>
      </w:r>
      <w:r>
        <w:rPr>
          <w:rFonts w:ascii="Times New Roman" w:hAnsi="Times New Roman"/>
          <w:sz w:val="24"/>
          <w:szCs w:val="24"/>
          <w:lang w:val="en-US"/>
        </w:rPr>
        <w:t xml:space="preserve">capacity to advance agile initiatives formulating a clear vision, fostering innovative problem-solving, and offering personalized mentorship to attain exceptional performance levels among supply chain members. Moreover, Shin and Park (2021) highlighted the substantial impact of a supply chain leader's style on bolstering supply chain resilience, while Fritch (2020) </w:t>
      </w:r>
      <w:r w:rsidR="00290191">
        <w:rPr>
          <w:rFonts w:ascii="Times New Roman" w:hAnsi="Times New Roman"/>
          <w:sz w:val="24"/>
          <w:szCs w:val="24"/>
          <w:lang w:val="en-US"/>
        </w:rPr>
        <w:t>de</w:t>
      </w:r>
      <w:r w:rsidR="00C01326">
        <w:rPr>
          <w:rFonts w:ascii="Times New Roman" w:hAnsi="Times New Roman"/>
          <w:sz w:val="24"/>
          <w:szCs w:val="24"/>
          <w:lang w:val="en-US"/>
        </w:rPr>
        <w:t xml:space="preserve">bated </w:t>
      </w:r>
      <w:r>
        <w:rPr>
          <w:rFonts w:ascii="Times New Roman" w:hAnsi="Times New Roman"/>
          <w:sz w:val="24"/>
          <w:szCs w:val="24"/>
          <w:lang w:val="en-US"/>
        </w:rPr>
        <w:t xml:space="preserve">that transformational leadership style positively influences supply chain performance. Nonetheless, first observations on the leadership's impact </w:t>
      </w:r>
      <w:r>
        <w:rPr>
          <w:rFonts w:ascii="Times New Roman" w:hAnsi="Times New Roman"/>
          <w:sz w:val="24"/>
          <w:szCs w:val="24"/>
          <w:lang w:val="en-US"/>
        </w:rPr>
        <w:lastRenderedPageBreak/>
        <w:t xml:space="preserve">on maintaining supply chain </w:t>
      </w:r>
      <w:r w:rsidR="00F93B71">
        <w:rPr>
          <w:rFonts w:ascii="Times New Roman" w:hAnsi="Times New Roman"/>
          <w:sz w:val="24"/>
          <w:szCs w:val="24"/>
          <w:lang w:val="en-US"/>
        </w:rPr>
        <w:t>working</w:t>
      </w:r>
      <w:r w:rsidR="005829B7">
        <w:rPr>
          <w:rFonts w:ascii="Times New Roman" w:hAnsi="Times New Roman"/>
          <w:sz w:val="24"/>
          <w:szCs w:val="24"/>
          <w:lang w:val="en-US"/>
        </w:rPr>
        <w:t>s</w:t>
      </w:r>
      <w:r>
        <w:rPr>
          <w:rFonts w:ascii="Times New Roman" w:hAnsi="Times New Roman"/>
          <w:sz w:val="24"/>
          <w:szCs w:val="24"/>
          <w:lang w:val="en-US"/>
        </w:rPr>
        <w:t xml:space="preserve">, a crucial question remains: How do directive and adaptive leadership styles </w:t>
      </w:r>
      <w:proofErr w:type="gramStart"/>
      <w:r>
        <w:rPr>
          <w:rFonts w:ascii="Times New Roman" w:hAnsi="Times New Roman"/>
          <w:sz w:val="24"/>
          <w:szCs w:val="24"/>
          <w:lang w:val="en-US"/>
        </w:rPr>
        <w:t>effect</w:t>
      </w:r>
      <w:proofErr w:type="gramEnd"/>
      <w:r>
        <w:rPr>
          <w:rFonts w:ascii="Times New Roman" w:hAnsi="Times New Roman"/>
          <w:sz w:val="24"/>
          <w:szCs w:val="24"/>
          <w:lang w:val="en-US"/>
        </w:rPr>
        <w:t xml:space="preserve"> the management of geopolitical supply risks within UK rare earth element supply chains? Directive leadership, characterized by its task-oriented, authoritative, and systematic approach, demonstrates efficacy during critical crisis phases by offering clear guidance, facilitating rapid decision-making, and coordinating efforts to stabilize operations, mitigate damage, and ensure short-term continuity (</w:t>
      </w:r>
      <w:proofErr w:type="spellStart"/>
      <w:r>
        <w:rPr>
          <w:rFonts w:ascii="Times New Roman" w:hAnsi="Times New Roman"/>
          <w:sz w:val="24"/>
          <w:szCs w:val="24"/>
          <w:lang w:val="en-US"/>
        </w:rPr>
        <w:t>Azadegan</w:t>
      </w:r>
      <w:proofErr w:type="spellEnd"/>
      <w:r>
        <w:rPr>
          <w:rFonts w:ascii="Times New Roman" w:hAnsi="Times New Roman"/>
          <w:sz w:val="24"/>
          <w:szCs w:val="24"/>
          <w:lang w:val="en-US"/>
        </w:rPr>
        <w:t xml:space="preserve"> et al., 2021; Ali et al., 2025).</w:t>
      </w:r>
    </w:p>
    <w:p w14:paraId="3140C160" w14:textId="2C6D5ED9" w:rsidR="009120BA" w:rsidRDefault="00D51CEF"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A</w:t>
      </w:r>
      <w:r w:rsidR="009120BA">
        <w:rPr>
          <w:rFonts w:ascii="Times New Roman" w:hAnsi="Times New Roman"/>
          <w:sz w:val="24"/>
          <w:szCs w:val="24"/>
          <w:lang w:val="en-US"/>
        </w:rPr>
        <w:t>brupt geopolitical disruptions, as unforeseen export restrictions, directive management styles facilitate compliance enforcement, logistical re-routing, and the rapid implementation of contingency plans, thereby mitigating the immediate effects on supply chain performance. Conversely, adaptive leadership, characterized by its flexibility, collaboration, empowerment, and emphasis on change, proves more effective in navigating prolonged or complex uncertainties. It promotes innovation, long-term resilience, and organizational learning, enabling entities to anticipate and adjust to new threats (Sott et al., 2025; Heifetz et al., basic adaptive leadership framework). Adaptive leaders promote an environment that empowers teams to question prevailing assumptions, explore diversification strategies such as alternative sourcing or substitution, build partnerships, and enhance agility. The structural weaknesses of the UK rare earth supply chain, characterized by import reliance, fragmentation, and the lack of circular recovery systems underscore not only technological and legislative shortcomings but also a significant leadership deficit. Confronting these problems necessitates leadership adept at orchestrating intricate systems, navigating geopolitical volatility, and facilitating adaptive responses to disturbances.</w:t>
      </w:r>
    </w:p>
    <w:p w14:paraId="1C4747CF"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 w:name="_Toc232013497"/>
      <w:r>
        <w:rPr>
          <w:rFonts w:ascii="Times New Roman" w:eastAsia="Times New Roman" w:hAnsi="Times New Roman"/>
          <w:b/>
          <w:bCs/>
          <w:sz w:val="24"/>
          <w:szCs w:val="24"/>
          <w:lang w:val="en-US"/>
        </w:rPr>
        <w:t>1.2. Research aim</w:t>
      </w:r>
      <w:bookmarkEnd w:id="2"/>
    </w:p>
    <w:p w14:paraId="759A920F" w14:textId="70768DA9"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To examine how directive and adaptive leadership styles moderate </w:t>
      </w:r>
      <w:r w:rsidR="00812DA6">
        <w:rPr>
          <w:rFonts w:ascii="Times New Roman" w:hAnsi="Times New Roman"/>
          <w:sz w:val="24"/>
          <w:szCs w:val="24"/>
          <w:lang w:val="en-US"/>
        </w:rPr>
        <w:t>impact</w:t>
      </w:r>
      <w:r>
        <w:rPr>
          <w:rFonts w:ascii="Times New Roman" w:hAnsi="Times New Roman"/>
          <w:sz w:val="24"/>
          <w:szCs w:val="24"/>
          <w:lang w:val="en-US"/>
        </w:rPr>
        <w:t xml:space="preserve"> of geopolitical supply risks on the resilience of rare earth element supply chains in the UK.</w:t>
      </w:r>
    </w:p>
    <w:p w14:paraId="45E23CB0"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 w:name="_Toc232013498"/>
      <w:r>
        <w:rPr>
          <w:rFonts w:ascii="Times New Roman" w:eastAsia="Times New Roman" w:hAnsi="Times New Roman"/>
          <w:b/>
          <w:bCs/>
          <w:sz w:val="24"/>
          <w:szCs w:val="24"/>
          <w:lang w:val="en-US"/>
        </w:rPr>
        <w:t>1.2.1. Specific objectives</w:t>
      </w:r>
      <w:bookmarkEnd w:id="3"/>
    </w:p>
    <w:p w14:paraId="133F13DE"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To determine the effect of geopolitical risk on organizational resilience in REE-dependent organizations.</w:t>
      </w:r>
    </w:p>
    <w:p w14:paraId="75E9DCA6"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To examine the effect of geopolitical risk on supply chain performance in REE-dependent organizations.</w:t>
      </w:r>
    </w:p>
    <w:p w14:paraId="27C2C491"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To investigate the influence of directive leadership on organizational resilience.</w:t>
      </w:r>
    </w:p>
    <w:p w14:paraId="75FBB6AE"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To investigate the influence of adaptive leadership style on organizational resilience.</w:t>
      </w:r>
    </w:p>
    <w:p w14:paraId="549C2067" w14:textId="6840C238"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To </w:t>
      </w:r>
      <w:r w:rsidR="00551BCF">
        <w:rPr>
          <w:rFonts w:ascii="Times New Roman" w:hAnsi="Times New Roman"/>
          <w:sz w:val="24"/>
          <w:szCs w:val="24"/>
          <w:lang w:val="en-US"/>
        </w:rPr>
        <w:t>uncover</w:t>
      </w:r>
      <w:r>
        <w:rPr>
          <w:rFonts w:ascii="Times New Roman" w:hAnsi="Times New Roman"/>
          <w:sz w:val="24"/>
          <w:szCs w:val="24"/>
          <w:lang w:val="en-US"/>
        </w:rPr>
        <w:t xml:space="preserve"> the effect of organizational resilience on supply chain performance.</w:t>
      </w:r>
    </w:p>
    <w:p w14:paraId="0493FE8A"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lastRenderedPageBreak/>
        <w:t>To examine the combined influence of geopolitical risk and leadership styles on organizational resilience.</w:t>
      </w:r>
    </w:p>
    <w:p w14:paraId="3C98B5EC" w14:textId="0C3FE79D"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To assess whether organizational resilience mediates the </w:t>
      </w:r>
      <w:r w:rsidR="00500B50">
        <w:rPr>
          <w:rFonts w:ascii="Times New Roman" w:hAnsi="Times New Roman"/>
          <w:sz w:val="24"/>
          <w:szCs w:val="24"/>
          <w:lang w:val="en-US"/>
        </w:rPr>
        <w:t>correlation</w:t>
      </w:r>
      <w:r>
        <w:rPr>
          <w:rFonts w:ascii="Times New Roman" w:hAnsi="Times New Roman"/>
          <w:sz w:val="24"/>
          <w:szCs w:val="24"/>
          <w:lang w:val="en-US"/>
        </w:rPr>
        <w:t xml:space="preserve"> between leadership styles and supply chain performance.</w:t>
      </w:r>
    </w:p>
    <w:p w14:paraId="4987E4A4"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 w:name="_Toc232013499"/>
      <w:r>
        <w:rPr>
          <w:rFonts w:ascii="Times New Roman" w:eastAsia="Times New Roman" w:hAnsi="Times New Roman"/>
          <w:b/>
          <w:bCs/>
          <w:sz w:val="24"/>
          <w:szCs w:val="24"/>
          <w:lang w:val="en-US"/>
        </w:rPr>
        <w:t>1.3. Research question</w:t>
      </w:r>
      <w:bookmarkEnd w:id="4"/>
    </w:p>
    <w:p w14:paraId="7D5B5379"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What effect does geopolitical risk have on organizational resilience in REE-dependent organizations? </w:t>
      </w:r>
    </w:p>
    <w:p w14:paraId="339E3860"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What effect does geopolitical risk have on supply chain performance in REE-dependent organizations? </w:t>
      </w:r>
    </w:p>
    <w:p w14:paraId="57E5989C"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To what extent does directive leadership influence organizational resilience in REE-dependent organizations? </w:t>
      </w:r>
    </w:p>
    <w:p w14:paraId="1E1C7B6E"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To what extent does adaptive leadership influence organizational resilience in REE-dependent organizations? </w:t>
      </w:r>
    </w:p>
    <w:p w14:paraId="45B7EDDF" w14:textId="7777777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What effect does organizational resilience have on supply chain performance in REE-dependent organizations? </w:t>
      </w:r>
    </w:p>
    <w:p w14:paraId="3C2D65B8" w14:textId="0DEF9A47"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What is</w:t>
      </w:r>
      <w:r w:rsidR="00835D71">
        <w:rPr>
          <w:rFonts w:ascii="Times New Roman" w:hAnsi="Times New Roman"/>
          <w:sz w:val="24"/>
          <w:szCs w:val="24"/>
          <w:lang w:val="en-US"/>
        </w:rPr>
        <w:t xml:space="preserve"> the </w:t>
      </w:r>
      <w:r w:rsidR="00801935">
        <w:rPr>
          <w:rFonts w:ascii="Times New Roman" w:hAnsi="Times New Roman"/>
          <w:sz w:val="24"/>
          <w:szCs w:val="24"/>
          <w:lang w:val="en-US"/>
        </w:rPr>
        <w:t>anticipated combined</w:t>
      </w:r>
      <w:r>
        <w:rPr>
          <w:rFonts w:ascii="Times New Roman" w:hAnsi="Times New Roman"/>
          <w:sz w:val="24"/>
          <w:szCs w:val="24"/>
          <w:lang w:val="en-US"/>
        </w:rPr>
        <w:t xml:space="preserve"> influence of geopolitical risk and leadership styles on organizational resilience in REE-dependent organizations? </w:t>
      </w:r>
    </w:p>
    <w:p w14:paraId="34A4184A" w14:textId="740714F3" w:rsidR="009120BA" w:rsidRDefault="009120BA" w:rsidP="009120BA">
      <w:pPr>
        <w:numPr>
          <w:ilvl w:val="0"/>
          <w:numId w:val="3"/>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Does organizational resilience mediate the relationship </w:t>
      </w:r>
      <w:r w:rsidR="00801935">
        <w:rPr>
          <w:rFonts w:ascii="Times New Roman" w:hAnsi="Times New Roman"/>
          <w:sz w:val="24"/>
          <w:szCs w:val="24"/>
          <w:lang w:val="en-US"/>
        </w:rPr>
        <w:t>amongst</w:t>
      </w:r>
      <w:r>
        <w:rPr>
          <w:rFonts w:ascii="Times New Roman" w:hAnsi="Times New Roman"/>
          <w:sz w:val="24"/>
          <w:szCs w:val="24"/>
          <w:lang w:val="en-US"/>
        </w:rPr>
        <w:t xml:space="preserve"> leadership styles and supply chain performance in REE-dependent organizations?</w:t>
      </w:r>
    </w:p>
    <w:p w14:paraId="16449D8F"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5" w:name="_Toc232013500"/>
      <w:r>
        <w:rPr>
          <w:rFonts w:ascii="Times New Roman" w:eastAsia="Times New Roman" w:hAnsi="Times New Roman"/>
          <w:b/>
          <w:bCs/>
          <w:sz w:val="24"/>
          <w:szCs w:val="24"/>
          <w:lang w:val="en-US"/>
        </w:rPr>
        <w:t>1.4. Research rationale</w:t>
      </w:r>
      <w:bookmarkEnd w:id="5"/>
      <w:r>
        <w:rPr>
          <w:rFonts w:ascii="Times New Roman" w:eastAsia="Times New Roman" w:hAnsi="Times New Roman"/>
          <w:b/>
          <w:bCs/>
          <w:sz w:val="24"/>
          <w:szCs w:val="24"/>
          <w:lang w:val="en-US"/>
        </w:rPr>
        <w:t xml:space="preserve"> </w:t>
      </w:r>
    </w:p>
    <w:p w14:paraId="615D4626"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Rare earth elements (REEs) are essential to the vital sectors of the UK, including military, electric vehicles, renewables, and sophisticated manufacturing, underpinning the net-zero transition and national security (Darley, 2025). The global rare earth element supply chain is highly vulnerable to geopolitical risks, such as export controls, trade restrictions, and resource nationalism, primarily due to China's dominant role in mining, which constitutes around 70%, and processing, which exceeds 90%. (</w:t>
      </w:r>
      <w:proofErr w:type="spellStart"/>
      <w:r>
        <w:rPr>
          <w:rFonts w:ascii="Times New Roman" w:hAnsi="Times New Roman"/>
          <w:sz w:val="24"/>
          <w:szCs w:val="24"/>
          <w:lang w:val="en-US"/>
        </w:rPr>
        <w:t>Depraiter</w:t>
      </w:r>
      <w:proofErr w:type="spellEnd"/>
      <w:r>
        <w:rPr>
          <w:rFonts w:ascii="Times New Roman" w:hAnsi="Times New Roman"/>
          <w:sz w:val="24"/>
          <w:szCs w:val="24"/>
          <w:lang w:val="en-US"/>
        </w:rPr>
        <w:t xml:space="preserve"> et al., 2025).</w:t>
      </w:r>
    </w:p>
    <w:p w14:paraId="5258F96B" w14:textId="2534918C"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The dangers manifest as sudden disruptions, price volatility, and supply shortages, converting theoretical threats into concrete crises for UK importers lacking domestic alternatives (</w:t>
      </w:r>
      <w:proofErr w:type="spellStart"/>
      <w:r>
        <w:rPr>
          <w:rFonts w:ascii="Times New Roman" w:hAnsi="Times New Roman"/>
          <w:sz w:val="24"/>
          <w:szCs w:val="24"/>
          <w:lang w:val="en-US"/>
        </w:rPr>
        <w:t>Depraiter</w:t>
      </w:r>
      <w:proofErr w:type="spellEnd"/>
      <w:r>
        <w:rPr>
          <w:rFonts w:ascii="Times New Roman" w:hAnsi="Times New Roman"/>
          <w:sz w:val="24"/>
          <w:szCs w:val="24"/>
          <w:lang w:val="en-US"/>
        </w:rPr>
        <w:t xml:space="preserve"> et al., 2025; International Energy Agency, 2025). In the discourse on crisis and risk management, strong leadership is essential for adeptly managing disturbances in supply chains. Leadership is essential for the creation and maintenance of organizational resilience during crises. The notion of resilience, defined as organization's </w:t>
      </w:r>
      <w:r w:rsidR="002D0CCB">
        <w:rPr>
          <w:rFonts w:ascii="Times New Roman" w:hAnsi="Times New Roman"/>
          <w:sz w:val="24"/>
          <w:szCs w:val="24"/>
          <w:lang w:val="en-US"/>
        </w:rPr>
        <w:t>capability</w:t>
      </w:r>
      <w:r>
        <w:rPr>
          <w:rFonts w:ascii="Times New Roman" w:hAnsi="Times New Roman"/>
          <w:sz w:val="24"/>
          <w:szCs w:val="24"/>
          <w:lang w:val="en-US"/>
        </w:rPr>
        <w:t xml:space="preserve"> to endure </w:t>
      </w:r>
      <w:r>
        <w:rPr>
          <w:rFonts w:ascii="Times New Roman" w:hAnsi="Times New Roman"/>
          <w:sz w:val="24"/>
          <w:szCs w:val="24"/>
          <w:lang w:val="en-US"/>
        </w:rPr>
        <w:lastRenderedPageBreak/>
        <w:t xml:space="preserve">shocks, adapt to changing </w:t>
      </w:r>
      <w:proofErr w:type="gramStart"/>
      <w:r>
        <w:rPr>
          <w:rFonts w:ascii="Times New Roman" w:hAnsi="Times New Roman"/>
          <w:sz w:val="24"/>
          <w:szCs w:val="24"/>
          <w:lang w:val="en-US"/>
        </w:rPr>
        <w:t>circumstance</w:t>
      </w:r>
      <w:proofErr w:type="gramEnd"/>
      <w:r>
        <w:rPr>
          <w:rFonts w:ascii="Times New Roman" w:hAnsi="Times New Roman"/>
          <w:sz w:val="24"/>
          <w:szCs w:val="24"/>
          <w:lang w:val="en-US"/>
        </w:rPr>
        <w:t>, and recover from disruptions, is significantly influenced by leadership behaviors (Duchek, 2020).</w:t>
      </w:r>
    </w:p>
    <w:p w14:paraId="3A656100" w14:textId="377FEC95"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During crises, the responsibilities of leaders become markedly more evident. They are expected to make informed decisions while providing guidance, stability, and reassurance to their team. Boin, Hart, and McConnell (2020) assert that crisis leadership requires managing ambiguity, sustaining organizational coherence, aligning actions with the organization's long-term goals, </w:t>
      </w:r>
      <w:r w:rsidR="00EF4A49">
        <w:rPr>
          <w:rFonts w:ascii="Times New Roman" w:hAnsi="Times New Roman"/>
          <w:sz w:val="24"/>
          <w:szCs w:val="24"/>
          <w:lang w:val="en-US"/>
        </w:rPr>
        <w:t>even with</w:t>
      </w:r>
      <w:r>
        <w:rPr>
          <w:rFonts w:ascii="Times New Roman" w:hAnsi="Times New Roman"/>
          <w:sz w:val="24"/>
          <w:szCs w:val="24"/>
          <w:lang w:val="en-US"/>
        </w:rPr>
        <w:t xml:space="preserve"> immediate constraints. Leaders must manage the need for swift action while contemplating the broader consequences of their decisions, often amid significant ambiguity (Hannah, Uhl-Bien, Avolio, and Cavarretta, 2009).</w:t>
      </w:r>
    </w:p>
    <w:p w14:paraId="5E4722C0" w14:textId="7D741E36"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 Directive leadership, defined by its task-oriented, authoritative, and organized methodology, proves effective in acute crisis phases by providing clear guidance, enabling swift decision-making, and orchestrating actions to stabilize operations, minimize damage, and ensure short-term continuity (</w:t>
      </w:r>
      <w:proofErr w:type="spellStart"/>
      <w:r>
        <w:rPr>
          <w:rFonts w:ascii="Times New Roman" w:hAnsi="Times New Roman"/>
          <w:sz w:val="24"/>
          <w:szCs w:val="24"/>
          <w:lang w:val="en-US"/>
        </w:rPr>
        <w:t>Azadegan</w:t>
      </w:r>
      <w:proofErr w:type="spellEnd"/>
      <w:r>
        <w:rPr>
          <w:rFonts w:ascii="Times New Roman" w:hAnsi="Times New Roman"/>
          <w:sz w:val="24"/>
          <w:szCs w:val="24"/>
          <w:lang w:val="en-US"/>
        </w:rPr>
        <w:t xml:space="preserve"> et al., 2021; Ali et al., 2025). In context of abrupt geopolitical shocks, such as unforeseen export bans, directive management styles enable the enforcement of compliance, the re-routing of logistics, and the swift implementation of contingency plans, thus alleviating the immediate impacts on supply chain performance.</w:t>
      </w:r>
    </w:p>
    <w:p w14:paraId="6A0D1336" w14:textId="77381D59"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In contrast, adaptive leadership, defined by its flexibility, collaboration, empowerment, and focus on change, is more effective in managing lengthy or complex uncertainties. It fosters innovation, long-term resilience, and organizational learning, allowing entities to foresee and adapt to emerging hazards (Sott et al., 2025; Heifetz et al., fundamental adaptive leadership framework). Adaptive leaders foster a climate that encourages teams to challenge established assumptions, experiment with diversification tactics like alternate source or substitution, build relationships, and cultivate agility. This methodology is crucial for converting geopolitical crises into opportunities for restructuring supply chains and attaining enduring resilience, as demonstrated by the research of Ali et al. (2025) and numerous studies on adaptive leadership in volatile, uncertain, complex, and ambiguous (VUCA) environments. While research on supply chain resilience increasingly recognizes the importance of leadership in mitigating disruptions (for example, crisis leadership's ability to mitigate</w:t>
      </w:r>
      <w:r w:rsidR="004E45D5">
        <w:rPr>
          <w:rFonts w:ascii="Times New Roman" w:hAnsi="Times New Roman"/>
          <w:sz w:val="24"/>
          <w:szCs w:val="24"/>
          <w:lang w:val="en-US"/>
        </w:rPr>
        <w:t>s</w:t>
      </w:r>
      <w:r>
        <w:rPr>
          <w:rFonts w:ascii="Times New Roman" w:hAnsi="Times New Roman"/>
          <w:sz w:val="24"/>
          <w:szCs w:val="24"/>
          <w:lang w:val="en-US"/>
        </w:rPr>
        <w:t xml:space="preserve"> negative impacts of geopolitical shocks on agility; Ali et al., 2025), and crisis management emphasizes the need for situational style-switching (directive for immediate response, adaptive for recovery and adaptation), a significant gap remains: there is a deficiency of studies that have specifically examined how directive versus adaptive leadership styles affect the relationship </w:t>
      </w:r>
      <w:r w:rsidR="00852822">
        <w:rPr>
          <w:rFonts w:ascii="Times New Roman" w:hAnsi="Times New Roman"/>
          <w:sz w:val="24"/>
          <w:szCs w:val="24"/>
          <w:lang w:val="en-US"/>
        </w:rPr>
        <w:t>amongst</w:t>
      </w:r>
      <w:r>
        <w:rPr>
          <w:rFonts w:ascii="Times New Roman" w:hAnsi="Times New Roman"/>
          <w:sz w:val="24"/>
          <w:szCs w:val="24"/>
          <w:lang w:val="en-US"/>
        </w:rPr>
        <w:t xml:space="preserve"> geopolitical supply risks and REE outcomes within the UK context.</w:t>
      </w:r>
    </w:p>
    <w:p w14:paraId="12A6FB4D"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lastRenderedPageBreak/>
        <w:t xml:space="preserve"> Contemporary research mostly focuses on macro-level strategies </w:t>
      </w:r>
      <w:proofErr w:type="gramStart"/>
      <w:r>
        <w:rPr>
          <w:rFonts w:ascii="Times New Roman" w:hAnsi="Times New Roman"/>
          <w:sz w:val="24"/>
          <w:szCs w:val="24"/>
          <w:lang w:val="en-US"/>
        </w:rPr>
        <w:t>like as</w:t>
      </w:r>
      <w:proofErr w:type="gramEnd"/>
      <w:r>
        <w:rPr>
          <w:rFonts w:ascii="Times New Roman" w:hAnsi="Times New Roman"/>
          <w:sz w:val="24"/>
          <w:szCs w:val="24"/>
          <w:lang w:val="en-US"/>
        </w:rPr>
        <w:t xml:space="preserve"> diversification and stockpiling, with widespread disruptions like the COVID-19 pandemic. Nevertheless, it inadequately addresses the leadership dynamics at the organizational level in addressing persistent risks associated with rare earth elements influenced by geopolitical considerations. The gap is particularly evident in the UK, where dependence on imports intensifies vulnerabilities, and proficient organizational leadership can link policy-driven plans with concrete initiatives for resilience improvement. Analyzing this issue through the perspective of leadership styles as a moderating variable may provide significant insights into the superior resilience of certain UK firms in managing REE supply crises, thus offering practical recommendations for managers facing ongoing geopolitical challenges.</w:t>
      </w:r>
    </w:p>
    <w:p w14:paraId="2B03760A" w14:textId="77777777" w:rsidR="009120BA" w:rsidRDefault="009120BA" w:rsidP="009120BA">
      <w:pPr>
        <w:spacing w:after="0" w:line="360" w:lineRule="auto"/>
        <w:ind w:firstLine="720"/>
        <w:jc w:val="both"/>
        <w:rPr>
          <w:rFonts w:ascii="Times New Roman" w:hAnsi="Times New Roman"/>
          <w:sz w:val="24"/>
          <w:szCs w:val="24"/>
          <w:lang w:val="en-US"/>
        </w:rPr>
      </w:pPr>
    </w:p>
    <w:p w14:paraId="3ED438E5" w14:textId="77777777" w:rsidR="009120BA" w:rsidRDefault="009120BA" w:rsidP="009120BA">
      <w:pPr>
        <w:spacing w:after="0" w:line="360" w:lineRule="auto"/>
        <w:jc w:val="both"/>
        <w:rPr>
          <w:rFonts w:ascii="Times New Roman" w:hAnsi="Times New Roman"/>
          <w:sz w:val="24"/>
          <w:szCs w:val="24"/>
          <w:lang w:val="en-US"/>
        </w:rPr>
      </w:pPr>
    </w:p>
    <w:p w14:paraId="6E978C2B" w14:textId="77777777" w:rsidR="009120BA" w:rsidRDefault="009120BA" w:rsidP="009120BA">
      <w:pPr>
        <w:spacing w:after="0" w:line="360" w:lineRule="auto"/>
        <w:jc w:val="both"/>
        <w:rPr>
          <w:rFonts w:ascii="Times New Roman" w:hAnsi="Times New Roman"/>
          <w:sz w:val="24"/>
          <w:szCs w:val="24"/>
          <w:lang w:val="en-US"/>
        </w:rPr>
      </w:pPr>
    </w:p>
    <w:p w14:paraId="46E94BCD" w14:textId="77777777" w:rsidR="009120BA" w:rsidRDefault="009120BA" w:rsidP="009120BA">
      <w:pPr>
        <w:spacing w:after="0" w:line="360" w:lineRule="auto"/>
        <w:jc w:val="both"/>
        <w:rPr>
          <w:rFonts w:ascii="Times New Roman" w:hAnsi="Times New Roman"/>
          <w:sz w:val="24"/>
          <w:szCs w:val="24"/>
          <w:lang w:val="en-US"/>
        </w:rPr>
      </w:pPr>
    </w:p>
    <w:p w14:paraId="7F0DCCD0" w14:textId="77777777" w:rsidR="009120BA" w:rsidRDefault="009120BA" w:rsidP="009120BA">
      <w:pPr>
        <w:spacing w:after="0" w:line="360" w:lineRule="auto"/>
        <w:jc w:val="both"/>
        <w:rPr>
          <w:rFonts w:ascii="Times New Roman" w:hAnsi="Times New Roman"/>
          <w:sz w:val="24"/>
          <w:szCs w:val="24"/>
          <w:lang w:val="en-US"/>
        </w:rPr>
      </w:pPr>
    </w:p>
    <w:p w14:paraId="4F77437E" w14:textId="77777777" w:rsidR="009120BA" w:rsidRDefault="009120BA" w:rsidP="009120BA">
      <w:pPr>
        <w:spacing w:after="0" w:line="360" w:lineRule="auto"/>
        <w:jc w:val="both"/>
        <w:rPr>
          <w:rFonts w:ascii="Times New Roman" w:hAnsi="Times New Roman"/>
          <w:sz w:val="24"/>
          <w:szCs w:val="24"/>
          <w:lang w:val="en-US"/>
        </w:rPr>
      </w:pPr>
    </w:p>
    <w:p w14:paraId="2D652366" w14:textId="77777777" w:rsidR="009120BA" w:rsidRDefault="009120BA" w:rsidP="009120BA">
      <w:pPr>
        <w:spacing w:after="0" w:line="360" w:lineRule="auto"/>
        <w:jc w:val="both"/>
        <w:rPr>
          <w:rFonts w:ascii="Times New Roman" w:hAnsi="Times New Roman"/>
          <w:sz w:val="24"/>
          <w:szCs w:val="24"/>
          <w:lang w:val="en-US"/>
        </w:rPr>
      </w:pPr>
    </w:p>
    <w:p w14:paraId="1C0BC5BE" w14:textId="77777777" w:rsidR="009120BA" w:rsidRDefault="009120BA" w:rsidP="009120BA">
      <w:pPr>
        <w:spacing w:after="0" w:line="360" w:lineRule="auto"/>
        <w:jc w:val="both"/>
        <w:rPr>
          <w:rFonts w:ascii="Times New Roman" w:hAnsi="Times New Roman"/>
          <w:sz w:val="24"/>
          <w:szCs w:val="24"/>
          <w:lang w:val="en-US"/>
        </w:rPr>
      </w:pPr>
    </w:p>
    <w:p w14:paraId="0AADBAA8" w14:textId="77777777" w:rsidR="009120BA" w:rsidRDefault="009120BA" w:rsidP="009120BA">
      <w:pPr>
        <w:spacing w:after="0" w:line="360" w:lineRule="auto"/>
        <w:jc w:val="both"/>
        <w:rPr>
          <w:rFonts w:ascii="Times New Roman" w:hAnsi="Times New Roman"/>
          <w:sz w:val="24"/>
          <w:szCs w:val="24"/>
          <w:lang w:val="en-US"/>
        </w:rPr>
      </w:pPr>
    </w:p>
    <w:p w14:paraId="45DE6E16" w14:textId="77777777" w:rsidR="009120BA" w:rsidRDefault="009120BA" w:rsidP="009120BA">
      <w:pPr>
        <w:spacing w:after="0" w:line="360" w:lineRule="auto"/>
        <w:jc w:val="both"/>
        <w:rPr>
          <w:rFonts w:ascii="Times New Roman" w:hAnsi="Times New Roman"/>
          <w:sz w:val="24"/>
          <w:szCs w:val="24"/>
          <w:lang w:val="en-US"/>
        </w:rPr>
      </w:pPr>
    </w:p>
    <w:p w14:paraId="01321E88" w14:textId="77777777" w:rsidR="009120BA" w:rsidRDefault="009120BA" w:rsidP="009120BA">
      <w:pPr>
        <w:spacing w:after="0" w:line="360" w:lineRule="auto"/>
        <w:jc w:val="both"/>
        <w:rPr>
          <w:rFonts w:ascii="Times New Roman" w:hAnsi="Times New Roman"/>
          <w:sz w:val="24"/>
          <w:szCs w:val="24"/>
          <w:lang w:val="en-US"/>
        </w:rPr>
      </w:pPr>
    </w:p>
    <w:p w14:paraId="7ACA0764" w14:textId="77777777" w:rsidR="009120BA" w:rsidRDefault="009120BA" w:rsidP="009120BA">
      <w:pPr>
        <w:spacing w:after="0" w:line="360" w:lineRule="auto"/>
        <w:jc w:val="both"/>
        <w:rPr>
          <w:rFonts w:ascii="Times New Roman" w:hAnsi="Times New Roman"/>
          <w:sz w:val="24"/>
          <w:szCs w:val="24"/>
          <w:lang w:val="en-US"/>
        </w:rPr>
      </w:pPr>
    </w:p>
    <w:p w14:paraId="338A8C2E" w14:textId="77777777" w:rsidR="009120BA" w:rsidRDefault="009120BA" w:rsidP="009120BA">
      <w:pPr>
        <w:spacing w:after="0" w:line="360" w:lineRule="auto"/>
        <w:jc w:val="both"/>
        <w:rPr>
          <w:rFonts w:ascii="Times New Roman" w:hAnsi="Times New Roman"/>
          <w:sz w:val="24"/>
          <w:szCs w:val="24"/>
          <w:lang w:val="en-US"/>
        </w:rPr>
      </w:pPr>
    </w:p>
    <w:p w14:paraId="653081AC" w14:textId="77777777" w:rsidR="009120BA" w:rsidRDefault="009120BA" w:rsidP="009120BA">
      <w:pPr>
        <w:spacing w:after="0" w:line="360" w:lineRule="auto"/>
        <w:jc w:val="both"/>
        <w:rPr>
          <w:rFonts w:ascii="Times New Roman" w:hAnsi="Times New Roman"/>
          <w:sz w:val="24"/>
          <w:szCs w:val="24"/>
          <w:lang w:val="en-US"/>
        </w:rPr>
      </w:pPr>
    </w:p>
    <w:p w14:paraId="10EB8FD5" w14:textId="77777777" w:rsidR="009120BA" w:rsidRDefault="009120BA" w:rsidP="009120BA">
      <w:pPr>
        <w:spacing w:after="0" w:line="360" w:lineRule="auto"/>
        <w:jc w:val="both"/>
        <w:rPr>
          <w:rFonts w:ascii="Times New Roman" w:hAnsi="Times New Roman"/>
          <w:sz w:val="24"/>
          <w:szCs w:val="24"/>
          <w:lang w:val="en-US"/>
        </w:rPr>
      </w:pPr>
    </w:p>
    <w:p w14:paraId="37F9AAE2" w14:textId="77777777" w:rsidR="009120BA" w:rsidRDefault="009120BA" w:rsidP="009120BA">
      <w:pPr>
        <w:spacing w:after="0" w:line="360" w:lineRule="auto"/>
        <w:jc w:val="both"/>
        <w:rPr>
          <w:rFonts w:ascii="Times New Roman" w:hAnsi="Times New Roman"/>
          <w:sz w:val="24"/>
          <w:szCs w:val="24"/>
          <w:lang w:val="en-US"/>
        </w:rPr>
      </w:pPr>
    </w:p>
    <w:p w14:paraId="510DF5C5" w14:textId="77777777" w:rsidR="009120BA" w:rsidRDefault="009120BA" w:rsidP="009120BA">
      <w:pPr>
        <w:spacing w:after="0" w:line="360" w:lineRule="auto"/>
        <w:jc w:val="both"/>
        <w:rPr>
          <w:rFonts w:ascii="Times New Roman" w:hAnsi="Times New Roman"/>
          <w:sz w:val="24"/>
          <w:szCs w:val="24"/>
          <w:lang w:val="en-US"/>
        </w:rPr>
      </w:pPr>
    </w:p>
    <w:p w14:paraId="04599A74" w14:textId="77777777" w:rsidR="009120BA" w:rsidRDefault="009120BA" w:rsidP="009120BA">
      <w:pPr>
        <w:spacing w:after="0" w:line="360" w:lineRule="auto"/>
        <w:jc w:val="both"/>
        <w:rPr>
          <w:rFonts w:ascii="Times New Roman" w:hAnsi="Times New Roman"/>
          <w:sz w:val="24"/>
          <w:szCs w:val="24"/>
          <w:lang w:val="en-US"/>
        </w:rPr>
      </w:pPr>
    </w:p>
    <w:p w14:paraId="03B3EEB0" w14:textId="77777777" w:rsidR="009120BA" w:rsidRDefault="009120BA" w:rsidP="009120BA">
      <w:pPr>
        <w:spacing w:after="0" w:line="360" w:lineRule="auto"/>
        <w:jc w:val="both"/>
        <w:rPr>
          <w:rFonts w:ascii="Times New Roman" w:hAnsi="Times New Roman"/>
          <w:sz w:val="24"/>
          <w:szCs w:val="24"/>
          <w:lang w:val="en-US"/>
        </w:rPr>
      </w:pPr>
    </w:p>
    <w:p w14:paraId="7CC0D7C4" w14:textId="77777777" w:rsidR="009120BA" w:rsidRDefault="009120BA" w:rsidP="009120BA">
      <w:pPr>
        <w:spacing w:after="0" w:line="360" w:lineRule="auto"/>
        <w:jc w:val="both"/>
        <w:rPr>
          <w:rFonts w:ascii="Times New Roman" w:hAnsi="Times New Roman"/>
          <w:sz w:val="24"/>
          <w:szCs w:val="24"/>
          <w:lang w:val="en-US"/>
        </w:rPr>
      </w:pPr>
    </w:p>
    <w:p w14:paraId="24A7E76C" w14:textId="77777777" w:rsidR="009120BA" w:rsidRDefault="009120BA" w:rsidP="009120BA">
      <w:pPr>
        <w:spacing w:after="0" w:line="360" w:lineRule="auto"/>
        <w:jc w:val="both"/>
        <w:rPr>
          <w:rFonts w:ascii="Times New Roman" w:hAnsi="Times New Roman"/>
          <w:sz w:val="24"/>
          <w:szCs w:val="24"/>
          <w:lang w:val="en-US"/>
        </w:rPr>
      </w:pPr>
    </w:p>
    <w:p w14:paraId="672AE4D0" w14:textId="77777777" w:rsidR="009120BA" w:rsidRDefault="009120BA" w:rsidP="009120BA">
      <w:pPr>
        <w:spacing w:after="0" w:line="360" w:lineRule="auto"/>
        <w:jc w:val="both"/>
        <w:rPr>
          <w:rFonts w:ascii="Times New Roman" w:hAnsi="Times New Roman"/>
          <w:sz w:val="24"/>
          <w:szCs w:val="24"/>
          <w:lang w:val="en-US"/>
        </w:rPr>
      </w:pPr>
    </w:p>
    <w:p w14:paraId="7AB42648" w14:textId="77777777" w:rsidR="009120BA" w:rsidRDefault="009120BA" w:rsidP="009120BA">
      <w:pPr>
        <w:spacing w:after="0" w:line="360" w:lineRule="auto"/>
        <w:jc w:val="both"/>
        <w:rPr>
          <w:rFonts w:ascii="Times New Roman" w:hAnsi="Times New Roman"/>
          <w:sz w:val="24"/>
          <w:szCs w:val="24"/>
          <w:lang w:val="en-US"/>
        </w:rPr>
      </w:pPr>
    </w:p>
    <w:p w14:paraId="0A2D0466" w14:textId="284F1618" w:rsidR="009120BA" w:rsidRDefault="009120BA" w:rsidP="009120BA">
      <w:pPr>
        <w:keepNext/>
        <w:keepLines/>
        <w:spacing w:before="360" w:after="80" w:line="276" w:lineRule="auto"/>
        <w:outlineLvl w:val="0"/>
        <w:rPr>
          <w:rFonts w:ascii="Times New Roman" w:eastAsia="Times New Roman" w:hAnsi="Times New Roman"/>
          <w:b/>
          <w:bCs/>
          <w:sz w:val="24"/>
          <w:szCs w:val="24"/>
          <w:lang w:val="en-US"/>
        </w:rPr>
      </w:pPr>
      <w:bookmarkStart w:id="6" w:name="_Toc232013501"/>
    </w:p>
    <w:p w14:paraId="02B9E84F" w14:textId="77777777" w:rsidR="009120BA" w:rsidRDefault="009120BA" w:rsidP="009120BA">
      <w:pPr>
        <w:keepNext/>
        <w:keepLines/>
        <w:spacing w:before="360" w:after="80" w:line="276" w:lineRule="auto"/>
        <w:jc w:val="center"/>
        <w:outlineLvl w:val="0"/>
        <w:rPr>
          <w:rFonts w:ascii="Times New Roman" w:eastAsia="Times New Roman" w:hAnsi="Times New Roman"/>
          <w:b/>
          <w:bCs/>
          <w:sz w:val="24"/>
          <w:szCs w:val="24"/>
          <w:lang w:val="en-US"/>
        </w:rPr>
      </w:pPr>
      <w:r>
        <w:rPr>
          <w:rFonts w:ascii="Times New Roman" w:eastAsia="Times New Roman" w:hAnsi="Times New Roman"/>
          <w:b/>
          <w:bCs/>
          <w:sz w:val="24"/>
          <w:szCs w:val="24"/>
          <w:lang w:val="en-US"/>
        </w:rPr>
        <w:t>CHAPTER TWO</w:t>
      </w:r>
      <w:bookmarkEnd w:id="6"/>
    </w:p>
    <w:p w14:paraId="3111D09B"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7" w:name="_Toc232013502"/>
      <w:r>
        <w:rPr>
          <w:rFonts w:ascii="Times New Roman" w:eastAsia="Times New Roman" w:hAnsi="Times New Roman"/>
          <w:b/>
          <w:bCs/>
          <w:sz w:val="24"/>
          <w:szCs w:val="24"/>
          <w:lang w:val="en-US"/>
        </w:rPr>
        <w:t>2.0.   Literature review</w:t>
      </w:r>
      <w:bookmarkEnd w:id="7"/>
      <w:r>
        <w:rPr>
          <w:rFonts w:ascii="Times New Roman" w:eastAsia="Times New Roman" w:hAnsi="Times New Roman"/>
          <w:b/>
          <w:bCs/>
          <w:sz w:val="24"/>
          <w:szCs w:val="24"/>
          <w:lang w:val="en-US"/>
        </w:rPr>
        <w:t xml:space="preserve"> </w:t>
      </w:r>
    </w:p>
    <w:p w14:paraId="137C8B1D"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8" w:name="_Toc232013503"/>
      <w:r>
        <w:rPr>
          <w:rFonts w:ascii="Times New Roman" w:eastAsia="Times New Roman" w:hAnsi="Times New Roman"/>
          <w:b/>
          <w:bCs/>
          <w:sz w:val="24"/>
          <w:szCs w:val="24"/>
          <w:lang w:val="en-US"/>
        </w:rPr>
        <w:t>2.1.  Introduction</w:t>
      </w:r>
      <w:bookmarkEnd w:id="8"/>
    </w:p>
    <w:p w14:paraId="2BF18FB2" w14:textId="0915A92C"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Chapter two </w:t>
      </w:r>
      <w:r w:rsidR="00B330BF">
        <w:rPr>
          <w:rFonts w:ascii="Times New Roman" w:hAnsi="Times New Roman"/>
          <w:sz w:val="24"/>
          <w:szCs w:val="24"/>
          <w:lang w:val="en-US"/>
        </w:rPr>
        <w:t>offers</w:t>
      </w:r>
      <w:r>
        <w:rPr>
          <w:rFonts w:ascii="Times New Roman" w:hAnsi="Times New Roman"/>
          <w:sz w:val="24"/>
          <w:szCs w:val="24"/>
          <w:lang w:val="en-US"/>
        </w:rPr>
        <w:t xml:space="preserve"> a thorough examination of the relevant literature on the subject. This examines essential theoretical and empirical viewpoints on geopolitical supply chain vulnerabilities, dependency on rare earth elements (REE), and leadership approaches in intricate and unpredictable contexts. The chapter consolidates previous research to pinpoint deficiencies in comprehension, specifically about the impact of directive and adaptable leadership styles on organizational reactions to supply chain disturbances. This review establishes the conceptual basis for the study and facilitates the formulation of the research framework.</w:t>
      </w:r>
    </w:p>
    <w:p w14:paraId="6D226BAD"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9" w:name="_Toc232013504"/>
      <w:r>
        <w:rPr>
          <w:rFonts w:ascii="Times New Roman" w:eastAsia="Times New Roman" w:hAnsi="Times New Roman"/>
          <w:b/>
          <w:bCs/>
          <w:sz w:val="24"/>
          <w:szCs w:val="24"/>
          <w:lang w:val="en-US"/>
        </w:rPr>
        <w:t>2.2. Supply chain risks</w:t>
      </w:r>
      <w:bookmarkEnd w:id="9"/>
    </w:p>
    <w:p w14:paraId="5C89C365" w14:textId="16A3FD38"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An occurrence that hinders the movement of products or services within a supply chain is known as a supply chain disruption (</w:t>
      </w:r>
      <w:proofErr w:type="spellStart"/>
      <w:r>
        <w:rPr>
          <w:rFonts w:ascii="Times New Roman" w:hAnsi="Times New Roman"/>
          <w:sz w:val="24"/>
          <w:szCs w:val="24"/>
          <w:lang w:val="en-US"/>
        </w:rPr>
        <w:t>Sawik</w:t>
      </w:r>
      <w:proofErr w:type="spellEnd"/>
      <w:r>
        <w:rPr>
          <w:rFonts w:ascii="Times New Roman" w:hAnsi="Times New Roman"/>
          <w:sz w:val="24"/>
          <w:szCs w:val="24"/>
          <w:lang w:val="en-US"/>
        </w:rPr>
        <w:t xml:space="preserve">, 2020). Disruptions can occur through various means, such as supplier shutdowns, interruptions in industrial operations, or deliberate measures intended to create disruption (Lorenc and </w:t>
      </w:r>
      <w:proofErr w:type="spellStart"/>
      <w:r>
        <w:rPr>
          <w:rFonts w:ascii="Times New Roman" w:hAnsi="Times New Roman"/>
          <w:sz w:val="24"/>
          <w:szCs w:val="24"/>
          <w:lang w:val="en-US"/>
        </w:rPr>
        <w:t>Kuźnar</w:t>
      </w:r>
      <w:proofErr w:type="spellEnd"/>
      <w:r>
        <w:rPr>
          <w:rFonts w:ascii="Times New Roman" w:hAnsi="Times New Roman"/>
          <w:sz w:val="24"/>
          <w:szCs w:val="24"/>
          <w:lang w:val="en-US"/>
        </w:rPr>
        <w:t xml:space="preserve">, 2021). Diverse theoretical frameworks have improved our understanding of supply chain risk. Supply chain risk denotes potential divergences from an organization's core business objectives, leading to a diminishment of value-added activities throughout </w:t>
      </w:r>
      <w:r w:rsidR="009D0057">
        <w:rPr>
          <w:rFonts w:ascii="Times New Roman" w:hAnsi="Times New Roman"/>
          <w:sz w:val="24"/>
          <w:szCs w:val="24"/>
          <w:lang w:val="en-US"/>
        </w:rPr>
        <w:t>assorted</w:t>
      </w:r>
      <w:r>
        <w:rPr>
          <w:rFonts w:ascii="Times New Roman" w:hAnsi="Times New Roman"/>
          <w:sz w:val="24"/>
          <w:szCs w:val="24"/>
          <w:lang w:val="en-US"/>
        </w:rPr>
        <w:t xml:space="preserve"> levels of the supply chain (Sreedevi et al., 2023). A more detailed definition of supply risk is </w:t>
      </w:r>
      <w:r w:rsidR="00C362F8">
        <w:rPr>
          <w:rFonts w:ascii="Times New Roman" w:hAnsi="Times New Roman"/>
          <w:sz w:val="24"/>
          <w:szCs w:val="24"/>
          <w:lang w:val="en-US"/>
        </w:rPr>
        <w:t>a</w:t>
      </w:r>
      <w:r>
        <w:rPr>
          <w:rFonts w:ascii="Times New Roman" w:hAnsi="Times New Roman"/>
          <w:sz w:val="24"/>
          <w:szCs w:val="24"/>
          <w:lang w:val="en-US"/>
        </w:rPr>
        <w:t xml:space="preserve"> possibility and </w:t>
      </w:r>
      <w:r w:rsidR="00C362F8">
        <w:rPr>
          <w:rFonts w:ascii="Times New Roman" w:hAnsi="Times New Roman"/>
          <w:sz w:val="24"/>
          <w:szCs w:val="24"/>
          <w:lang w:val="en-US"/>
        </w:rPr>
        <w:t>penalties</w:t>
      </w:r>
      <w:r>
        <w:rPr>
          <w:rFonts w:ascii="Times New Roman" w:hAnsi="Times New Roman"/>
          <w:sz w:val="24"/>
          <w:szCs w:val="24"/>
          <w:lang w:val="en-US"/>
        </w:rPr>
        <w:t xml:space="preserve"> of unforeseen circumstances</w:t>
      </w:r>
      <w:r w:rsidR="00712A25">
        <w:rPr>
          <w:rFonts w:ascii="Times New Roman" w:hAnsi="Times New Roman"/>
          <w:sz w:val="24"/>
          <w:szCs w:val="24"/>
          <w:lang w:val="en-US"/>
        </w:rPr>
        <w:t>,</w:t>
      </w:r>
      <w:r>
        <w:rPr>
          <w:rFonts w:ascii="Times New Roman" w:hAnsi="Times New Roman"/>
          <w:sz w:val="24"/>
          <w:szCs w:val="24"/>
          <w:lang w:val="en-US"/>
        </w:rPr>
        <w:t xml:space="preserve"> </w:t>
      </w:r>
      <w:proofErr w:type="gramStart"/>
      <w:r>
        <w:rPr>
          <w:rFonts w:ascii="Times New Roman" w:hAnsi="Times New Roman"/>
          <w:sz w:val="24"/>
          <w:szCs w:val="24"/>
          <w:lang w:val="en-US"/>
        </w:rPr>
        <w:t>event</w:t>
      </w:r>
      <w:proofErr w:type="gramEnd"/>
      <w:r>
        <w:rPr>
          <w:rFonts w:ascii="Times New Roman" w:hAnsi="Times New Roman"/>
          <w:sz w:val="24"/>
          <w:szCs w:val="24"/>
          <w:lang w:val="en-US"/>
        </w:rPr>
        <w:t xml:space="preserve"> at the macro and/or micro level that negatively impact any part of a supply chain, lead</w:t>
      </w:r>
      <w:r w:rsidR="00A3171B">
        <w:rPr>
          <w:rFonts w:ascii="Times New Roman" w:hAnsi="Times New Roman"/>
          <w:sz w:val="24"/>
          <w:szCs w:val="24"/>
          <w:lang w:val="en-US"/>
        </w:rPr>
        <w:t>s</w:t>
      </w:r>
      <w:r>
        <w:rPr>
          <w:rFonts w:ascii="Times New Roman" w:hAnsi="Times New Roman"/>
          <w:sz w:val="24"/>
          <w:szCs w:val="24"/>
          <w:lang w:val="en-US"/>
        </w:rPr>
        <w:t xml:space="preserve"> to operational, tactical</w:t>
      </w:r>
      <w:r w:rsidR="005276B2">
        <w:rPr>
          <w:rFonts w:ascii="Times New Roman" w:hAnsi="Times New Roman"/>
          <w:sz w:val="24"/>
          <w:szCs w:val="24"/>
          <w:lang w:val="en-US"/>
        </w:rPr>
        <w:t xml:space="preserve"> and</w:t>
      </w:r>
      <w:r>
        <w:rPr>
          <w:rFonts w:ascii="Times New Roman" w:hAnsi="Times New Roman"/>
          <w:sz w:val="24"/>
          <w:szCs w:val="24"/>
          <w:lang w:val="en-US"/>
        </w:rPr>
        <w:t xml:space="preserve"> strategic failures or anomalies. Roscoe et al. (2022). The intricacy and interdependence of global supply chains have increased their susceptibility to various threats. Purchasers and vendors encounter significant unpredictability arising from geopolitical disturbances, as supply chains sometimes span international borders. Roscoe and colleagues (2022). Sreedevi and Saranga (2017) categories supply chain risks into two main types: disruption risk and operational risk. Disruption risks are associated with occurrences such as natural disasters, terrorist incidents, and labor strikes (Harrington, 2021). In contrast, operational hazards emerge from increased uncertainty and inadequate coordination between supply and demand (Yulianto and </w:t>
      </w:r>
      <w:proofErr w:type="spellStart"/>
      <w:r>
        <w:rPr>
          <w:rFonts w:ascii="Times New Roman" w:hAnsi="Times New Roman"/>
          <w:sz w:val="24"/>
          <w:szCs w:val="24"/>
          <w:lang w:val="en-US"/>
        </w:rPr>
        <w:t>Puterisari</w:t>
      </w:r>
      <w:proofErr w:type="spellEnd"/>
      <w:r>
        <w:rPr>
          <w:rFonts w:ascii="Times New Roman" w:hAnsi="Times New Roman"/>
          <w:sz w:val="24"/>
          <w:szCs w:val="24"/>
          <w:lang w:val="en-US"/>
        </w:rPr>
        <w:t xml:space="preserve">, 2025). The term "operational risk" is equivalent to "internal supply chain risk. Thus, operational risks relate to </w:t>
      </w:r>
      <w:r>
        <w:rPr>
          <w:rFonts w:ascii="Times New Roman" w:hAnsi="Times New Roman"/>
          <w:sz w:val="24"/>
          <w:szCs w:val="24"/>
          <w:lang w:val="en-US"/>
        </w:rPr>
        <w:lastRenderedPageBreak/>
        <w:t>the synchronization of supply and demand, as well as the uncertainties inherent in these factors. The probability of interruption is low; nonetheless, the consequences of such an event could be significant and difficult to manage. The risks associated with the company's operational activities can be mitigated through the effective implementation of a supply chain management system. (</w:t>
      </w:r>
      <w:proofErr w:type="spellStart"/>
      <w:r>
        <w:rPr>
          <w:rFonts w:ascii="Times New Roman" w:hAnsi="Times New Roman"/>
          <w:sz w:val="24"/>
          <w:szCs w:val="24"/>
          <w:lang w:val="en-US"/>
        </w:rPr>
        <w:t>Saragih</w:t>
      </w:r>
      <w:proofErr w:type="spellEnd"/>
      <w:r>
        <w:rPr>
          <w:rFonts w:ascii="Times New Roman" w:hAnsi="Times New Roman"/>
          <w:sz w:val="24"/>
          <w:szCs w:val="24"/>
          <w:lang w:val="en-US"/>
        </w:rPr>
        <w:t xml:space="preserve"> et al., 2020; </w:t>
      </w:r>
      <w:proofErr w:type="spellStart"/>
      <w:r>
        <w:rPr>
          <w:rFonts w:ascii="Times New Roman" w:hAnsi="Times New Roman"/>
          <w:sz w:val="24"/>
          <w:szCs w:val="24"/>
          <w:lang w:val="en-US"/>
        </w:rPr>
        <w:t>Gurtu</w:t>
      </w:r>
      <w:proofErr w:type="spellEnd"/>
      <w:r>
        <w:rPr>
          <w:rFonts w:ascii="Times New Roman" w:hAnsi="Times New Roman"/>
          <w:sz w:val="24"/>
          <w:szCs w:val="24"/>
          <w:lang w:val="en-US"/>
        </w:rPr>
        <w:t xml:space="preserve"> &amp; Johny, 2021). Current study demonstrates that supply chain risk may originate from several sources or contexts. The present findings suggest that a company's supply chain risk mitigation strategies must be customized to the distinct attributes of risk environments (Chang et al. 2015). Research conducted by Sreedevi and Saranga (2017) indicates that a sufficiently adaptable supply chain is an essential risk reduction tool for businesses operating in highly variable environments. To improve supply chain agility amid present volatility and uncertainty, businesses must proficiently manage supply chain risks. The current corporate landscape highlights the critical necessity for effective SCR management due to multiple factors. This includes the rise in outsourcing, global competition, increased need for prompt delivery, rapid technological advancement, and the shortening of product lifecycles. (Shen et al., 2025). Geopolitical issues present considerable obstacles for supply chains, especially for industries dependent on critical raw materials.</w:t>
      </w:r>
    </w:p>
    <w:p w14:paraId="2C19DF5F"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0" w:name="_Toc232013505"/>
      <w:r>
        <w:rPr>
          <w:rFonts w:ascii="Times New Roman" w:eastAsia="Times New Roman" w:hAnsi="Times New Roman"/>
          <w:b/>
          <w:bCs/>
          <w:sz w:val="24"/>
          <w:szCs w:val="24"/>
          <w:lang w:val="en-US"/>
        </w:rPr>
        <w:t>2.3.  Geopolitical risks</w:t>
      </w:r>
      <w:bookmarkEnd w:id="10"/>
    </w:p>
    <w:p w14:paraId="779B05A4" w14:textId="60A9FF51"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Geopolitical risk denotes the possible influence of economic, political, social, and environmental elements on the stability and security of a nation or region. These dangers may vary from modest disturbances to substantial wars that profoundly </w:t>
      </w:r>
      <w:proofErr w:type="gramStart"/>
      <w:r>
        <w:rPr>
          <w:rFonts w:ascii="Times New Roman" w:hAnsi="Times New Roman"/>
          <w:sz w:val="24"/>
          <w:szCs w:val="24"/>
          <w:lang w:val="en-US"/>
        </w:rPr>
        <w:t>impact</w:t>
      </w:r>
      <w:proofErr w:type="gramEnd"/>
      <w:r>
        <w:rPr>
          <w:rFonts w:ascii="Times New Roman" w:hAnsi="Times New Roman"/>
          <w:sz w:val="24"/>
          <w:szCs w:val="24"/>
          <w:lang w:val="en-US"/>
        </w:rPr>
        <w:t xml:space="preserve"> the global economy. These risks can affect nations in multiple ways, including supply chain disruptions, demographic shifts, cultural disparities, societal transformations, climate change, natural disasters, and resource depletion. (Feng et al., 2024) Geopolitical risks often denote the possible threats arising from hostilities between nations. Such tensions can undermine the systematic and smooth execution of international relations, resulting in terrorist acts and conflicts. (Khan, Khurshid, &amp; Cifuentes-Faura, 2023) Caldara and Iacoviello (2022) describe geopolitical risk as the danger, manifestation, and intensification of adverse events associated with warfare, terrorism, and conflicts among</w:t>
      </w:r>
      <w:r w:rsidR="001D022A">
        <w:rPr>
          <w:rFonts w:ascii="Times New Roman" w:hAnsi="Times New Roman"/>
          <w:sz w:val="24"/>
          <w:szCs w:val="24"/>
          <w:lang w:val="en-US"/>
        </w:rPr>
        <w:t>st</w:t>
      </w:r>
      <w:r>
        <w:rPr>
          <w:rFonts w:ascii="Times New Roman" w:hAnsi="Times New Roman"/>
          <w:sz w:val="24"/>
          <w:szCs w:val="24"/>
          <w:lang w:val="en-US"/>
        </w:rPr>
        <w:t xml:space="preserve"> nations</w:t>
      </w:r>
      <w:r w:rsidR="00D26997">
        <w:rPr>
          <w:rFonts w:ascii="Times New Roman" w:hAnsi="Times New Roman"/>
          <w:sz w:val="24"/>
          <w:szCs w:val="24"/>
          <w:lang w:val="en-US"/>
        </w:rPr>
        <w:t xml:space="preserve">, </w:t>
      </w:r>
      <w:r>
        <w:rPr>
          <w:rFonts w:ascii="Times New Roman" w:hAnsi="Times New Roman"/>
          <w:sz w:val="24"/>
          <w:szCs w:val="24"/>
          <w:lang w:val="en-US"/>
        </w:rPr>
        <w:t xml:space="preserve">political leaders that hinder the harmonious advancement </w:t>
      </w:r>
      <w:r w:rsidR="00BF2869">
        <w:rPr>
          <w:rFonts w:ascii="Times New Roman" w:hAnsi="Times New Roman"/>
          <w:sz w:val="24"/>
          <w:szCs w:val="24"/>
          <w:lang w:val="en-US"/>
        </w:rPr>
        <w:t>in</w:t>
      </w:r>
      <w:r>
        <w:rPr>
          <w:rFonts w:ascii="Times New Roman" w:hAnsi="Times New Roman"/>
          <w:sz w:val="24"/>
          <w:szCs w:val="24"/>
          <w:lang w:val="en-US"/>
        </w:rPr>
        <w:t xml:space="preserve"> international relations. Geopolitics, risk, and resource nationalism influence essential minerals. They are crucial for technologies required to decarbonize and attain net zero energy (Bhamra et al. 2024) and possess distinctive physical and chemical features; efficient substitution is not feasible without a decline in performance or functionality. Businesses are functioning in a progressively unstable and dynamic market landscape that frequently subjects </w:t>
      </w:r>
      <w:r>
        <w:rPr>
          <w:rFonts w:ascii="Times New Roman" w:hAnsi="Times New Roman"/>
          <w:sz w:val="24"/>
          <w:szCs w:val="24"/>
          <w:lang w:val="en-US"/>
        </w:rPr>
        <w:lastRenderedPageBreak/>
        <w:t>organizations to supply risk. The disruption of goods flow by high-impact, low-probability events, such as natural disasters (storms, landslides, cyclones, quakes, tsunamis, pandemics), man-made disasters (such as nuclear accidents, hazardous material spills, poisonings, warfare, terrorist attacks), or social unrest (litigation or strikes), is a significant risk (</w:t>
      </w:r>
      <w:proofErr w:type="spellStart"/>
      <w:r>
        <w:rPr>
          <w:rFonts w:ascii="Times New Roman" w:hAnsi="Times New Roman"/>
          <w:sz w:val="24"/>
          <w:szCs w:val="24"/>
          <w:lang w:val="en-US"/>
        </w:rPr>
        <w:t>Gruchmann</w:t>
      </w:r>
      <w:proofErr w:type="spellEnd"/>
      <w:r>
        <w:rPr>
          <w:rFonts w:ascii="Times New Roman" w:hAnsi="Times New Roman"/>
          <w:sz w:val="24"/>
          <w:szCs w:val="24"/>
          <w:lang w:val="en-US"/>
        </w:rPr>
        <w:t xml:space="preserve"> et al., 2024) During a period when dependence on electronics was essential for pandemic response, interruptions in manufacturing and mining started to exert pressure on the worldwide supply chains required for the production of these devices. For instance, numerous minerals and components in electronics originate from mining and manufacture in China, the first nation to implement a lockdown to curb the spread of the COVID-19 epidemic. (</w:t>
      </w:r>
      <w:proofErr w:type="spellStart"/>
      <w:r>
        <w:rPr>
          <w:rFonts w:ascii="Times New Roman" w:hAnsi="Times New Roman"/>
          <w:sz w:val="24"/>
          <w:szCs w:val="24"/>
          <w:lang w:val="en-US"/>
        </w:rPr>
        <w:t>Athaf</w:t>
      </w:r>
      <w:proofErr w:type="spellEnd"/>
      <w:r>
        <w:rPr>
          <w:rFonts w:ascii="Times New Roman" w:hAnsi="Times New Roman"/>
          <w:sz w:val="24"/>
          <w:szCs w:val="24"/>
          <w:lang w:val="en-US"/>
        </w:rPr>
        <w:t xml:space="preserve"> and Babbitt, 2021) As technological advancements perpetually improve the capabilities of electronic equipment, the utilization of resources concurrently escalates. Contemporary electronics are projected to comprise around 60 distinct elements sourced from more than 50 nations, with numerous vital materials for modern technology being included in the expanding catalogue of strategic or "critical" minerals. This underscores their significance in contemporary technology and the potential for supply disruption arising from geopolitical wars, natural disasters, or global health emergencies. (</w:t>
      </w:r>
      <w:proofErr w:type="spellStart"/>
      <w:r>
        <w:rPr>
          <w:rFonts w:ascii="Times New Roman" w:hAnsi="Times New Roman"/>
          <w:sz w:val="24"/>
          <w:szCs w:val="24"/>
          <w:lang w:val="en-US"/>
        </w:rPr>
        <w:t>Athaf</w:t>
      </w:r>
      <w:proofErr w:type="spellEnd"/>
      <w:r>
        <w:rPr>
          <w:rFonts w:ascii="Times New Roman" w:hAnsi="Times New Roman"/>
          <w:sz w:val="24"/>
          <w:szCs w:val="24"/>
          <w:lang w:val="en-US"/>
        </w:rPr>
        <w:t xml:space="preserve"> and Babbitt, 2021)</w:t>
      </w:r>
    </w:p>
    <w:p w14:paraId="11346562"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1" w:name="_Toc232013506"/>
      <w:r>
        <w:rPr>
          <w:rFonts w:ascii="Times New Roman" w:eastAsia="Times New Roman" w:hAnsi="Times New Roman"/>
          <w:b/>
          <w:bCs/>
          <w:sz w:val="24"/>
          <w:szCs w:val="24"/>
          <w:lang w:val="en-US"/>
        </w:rPr>
        <w:t xml:space="preserve">2.3.1. </w:t>
      </w:r>
      <w:bookmarkEnd w:id="11"/>
      <w:r>
        <w:rPr>
          <w:rFonts w:ascii="Times New Roman" w:eastAsia="Times New Roman" w:hAnsi="Times New Roman"/>
          <w:b/>
          <w:bCs/>
          <w:sz w:val="24"/>
          <w:szCs w:val="24"/>
          <w:lang w:val="en-US"/>
        </w:rPr>
        <w:t>Strategic Importance and Supply Chain Vulnerabilities of Rare Earth Element</w:t>
      </w:r>
    </w:p>
    <w:p w14:paraId="22221D5F" w14:textId="793EB1A6" w:rsidR="009120BA" w:rsidRDefault="009120BA" w:rsidP="009120BA">
      <w:pPr>
        <w:spacing w:after="0" w:line="360" w:lineRule="auto"/>
        <w:ind w:firstLine="360"/>
        <w:jc w:val="both"/>
        <w:rPr>
          <w:rFonts w:ascii="Times New Roman" w:hAnsi="Times New Roman"/>
          <w:sz w:val="24"/>
          <w:szCs w:val="24"/>
          <w:lang w:val="en-US"/>
        </w:rPr>
      </w:pPr>
      <w:r>
        <w:rPr>
          <w:rFonts w:ascii="Times New Roman" w:hAnsi="Times New Roman"/>
          <w:sz w:val="24"/>
          <w:szCs w:val="24"/>
          <w:lang w:val="en-US"/>
        </w:rPr>
        <w:t>The</w:t>
      </w:r>
      <w:r w:rsidR="00890A56">
        <w:rPr>
          <w:rFonts w:ascii="Times New Roman" w:hAnsi="Times New Roman"/>
          <w:sz w:val="24"/>
          <w:szCs w:val="24"/>
          <w:lang w:val="en-US"/>
        </w:rPr>
        <w:t>re are</w:t>
      </w:r>
      <w:r>
        <w:rPr>
          <w:rFonts w:ascii="Times New Roman" w:hAnsi="Times New Roman"/>
          <w:sz w:val="24"/>
          <w:szCs w:val="24"/>
          <w:lang w:val="en-US"/>
        </w:rPr>
        <w:t xml:space="preserve"> 17 chemically related metallic elements known as rare earth elements (REEs) are essential to many contemporary technologies, such as </w:t>
      </w:r>
      <w:r w:rsidR="00710546">
        <w:rPr>
          <w:rFonts w:ascii="Times New Roman" w:hAnsi="Times New Roman"/>
          <w:sz w:val="24"/>
          <w:szCs w:val="24"/>
          <w:lang w:val="en-US"/>
        </w:rPr>
        <w:t>purchaser</w:t>
      </w:r>
      <w:r>
        <w:rPr>
          <w:rFonts w:ascii="Times New Roman" w:hAnsi="Times New Roman"/>
          <w:sz w:val="24"/>
          <w:szCs w:val="24"/>
          <w:lang w:val="en-US"/>
        </w:rPr>
        <w:t xml:space="preserve"> electronics</w:t>
      </w:r>
      <w:r w:rsidR="000230B9">
        <w:rPr>
          <w:rFonts w:ascii="Times New Roman" w:hAnsi="Times New Roman"/>
          <w:sz w:val="24"/>
          <w:szCs w:val="24"/>
          <w:lang w:val="en-US"/>
        </w:rPr>
        <w:t xml:space="preserve"> plus </w:t>
      </w:r>
      <w:r>
        <w:rPr>
          <w:rFonts w:ascii="Times New Roman" w:hAnsi="Times New Roman"/>
          <w:sz w:val="24"/>
          <w:szCs w:val="24"/>
          <w:lang w:val="en-US"/>
        </w:rPr>
        <w:t xml:space="preserve">renewable energy sources, electric vehicles, </w:t>
      </w:r>
      <w:r w:rsidR="000230B9">
        <w:rPr>
          <w:rFonts w:ascii="Times New Roman" w:hAnsi="Times New Roman"/>
          <w:sz w:val="24"/>
          <w:szCs w:val="24"/>
          <w:lang w:val="en-US"/>
        </w:rPr>
        <w:t>with</w:t>
      </w:r>
      <w:r>
        <w:rPr>
          <w:rFonts w:ascii="Times New Roman" w:hAnsi="Times New Roman"/>
          <w:sz w:val="24"/>
          <w:szCs w:val="24"/>
          <w:lang w:val="en-US"/>
        </w:rPr>
        <w:t xml:space="preserve"> cutting-edge defense applications (Sager and Wiche, 2024). They are essential for industries promoting national security and international innovation because of their special magnetic, fluorescent, and electrical conductivity qualities (Sager and Wiche, 2024). Electric vehicles (EVs)</w:t>
      </w:r>
      <w:r w:rsidR="00F05270">
        <w:rPr>
          <w:rFonts w:ascii="Times New Roman" w:hAnsi="Times New Roman"/>
          <w:sz w:val="24"/>
          <w:szCs w:val="24"/>
          <w:lang w:val="en-US"/>
        </w:rPr>
        <w:t xml:space="preserve"> and </w:t>
      </w:r>
      <w:r>
        <w:rPr>
          <w:rFonts w:ascii="Times New Roman" w:hAnsi="Times New Roman"/>
          <w:sz w:val="24"/>
          <w:szCs w:val="24"/>
          <w:lang w:val="en-US"/>
        </w:rPr>
        <w:t xml:space="preserve">wind turbines, semiconductors, sophisticated electronics, and numerous defense </w:t>
      </w:r>
      <w:proofErr w:type="gramStart"/>
      <w:r>
        <w:rPr>
          <w:rFonts w:ascii="Times New Roman" w:hAnsi="Times New Roman"/>
          <w:sz w:val="24"/>
          <w:szCs w:val="24"/>
          <w:lang w:val="en-US"/>
        </w:rPr>
        <w:t>technolog</w:t>
      </w:r>
      <w:r w:rsidR="005C71FF">
        <w:rPr>
          <w:rFonts w:ascii="Times New Roman" w:hAnsi="Times New Roman"/>
          <w:sz w:val="24"/>
          <w:szCs w:val="24"/>
          <w:lang w:val="en-US"/>
        </w:rPr>
        <w:t>y</w:t>
      </w:r>
      <w:proofErr w:type="gramEnd"/>
      <w:r>
        <w:rPr>
          <w:rFonts w:ascii="Times New Roman" w:hAnsi="Times New Roman"/>
          <w:sz w:val="24"/>
          <w:szCs w:val="24"/>
          <w:lang w:val="en-US"/>
        </w:rPr>
        <w:t>, such as F-35 fighter aircraft, Tomahawk missiles, radar systems, and unmanned aerial vehicles, depend on rare earth elements (REEs) (Zhao et al., 2025). The demand for rare earth elements, especially for permanent magnets, is rising quickly due to ongoing global energy transition, which is marked by a notable shift toward renewable energy and electrification (Ghorbani et al., 2025).</w:t>
      </w:r>
    </w:p>
    <w:p w14:paraId="11CD84E7" w14:textId="3F8D5B4D" w:rsidR="009120BA" w:rsidRDefault="009120BA" w:rsidP="009120BA">
      <w:pPr>
        <w:spacing w:after="0" w:line="360" w:lineRule="auto"/>
        <w:ind w:firstLine="720"/>
        <w:jc w:val="both"/>
      </w:pPr>
      <w:r>
        <w:rPr>
          <w:rFonts w:ascii="Times New Roman" w:hAnsi="Times New Roman"/>
          <w:sz w:val="24"/>
          <w:szCs w:val="24"/>
          <w:lang w:val="en-US"/>
        </w:rPr>
        <w:t xml:space="preserve">Rare earth elements (REEs) </w:t>
      </w:r>
      <w:proofErr w:type="gramStart"/>
      <w:r w:rsidR="009B738F">
        <w:rPr>
          <w:rFonts w:ascii="Times New Roman" w:hAnsi="Times New Roman"/>
          <w:sz w:val="24"/>
          <w:szCs w:val="24"/>
          <w:lang w:val="en-US"/>
        </w:rPr>
        <w:t>ha</w:t>
      </w:r>
      <w:r w:rsidR="00462A04">
        <w:rPr>
          <w:rFonts w:ascii="Times New Roman" w:hAnsi="Times New Roman"/>
          <w:sz w:val="24"/>
          <w:szCs w:val="24"/>
          <w:lang w:val="en-US"/>
        </w:rPr>
        <w:t>s</w:t>
      </w:r>
      <w:proofErr w:type="gramEnd"/>
      <w:r>
        <w:rPr>
          <w:rFonts w:ascii="Times New Roman" w:hAnsi="Times New Roman"/>
          <w:sz w:val="24"/>
          <w:szCs w:val="24"/>
          <w:lang w:val="en-US"/>
        </w:rPr>
        <w:t xml:space="preserve"> becom</w:t>
      </w:r>
      <w:r w:rsidR="00C838AA">
        <w:rPr>
          <w:rFonts w:ascii="Times New Roman" w:hAnsi="Times New Roman"/>
          <w:sz w:val="24"/>
          <w:szCs w:val="24"/>
          <w:lang w:val="en-US"/>
        </w:rPr>
        <w:t>e</w:t>
      </w:r>
      <w:r>
        <w:rPr>
          <w:rFonts w:ascii="Times New Roman" w:hAnsi="Times New Roman"/>
          <w:sz w:val="24"/>
          <w:szCs w:val="24"/>
          <w:lang w:val="en-US"/>
        </w:rPr>
        <w:t xml:space="preserve"> strategic geopolitical assets rather than just commodities due to concentrated nature of their supply chain and the growing </w:t>
      </w:r>
      <w:r w:rsidR="000674F3">
        <w:rPr>
          <w:rFonts w:ascii="Times New Roman" w:hAnsi="Times New Roman"/>
          <w:sz w:val="24"/>
          <w:szCs w:val="24"/>
          <w:lang w:val="en-US"/>
        </w:rPr>
        <w:t>quest</w:t>
      </w:r>
      <w:r>
        <w:rPr>
          <w:rFonts w:ascii="Times New Roman" w:hAnsi="Times New Roman"/>
          <w:sz w:val="24"/>
          <w:szCs w:val="24"/>
          <w:lang w:val="en-US"/>
        </w:rPr>
        <w:t xml:space="preserve"> for REEs in vital civilian and military technologies (Zhao et al., 2025). China's past actions, like restricting the export of rare earth elements </w:t>
      </w:r>
      <w:r w:rsidR="00EE3761">
        <w:rPr>
          <w:rFonts w:ascii="Times New Roman" w:hAnsi="Times New Roman"/>
          <w:sz w:val="24"/>
          <w:szCs w:val="24"/>
          <w:lang w:val="en-US"/>
        </w:rPr>
        <w:t xml:space="preserve">via </w:t>
      </w:r>
      <w:r>
        <w:rPr>
          <w:rFonts w:ascii="Times New Roman" w:hAnsi="Times New Roman"/>
          <w:sz w:val="24"/>
          <w:szCs w:val="24"/>
          <w:lang w:val="en-US"/>
        </w:rPr>
        <w:t xml:space="preserve">trade </w:t>
      </w:r>
      <w:r w:rsidR="000C53C8">
        <w:rPr>
          <w:rFonts w:ascii="Times New Roman" w:hAnsi="Times New Roman"/>
          <w:sz w:val="24"/>
          <w:szCs w:val="24"/>
          <w:lang w:val="en-US"/>
        </w:rPr>
        <w:t>arguments</w:t>
      </w:r>
      <w:r>
        <w:rPr>
          <w:rFonts w:ascii="Times New Roman" w:hAnsi="Times New Roman"/>
          <w:sz w:val="24"/>
          <w:szCs w:val="24"/>
          <w:lang w:val="en-US"/>
        </w:rPr>
        <w:t>, show how control over this supply chain can be a potent tool for political and economic leverage.</w:t>
      </w:r>
      <w:r>
        <w:rPr>
          <w:rFonts w:ascii="Times New Roman" w:eastAsia="Times New Roman" w:hAnsi="Times New Roman"/>
          <w:kern w:val="0"/>
          <w:sz w:val="24"/>
          <w:szCs w:val="24"/>
          <w:lang w:val="en-US"/>
        </w:rPr>
        <w:t xml:space="preserve"> </w:t>
      </w:r>
      <w:r>
        <w:rPr>
          <w:rFonts w:ascii="Times New Roman" w:hAnsi="Times New Roman"/>
          <w:sz w:val="24"/>
          <w:szCs w:val="24"/>
          <w:lang w:val="en-US"/>
        </w:rPr>
        <w:t xml:space="preserve">This means that the </w:t>
      </w:r>
      <w:r>
        <w:rPr>
          <w:rFonts w:ascii="Times New Roman" w:hAnsi="Times New Roman"/>
          <w:sz w:val="24"/>
          <w:szCs w:val="24"/>
          <w:lang w:val="en-US"/>
        </w:rPr>
        <w:lastRenderedPageBreak/>
        <w:t xml:space="preserve">creation of a stable and diverse supply chain for rare earth elements not only industrial policy decision but also </w:t>
      </w:r>
      <w:proofErr w:type="gramStart"/>
      <w:r>
        <w:rPr>
          <w:rFonts w:ascii="Times New Roman" w:hAnsi="Times New Roman"/>
          <w:sz w:val="24"/>
          <w:szCs w:val="24"/>
          <w:lang w:val="en-US"/>
        </w:rPr>
        <w:t>a necessary prerequisite</w:t>
      </w:r>
      <w:proofErr w:type="gramEnd"/>
      <w:r>
        <w:rPr>
          <w:rFonts w:ascii="Times New Roman" w:hAnsi="Times New Roman"/>
          <w:sz w:val="24"/>
          <w:szCs w:val="24"/>
          <w:lang w:val="en-US"/>
        </w:rPr>
        <w:t xml:space="preserve"> for economic resilience and strategic autonomy </w:t>
      </w:r>
      <w:proofErr w:type="gramStart"/>
      <w:r>
        <w:rPr>
          <w:rFonts w:ascii="Times New Roman" w:hAnsi="Times New Roman"/>
          <w:sz w:val="24"/>
          <w:szCs w:val="24"/>
          <w:lang w:val="en-US"/>
        </w:rPr>
        <w:t>in order for</w:t>
      </w:r>
      <w:proofErr w:type="gramEnd"/>
      <w:r>
        <w:rPr>
          <w:rFonts w:ascii="Times New Roman" w:hAnsi="Times New Roman"/>
          <w:sz w:val="24"/>
          <w:szCs w:val="24"/>
          <w:lang w:val="en-US"/>
        </w:rPr>
        <w:t xml:space="preserve"> countries to guarantee energy security, technological competitiveness, and national defense capabilities. China dominates the entire value chain in the global rare earth element market, which has a high concentration of production and processing capacity (Ghorbani et al., 2025; Reuters, 2025). For other countries that depend on these resources, this extensive control over the extraction of raw materials and crucial downstream processing and production creates significant supply chain vulnerabilit</w:t>
      </w:r>
      <w:r w:rsidR="00DB29B8">
        <w:rPr>
          <w:rFonts w:ascii="Times New Roman" w:hAnsi="Times New Roman"/>
          <w:sz w:val="24"/>
          <w:szCs w:val="24"/>
          <w:lang w:val="en-US"/>
        </w:rPr>
        <w:t>y</w:t>
      </w:r>
      <w:r>
        <w:rPr>
          <w:rFonts w:ascii="Times New Roman" w:hAnsi="Times New Roman"/>
          <w:sz w:val="24"/>
          <w:szCs w:val="24"/>
          <w:lang w:val="en-US"/>
        </w:rPr>
        <w:t>.</w:t>
      </w:r>
    </w:p>
    <w:p w14:paraId="14705F06" w14:textId="2945B4C3" w:rsidR="009120BA" w:rsidRDefault="0088441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CE29A5">
        <w:rPr>
          <w:rFonts w:ascii="Times New Roman" w:hAnsi="Times New Roman"/>
          <w:sz w:val="24"/>
          <w:szCs w:val="24"/>
          <w:lang w:val="en-US"/>
        </w:rPr>
        <w:t>S</w:t>
      </w:r>
      <w:r w:rsidR="009120BA">
        <w:rPr>
          <w:rFonts w:ascii="Times New Roman" w:hAnsi="Times New Roman"/>
          <w:sz w:val="24"/>
          <w:szCs w:val="24"/>
          <w:lang w:val="en-US"/>
        </w:rPr>
        <w:t xml:space="preserve">upply chain of rare earth elements (REE) in United Kingdom illustrates a notable case of geopolitical and industrial vulnerability, particularly throughout the global transition to clean energy and advanced manufacturing. Recent evidence demonstrates that the UK is wholly dependent on imports for rare earth permanent magnets (REPMs), lacking domestic manufacturing capacity, thereby positioning the nation as a downstream consumer in global value chains rather than an active industrial contributor (Rare Earth Exchanges, 2025). A key issue within the UK REE system is supply chain fragmentation, characterized by disjointed material flows, weak integration of upstream and downstream activities, and insufficient coordination among stakeholders (Innovate UK Business Connect, 2025). The UK imports substantial amounts of rare earth elements, approximately 7,787 tones in magnets and 1,238 tones in chemical form, yet it lacks the industrial capability to convert these resources into high-value finished products domestically (Hsu et al., 2024; Rare Earth Exchanges, 2025). Refined rare earth elements produced in the UK are often exported, while finished magnets are re-imported at higher prices. This circular inefficiency indicates economic leakage and underscores a strategic failure to capitalize on value inside national supply chains. Currently, over 4,200 </w:t>
      </w:r>
      <w:proofErr w:type="spellStart"/>
      <w:r w:rsidR="009120BA">
        <w:rPr>
          <w:rFonts w:ascii="Times New Roman" w:hAnsi="Times New Roman"/>
          <w:sz w:val="24"/>
          <w:szCs w:val="24"/>
          <w:lang w:val="en-US"/>
        </w:rPr>
        <w:t>tones of</w:t>
      </w:r>
      <w:proofErr w:type="spellEnd"/>
      <w:r w:rsidR="009120BA">
        <w:rPr>
          <w:rFonts w:ascii="Times New Roman" w:hAnsi="Times New Roman"/>
          <w:sz w:val="24"/>
          <w:szCs w:val="24"/>
          <w:lang w:val="en-US"/>
        </w:rPr>
        <w:t xml:space="preserve"> rare earth elements are incorporated into domestic infrastructure, particularly in electric vehicles and wind turbines, accounting for roughly 10% of global annual production. Despite this significant in-use inventory, the UK has virtually no functional recycling or recovery infrastructure (Rare Earth Exchanges, 2025).</w:t>
      </w:r>
    </w:p>
    <w:p w14:paraId="35FA1922"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2" w:name="_Toc232013507"/>
      <w:r>
        <w:rPr>
          <w:rFonts w:ascii="Times New Roman" w:eastAsia="Times New Roman" w:hAnsi="Times New Roman"/>
          <w:b/>
          <w:bCs/>
          <w:sz w:val="24"/>
          <w:szCs w:val="24"/>
          <w:lang w:val="en-US"/>
        </w:rPr>
        <w:t>2.4. Geopolitics and Geo-economics of REE</w:t>
      </w:r>
      <w:bookmarkEnd w:id="12"/>
    </w:p>
    <w:p w14:paraId="56A310C8" w14:textId="63FA728F" w:rsidR="009120BA" w:rsidRDefault="009120BA" w:rsidP="009120BA">
      <w:pPr>
        <w:spacing w:after="0" w:line="360" w:lineRule="auto"/>
        <w:jc w:val="both"/>
        <w:rPr>
          <w:rFonts w:ascii="Times New Roman" w:hAnsi="Times New Roman"/>
          <w:sz w:val="24"/>
          <w:szCs w:val="24"/>
          <w:lang w:val="en-US"/>
        </w:rPr>
      </w:pPr>
      <w:proofErr w:type="gramStart"/>
      <w:r>
        <w:rPr>
          <w:rFonts w:ascii="Times New Roman" w:hAnsi="Times New Roman"/>
          <w:sz w:val="24"/>
          <w:szCs w:val="24"/>
          <w:lang w:val="en-US"/>
        </w:rPr>
        <w:t>The geopolitics</w:t>
      </w:r>
      <w:proofErr w:type="gramEnd"/>
      <w:r>
        <w:rPr>
          <w:rFonts w:ascii="Times New Roman" w:hAnsi="Times New Roman"/>
          <w:sz w:val="24"/>
          <w:szCs w:val="24"/>
          <w:lang w:val="en-US"/>
        </w:rPr>
        <w:t xml:space="preserve"> and geo-economics </w:t>
      </w:r>
      <w:r w:rsidR="007205D3">
        <w:rPr>
          <w:rFonts w:ascii="Times New Roman" w:hAnsi="Times New Roman"/>
          <w:sz w:val="24"/>
          <w:szCs w:val="24"/>
          <w:lang w:val="en-US"/>
        </w:rPr>
        <w:t xml:space="preserve">connecting </w:t>
      </w:r>
      <w:r w:rsidR="00203548">
        <w:rPr>
          <w:rFonts w:ascii="Times New Roman" w:hAnsi="Times New Roman"/>
          <w:sz w:val="24"/>
          <w:szCs w:val="24"/>
          <w:lang w:val="en-US"/>
        </w:rPr>
        <w:t>to</w:t>
      </w:r>
      <w:r>
        <w:rPr>
          <w:rFonts w:ascii="Times New Roman" w:hAnsi="Times New Roman"/>
          <w:sz w:val="24"/>
          <w:szCs w:val="24"/>
          <w:lang w:val="en-US"/>
        </w:rPr>
        <w:t xml:space="preserve"> rare earth elements (REEs) are essential in current discussions on global power, supply chain robustness, and technological autonomy. Rare Earth Elements (REEs) now </w:t>
      </w:r>
      <w:r w:rsidR="006D7339">
        <w:rPr>
          <w:rFonts w:ascii="Times New Roman" w:hAnsi="Times New Roman"/>
          <w:sz w:val="24"/>
          <w:szCs w:val="24"/>
          <w:lang w:val="en-US"/>
        </w:rPr>
        <w:t xml:space="preserve">are </w:t>
      </w:r>
      <w:r>
        <w:rPr>
          <w:rFonts w:ascii="Times New Roman" w:hAnsi="Times New Roman"/>
          <w:sz w:val="24"/>
          <w:szCs w:val="24"/>
          <w:lang w:val="en-US"/>
        </w:rPr>
        <w:t xml:space="preserve">acknowledged as strategically critical minerals due to their vital function in high-tech manufacturing, defense systems, renewable energy technologies, and electric vehicles, rendering them essential to contemporary industrial </w:t>
      </w:r>
      <w:r>
        <w:rPr>
          <w:rFonts w:ascii="Times New Roman" w:hAnsi="Times New Roman"/>
          <w:sz w:val="24"/>
          <w:szCs w:val="24"/>
          <w:lang w:val="en-US"/>
        </w:rPr>
        <w:lastRenderedPageBreak/>
        <w:t>economies (Sims et al., 2014; US Department of the Interior, 2018). Their unequal geographical distribution and concentration of processing capacity, especially China's preeminence in global refining and supply chains, have exacerbated geopolitical dependence and vulnerabilities (</w:t>
      </w:r>
      <w:proofErr w:type="spellStart"/>
      <w:r>
        <w:rPr>
          <w:rFonts w:ascii="Times New Roman" w:hAnsi="Times New Roman"/>
          <w:sz w:val="24"/>
          <w:szCs w:val="24"/>
          <w:lang w:val="en-US"/>
        </w:rPr>
        <w:t>Kalantzakos</w:t>
      </w:r>
      <w:proofErr w:type="spellEnd"/>
      <w:r>
        <w:rPr>
          <w:rFonts w:ascii="Times New Roman" w:hAnsi="Times New Roman"/>
          <w:sz w:val="24"/>
          <w:szCs w:val="24"/>
          <w:lang w:val="en-US"/>
        </w:rPr>
        <w:t xml:space="preserve">, 2017; </w:t>
      </w:r>
      <w:proofErr w:type="spellStart"/>
      <w:r>
        <w:rPr>
          <w:rFonts w:ascii="Times New Roman" w:hAnsi="Times New Roman"/>
          <w:sz w:val="24"/>
          <w:szCs w:val="24"/>
          <w:lang w:val="en-US"/>
        </w:rPr>
        <w:t>Mancheri</w:t>
      </w:r>
      <w:proofErr w:type="spellEnd"/>
      <w:r>
        <w:rPr>
          <w:rFonts w:ascii="Times New Roman" w:hAnsi="Times New Roman"/>
          <w:sz w:val="24"/>
          <w:szCs w:val="24"/>
          <w:lang w:val="en-US"/>
        </w:rPr>
        <w:t>, 2015). The asymmetry has converted rare earth elements into tools of statecraft, with supply restrictions and export controls increasingly employed as geopolitical leverage, as demonstrated in conflicts such as the China-Japan dispute and the wider US-China trade tensions (Bradsher, 2010; Blanchard, Martina, and Daly, 2019).</w:t>
      </w:r>
    </w:p>
    <w:p w14:paraId="48C7A3EB"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From a geo-economic standpoint, scholars contend that modern international relations are increasingly influenced by economic instruments of power, such as resource control, sanctions, and trade restrictions, rather than solely by traditional military confrontation (</w:t>
      </w:r>
      <w:proofErr w:type="spellStart"/>
      <w:r>
        <w:rPr>
          <w:rFonts w:ascii="Times New Roman" w:hAnsi="Times New Roman"/>
          <w:sz w:val="24"/>
          <w:szCs w:val="24"/>
          <w:lang w:val="en-US"/>
        </w:rPr>
        <w:t>Luttwak</w:t>
      </w:r>
      <w:proofErr w:type="spellEnd"/>
      <w:r>
        <w:rPr>
          <w:rFonts w:ascii="Times New Roman" w:hAnsi="Times New Roman"/>
          <w:sz w:val="24"/>
          <w:szCs w:val="24"/>
          <w:lang w:val="en-US"/>
        </w:rPr>
        <w:t xml:space="preserve">, 1990; Blackwill and Harris, 2016). In this perspective, rare earth elements serve as strategic assets integrated within global value chains, where interruption at any phase—extraction, processing, or distribution, can yield substantial economic and security repercussions (Lorenc and </w:t>
      </w:r>
      <w:proofErr w:type="spellStart"/>
      <w:r>
        <w:rPr>
          <w:rFonts w:ascii="Times New Roman" w:hAnsi="Times New Roman"/>
          <w:sz w:val="24"/>
          <w:szCs w:val="24"/>
          <w:lang w:val="en-US"/>
        </w:rPr>
        <w:t>Kuźnar</w:t>
      </w:r>
      <w:proofErr w:type="spellEnd"/>
      <w:r>
        <w:rPr>
          <w:rFonts w:ascii="Times New Roman" w:hAnsi="Times New Roman"/>
          <w:sz w:val="24"/>
          <w:szCs w:val="24"/>
          <w:lang w:val="en-US"/>
        </w:rPr>
        <w:t xml:space="preserve">, 2021; </w:t>
      </w:r>
      <w:proofErr w:type="spellStart"/>
      <w:r>
        <w:rPr>
          <w:rFonts w:ascii="Times New Roman" w:hAnsi="Times New Roman"/>
          <w:sz w:val="24"/>
          <w:szCs w:val="24"/>
          <w:lang w:val="en-US"/>
        </w:rPr>
        <w:t>Depraiter</w:t>
      </w:r>
      <w:proofErr w:type="spellEnd"/>
      <w:r>
        <w:rPr>
          <w:rFonts w:ascii="Times New Roman" w:hAnsi="Times New Roman"/>
          <w:sz w:val="24"/>
          <w:szCs w:val="24"/>
          <w:lang w:val="en-US"/>
        </w:rPr>
        <w:t>, Goutte and Porcher, 2025). The notion of geo-economics thus broadens geopolitics to encompass economic rivalry, wherein nations seek strategic independence via resource security, supply chain diversity, and technical advancement (</w:t>
      </w:r>
      <w:proofErr w:type="spellStart"/>
      <w:r>
        <w:rPr>
          <w:rFonts w:ascii="Times New Roman" w:hAnsi="Times New Roman"/>
          <w:sz w:val="24"/>
          <w:szCs w:val="24"/>
          <w:lang w:val="en-US"/>
        </w:rPr>
        <w:t>Cevik</w:t>
      </w:r>
      <w:proofErr w:type="spellEnd"/>
      <w:r>
        <w:rPr>
          <w:rFonts w:ascii="Times New Roman" w:hAnsi="Times New Roman"/>
          <w:sz w:val="24"/>
          <w:szCs w:val="24"/>
          <w:lang w:val="en-US"/>
        </w:rPr>
        <w:t>, 2025; Shen and Yang, 2024).</w:t>
      </w:r>
    </w:p>
    <w:p w14:paraId="2DE8515A" w14:textId="032F225A"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China's supremacy in rare earth element manufacturing has further altered global supply chain dynamics, intensifying apprehensions regarding overreliance among sophisticated countries such as United States, European Union, </w:t>
      </w:r>
      <w:r w:rsidR="00615242">
        <w:rPr>
          <w:rFonts w:ascii="Times New Roman" w:hAnsi="Times New Roman"/>
          <w:sz w:val="24"/>
          <w:szCs w:val="24"/>
          <w:lang w:val="en-US"/>
        </w:rPr>
        <w:t>with</w:t>
      </w:r>
      <w:r>
        <w:rPr>
          <w:rFonts w:ascii="Times New Roman" w:hAnsi="Times New Roman"/>
          <w:sz w:val="24"/>
          <w:szCs w:val="24"/>
          <w:lang w:val="en-US"/>
        </w:rPr>
        <w:t xml:space="preserve"> Japan. This reliance prompted legislative measures designed to establish alternate supply chains and mitigate exposure to geopolitical risks (UK Government, 2023; IEA, 2025). The incorporation of rare earth elements into energy transition technologies has heightened demand, especially for lithium and cobalt, which are essential for decarbonization efforts (Rathi, 2018; </w:t>
      </w:r>
      <w:proofErr w:type="spellStart"/>
      <w:r>
        <w:rPr>
          <w:rFonts w:ascii="Times New Roman" w:hAnsi="Times New Roman"/>
          <w:sz w:val="24"/>
          <w:szCs w:val="24"/>
          <w:lang w:val="en-US"/>
        </w:rPr>
        <w:t>Depraiter</w:t>
      </w:r>
      <w:proofErr w:type="spellEnd"/>
      <w:r>
        <w:rPr>
          <w:rFonts w:ascii="Times New Roman" w:hAnsi="Times New Roman"/>
          <w:sz w:val="24"/>
          <w:szCs w:val="24"/>
          <w:lang w:val="en-US"/>
        </w:rPr>
        <w:t xml:space="preserve"> and Goutte, 2023). As a result, rare earth elements (REEs) have become pivotal in what researchers refer to as periodic politics, wherein elements of the periodic table are integrated into global struggle for technological and strategic supremacy (</w:t>
      </w:r>
      <w:proofErr w:type="spellStart"/>
      <w:r>
        <w:rPr>
          <w:rFonts w:ascii="Times New Roman" w:hAnsi="Times New Roman"/>
          <w:sz w:val="24"/>
          <w:szCs w:val="24"/>
          <w:lang w:val="en-US"/>
        </w:rPr>
        <w:t>Kalantzakos</w:t>
      </w:r>
      <w:proofErr w:type="spellEnd"/>
      <w:r>
        <w:rPr>
          <w:rFonts w:ascii="Times New Roman" w:hAnsi="Times New Roman"/>
          <w:sz w:val="24"/>
          <w:szCs w:val="24"/>
          <w:lang w:val="en-US"/>
        </w:rPr>
        <w:t>, 2019). The literature indicates that rare earth elements (REEs) embody a convergence of geopolitics, geo-economics, and security studies, wherein resource management is increasingly associated with state power, industrial competitiveness, and global trade stability (Booth, 2005). This changing environment highlights a transition from conventional resource rivalry to a technology-oriented geopolitical framework, where supply chain management and mineral security are essential factors of national power in the twenty-first century.</w:t>
      </w:r>
    </w:p>
    <w:p w14:paraId="4485C183"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3" w:name="_Toc232013508"/>
      <w:r>
        <w:rPr>
          <w:rFonts w:ascii="Times New Roman" w:eastAsia="Times New Roman" w:hAnsi="Times New Roman"/>
          <w:b/>
          <w:bCs/>
          <w:sz w:val="24"/>
          <w:szCs w:val="24"/>
          <w:lang w:val="en-US"/>
        </w:rPr>
        <w:lastRenderedPageBreak/>
        <w:t>2.5.  Leadership behaviors for decision-making in crisis management teams</w:t>
      </w:r>
      <w:bookmarkEnd w:id="13"/>
    </w:p>
    <w:p w14:paraId="5A5D93EF" w14:textId="00104BFC"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Leadership significantly impacts teams (Geraghty and Paterson-Brown, 2018), contributing to substantial variation in team performance (Ahmed et al., 2023). We anticipate that leadership will elucidate the discrepancies </w:t>
      </w:r>
      <w:r w:rsidR="008831FD">
        <w:rPr>
          <w:rFonts w:ascii="Times New Roman" w:hAnsi="Times New Roman"/>
          <w:sz w:val="24"/>
          <w:szCs w:val="24"/>
          <w:lang w:val="en-US"/>
        </w:rPr>
        <w:t>betwee</w:t>
      </w:r>
      <w:r w:rsidR="007A7B8D">
        <w:rPr>
          <w:rFonts w:ascii="Times New Roman" w:hAnsi="Times New Roman"/>
          <w:sz w:val="24"/>
          <w:szCs w:val="24"/>
          <w:lang w:val="en-US"/>
        </w:rPr>
        <w:t>n</w:t>
      </w:r>
      <w:r>
        <w:rPr>
          <w:rFonts w:ascii="Times New Roman" w:hAnsi="Times New Roman"/>
          <w:sz w:val="24"/>
          <w:szCs w:val="24"/>
          <w:lang w:val="en-US"/>
        </w:rPr>
        <w:t xml:space="preserve"> </w:t>
      </w:r>
      <w:r w:rsidR="0053679C">
        <w:rPr>
          <w:rFonts w:ascii="Times New Roman" w:hAnsi="Times New Roman"/>
          <w:sz w:val="24"/>
          <w:szCs w:val="24"/>
          <w:lang w:val="en-US"/>
        </w:rPr>
        <w:t>exactitude</w:t>
      </w:r>
      <w:r>
        <w:rPr>
          <w:rFonts w:ascii="Times New Roman" w:hAnsi="Times New Roman"/>
          <w:sz w:val="24"/>
          <w:szCs w:val="24"/>
          <w:lang w:val="en-US"/>
        </w:rPr>
        <w:t xml:space="preserve"> and promptness of emergency team </w:t>
      </w:r>
      <w:proofErr w:type="gramStart"/>
      <w:r>
        <w:rPr>
          <w:rFonts w:ascii="Times New Roman" w:hAnsi="Times New Roman"/>
          <w:sz w:val="24"/>
          <w:szCs w:val="24"/>
          <w:lang w:val="en-US"/>
        </w:rPr>
        <w:t>decision</w:t>
      </w:r>
      <w:proofErr w:type="gramEnd"/>
      <w:r>
        <w:rPr>
          <w:rFonts w:ascii="Times New Roman" w:hAnsi="Times New Roman"/>
          <w:sz w:val="24"/>
          <w:szCs w:val="24"/>
          <w:lang w:val="en-US"/>
        </w:rPr>
        <w:t xml:space="preserve"> for two </w:t>
      </w:r>
      <w:r w:rsidR="00A65699">
        <w:rPr>
          <w:rFonts w:ascii="Times New Roman" w:hAnsi="Times New Roman"/>
          <w:sz w:val="24"/>
          <w:szCs w:val="24"/>
          <w:lang w:val="en-US"/>
        </w:rPr>
        <w:t>causes</w:t>
      </w:r>
      <w:r>
        <w:rPr>
          <w:rFonts w:ascii="Times New Roman" w:hAnsi="Times New Roman"/>
          <w:sz w:val="24"/>
          <w:szCs w:val="24"/>
          <w:lang w:val="en-US"/>
        </w:rPr>
        <w:t xml:space="preserve">. Initially, team decisions are more immediate results of team leadership than team performance (Alavi, S.B. and McCormick, 2016) and, therefore, are </w:t>
      </w:r>
      <w:r w:rsidR="00093C4F">
        <w:rPr>
          <w:rFonts w:ascii="Times New Roman" w:hAnsi="Times New Roman"/>
          <w:sz w:val="24"/>
          <w:szCs w:val="24"/>
          <w:lang w:val="en-US"/>
        </w:rPr>
        <w:t>probably</w:t>
      </w:r>
      <w:r>
        <w:rPr>
          <w:rFonts w:ascii="Times New Roman" w:hAnsi="Times New Roman"/>
          <w:sz w:val="24"/>
          <w:szCs w:val="24"/>
          <w:lang w:val="en-US"/>
        </w:rPr>
        <w:t xml:space="preserve"> more susceptible to leadership behaviors. Secondly, teams make decisions based on </w:t>
      </w:r>
      <w:proofErr w:type="gramStart"/>
      <w:r>
        <w:rPr>
          <w:rFonts w:ascii="Times New Roman" w:hAnsi="Times New Roman"/>
          <w:sz w:val="24"/>
          <w:szCs w:val="24"/>
          <w:lang w:val="en-US"/>
        </w:rPr>
        <w:t xml:space="preserve">particular </w:t>
      </w:r>
      <w:r w:rsidR="004D14FD">
        <w:rPr>
          <w:rFonts w:ascii="Times New Roman" w:hAnsi="Times New Roman"/>
          <w:sz w:val="24"/>
          <w:szCs w:val="24"/>
          <w:lang w:val="en-US"/>
        </w:rPr>
        <w:t>duties</w:t>
      </w:r>
      <w:proofErr w:type="gramEnd"/>
      <w:r>
        <w:rPr>
          <w:rFonts w:ascii="Times New Roman" w:hAnsi="Times New Roman"/>
          <w:sz w:val="24"/>
          <w:szCs w:val="24"/>
          <w:lang w:val="en-US"/>
        </w:rPr>
        <w:t xml:space="preserve"> </w:t>
      </w:r>
      <w:r w:rsidR="0086204A">
        <w:rPr>
          <w:rFonts w:ascii="Times New Roman" w:hAnsi="Times New Roman"/>
          <w:sz w:val="24"/>
          <w:szCs w:val="24"/>
          <w:lang w:val="en-US"/>
        </w:rPr>
        <w:t xml:space="preserve">nor </w:t>
      </w:r>
      <w:r>
        <w:rPr>
          <w:rFonts w:ascii="Times New Roman" w:hAnsi="Times New Roman"/>
          <w:sz w:val="24"/>
          <w:szCs w:val="24"/>
          <w:lang w:val="en-US"/>
        </w:rPr>
        <w:t xml:space="preserve">events, but team performance generally relates to the cumulative results of numerous tasks over time. Researchers recognize that leadership affects both the accuracy (Sohrab et al., 2015) and speed (Vroom, 2003) of team decisions; </w:t>
      </w:r>
      <w:proofErr w:type="gramStart"/>
      <w:r>
        <w:rPr>
          <w:rFonts w:ascii="Times New Roman" w:hAnsi="Times New Roman"/>
          <w:sz w:val="24"/>
          <w:szCs w:val="24"/>
          <w:lang w:val="en-US"/>
        </w:rPr>
        <w:t>yet,</w:t>
      </w:r>
      <w:proofErr w:type="gramEnd"/>
      <w:r>
        <w:rPr>
          <w:rFonts w:ascii="Times New Roman" w:hAnsi="Times New Roman"/>
          <w:sz w:val="24"/>
          <w:szCs w:val="24"/>
          <w:lang w:val="en-US"/>
        </w:rPr>
        <w:t xml:space="preserve"> there is a notable scarcity of theoretical and empirical exploration of the comparative advantages of adaptive vs directive leadership on team outcomes (Cheong et al., 2016). Fewer empirical investigations have identified the factors that either attenuate</w:t>
      </w:r>
      <w:r w:rsidR="002D4984">
        <w:rPr>
          <w:rFonts w:ascii="Times New Roman" w:hAnsi="Times New Roman"/>
          <w:sz w:val="24"/>
          <w:szCs w:val="24"/>
          <w:lang w:val="en-US"/>
        </w:rPr>
        <w:t>,</w:t>
      </w:r>
      <w:r>
        <w:rPr>
          <w:rFonts w:ascii="Times New Roman" w:hAnsi="Times New Roman"/>
          <w:sz w:val="24"/>
          <w:szCs w:val="24"/>
          <w:lang w:val="en-US"/>
        </w:rPr>
        <w:t xml:space="preserve"> </w:t>
      </w:r>
      <w:proofErr w:type="spellStart"/>
      <w:r w:rsidR="00F55D48">
        <w:rPr>
          <w:rFonts w:ascii="Times New Roman" w:hAnsi="Times New Roman"/>
          <w:sz w:val="24"/>
          <w:szCs w:val="24"/>
          <w:lang w:val="en-US"/>
        </w:rPr>
        <w:t>augument</w:t>
      </w:r>
      <w:proofErr w:type="spellEnd"/>
      <w:r>
        <w:rPr>
          <w:rFonts w:ascii="Times New Roman" w:hAnsi="Times New Roman"/>
          <w:sz w:val="24"/>
          <w:szCs w:val="24"/>
          <w:lang w:val="en-US"/>
        </w:rPr>
        <w:t xml:space="preserve"> the impact of various leadership behaviors on the decision-making precision and speed of interdisciplinary teams (Matsumoto et al., 2025). This is particularly applicable to crisis management teams, where the degree of unfamiliarity of a decision task necessitates team members to engage and think innovatively to achieve prompt and precise conclusions (e.g., James, 2011). Post et al. (2022) theorizes the most successful leadership styles for crisis management teams, a burgeoning field within leadership studies (Dinh et al., 2014), where findings about impact of leadership during emergencies are inconclusive (Hannah et al., 2009). We assert that these impacts may hinge on a critical aspect of emergency decision-making: the degree of familiarity the crisis management team has with the situation and the related predetermined strategies. Utilizing contingency theory of leadership as our theoretical framework, we hypothesize comparative impact </w:t>
      </w:r>
      <w:r w:rsidR="00B72F42">
        <w:rPr>
          <w:rFonts w:ascii="Times New Roman" w:hAnsi="Times New Roman"/>
          <w:sz w:val="24"/>
          <w:szCs w:val="24"/>
          <w:lang w:val="en-US"/>
        </w:rPr>
        <w:t>of</w:t>
      </w:r>
      <w:r>
        <w:rPr>
          <w:rFonts w:ascii="Times New Roman" w:hAnsi="Times New Roman"/>
          <w:sz w:val="24"/>
          <w:szCs w:val="24"/>
          <w:lang w:val="en-US"/>
        </w:rPr>
        <w:t xml:space="preserve"> </w:t>
      </w:r>
      <w:r w:rsidR="00790FE6">
        <w:rPr>
          <w:rFonts w:ascii="Times New Roman" w:hAnsi="Times New Roman"/>
          <w:sz w:val="24"/>
          <w:szCs w:val="24"/>
          <w:lang w:val="en-US"/>
        </w:rPr>
        <w:t>collabor</w:t>
      </w:r>
      <w:r>
        <w:rPr>
          <w:rFonts w:ascii="Times New Roman" w:hAnsi="Times New Roman"/>
          <w:sz w:val="24"/>
          <w:szCs w:val="24"/>
          <w:lang w:val="en-US"/>
        </w:rPr>
        <w:t>ative</w:t>
      </w:r>
      <w:r w:rsidR="00003852">
        <w:rPr>
          <w:rFonts w:ascii="Times New Roman" w:hAnsi="Times New Roman"/>
          <w:sz w:val="24"/>
          <w:szCs w:val="24"/>
          <w:lang w:val="en-US"/>
        </w:rPr>
        <w:t>,</w:t>
      </w:r>
      <w:r>
        <w:rPr>
          <w:rFonts w:ascii="Times New Roman" w:hAnsi="Times New Roman"/>
          <w:sz w:val="24"/>
          <w:szCs w:val="24"/>
          <w:lang w:val="en-US"/>
        </w:rPr>
        <w:t xml:space="preserve"> directive leadership behaviors on the precision and expediency of decisions made by </w:t>
      </w:r>
      <w:proofErr w:type="gramStart"/>
      <w:r>
        <w:rPr>
          <w:rFonts w:ascii="Times New Roman" w:hAnsi="Times New Roman"/>
          <w:sz w:val="24"/>
          <w:szCs w:val="24"/>
          <w:lang w:val="en-US"/>
        </w:rPr>
        <w:t>teams  both</w:t>
      </w:r>
      <w:proofErr w:type="gramEnd"/>
      <w:r>
        <w:rPr>
          <w:rFonts w:ascii="Times New Roman" w:hAnsi="Times New Roman"/>
          <w:sz w:val="24"/>
          <w:szCs w:val="24"/>
          <w:lang w:val="en-US"/>
        </w:rPr>
        <w:t xml:space="preserve"> familiar and new emergency scenarios.</w:t>
      </w:r>
    </w:p>
    <w:p w14:paraId="53010D64"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4" w:name="_Toc232013509"/>
      <w:r>
        <w:rPr>
          <w:rFonts w:ascii="Times New Roman" w:eastAsia="Times New Roman" w:hAnsi="Times New Roman"/>
          <w:b/>
          <w:bCs/>
          <w:sz w:val="24"/>
          <w:szCs w:val="24"/>
          <w:lang w:val="en-US"/>
        </w:rPr>
        <w:t>2.6.  Effective Leadership Style in Pursuit of Resilient Supply Chain</w:t>
      </w:r>
      <w:bookmarkEnd w:id="14"/>
    </w:p>
    <w:p w14:paraId="6A6B9FCD" w14:textId="4C49B75C"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Leadership is regarded as a crucial facilitator of flexibility (</w:t>
      </w:r>
      <w:proofErr w:type="spellStart"/>
      <w:r>
        <w:rPr>
          <w:rFonts w:ascii="Times New Roman" w:hAnsi="Times New Roman"/>
          <w:sz w:val="24"/>
          <w:szCs w:val="24"/>
          <w:lang w:val="en-US"/>
        </w:rPr>
        <w:t>Rachmad</w:t>
      </w:r>
      <w:proofErr w:type="spellEnd"/>
      <w:r>
        <w:rPr>
          <w:rFonts w:ascii="Times New Roman" w:hAnsi="Times New Roman"/>
          <w:sz w:val="24"/>
          <w:szCs w:val="24"/>
          <w:lang w:val="en-US"/>
        </w:rPr>
        <w:t>, 2022), agile supply chains (</w:t>
      </w:r>
      <w:proofErr w:type="spellStart"/>
      <w:r>
        <w:rPr>
          <w:rFonts w:ascii="Times New Roman" w:hAnsi="Times New Roman"/>
          <w:sz w:val="24"/>
          <w:szCs w:val="24"/>
          <w:lang w:val="en-US"/>
        </w:rPr>
        <w:t>Luthia</w:t>
      </w:r>
      <w:proofErr w:type="spellEnd"/>
      <w:r>
        <w:rPr>
          <w:rFonts w:ascii="Times New Roman" w:hAnsi="Times New Roman"/>
          <w:sz w:val="24"/>
          <w:szCs w:val="24"/>
          <w:lang w:val="en-US"/>
        </w:rPr>
        <w:t>, 2023), and resilient supply chains (Taseer, M.I. and Ahmed, 2022). Barratt (2004) proposed that an appropriate leadership style can effectively propel the supply chain. The leadership style denotes the conduct displayed by a leader to guide subordinates in the appropriate path (</w:t>
      </w:r>
      <w:proofErr w:type="spellStart"/>
      <w:r>
        <w:rPr>
          <w:rFonts w:ascii="Times New Roman" w:hAnsi="Times New Roman"/>
          <w:sz w:val="24"/>
          <w:szCs w:val="24"/>
          <w:lang w:val="en-US"/>
        </w:rPr>
        <w:t>Alsarrani</w:t>
      </w:r>
      <w:proofErr w:type="spellEnd"/>
      <w:r>
        <w:rPr>
          <w:rFonts w:ascii="Times New Roman" w:hAnsi="Times New Roman"/>
          <w:sz w:val="24"/>
          <w:szCs w:val="24"/>
          <w:lang w:val="en-US"/>
        </w:rPr>
        <w:t xml:space="preserve"> et al., 2021). An effective leadership style fosters innovative behavior among employees (</w:t>
      </w:r>
      <w:proofErr w:type="spellStart"/>
      <w:r>
        <w:rPr>
          <w:rFonts w:ascii="Times New Roman" w:hAnsi="Times New Roman"/>
          <w:sz w:val="24"/>
          <w:szCs w:val="24"/>
          <w:lang w:val="en-US"/>
        </w:rPr>
        <w:t>Gurbuz</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Gulec</w:t>
      </w:r>
      <w:proofErr w:type="spellEnd"/>
      <w:r>
        <w:rPr>
          <w:rFonts w:ascii="Times New Roman" w:hAnsi="Times New Roman"/>
          <w:sz w:val="24"/>
          <w:szCs w:val="24"/>
          <w:lang w:val="en-US"/>
        </w:rPr>
        <w:t xml:space="preserve">, 2022; </w:t>
      </w:r>
      <w:proofErr w:type="spellStart"/>
      <w:r>
        <w:rPr>
          <w:rFonts w:ascii="Times New Roman" w:hAnsi="Times New Roman"/>
          <w:sz w:val="24"/>
          <w:szCs w:val="24"/>
          <w:lang w:val="en-US"/>
        </w:rPr>
        <w:t>Mahdzir</w:t>
      </w:r>
      <w:proofErr w:type="spellEnd"/>
      <w:r>
        <w:rPr>
          <w:rFonts w:ascii="Times New Roman" w:hAnsi="Times New Roman"/>
          <w:sz w:val="24"/>
          <w:szCs w:val="24"/>
          <w:lang w:val="en-US"/>
        </w:rPr>
        <w:t xml:space="preserve"> and Ghani, 2022), and innovation enables organizations to develop supply chain resilience (Ozdemir et al., 2022). </w:t>
      </w:r>
      <w:r>
        <w:rPr>
          <w:rFonts w:ascii="Times New Roman" w:hAnsi="Times New Roman"/>
          <w:sz w:val="24"/>
          <w:szCs w:val="24"/>
          <w:lang w:val="en-US"/>
        </w:rPr>
        <w:lastRenderedPageBreak/>
        <w:t>Furthermore, supply chain resilience literature indicates that robust commitment, decisional flexibility, proactive behavior, learning, and innovation are significant contributors to supply chain resilience (Sawyerr and Harrison, 2020; Scholten et al., 2020). Simultaneously, an effective leadership style fosters employee learning, creativity, innovation, and dedication (</w:t>
      </w:r>
      <w:proofErr w:type="spellStart"/>
      <w:r>
        <w:rPr>
          <w:rFonts w:ascii="Times New Roman" w:hAnsi="Times New Roman"/>
          <w:sz w:val="24"/>
          <w:szCs w:val="24"/>
          <w:lang w:val="en-US"/>
        </w:rPr>
        <w:t>Atitumpong</w:t>
      </w:r>
      <w:proofErr w:type="spellEnd"/>
      <w:r>
        <w:rPr>
          <w:rFonts w:ascii="Times New Roman" w:hAnsi="Times New Roman"/>
          <w:sz w:val="24"/>
          <w:szCs w:val="24"/>
          <w:lang w:val="en-US"/>
        </w:rPr>
        <w:t xml:space="preserve"> &amp; Badir, 2018). In the context of several leadership styles, which leadership style should supply chain managers embrace to enhance supply chain resilience? The existing literature is devoid of information on the subject. While limited study has been </w:t>
      </w:r>
      <w:proofErr w:type="gramStart"/>
      <w:r>
        <w:rPr>
          <w:rFonts w:ascii="Times New Roman" w:hAnsi="Times New Roman"/>
          <w:sz w:val="24"/>
          <w:szCs w:val="24"/>
          <w:lang w:val="en-US"/>
        </w:rPr>
        <w:t>conducted  area</w:t>
      </w:r>
      <w:proofErr w:type="gramEnd"/>
      <w:r>
        <w:rPr>
          <w:rFonts w:ascii="Times New Roman" w:hAnsi="Times New Roman"/>
          <w:sz w:val="24"/>
          <w:szCs w:val="24"/>
          <w:lang w:val="en-US"/>
        </w:rPr>
        <w:t xml:space="preserve"> of leadership </w:t>
      </w:r>
      <w:r w:rsidR="00093F93">
        <w:rPr>
          <w:rFonts w:ascii="Times New Roman" w:hAnsi="Times New Roman"/>
          <w:sz w:val="24"/>
          <w:szCs w:val="24"/>
          <w:lang w:val="en-US"/>
        </w:rPr>
        <w:t>&amp;</w:t>
      </w:r>
      <w:r>
        <w:rPr>
          <w:rFonts w:ascii="Times New Roman" w:hAnsi="Times New Roman"/>
          <w:sz w:val="24"/>
          <w:szCs w:val="24"/>
          <w:lang w:val="en-US"/>
        </w:rPr>
        <w:t xml:space="preserve"> supply chain management, Prabhu and Srivastava (2022) suggest an increasing tendency in research within this field. Consequently, the present innovative study will fill this literature vacuum, as the correlation between leadership styles and resilient supply chains has not been previously examined. Building supply chain resilience is not a mechanistic process (Ali &amp; </w:t>
      </w:r>
      <w:proofErr w:type="spellStart"/>
      <w:r>
        <w:rPr>
          <w:rFonts w:ascii="Times New Roman" w:hAnsi="Times New Roman"/>
          <w:sz w:val="24"/>
          <w:szCs w:val="24"/>
          <w:lang w:val="en-US"/>
        </w:rPr>
        <w:t>Gölgeci</w:t>
      </w:r>
      <w:proofErr w:type="spellEnd"/>
      <w:r>
        <w:rPr>
          <w:rFonts w:ascii="Times New Roman" w:hAnsi="Times New Roman"/>
          <w:sz w:val="24"/>
          <w:szCs w:val="24"/>
          <w:lang w:val="en-US"/>
        </w:rPr>
        <w:t xml:space="preserve">, 2019) as it relies on the decision-making capabilities of supply chain management (Leflar &amp; Siegel, 2013). Supply chain managerial executives must address multifaceted internal and external difficulties across upstream and downstream processes to enable seamless supply chain operations, hence achieving organizational objectives. </w:t>
      </w:r>
      <w:r w:rsidR="00433D87">
        <w:rPr>
          <w:rFonts w:ascii="Times New Roman" w:hAnsi="Times New Roman"/>
          <w:sz w:val="24"/>
          <w:szCs w:val="24"/>
          <w:lang w:val="en-US"/>
        </w:rPr>
        <w:t xml:space="preserve">            </w:t>
      </w:r>
      <w:r>
        <w:rPr>
          <w:rFonts w:ascii="Times New Roman" w:hAnsi="Times New Roman"/>
          <w:sz w:val="24"/>
          <w:szCs w:val="24"/>
          <w:lang w:val="en-US"/>
        </w:rPr>
        <w:t xml:space="preserve">Furthermore, supply chain managers address supply chain disturbances, as they are accountable for </w:t>
      </w:r>
      <w:r w:rsidR="0045733E">
        <w:rPr>
          <w:rFonts w:ascii="Times New Roman" w:hAnsi="Times New Roman"/>
          <w:sz w:val="24"/>
          <w:szCs w:val="24"/>
          <w:lang w:val="en-US"/>
        </w:rPr>
        <w:t>moderating</w:t>
      </w:r>
      <w:r>
        <w:rPr>
          <w:rFonts w:ascii="Times New Roman" w:hAnsi="Times New Roman"/>
          <w:sz w:val="24"/>
          <w:szCs w:val="24"/>
          <w:lang w:val="en-US"/>
        </w:rPr>
        <w:t xml:space="preserve"> the effects of such disruptions and ensuring the rapid restoration of the supply chain. Remko (2020) posited that COVID-19 presents an opportunity for supply chain managers to enhance resilience </w:t>
      </w:r>
      <w:r w:rsidR="00AE1E90">
        <w:rPr>
          <w:rFonts w:ascii="Times New Roman" w:hAnsi="Times New Roman"/>
          <w:sz w:val="24"/>
          <w:szCs w:val="24"/>
          <w:lang w:val="en-US"/>
        </w:rPr>
        <w:t xml:space="preserve">in </w:t>
      </w:r>
      <w:r>
        <w:rPr>
          <w:rFonts w:ascii="Times New Roman" w:hAnsi="Times New Roman"/>
          <w:sz w:val="24"/>
          <w:szCs w:val="24"/>
          <w:lang w:val="en-US"/>
        </w:rPr>
        <w:t xml:space="preserve">supply chain, enabling them to more effectively navigate the crisis. Consequently, the behavioral dimensions of supply chain managers require examination, as this viewpoint is overlooked in existing work (Pettit et al., 2019; </w:t>
      </w:r>
      <w:proofErr w:type="spellStart"/>
      <w:r>
        <w:rPr>
          <w:rFonts w:ascii="Times New Roman" w:hAnsi="Times New Roman"/>
          <w:sz w:val="24"/>
          <w:szCs w:val="24"/>
          <w:lang w:val="en-US"/>
        </w:rPr>
        <w:t>Polyviou</w:t>
      </w:r>
      <w:proofErr w:type="spellEnd"/>
      <w:r>
        <w:rPr>
          <w:rFonts w:ascii="Times New Roman" w:hAnsi="Times New Roman"/>
          <w:sz w:val="24"/>
          <w:szCs w:val="24"/>
          <w:lang w:val="en-US"/>
        </w:rPr>
        <w:t xml:space="preserve">, 2016). This research gap is similarly emphasized by Scholten et al. (2020), Ali &amp; </w:t>
      </w:r>
      <w:proofErr w:type="spellStart"/>
      <w:r>
        <w:rPr>
          <w:rFonts w:ascii="Times New Roman" w:hAnsi="Times New Roman"/>
          <w:sz w:val="24"/>
          <w:szCs w:val="24"/>
          <w:lang w:val="en-US"/>
        </w:rPr>
        <w:t>Gölgeci</w:t>
      </w:r>
      <w:proofErr w:type="spellEnd"/>
      <w:r>
        <w:rPr>
          <w:rFonts w:ascii="Times New Roman" w:hAnsi="Times New Roman"/>
          <w:sz w:val="24"/>
          <w:szCs w:val="24"/>
          <w:lang w:val="en-US"/>
        </w:rPr>
        <w:t xml:space="preserve"> (2019), Sawyerr &amp; Harrison (2020), and Remko (2020), all of whom advocate for an examination </w:t>
      </w:r>
      <w:r w:rsidR="00B471D9">
        <w:rPr>
          <w:rFonts w:ascii="Times New Roman" w:hAnsi="Times New Roman"/>
          <w:sz w:val="24"/>
          <w:szCs w:val="24"/>
          <w:lang w:val="en-US"/>
        </w:rPr>
        <w:t>t</w:t>
      </w:r>
      <w:r w:rsidR="001867AB">
        <w:rPr>
          <w:rFonts w:ascii="Times New Roman" w:hAnsi="Times New Roman"/>
          <w:sz w:val="24"/>
          <w:szCs w:val="24"/>
          <w:lang w:val="en-US"/>
        </w:rPr>
        <w:t>owards</w:t>
      </w:r>
      <w:r>
        <w:rPr>
          <w:rFonts w:ascii="Times New Roman" w:hAnsi="Times New Roman"/>
          <w:sz w:val="24"/>
          <w:szCs w:val="24"/>
          <w:lang w:val="en-US"/>
        </w:rPr>
        <w:t xml:space="preserve"> the behavioral dimensions of supply chain managers in quest for supply chain resilience, a topic that remains unaddressed in literature. The second purpose of this explanatory study is to examine most effective leadership style of supply chain managerial leaders in fostering resilient supply chains comparing transformational and transactional leadership styles. This novel study </w:t>
      </w:r>
      <w:proofErr w:type="gramStart"/>
      <w:r>
        <w:rPr>
          <w:rFonts w:ascii="Times New Roman" w:hAnsi="Times New Roman"/>
          <w:sz w:val="24"/>
          <w:szCs w:val="24"/>
          <w:lang w:val="en-US"/>
        </w:rPr>
        <w:t>offer</w:t>
      </w:r>
      <w:proofErr w:type="gramEnd"/>
      <w:r>
        <w:rPr>
          <w:rFonts w:ascii="Times New Roman" w:hAnsi="Times New Roman"/>
          <w:sz w:val="24"/>
          <w:szCs w:val="24"/>
          <w:lang w:val="en-US"/>
        </w:rPr>
        <w:t xml:space="preserve"> a significant theoretical contribution to existing </w:t>
      </w:r>
      <w:proofErr w:type="gramStart"/>
      <w:r>
        <w:rPr>
          <w:rFonts w:ascii="Times New Roman" w:hAnsi="Times New Roman"/>
          <w:sz w:val="24"/>
          <w:szCs w:val="24"/>
          <w:lang w:val="en-US"/>
        </w:rPr>
        <w:t>corpus</w:t>
      </w:r>
      <w:proofErr w:type="gramEnd"/>
      <w:r>
        <w:rPr>
          <w:rFonts w:ascii="Times New Roman" w:hAnsi="Times New Roman"/>
          <w:sz w:val="24"/>
          <w:szCs w:val="24"/>
          <w:lang w:val="en-US"/>
        </w:rPr>
        <w:t xml:space="preserve"> of knowledge by examining hitherto unaddressed occurrences.</w:t>
      </w:r>
    </w:p>
    <w:p w14:paraId="3DDE5995"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5" w:name="_Toc232013510"/>
      <w:r>
        <w:rPr>
          <w:rFonts w:ascii="Times New Roman" w:eastAsia="Times New Roman" w:hAnsi="Times New Roman"/>
          <w:b/>
          <w:bCs/>
          <w:sz w:val="24"/>
          <w:szCs w:val="24"/>
          <w:lang w:val="en-US"/>
        </w:rPr>
        <w:t>2.7.  Moderating Role of Leadership Styles in Supply Chain Risk</w:t>
      </w:r>
      <w:bookmarkEnd w:id="15"/>
    </w:p>
    <w:p w14:paraId="161F885E"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Geopolitical shocks have become a prominent characteristic of the modern global corporate landscape, markedly affecting supply chains due to abrupt changes in trade ties, sanctions, conflicts, and regulatory volatility (Ali et al., 2025). These disruptions occur in several forms, </w:t>
      </w:r>
      <w:r>
        <w:rPr>
          <w:rFonts w:ascii="Times New Roman" w:hAnsi="Times New Roman"/>
          <w:sz w:val="24"/>
          <w:szCs w:val="24"/>
          <w:lang w:val="en-US"/>
        </w:rPr>
        <w:lastRenderedPageBreak/>
        <w:t xml:space="preserve">such as supplier failures, demand fluctuations, transportation delays, and restricted market access, all of which cumulatively diminish organizations’ supply chain agility. Supply chain agility, characterized as a firm's capacity to swiftly perceive and react to fluctuations in supply and demand while sustaining competitive performance, is especially susceptible in geopolitically uncertain contexts. Research consistently indicates that geopolitical shocks diminish supply chain adaptability by disrupting operational continuity and heightening uncertainty across global networks (Roscoe et al., 2020; Zahoor et al., 2022). Trade wars, economic sanctions, and regional conflicts impede both the physical movement of products and the strategic decision-making processes within corporations. Supply chain networks become fractured when companies are compelled to relocate suppliers, restructure logistics routes, or adhere to abrupt regulatory limits. This leads to diminished responsiveness, less flexibility, and heightened operational inefficiencies, all of which undermine agility as a fundamental competitive advantage. </w:t>
      </w:r>
    </w:p>
    <w:p w14:paraId="52BF2C74" w14:textId="647ACF3B"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In this setting, leadership is widely acknowledged as a vital organizational tool for controlling disruption and reinstating supply chain performance. Supply chain leaders function as primary coordinators who impact decision-making, communication, and strategic alignment among interdependent entities (Gligor et al., 2020). As geopolitical disruptions escalate, leadership emerges as both an operational imperative and a strategic factor influencing enterprises' capacity to respond to external shocks. Recent studies indicate that various leadership styles influence organizational responses to supply chain disruptions. Crisis leadership is defined by swift decision-making, transparency, and prompt steps intended to stabilize operations amid acute uncertainty (Dubey, 2023a). This approach is especially pertinent during the initial phases of disruption, where rapidity and oversight are crucial to avert cascading failures throughout the supply chain. Crisis leaders orchestrate coordination under duress, guarantee communication among stakeholders, and execute </w:t>
      </w:r>
      <w:proofErr w:type="gramStart"/>
      <w:r>
        <w:rPr>
          <w:rFonts w:ascii="Times New Roman" w:hAnsi="Times New Roman"/>
          <w:sz w:val="24"/>
          <w:szCs w:val="24"/>
          <w:lang w:val="en-US"/>
        </w:rPr>
        <w:t>prompt remedial</w:t>
      </w:r>
      <w:proofErr w:type="gramEnd"/>
      <w:r>
        <w:rPr>
          <w:rFonts w:ascii="Times New Roman" w:hAnsi="Times New Roman"/>
          <w:sz w:val="24"/>
          <w:szCs w:val="24"/>
          <w:lang w:val="en-US"/>
        </w:rPr>
        <w:t xml:space="preserve"> actions to sustain continuity. </w:t>
      </w:r>
      <w:r w:rsidR="00433D87">
        <w:rPr>
          <w:rFonts w:ascii="Times New Roman" w:hAnsi="Times New Roman"/>
          <w:sz w:val="24"/>
          <w:szCs w:val="24"/>
          <w:lang w:val="en-US"/>
        </w:rPr>
        <w:t xml:space="preserve">       </w:t>
      </w:r>
      <w:r>
        <w:rPr>
          <w:rFonts w:ascii="Times New Roman" w:hAnsi="Times New Roman"/>
          <w:sz w:val="24"/>
          <w:szCs w:val="24"/>
          <w:lang w:val="en-US"/>
        </w:rPr>
        <w:t xml:space="preserve">Conversely, transformational leadership emphasizes long-term adaptability via vision formulation, employee empowerment, and ongoing enhancement. Transformational leaders promote innovation, information dissemination, and behavioral modification, allowing organizations to reorganize their supply chains in reaction to structural changes in the external environment (Bass, 1990; Prabhu &amp; Srivastava, 2023). This leadership style in supply chain contexts fosters increased cooperation, strategy alignment, and enhanced organizational learning, hence contributing to long-term resilience and flexibility. Notwithstanding these theoretical contrasts, empirical evidence suggests that neither crisis leadership nor transformative leadership is adequate to entirely alleviate adverse impacts of geopolitical </w:t>
      </w:r>
      <w:r w:rsidR="00EA16A7">
        <w:rPr>
          <w:rFonts w:ascii="Times New Roman" w:hAnsi="Times New Roman"/>
          <w:sz w:val="24"/>
          <w:szCs w:val="24"/>
          <w:lang w:val="en-US"/>
        </w:rPr>
        <w:t>shock</w:t>
      </w:r>
      <w:r>
        <w:rPr>
          <w:rFonts w:ascii="Times New Roman" w:hAnsi="Times New Roman"/>
          <w:sz w:val="24"/>
          <w:szCs w:val="24"/>
          <w:lang w:val="en-US"/>
        </w:rPr>
        <w:t xml:space="preserve"> </w:t>
      </w:r>
      <w:r w:rsidR="003440C4">
        <w:rPr>
          <w:rFonts w:ascii="Times New Roman" w:hAnsi="Times New Roman"/>
          <w:sz w:val="24"/>
          <w:szCs w:val="24"/>
          <w:lang w:val="en-US"/>
        </w:rPr>
        <w:lastRenderedPageBreak/>
        <w:t>i</w:t>
      </w:r>
      <w:r>
        <w:rPr>
          <w:rFonts w:ascii="Times New Roman" w:hAnsi="Times New Roman"/>
          <w:sz w:val="24"/>
          <w:szCs w:val="24"/>
          <w:lang w:val="en-US"/>
        </w:rPr>
        <w:t xml:space="preserve">n supply chain agility. Crisis leadership may be helpful in immediate response scenarios but lacks the strategic depth necessary for prolonged adaption. In contrast, transformative leadership promotes enduring resilience but may be insufficiently rapid in responding to immediate operational problems. This limitation underscores a significant deficiency in the evidence concerning the independent efficacy of leadership styles in highly risky geopolitical contexts. </w:t>
      </w:r>
    </w:p>
    <w:p w14:paraId="0B1941B9" w14:textId="2035027A"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Emerging evidence indicates that the simultaneous application of crisis and transformational leadership yields a more significant moderating influence</w:t>
      </w:r>
      <w:r w:rsidR="000D6FC6">
        <w:rPr>
          <w:rFonts w:ascii="Times New Roman" w:hAnsi="Times New Roman"/>
          <w:sz w:val="24"/>
          <w:szCs w:val="24"/>
          <w:lang w:val="en-US"/>
        </w:rPr>
        <w:t>s</w:t>
      </w:r>
      <w:r>
        <w:rPr>
          <w:rFonts w:ascii="Times New Roman" w:hAnsi="Times New Roman"/>
          <w:sz w:val="24"/>
          <w:szCs w:val="24"/>
          <w:lang w:val="en-US"/>
        </w:rPr>
        <w:t xml:space="preserve"> outcomes of supply chain disruptions. The collaborative interplay of various leadership types allows organizations to reconcile immediate response with enduring strategy adaptability. Crisis leadership guarantees swift stabilization during disruption, but transformational leadership promotes structural learning and ongoing enhancement, enabling organizations to adapt to enduring geopolitical volatility. This dynamic corresponds with contingency theory, which </w:t>
      </w:r>
      <w:r w:rsidR="00154EB7">
        <w:rPr>
          <w:rFonts w:ascii="Times New Roman" w:hAnsi="Times New Roman"/>
          <w:sz w:val="24"/>
          <w:szCs w:val="24"/>
          <w:lang w:val="en-US"/>
        </w:rPr>
        <w:t>suggests</w:t>
      </w:r>
      <w:r>
        <w:rPr>
          <w:rFonts w:ascii="Times New Roman" w:hAnsi="Times New Roman"/>
          <w:sz w:val="24"/>
          <w:szCs w:val="24"/>
          <w:lang w:val="en-US"/>
        </w:rPr>
        <w:t xml:space="preserve"> that organizational efficiency relies on the alignment between internal structures and external environmental conditions (Lawrence &amp; Lorsch, 1967). In this setting, leadership style serves as a contingency variable that influences how corporations perceive and react to geopolitical risk. When leadership styles are well linked with environmental turbulence, organizations are better equipped to sustain or improve supply chain agility.</w:t>
      </w:r>
    </w:p>
    <w:p w14:paraId="62FB190B"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6" w:name="_Toc232013511"/>
      <w:r>
        <w:rPr>
          <w:rFonts w:ascii="Times New Roman" w:eastAsia="Times New Roman" w:hAnsi="Times New Roman"/>
          <w:b/>
          <w:bCs/>
          <w:sz w:val="24"/>
          <w:szCs w:val="24"/>
          <w:lang w:val="en-US"/>
        </w:rPr>
        <w:t>2.8   Adaptive vs Directive leadership</w:t>
      </w:r>
      <w:bookmarkEnd w:id="16"/>
    </w:p>
    <w:p w14:paraId="55FC95BC"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2.8.1. Adaptive leadership</w:t>
      </w:r>
    </w:p>
    <w:p w14:paraId="560925DC"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Adaptive leadership denotes the dynamic process whereby leaders and team members collaboratively modify their behaviors to align with evolving situational demands, especially in complex and uncertain contexts (Thommes et al., 2024). Adaptive leadership is increasingly understood as a co-constructed process, rather than a fixed trait or a one-way influence from leaders to followers, wherein both leaders and team members actively engage in perceiving change, interpreting it, and transitioning between leadership styles to sustain team effectiveness (DeRue, 2011; Uhl-Bien et al., 2014; Thommes et al., 2024). </w:t>
      </w:r>
    </w:p>
    <w:p w14:paraId="37FE5D96"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Contemporary research reveals that teams in dynamic environments must switch between two primary modes of operation: process efficiency and collaborative sensemaking. Process efficiency is defined by organized collaboration, clear role delineation, and swift implementation of established procedures, wherein directive leadership proves most effective by offering explicit guidance and minimizing uncertainty (</w:t>
      </w:r>
      <w:proofErr w:type="spellStart"/>
      <w:r>
        <w:rPr>
          <w:rFonts w:ascii="Times New Roman" w:hAnsi="Times New Roman"/>
          <w:sz w:val="24"/>
          <w:szCs w:val="24"/>
          <w:lang w:val="en-US"/>
        </w:rPr>
        <w:t>Lorinkova</w:t>
      </w:r>
      <w:proofErr w:type="spellEnd"/>
      <w:r>
        <w:rPr>
          <w:rFonts w:ascii="Times New Roman" w:hAnsi="Times New Roman"/>
          <w:sz w:val="24"/>
          <w:szCs w:val="24"/>
          <w:lang w:val="en-US"/>
        </w:rPr>
        <w:t xml:space="preserve"> et al., 2013; Thommes et al., 2024). Conversely, communal sensemaking is essential in fresh or unclear circumstances, </w:t>
      </w:r>
      <w:r>
        <w:rPr>
          <w:rFonts w:ascii="Times New Roman" w:hAnsi="Times New Roman"/>
          <w:sz w:val="24"/>
          <w:szCs w:val="24"/>
          <w:lang w:val="en-US"/>
        </w:rPr>
        <w:lastRenderedPageBreak/>
        <w:t xml:space="preserve">where established processes are inadequate. In this context, participative leadership proves more effective since it promotes information exchange, cognitive diversity, and collaborative problem-solving (Thommes et al., 2024). </w:t>
      </w:r>
    </w:p>
    <w:p w14:paraId="34591637"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Adaptive leadership arises when teams acknowledge alterations in situational needs and adjust their leadership methods accordingly. This transformation is not instantaneous nor solely driven by leadership; rather, it occurs through a systematic process that encompasses monitoring, information processing, behavioral modification, and maintenance. Leaders and team members consistently observe environmental and performance indicators, such as abrupt declines in effectiveness or unforeseen contextual shifts, to ascertain the continued appropriateness of present practices (Morgeson, 2005; Thommes et al., 2024). These cues are analyzed through established cognitive frameworks, namely team situational models and mental models, which assist individuals in determining the necessity for a change in leadership style (Rico et al., 2008). Upon identifying a potential mismatch, teams participate in collaborative information processing, wherein members exchange viewpoints and synchronize their comprehension of the situation. This collective cognition is crucial for harmonizing the shift between leadership styles and ensuring that the behaviors of both leaders and followers are aligned coherently (Mohammed et al., 2021; Thommes et al., 2024). The transition is implemented through alterations in interaction patterns, frequently directed by acquired "scripts" that delineate anticipated behaviors in particular settings (Abelson, 1981). Directive contexts need followers to implement orders, while participatory contexts entail active engagement and consultation.</w:t>
      </w:r>
    </w:p>
    <w:p w14:paraId="58B603D6"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Crucially, adaptive leadership relies on maintaining the newly adopted leadership paradigm. Leaders and followers must self-regulate their actions to avoid defaulting to habitual patterns, especially under stress, where there is a natural inclination towards more directive control structures (Thommes et al., 2024). In the absence of adequate regulation, transitions may either fail or become unstable. </w:t>
      </w:r>
    </w:p>
    <w:p w14:paraId="59BE09FF"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Ultimately, contemplation is essential for enhancing future adaptability. Through debriefing and experiential learning, teams enhance their cognitive frameworks and broaden their behavioral repertoire, hence facilitating more efficient and precise future transitions (Klein, 1997; Thommes et al., 2024). This iterative learning method progressively improves a team's ability for adaptive performance. In summary, adaptive leadership is comprehended as a cyclical, cognitively based, and socially constructed process that allows teams to alternate between directive and participative leadership styles in response to evolving environmental demands, thus ensuring sustained effectiveness in dynamic contexts (Thommes et al., 2024).</w:t>
      </w:r>
    </w:p>
    <w:p w14:paraId="6A9272FF"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lastRenderedPageBreak/>
        <w:t>2.8.2. Directive leadership</w:t>
      </w:r>
    </w:p>
    <w:p w14:paraId="0F52880B" w14:textId="77777777" w:rsidR="009120BA" w:rsidRDefault="009120BA" w:rsidP="009120BA">
      <w:pPr>
        <w:spacing w:after="0" w:line="360" w:lineRule="auto"/>
        <w:jc w:val="both"/>
      </w:pPr>
      <w:r>
        <w:rPr>
          <w:rFonts w:ascii="Times New Roman" w:hAnsi="Times New Roman"/>
          <w:sz w:val="24"/>
          <w:szCs w:val="24"/>
          <w:lang w:val="en-US"/>
        </w:rPr>
        <w:t xml:space="preserve">Directive leadership is a task-oriented leadership approach in which leaders offer explicit instructions, delineate roles, establish performance benchmarks, and closely supervise subordinates to guarantee adherence (Daft, 2015; Mehta et al., 2003). Path–Goal Theory mitigates role ambiguity by elucidating objectives and directing personnel on job execution (House, 1971). It is defined by unilateral communication, systematic processes, and robust managerial oversight (Li et al., 2018; </w:t>
      </w:r>
      <w:proofErr w:type="spellStart"/>
      <w:r>
        <w:rPr>
          <w:rFonts w:ascii="Times New Roman" w:hAnsi="Times New Roman"/>
          <w:sz w:val="24"/>
          <w:szCs w:val="24"/>
          <w:lang w:val="en-US"/>
        </w:rPr>
        <w:t>Lorinkova</w:t>
      </w:r>
      <w:proofErr w:type="spellEnd"/>
      <w:r>
        <w:rPr>
          <w:rFonts w:ascii="Times New Roman" w:hAnsi="Times New Roman"/>
          <w:sz w:val="24"/>
          <w:szCs w:val="24"/>
          <w:lang w:val="en-US"/>
        </w:rPr>
        <w:t xml:space="preserve"> et al., 2013). Studies indicate that directed </w:t>
      </w:r>
      <w:proofErr w:type="gramStart"/>
      <w:r>
        <w:rPr>
          <w:rFonts w:ascii="Times New Roman" w:hAnsi="Times New Roman"/>
          <w:sz w:val="24"/>
          <w:szCs w:val="24"/>
          <w:lang w:val="en-US"/>
        </w:rPr>
        <w:t>leaders</w:t>
      </w:r>
      <w:proofErr w:type="gramEnd"/>
      <w:r>
        <w:rPr>
          <w:rFonts w:ascii="Times New Roman" w:hAnsi="Times New Roman"/>
          <w:sz w:val="24"/>
          <w:szCs w:val="24"/>
          <w:lang w:val="en-US"/>
        </w:rPr>
        <w:t xml:space="preserve"> priorities regulations, timelines, and compliance with organizational norms, especially in bureaucratic environments (</w:t>
      </w:r>
      <w:proofErr w:type="spellStart"/>
      <w:r>
        <w:rPr>
          <w:rFonts w:ascii="Times New Roman" w:hAnsi="Times New Roman"/>
          <w:sz w:val="24"/>
          <w:szCs w:val="24"/>
          <w:lang w:val="en-US"/>
        </w:rPr>
        <w:t>Lonati</w:t>
      </w:r>
      <w:proofErr w:type="spellEnd"/>
      <w:r>
        <w:rPr>
          <w:rFonts w:ascii="Times New Roman" w:hAnsi="Times New Roman"/>
          <w:sz w:val="24"/>
          <w:szCs w:val="24"/>
          <w:lang w:val="en-US"/>
        </w:rPr>
        <w:t>, 2020). Although it improves clarity and efficiency, it may constrain autonomy and innovation by diminishing employee involvement. Directive leadership offers organization and guidance, rendering it efficient for both ordinary and intricate activities necessitating stringent coordination</w:t>
      </w:r>
      <w:r>
        <w:rPr>
          <w:rFonts w:ascii="Times New Roman" w:hAnsi="Times New Roman"/>
          <w:b/>
          <w:bCs/>
          <w:sz w:val="24"/>
          <w:szCs w:val="24"/>
          <w:lang w:val="en-US"/>
        </w:rPr>
        <w:t>.</w:t>
      </w:r>
    </w:p>
    <w:p w14:paraId="6C39B495"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7" w:name="_Toc232013512"/>
      <w:r>
        <w:rPr>
          <w:rFonts w:ascii="Times New Roman" w:eastAsia="Times New Roman" w:hAnsi="Times New Roman"/>
          <w:b/>
          <w:bCs/>
          <w:sz w:val="24"/>
          <w:szCs w:val="24"/>
          <w:lang w:val="en-US"/>
        </w:rPr>
        <w:t>2.9. Theoretical framework</w:t>
      </w:r>
      <w:bookmarkEnd w:id="17"/>
    </w:p>
    <w:p w14:paraId="7CD1A6DF"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8" w:name="_Toc232013513"/>
      <w:r>
        <w:rPr>
          <w:rFonts w:ascii="Times New Roman" w:eastAsia="Times New Roman" w:hAnsi="Times New Roman"/>
          <w:b/>
          <w:bCs/>
          <w:sz w:val="24"/>
          <w:szCs w:val="24"/>
          <w:lang w:val="en-US"/>
        </w:rPr>
        <w:t>2.9.1. Dynamic Capabilities Theory (DCT)</w:t>
      </w:r>
      <w:bookmarkEnd w:id="18"/>
      <w:r>
        <w:rPr>
          <w:rFonts w:ascii="Times New Roman" w:eastAsia="Times New Roman" w:hAnsi="Times New Roman"/>
          <w:b/>
          <w:bCs/>
          <w:sz w:val="24"/>
          <w:szCs w:val="24"/>
          <w:lang w:val="en-US"/>
        </w:rPr>
        <w:t xml:space="preserve"> </w:t>
      </w:r>
    </w:p>
    <w:p w14:paraId="11FBA4D6" w14:textId="66383896"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Dynamic Capabilities Theory (DCT) offers a </w:t>
      </w:r>
      <w:r w:rsidR="00CC14F0">
        <w:rPr>
          <w:rFonts w:ascii="Times New Roman" w:hAnsi="Times New Roman"/>
          <w:sz w:val="24"/>
          <w:szCs w:val="24"/>
          <w:lang w:val="en-US"/>
        </w:rPr>
        <w:t>tough</w:t>
      </w:r>
      <w:r>
        <w:rPr>
          <w:rFonts w:ascii="Times New Roman" w:hAnsi="Times New Roman"/>
          <w:sz w:val="24"/>
          <w:szCs w:val="24"/>
          <w:lang w:val="en-US"/>
        </w:rPr>
        <w:t xml:space="preserve"> framework for elucidating how UK supply networks might adapt to geopolitical changes in rare earth element (REE) markets. The idea posits that organizational effectiveness in unstable contexts relies on the capacity to recognize, seize, and reorganize resources in reaction to external changes (Teece, Pisano, and Shuen, 1997). Geopolitical risks, including export prohibitions, trade conflicts, and resource nationalism from leading suppliers, introduce considerable uncertainty in rare earth element supply chains, necessitating swift strategic adaptations in upstream material flows. In this context, sensing pertains to the recognition of preliminary geopolitical indicators, such governmental alterations or export limitations impacting essential minerals. Seizing entails executing prompt strategic decisions, including diversifying sources, investing in recycling technology, or establishing strategic relationships. Reconfiguring signifies structural transformation, encompassing the reshoring of processing capabilities or the restructuring of procurement processes to diminish dependency. These competencies are well acknowledged as fundamental to supply chain resilience in the face of unpredictability (Eisenhardt and Martin, 2000). DCT serves as a moderating factor directly linked to leadership style in your thesis. Directive leadership can augment the "seizing" factor by facilitating rapid, centralized decision-making during supply shortages, which is vital in crisis situations. Nonetheless, it may restrict sensing by inhibiting bottom-up information flow. Adaptive leadership enhances perception and reconfiguration via decentralized communication, cross-functional </w:t>
      </w:r>
      <w:r>
        <w:rPr>
          <w:rFonts w:ascii="Times New Roman" w:hAnsi="Times New Roman"/>
          <w:sz w:val="24"/>
          <w:szCs w:val="24"/>
          <w:lang w:val="en-US"/>
        </w:rPr>
        <w:lastRenderedPageBreak/>
        <w:t>collaboration, and organizational learning, which are vital for deciphering intricate geopolitical signals. Nonetheless, DCT has faced criticism over its conceptual scope and restricted prediction accuracy in intricate supply chain contexts (Eisenhardt and Martin, 2000). Nonetheless, it continues to be significantly pertinent for elucidating how UK companies might enhance resilience in REE supply chains throughout global instability.</w:t>
      </w:r>
    </w:p>
    <w:p w14:paraId="7DEF67E7"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19" w:name="_Toc232013514"/>
      <w:r>
        <w:rPr>
          <w:rFonts w:ascii="Times New Roman" w:eastAsia="Times New Roman" w:hAnsi="Times New Roman"/>
          <w:b/>
          <w:bCs/>
          <w:sz w:val="24"/>
          <w:szCs w:val="24"/>
          <w:lang w:val="en-US"/>
        </w:rPr>
        <w:t>2.9.2. Resource Dependence Theory (RDT)</w:t>
      </w:r>
      <w:bookmarkEnd w:id="19"/>
      <w:r>
        <w:rPr>
          <w:rFonts w:ascii="Times New Roman" w:eastAsia="Times New Roman" w:hAnsi="Times New Roman"/>
          <w:b/>
          <w:bCs/>
          <w:sz w:val="24"/>
          <w:szCs w:val="24"/>
          <w:lang w:val="en-US"/>
        </w:rPr>
        <w:t xml:space="preserve"> </w:t>
      </w:r>
    </w:p>
    <w:p w14:paraId="6471F1AA" w14:textId="055BE163"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Resource Dependence Theory (RDT) elucidates how organizational behavior</w:t>
      </w:r>
      <w:r w:rsidR="0019521F">
        <w:rPr>
          <w:rFonts w:ascii="Times New Roman" w:hAnsi="Times New Roman"/>
          <w:sz w:val="24"/>
          <w:szCs w:val="24"/>
          <w:lang w:val="en-US"/>
        </w:rPr>
        <w:t xml:space="preserve"> </w:t>
      </w:r>
      <w:r>
        <w:rPr>
          <w:rFonts w:ascii="Times New Roman" w:hAnsi="Times New Roman"/>
          <w:sz w:val="24"/>
          <w:szCs w:val="24"/>
          <w:lang w:val="en-US"/>
        </w:rPr>
        <w:t xml:space="preserve">influenced </w:t>
      </w:r>
      <w:r w:rsidR="00E40E6C">
        <w:rPr>
          <w:rFonts w:ascii="Times New Roman" w:hAnsi="Times New Roman"/>
          <w:sz w:val="24"/>
          <w:szCs w:val="24"/>
          <w:lang w:val="en-US"/>
        </w:rPr>
        <w:t xml:space="preserve">by </w:t>
      </w:r>
      <w:r>
        <w:rPr>
          <w:rFonts w:ascii="Times New Roman" w:hAnsi="Times New Roman"/>
          <w:sz w:val="24"/>
          <w:szCs w:val="24"/>
          <w:lang w:val="en-US"/>
        </w:rPr>
        <w:t>reliance on external resources governed by other entities (Pfeffer and Salancik, 1978). UK companies in rare earth element supply chains exhibit significant reliance on a concentrated global supply base, especially China, which predominates in extraction and processing. This engenders structural vulnerability, wherein geopolitical tensions, trade constraints, or export prohibitions can markedly interrupt supply continuity. Resource Dependence Theory posits that organizations mitigate dependency by reducing uncertainty and re-establishing control through techniques like supplier diversity, vertical integration, alliances, and buffering mechanisms (Pfeffer and Salancik, 1978). In the UK context, this encompasses initiatives to get alternative suppliers from allied nations, enhance domestic refining capabilities, or establish strategic reserves of essential resources. These measures are extensively endorsed in the literature on supply chain resilience as means to mitigate vulnerability to external disruptions (Hillman, Withers and Collins, 2009). This thesis posits that leadership style significantly moderates the effectiveness of dependency-reduction techniques. Directive leadership improves efficiency in critical times by centralizing decision-making and facilitating swift supplier transitions amid geopolitical crises. Nonetheless, it may diminish flexibility and impede long-term strategy exploration. Adaptive leadership, conversely, fosters collaborative supplier relationships, facilitates information exchange, and promotes the long-term restructuring of dependency networks, all of which are vital for the development of sustainable resilience. A disadvantage of RDT is its pronounced focus on external restrictions, which may diminish the significance of internal organizational learning and innovation. When integrated with leadership theory, it a potent framework comprehending how UK supply chains navigate geopolitical dependency concerns in the procurement of rare earth elements.</w:t>
      </w:r>
    </w:p>
    <w:p w14:paraId="02510491"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0" w:name="_Toc232013515"/>
      <w:r>
        <w:rPr>
          <w:rFonts w:ascii="Times New Roman" w:eastAsia="Times New Roman" w:hAnsi="Times New Roman"/>
          <w:b/>
          <w:bCs/>
          <w:sz w:val="24"/>
          <w:szCs w:val="24"/>
          <w:lang w:val="en-US"/>
        </w:rPr>
        <w:t>2.10.  Empirical review</w:t>
      </w:r>
      <w:bookmarkEnd w:id="20"/>
      <w:r>
        <w:rPr>
          <w:rFonts w:ascii="Times New Roman" w:eastAsia="Times New Roman" w:hAnsi="Times New Roman"/>
          <w:b/>
          <w:bCs/>
          <w:sz w:val="24"/>
          <w:szCs w:val="24"/>
          <w:lang w:val="en-US"/>
        </w:rPr>
        <w:t xml:space="preserve"> </w:t>
      </w:r>
    </w:p>
    <w:p w14:paraId="7928E12D" w14:textId="77777777" w:rsidR="009120BA" w:rsidRDefault="009120BA" w:rsidP="009120BA">
      <w:pPr>
        <w:spacing w:line="276" w:lineRule="auto"/>
        <w:rPr>
          <w:rFonts w:ascii="Times New Roman" w:hAnsi="Times New Roman"/>
          <w:b/>
          <w:bCs/>
          <w:sz w:val="24"/>
          <w:szCs w:val="24"/>
          <w:lang w:val="en-US"/>
        </w:rPr>
      </w:pPr>
      <w:r>
        <w:rPr>
          <w:rFonts w:ascii="Times New Roman" w:hAnsi="Times New Roman"/>
          <w:b/>
          <w:bCs/>
          <w:sz w:val="24"/>
          <w:szCs w:val="24"/>
          <w:lang w:val="en-US"/>
        </w:rPr>
        <w:t>2.10.1.  Geopolitical risks and REE supply chains</w:t>
      </w:r>
    </w:p>
    <w:p w14:paraId="30536586"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Empirical evidence consistently demonstrates that geopolitical risks have become a major source of disruption within global supply chains, particularly those involving </w:t>
      </w:r>
      <w:r>
        <w:rPr>
          <w:rFonts w:ascii="Times New Roman" w:hAnsi="Times New Roman"/>
          <w:sz w:val="24"/>
          <w:szCs w:val="24"/>
          <w:lang w:val="en-US"/>
        </w:rPr>
        <w:lastRenderedPageBreak/>
        <w:t xml:space="preserve">strategically important minerals such as rare earth elements (REEs). </w:t>
      </w:r>
      <w:proofErr w:type="spellStart"/>
      <w:r>
        <w:rPr>
          <w:rFonts w:ascii="Times New Roman" w:hAnsi="Times New Roman"/>
          <w:sz w:val="24"/>
          <w:szCs w:val="24"/>
          <w:lang w:val="en-US"/>
        </w:rPr>
        <w:t>Depraiter</w:t>
      </w:r>
      <w:proofErr w:type="spellEnd"/>
      <w:r>
        <w:rPr>
          <w:rFonts w:ascii="Times New Roman" w:hAnsi="Times New Roman"/>
          <w:sz w:val="24"/>
          <w:szCs w:val="24"/>
          <w:lang w:val="en-US"/>
        </w:rPr>
        <w:t xml:space="preserve">, Goutte and Porcher (2025) found that geopolitical events significantly influence export practices for rare earth permanent magnets, increasing supply chain vulnerability and exposing countries dependent on imported REEs to strategic risks. Similarly, </w:t>
      </w:r>
      <w:proofErr w:type="spellStart"/>
      <w:r>
        <w:rPr>
          <w:rFonts w:ascii="Times New Roman" w:hAnsi="Times New Roman"/>
          <w:sz w:val="24"/>
          <w:szCs w:val="24"/>
          <w:lang w:val="en-US"/>
        </w:rPr>
        <w:t>Hyyryläinen</w:t>
      </w:r>
      <w:proofErr w:type="spellEnd"/>
      <w:r>
        <w:rPr>
          <w:rFonts w:ascii="Times New Roman" w:hAnsi="Times New Roman"/>
          <w:sz w:val="24"/>
          <w:szCs w:val="24"/>
          <w:lang w:val="en-US"/>
        </w:rPr>
        <w:t xml:space="preserve"> (2025) reported that geopolitical tensions disrupt exports, increase material prices and threaten supply chain stability, while </w:t>
      </w:r>
      <w:proofErr w:type="spellStart"/>
      <w:r>
        <w:rPr>
          <w:rFonts w:ascii="Times New Roman" w:hAnsi="Times New Roman"/>
          <w:sz w:val="24"/>
          <w:szCs w:val="24"/>
          <w:lang w:val="en-US"/>
        </w:rPr>
        <w:t>Sanglier</w:t>
      </w:r>
      <w:proofErr w:type="spellEnd"/>
      <w:r>
        <w:rPr>
          <w:rFonts w:ascii="Times New Roman" w:hAnsi="Times New Roman"/>
          <w:sz w:val="24"/>
          <w:szCs w:val="24"/>
          <w:lang w:val="en-US"/>
        </w:rPr>
        <w:t>-Contreras et al. (2026) observed that geopolitical conflicts obstruct logistics corridors, increase transportation costs and alter international mineral trade patterns.</w:t>
      </w:r>
    </w:p>
    <w:p w14:paraId="7244B483" w14:textId="2A155F41"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Within the UK context, Hsu et al. (2024) demonstrated that the country's heavy dependence on imported REEs, fragmented supply chains and limited recovery of end-of-life materials increase exposure to geopolitical disruptions. Likewise, Deady et al. (2023) argued that although the UK possesses potential critical mineral resources, insufficient geological knowledge and limited domestic production continue to increase reliance on international supply networks. Ji (2026) further showed that geopolitical disturbances substantially reduce supply chain resilience and operational recovery, although organizational adaptation varies depending on structural complexity and available capabilities. Collectively, these studies </w:t>
      </w:r>
      <w:proofErr w:type="gramStart"/>
      <w:r w:rsidR="00F82EDE">
        <w:rPr>
          <w:rFonts w:ascii="Times New Roman" w:hAnsi="Times New Roman"/>
          <w:sz w:val="24"/>
          <w:szCs w:val="24"/>
          <w:lang w:val="en-US"/>
        </w:rPr>
        <w:t>gives</w:t>
      </w:r>
      <w:proofErr w:type="gramEnd"/>
      <w:r>
        <w:rPr>
          <w:rFonts w:ascii="Times New Roman" w:hAnsi="Times New Roman"/>
          <w:sz w:val="24"/>
          <w:szCs w:val="24"/>
          <w:lang w:val="en-US"/>
        </w:rPr>
        <w:t xml:space="preserve"> strong evidence</w:t>
      </w:r>
      <w:r w:rsidR="00D50C14">
        <w:rPr>
          <w:rFonts w:ascii="Times New Roman" w:hAnsi="Times New Roman"/>
          <w:sz w:val="24"/>
          <w:szCs w:val="24"/>
          <w:lang w:val="en-US"/>
        </w:rPr>
        <w:t xml:space="preserve"> of</w:t>
      </w:r>
      <w:r>
        <w:rPr>
          <w:rFonts w:ascii="Times New Roman" w:hAnsi="Times New Roman"/>
          <w:sz w:val="24"/>
          <w:szCs w:val="24"/>
          <w:lang w:val="en-US"/>
        </w:rPr>
        <w:t xml:space="preserve"> geopolitical risks undermine supply chain resilience. However, they predominantly recommend structural interventions such as diversification, localization, geological exploration and circular economy initiatives. Relatively little attention has been given to the managerial and leadership capabilities required to coordinate and implement these responses effectively, leaving an important gap in understanding how organizations can strategically manage geopolitical supply risks.</w:t>
      </w:r>
    </w:p>
    <w:p w14:paraId="375F8406"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2.10.2.  Leadership and organizational resilience</w:t>
      </w:r>
    </w:p>
    <w:p w14:paraId="6658AE2C" w14:textId="0EA7F00F"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A substantial body of empirical research </w:t>
      </w:r>
      <w:r w:rsidR="00D50C14">
        <w:rPr>
          <w:rFonts w:ascii="Times New Roman" w:hAnsi="Times New Roman"/>
          <w:sz w:val="24"/>
          <w:szCs w:val="24"/>
          <w:lang w:val="en-US"/>
        </w:rPr>
        <w:t>hints</w:t>
      </w:r>
      <w:r>
        <w:rPr>
          <w:rFonts w:ascii="Times New Roman" w:hAnsi="Times New Roman"/>
          <w:sz w:val="24"/>
          <w:szCs w:val="24"/>
          <w:lang w:val="en-US"/>
        </w:rPr>
        <w:t xml:space="preserve"> that leadership plays important role in strengthening organizational resilience during periods of uncertainty. Ferdous et al. (2023) demonstrated that effective corporate governance enhances resilience through stronger strategic oversight, risk management and adaptive decision-making. Similarly, Yakimov (2026) found that transformational and adaptive leadership significantly improve organizational resilience, which subsequently enhances operational performance and sustainability. Comparable </w:t>
      </w:r>
      <w:r w:rsidR="00F24C1E">
        <w:rPr>
          <w:rFonts w:ascii="Times New Roman" w:hAnsi="Times New Roman"/>
          <w:sz w:val="24"/>
          <w:szCs w:val="24"/>
          <w:lang w:val="en-US"/>
        </w:rPr>
        <w:t>discoveries</w:t>
      </w:r>
      <w:r>
        <w:rPr>
          <w:rFonts w:ascii="Times New Roman" w:hAnsi="Times New Roman"/>
          <w:sz w:val="24"/>
          <w:szCs w:val="24"/>
          <w:lang w:val="en-US"/>
        </w:rPr>
        <w:t xml:space="preserve"> were reported by </w:t>
      </w:r>
      <w:proofErr w:type="spellStart"/>
      <w:r>
        <w:rPr>
          <w:rFonts w:ascii="Times New Roman" w:hAnsi="Times New Roman"/>
          <w:sz w:val="24"/>
          <w:szCs w:val="24"/>
          <w:lang w:val="en-US"/>
        </w:rPr>
        <w:t>Latukha</w:t>
      </w:r>
      <w:proofErr w:type="spellEnd"/>
      <w:r>
        <w:rPr>
          <w:rFonts w:ascii="Times New Roman" w:hAnsi="Times New Roman"/>
          <w:sz w:val="24"/>
          <w:szCs w:val="24"/>
          <w:lang w:val="en-US"/>
        </w:rPr>
        <w:t xml:space="preserve"> et al. (2024), who showed adaptive leadership positively influences resilience at individual, team and organizational levels.</w:t>
      </w:r>
    </w:p>
    <w:p w14:paraId="731EBF93" w14:textId="77777777" w:rsidR="009120BA" w:rsidRDefault="009120BA" w:rsidP="009120BA">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Other studies similarly associate adaptive leadership with improved organizational flexibility, learning and innovation during turbulent environments (</w:t>
      </w:r>
      <w:proofErr w:type="spellStart"/>
      <w:r>
        <w:rPr>
          <w:rFonts w:ascii="Times New Roman" w:hAnsi="Times New Roman"/>
          <w:sz w:val="24"/>
          <w:szCs w:val="24"/>
          <w:lang w:val="en-US"/>
        </w:rPr>
        <w:t>Canciglieri</w:t>
      </w:r>
      <w:proofErr w:type="spellEnd"/>
      <w:r>
        <w:rPr>
          <w:rFonts w:ascii="Times New Roman" w:hAnsi="Times New Roman"/>
          <w:sz w:val="24"/>
          <w:szCs w:val="24"/>
          <w:lang w:val="en-US"/>
        </w:rPr>
        <w:t xml:space="preserve"> et al., 2026; Faw, 2025; Sott and Bender, 2025). Likewise, Taseer and Ahmed (2022) reported that transformational and transactional leadership improve supply chain resilience by strengthening </w:t>
      </w:r>
      <w:r>
        <w:rPr>
          <w:rFonts w:ascii="Times New Roman" w:hAnsi="Times New Roman"/>
          <w:sz w:val="24"/>
          <w:szCs w:val="24"/>
          <w:lang w:val="en-US"/>
        </w:rPr>
        <w:lastRenderedPageBreak/>
        <w:t>organizational flexibility and agility. Although these studies consistently demonstrate the importance of leadership for organizational resilience, they primarily examine resilience in general organizational or technological contexts rather than resilience to geopolitical supply disruptions. Consequently, existing evidence provides limited understanding of how leadership styles influence organizational responses to geopolitical uncertainty within strategically important supply chains such as rare earth elements.</w:t>
      </w:r>
    </w:p>
    <w:p w14:paraId="7DA85253" w14:textId="77777777" w:rsidR="009120BA" w:rsidRDefault="009120BA" w:rsidP="009120BA">
      <w:pPr>
        <w:spacing w:after="0" w:line="360" w:lineRule="auto"/>
        <w:jc w:val="both"/>
        <w:rPr>
          <w:rFonts w:ascii="Times New Roman" w:hAnsi="Times New Roman"/>
          <w:b/>
          <w:bCs/>
          <w:sz w:val="24"/>
          <w:szCs w:val="24"/>
          <w:lang w:val="en-US"/>
        </w:rPr>
      </w:pPr>
    </w:p>
    <w:p w14:paraId="3D6B37F5"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2.10.3. Leadership under geopolitical disruption</w:t>
      </w:r>
    </w:p>
    <w:p w14:paraId="372E499D" w14:textId="35C3ADB4" w:rsidR="009120BA" w:rsidRDefault="006E3672"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A</w:t>
      </w:r>
      <w:r w:rsidR="009120BA">
        <w:rPr>
          <w:rFonts w:ascii="Times New Roman" w:hAnsi="Times New Roman"/>
          <w:sz w:val="24"/>
          <w:szCs w:val="24"/>
          <w:lang w:val="en-US"/>
        </w:rPr>
        <w:t xml:space="preserve"> limited number of empirical studies have directly examined leadership within geopolitical supply chain disruptions. Ali et al. (2025) found that geopolitical shocks reduce supply chain agility, while crisis and transformational leadership jointly improve firms’ ability to respond to these disruptions. Similarly, Ali et al. (2024) found that directive leadership </w:t>
      </w:r>
      <w:proofErr w:type="gramStart"/>
      <w:r w:rsidR="00826BFC">
        <w:rPr>
          <w:rFonts w:ascii="Times New Roman" w:hAnsi="Times New Roman"/>
          <w:sz w:val="24"/>
          <w:szCs w:val="24"/>
          <w:lang w:val="en-US"/>
        </w:rPr>
        <w:t xml:space="preserve">didn’t </w:t>
      </w:r>
      <w:r w:rsidR="009120BA">
        <w:rPr>
          <w:rFonts w:ascii="Times New Roman" w:hAnsi="Times New Roman"/>
          <w:sz w:val="24"/>
          <w:szCs w:val="24"/>
          <w:lang w:val="en-US"/>
        </w:rPr>
        <w:t xml:space="preserve"> significantly</w:t>
      </w:r>
      <w:proofErr w:type="gramEnd"/>
      <w:r w:rsidR="009120BA">
        <w:rPr>
          <w:rFonts w:ascii="Times New Roman" w:hAnsi="Times New Roman"/>
          <w:sz w:val="24"/>
          <w:szCs w:val="24"/>
          <w:lang w:val="en-US"/>
        </w:rPr>
        <w:t xml:space="preserve"> mitigate negative effects of geopolitical disruptions o</w:t>
      </w:r>
      <w:r w:rsidR="00BA4E24">
        <w:rPr>
          <w:rFonts w:ascii="Times New Roman" w:hAnsi="Times New Roman"/>
          <w:sz w:val="24"/>
          <w:szCs w:val="24"/>
          <w:lang w:val="en-US"/>
        </w:rPr>
        <w:t>f</w:t>
      </w:r>
      <w:r w:rsidR="009120BA">
        <w:rPr>
          <w:rFonts w:ascii="Times New Roman" w:hAnsi="Times New Roman"/>
          <w:sz w:val="24"/>
          <w:szCs w:val="24"/>
          <w:lang w:val="en-US"/>
        </w:rPr>
        <w:t xml:space="preserve"> logistics innovation, whereas studies conducted in SMEs and crisis governance contexts suggest that directive leadership can improve performance through </w:t>
      </w:r>
      <w:r w:rsidR="002F7E2E">
        <w:rPr>
          <w:rFonts w:ascii="Times New Roman" w:hAnsi="Times New Roman"/>
          <w:sz w:val="24"/>
          <w:szCs w:val="24"/>
          <w:lang w:val="en-US"/>
        </w:rPr>
        <w:t>swift</w:t>
      </w:r>
      <w:r w:rsidR="009120BA">
        <w:rPr>
          <w:rFonts w:ascii="Times New Roman" w:hAnsi="Times New Roman"/>
          <w:sz w:val="24"/>
          <w:szCs w:val="24"/>
          <w:lang w:val="en-US"/>
        </w:rPr>
        <w:t xml:space="preserve"> decision-making and operational control (Ochieng et al., 2023; Krause et al., 2022; Ojanji et al., 2025). This creates an unresolved empirical tension: directive leadership appears beneficial in some crisis contexts but ineffective in mitigating geopolitical supply disruptions. Furthermore, adaptive leadership has been consistently linked to resilience, learning, and flexibility (Yakimov, 2026; </w:t>
      </w:r>
      <w:proofErr w:type="spellStart"/>
      <w:r w:rsidR="009120BA">
        <w:rPr>
          <w:rFonts w:ascii="Times New Roman" w:hAnsi="Times New Roman"/>
          <w:sz w:val="24"/>
          <w:szCs w:val="24"/>
          <w:lang w:val="en-US"/>
        </w:rPr>
        <w:t>Latukha</w:t>
      </w:r>
      <w:proofErr w:type="spellEnd"/>
      <w:r w:rsidR="009120BA">
        <w:rPr>
          <w:rFonts w:ascii="Times New Roman" w:hAnsi="Times New Roman"/>
          <w:sz w:val="24"/>
          <w:szCs w:val="24"/>
          <w:lang w:val="en-US"/>
        </w:rPr>
        <w:t xml:space="preserve"> et al., 2024; Sott and Bender, 2025), yet these studies rarely examine geopolitical supply risks involving critical minerals. </w:t>
      </w:r>
    </w:p>
    <w:p w14:paraId="05CAE91A" w14:textId="77777777" w:rsidR="009120BA" w:rsidRDefault="009120BA" w:rsidP="009120BA">
      <w:pPr>
        <w:spacing w:after="0" w:line="360" w:lineRule="auto"/>
        <w:jc w:val="both"/>
        <w:rPr>
          <w:rFonts w:ascii="Times New Roman" w:hAnsi="Times New Roman"/>
          <w:b/>
          <w:bCs/>
          <w:sz w:val="24"/>
          <w:szCs w:val="24"/>
          <w:lang w:val="en-US"/>
        </w:rPr>
      </w:pPr>
    </w:p>
    <w:p w14:paraId="545D2E7C"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 xml:space="preserve">Summary of empirical review </w:t>
      </w:r>
    </w:p>
    <w:tbl>
      <w:tblPr>
        <w:tblW w:w="9016" w:type="dxa"/>
        <w:tblCellMar>
          <w:left w:w="10" w:type="dxa"/>
          <w:right w:w="10" w:type="dxa"/>
        </w:tblCellMar>
        <w:tblLook w:val="04A0" w:firstRow="1" w:lastRow="0" w:firstColumn="1" w:lastColumn="0" w:noHBand="0" w:noVBand="1"/>
      </w:tblPr>
      <w:tblGrid>
        <w:gridCol w:w="1318"/>
        <w:gridCol w:w="1674"/>
        <w:gridCol w:w="2051"/>
        <w:gridCol w:w="1740"/>
        <w:gridCol w:w="2233"/>
      </w:tblGrid>
      <w:tr w:rsidR="009120BA" w14:paraId="38B40842"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D330D" w14:textId="77777777" w:rsidR="009120BA" w:rsidRDefault="009120BA" w:rsidP="006A77E8">
            <w:pPr>
              <w:spacing w:after="0" w:line="360" w:lineRule="auto"/>
            </w:pPr>
            <w:r>
              <w:rPr>
                <w:rFonts w:ascii="Times New Roman" w:hAnsi="Times New Roman"/>
                <w:b/>
                <w:bCs/>
                <w:lang w:val="en-US"/>
              </w:rPr>
              <w:t>Author(s)</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C31B1" w14:textId="77777777" w:rsidR="009120BA" w:rsidRDefault="009120BA" w:rsidP="006A77E8">
            <w:pPr>
              <w:spacing w:after="0" w:line="360" w:lineRule="auto"/>
            </w:pPr>
            <w:r>
              <w:rPr>
                <w:rFonts w:ascii="Times New Roman" w:hAnsi="Times New Roman"/>
                <w:b/>
                <w:bCs/>
                <w:lang w:val="en-US"/>
              </w:rPr>
              <w:t>Aim</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B4771" w14:textId="77777777" w:rsidR="009120BA" w:rsidRDefault="009120BA" w:rsidP="006A77E8">
            <w:pPr>
              <w:spacing w:after="0" w:line="360" w:lineRule="auto"/>
            </w:pPr>
            <w:r>
              <w:rPr>
                <w:rFonts w:ascii="Times New Roman" w:hAnsi="Times New Roman"/>
                <w:b/>
                <w:bCs/>
                <w:lang w:val="en-US"/>
              </w:rPr>
              <w:t>Method</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08283" w14:textId="77777777" w:rsidR="009120BA" w:rsidRDefault="009120BA" w:rsidP="006A77E8">
            <w:pPr>
              <w:spacing w:after="0" w:line="360" w:lineRule="auto"/>
            </w:pPr>
            <w:r>
              <w:rPr>
                <w:rFonts w:ascii="Times New Roman" w:hAnsi="Times New Roman"/>
                <w:b/>
                <w:bCs/>
                <w:lang w:val="en-US"/>
              </w:rPr>
              <w:t>Key Findings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B8181" w14:textId="77777777" w:rsidR="009120BA" w:rsidRDefault="009120BA" w:rsidP="006A77E8">
            <w:pPr>
              <w:spacing w:after="0" w:line="360" w:lineRule="auto"/>
            </w:pPr>
            <w:r>
              <w:rPr>
                <w:rFonts w:ascii="Times New Roman" w:hAnsi="Times New Roman"/>
                <w:b/>
                <w:bCs/>
                <w:lang w:val="en-US"/>
              </w:rPr>
              <w:t>Limitations/Research Gap</w:t>
            </w:r>
          </w:p>
        </w:tc>
      </w:tr>
      <w:tr w:rsidR="009120BA" w14:paraId="3EEEC267"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DA703" w14:textId="77777777" w:rsidR="009120BA" w:rsidRDefault="009120BA" w:rsidP="006A77E8">
            <w:pPr>
              <w:spacing w:after="0" w:line="360" w:lineRule="auto"/>
            </w:pPr>
            <w:proofErr w:type="spellStart"/>
            <w:r>
              <w:rPr>
                <w:rFonts w:ascii="Times New Roman" w:hAnsi="Times New Roman"/>
                <w:lang w:val="en-US"/>
              </w:rPr>
              <w:t>Depraiter</w:t>
            </w:r>
            <w:proofErr w:type="spellEnd"/>
            <w:r>
              <w:rPr>
                <w:rFonts w:ascii="Times New Roman" w:hAnsi="Times New Roman"/>
                <w:lang w:val="en-US"/>
              </w:rPr>
              <w:t>, Goutte and Porcher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D1287" w14:textId="4BA481B0" w:rsidR="009120BA" w:rsidRDefault="009120BA" w:rsidP="006A77E8">
            <w:pPr>
              <w:spacing w:after="0" w:line="360" w:lineRule="auto"/>
            </w:pPr>
            <w:r>
              <w:rPr>
                <w:rFonts w:ascii="Times New Roman" w:hAnsi="Times New Roman"/>
                <w:lang w:val="en-US"/>
              </w:rPr>
              <w:t>To examine the impact of geopolitical risk on global supply of rare earth permanent magnets (REPMs).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CA95F" w14:textId="77777777" w:rsidR="009120BA" w:rsidRDefault="009120BA" w:rsidP="006A77E8">
            <w:pPr>
              <w:spacing w:after="0" w:line="360" w:lineRule="auto"/>
            </w:pPr>
            <w:r>
              <w:rPr>
                <w:rFonts w:ascii="Times New Roman" w:hAnsi="Times New Roman"/>
                <w:lang w:val="en-US"/>
              </w:rPr>
              <w:t>Quantitative; multiple linear regression using Chinese export data (2017–2024).</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A83AB" w14:textId="77777777" w:rsidR="009120BA" w:rsidRDefault="009120BA" w:rsidP="006A77E8">
            <w:pPr>
              <w:spacing w:after="0" w:line="360" w:lineRule="auto"/>
            </w:pPr>
            <w:r>
              <w:rPr>
                <w:rFonts w:ascii="Times New Roman" w:hAnsi="Times New Roman"/>
                <w:lang w:val="en-US"/>
              </w:rPr>
              <w:t>Geopolitical risks significantly influence Chinese REPM exports and increase global supply chain vulnerability.</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A0F04" w14:textId="77777777" w:rsidR="009120BA" w:rsidRDefault="009120BA" w:rsidP="006A77E8">
            <w:pPr>
              <w:spacing w:after="0" w:line="360" w:lineRule="auto"/>
            </w:pPr>
            <w:r>
              <w:rPr>
                <w:rFonts w:ascii="Times New Roman" w:hAnsi="Times New Roman"/>
                <w:lang w:val="en-US"/>
              </w:rPr>
              <w:t>Focuses on export dynamics and geopolitical risk without examining organizational or leadership responses to mitigate disruptions.</w:t>
            </w:r>
          </w:p>
        </w:tc>
      </w:tr>
      <w:tr w:rsidR="009120BA" w14:paraId="0967EB97"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4BADD" w14:textId="77777777" w:rsidR="009120BA" w:rsidRDefault="009120BA" w:rsidP="006A77E8">
            <w:pPr>
              <w:spacing w:after="0" w:line="360" w:lineRule="auto"/>
            </w:pPr>
            <w:proofErr w:type="spellStart"/>
            <w:r>
              <w:rPr>
                <w:rFonts w:ascii="Times New Roman" w:hAnsi="Times New Roman"/>
                <w:lang w:val="en-US"/>
              </w:rPr>
              <w:lastRenderedPageBreak/>
              <w:t>Hyyryläinen</w:t>
            </w:r>
            <w:proofErr w:type="spellEnd"/>
            <w:r>
              <w:rPr>
                <w:rFonts w:ascii="Times New Roman" w:hAnsi="Times New Roman"/>
                <w:lang w:val="en-US"/>
              </w:rPr>
              <w:t xml:space="preserve">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19B23" w14:textId="77777777" w:rsidR="009120BA" w:rsidRDefault="009120BA" w:rsidP="006A77E8">
            <w:pPr>
              <w:spacing w:after="0" w:line="360" w:lineRule="auto"/>
            </w:pPr>
            <w:r>
              <w:rPr>
                <w:rFonts w:ascii="Times New Roman" w:hAnsi="Times New Roman"/>
                <w:lang w:val="en-US"/>
              </w:rPr>
              <w:t>To examine how geopolitical tensions affect REE supply chains.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941F0" w14:textId="77777777" w:rsidR="009120BA" w:rsidRDefault="009120BA" w:rsidP="006A77E8">
            <w:pPr>
              <w:spacing w:after="0" w:line="360" w:lineRule="auto"/>
            </w:pPr>
            <w:r>
              <w:rPr>
                <w:rFonts w:ascii="Times New Roman" w:hAnsi="Times New Roman"/>
                <w:lang w:val="en-US"/>
              </w:rPr>
              <w:t>Case study of the 2010 China–Japan rare earth crisis.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3852E" w14:textId="77777777" w:rsidR="009120BA" w:rsidRDefault="009120BA" w:rsidP="006A77E8">
            <w:pPr>
              <w:spacing w:after="0" w:line="360" w:lineRule="auto"/>
            </w:pPr>
            <w:r>
              <w:rPr>
                <w:rFonts w:ascii="Times New Roman" w:hAnsi="Times New Roman"/>
                <w:lang w:val="en-US"/>
              </w:rPr>
              <w:t>Geopolitical tensions disrupt exports, increase prices and reduce supply chain resilience.</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90C41" w14:textId="77777777" w:rsidR="009120BA" w:rsidRDefault="009120BA" w:rsidP="006A77E8">
            <w:pPr>
              <w:spacing w:after="0" w:line="360" w:lineRule="auto"/>
            </w:pPr>
            <w:r>
              <w:rPr>
                <w:rFonts w:ascii="Times New Roman" w:hAnsi="Times New Roman"/>
                <w:lang w:val="en-US"/>
              </w:rPr>
              <w:t>Describes supply chain vulnerability but does not consider leadership or organizational strategies for managing geopolitical risk.</w:t>
            </w:r>
          </w:p>
        </w:tc>
      </w:tr>
      <w:tr w:rsidR="009120BA" w14:paraId="7C8EFE2B"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5A864" w14:textId="77777777" w:rsidR="009120BA" w:rsidRDefault="009120BA" w:rsidP="006A77E8">
            <w:pPr>
              <w:spacing w:after="0" w:line="360" w:lineRule="auto"/>
            </w:pPr>
            <w:proofErr w:type="spellStart"/>
            <w:r>
              <w:rPr>
                <w:rFonts w:ascii="Times New Roman" w:hAnsi="Times New Roman"/>
                <w:lang w:val="en-US"/>
              </w:rPr>
              <w:t>Sanglier</w:t>
            </w:r>
            <w:proofErr w:type="spellEnd"/>
            <w:r>
              <w:rPr>
                <w:rFonts w:ascii="Times New Roman" w:hAnsi="Times New Roman"/>
                <w:lang w:val="en-US"/>
              </w:rPr>
              <w:t>-Contreras et al. (2026)</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9E86F" w14:textId="77777777" w:rsidR="009120BA" w:rsidRDefault="009120BA" w:rsidP="006A77E8">
            <w:pPr>
              <w:spacing w:after="0" w:line="360" w:lineRule="auto"/>
            </w:pPr>
            <w:r>
              <w:rPr>
                <w:rFonts w:ascii="Times New Roman" w:hAnsi="Times New Roman"/>
                <w:lang w:val="en-US"/>
              </w:rPr>
              <w:t>To investigate the effects of the Russia–Ukraine conflict on critical mineral trade.</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6B792" w14:textId="77777777" w:rsidR="009120BA" w:rsidRDefault="009120BA" w:rsidP="006A77E8">
            <w:pPr>
              <w:spacing w:after="0" w:line="360" w:lineRule="auto"/>
            </w:pPr>
            <w:r>
              <w:rPr>
                <w:rFonts w:ascii="Times New Roman" w:hAnsi="Times New Roman"/>
                <w:lang w:val="en-US"/>
              </w:rPr>
              <w:t>International trade analysis.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D66A7" w14:textId="77777777" w:rsidR="009120BA" w:rsidRDefault="009120BA" w:rsidP="006A77E8">
            <w:pPr>
              <w:spacing w:after="0" w:line="360" w:lineRule="auto"/>
            </w:pPr>
            <w:r>
              <w:rPr>
                <w:rFonts w:ascii="Times New Roman" w:hAnsi="Times New Roman"/>
                <w:lang w:val="en-US"/>
              </w:rPr>
              <w:t>Conflict disrupted logistics, increased transport costs and accelerated supply diversification initiatives.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8165F" w14:textId="77777777" w:rsidR="009120BA" w:rsidRDefault="009120BA" w:rsidP="006A77E8">
            <w:pPr>
              <w:spacing w:after="0" w:line="360" w:lineRule="auto"/>
            </w:pPr>
            <w:r>
              <w:rPr>
                <w:rFonts w:ascii="Times New Roman" w:hAnsi="Times New Roman"/>
                <w:lang w:val="en-US"/>
              </w:rPr>
              <w:t>Focuses on macroeconomic impacts without considering organizational leadership responses.</w:t>
            </w:r>
          </w:p>
        </w:tc>
      </w:tr>
      <w:tr w:rsidR="009120BA" w14:paraId="1E5AA60E"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9B8A7" w14:textId="77777777" w:rsidR="009120BA" w:rsidRDefault="009120BA" w:rsidP="006A77E8">
            <w:pPr>
              <w:spacing w:after="0" w:line="360" w:lineRule="auto"/>
            </w:pPr>
            <w:r>
              <w:rPr>
                <w:rFonts w:ascii="Times New Roman" w:hAnsi="Times New Roman"/>
                <w:lang w:val="en-US"/>
              </w:rPr>
              <w:t>Hsu et al. (2024)</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D8A0D" w14:textId="77777777" w:rsidR="009120BA" w:rsidRDefault="009120BA" w:rsidP="006A77E8">
            <w:pPr>
              <w:spacing w:after="0" w:line="360" w:lineRule="auto"/>
            </w:pPr>
            <w:r>
              <w:rPr>
                <w:rFonts w:ascii="Times New Roman" w:hAnsi="Times New Roman"/>
                <w:lang w:val="en-US"/>
              </w:rPr>
              <w:t>To analyze REE flows and stocks in the UK.</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5F515" w14:textId="77777777" w:rsidR="009120BA" w:rsidRDefault="009120BA" w:rsidP="006A77E8">
            <w:pPr>
              <w:spacing w:after="0" w:line="360" w:lineRule="auto"/>
            </w:pPr>
            <w:r>
              <w:rPr>
                <w:rFonts w:ascii="Times New Roman" w:hAnsi="Times New Roman"/>
                <w:lang w:val="en-US"/>
              </w:rPr>
              <w:t>Material Flow Analysis (MFA).</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7F0BC" w14:textId="77777777" w:rsidR="009120BA" w:rsidRDefault="009120BA" w:rsidP="006A77E8">
            <w:pPr>
              <w:spacing w:after="0" w:line="360" w:lineRule="auto"/>
            </w:pPr>
            <w:r>
              <w:rPr>
                <w:rFonts w:ascii="Times New Roman" w:hAnsi="Times New Roman"/>
                <w:lang w:val="en-US"/>
              </w:rPr>
              <w:t>UK depends heavily on imported REEs, has fragmented supply chains and minimal recycling capacity.</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B286D" w14:textId="77777777" w:rsidR="009120BA" w:rsidRDefault="009120BA" w:rsidP="006A77E8">
            <w:pPr>
              <w:spacing w:after="0" w:line="360" w:lineRule="auto"/>
            </w:pPr>
            <w:r>
              <w:rPr>
                <w:rFonts w:ascii="Times New Roman" w:hAnsi="Times New Roman"/>
                <w:lang w:val="en-US"/>
              </w:rPr>
              <w:t>Emphasizes technical and circular economy solutions while overlooking leadership as a mechanism for improving resilience.</w:t>
            </w:r>
          </w:p>
        </w:tc>
      </w:tr>
      <w:tr w:rsidR="009120BA" w14:paraId="5A1BCE59"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1335E" w14:textId="77777777" w:rsidR="009120BA" w:rsidRDefault="009120BA" w:rsidP="006A77E8">
            <w:pPr>
              <w:spacing w:after="0" w:line="360" w:lineRule="auto"/>
            </w:pPr>
            <w:r>
              <w:rPr>
                <w:rFonts w:ascii="Times New Roman" w:hAnsi="Times New Roman"/>
                <w:lang w:val="en-US"/>
              </w:rPr>
              <w:t>Deady et al. (2023)</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C4D2D" w14:textId="77777777" w:rsidR="009120BA" w:rsidRDefault="009120BA" w:rsidP="006A77E8">
            <w:pPr>
              <w:spacing w:after="0" w:line="360" w:lineRule="auto"/>
            </w:pPr>
            <w:r>
              <w:rPr>
                <w:rFonts w:ascii="Times New Roman" w:hAnsi="Times New Roman"/>
                <w:lang w:val="en-US"/>
              </w:rPr>
              <w:t>To assess UK critical mineral potential.</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A1BF" w14:textId="77777777" w:rsidR="009120BA" w:rsidRDefault="009120BA" w:rsidP="006A77E8">
            <w:pPr>
              <w:spacing w:after="0" w:line="360" w:lineRule="auto"/>
            </w:pPr>
            <w:r>
              <w:rPr>
                <w:rFonts w:ascii="Times New Roman" w:hAnsi="Times New Roman"/>
                <w:lang w:val="en-US"/>
              </w:rPr>
              <w:t>Mineral systems analysis using geological and geophysical datasets.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EF388" w14:textId="77777777" w:rsidR="009120BA" w:rsidRDefault="009120BA" w:rsidP="006A77E8">
            <w:pPr>
              <w:spacing w:after="0" w:line="360" w:lineRule="auto"/>
            </w:pPr>
            <w:r>
              <w:rPr>
                <w:rFonts w:ascii="Times New Roman" w:hAnsi="Times New Roman"/>
                <w:lang w:val="en-US"/>
              </w:rPr>
              <w:t>UK possesses potential CRM resources but remains highly dependent on imports.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16567" w14:textId="77777777" w:rsidR="009120BA" w:rsidRDefault="009120BA" w:rsidP="006A77E8">
            <w:pPr>
              <w:spacing w:after="0" w:line="360" w:lineRule="auto"/>
            </w:pPr>
            <w:r>
              <w:rPr>
                <w:rFonts w:ascii="Times New Roman" w:hAnsi="Times New Roman"/>
                <w:lang w:val="en-US"/>
              </w:rPr>
              <w:t>Concentrates on geological and policy issues rather than managerial capabilities required to strengthen supply resilience.</w:t>
            </w:r>
          </w:p>
        </w:tc>
      </w:tr>
      <w:tr w:rsidR="009120BA" w14:paraId="15FA8E62"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8136E" w14:textId="77777777" w:rsidR="009120BA" w:rsidRDefault="009120BA" w:rsidP="006A77E8">
            <w:pPr>
              <w:spacing w:after="0" w:line="360" w:lineRule="auto"/>
            </w:pPr>
            <w:r>
              <w:rPr>
                <w:rFonts w:ascii="Times New Roman" w:hAnsi="Times New Roman"/>
                <w:lang w:val="en-US"/>
              </w:rPr>
              <w:t>Ferdous et al. (2023)</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E60C4" w14:textId="77777777" w:rsidR="009120BA" w:rsidRDefault="009120BA" w:rsidP="006A77E8">
            <w:pPr>
              <w:spacing w:after="0" w:line="360" w:lineRule="auto"/>
            </w:pPr>
            <w:r>
              <w:rPr>
                <w:rFonts w:ascii="Times New Roman" w:hAnsi="Times New Roman"/>
                <w:lang w:val="en-US"/>
              </w:rPr>
              <w:t xml:space="preserve">To examine the role of corporate governance in </w:t>
            </w:r>
            <w:r>
              <w:rPr>
                <w:rFonts w:ascii="Times New Roman" w:hAnsi="Times New Roman"/>
                <w:lang w:val="en-US"/>
              </w:rPr>
              <w:lastRenderedPageBreak/>
              <w:t>organizational resilience during crises.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31825" w14:textId="77777777" w:rsidR="009120BA" w:rsidRDefault="009120BA" w:rsidP="006A77E8">
            <w:pPr>
              <w:spacing w:after="0" w:line="360" w:lineRule="auto"/>
            </w:pPr>
            <w:r>
              <w:rPr>
                <w:rFonts w:ascii="Times New Roman" w:hAnsi="Times New Roman"/>
                <w:lang w:val="en-US"/>
              </w:rPr>
              <w:lastRenderedPageBreak/>
              <w:t>Empirical governance study.</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20E38" w14:textId="77777777" w:rsidR="009120BA" w:rsidRDefault="009120BA" w:rsidP="006A77E8">
            <w:pPr>
              <w:spacing w:after="0" w:line="360" w:lineRule="auto"/>
            </w:pPr>
            <w:r>
              <w:rPr>
                <w:rFonts w:ascii="Times New Roman" w:hAnsi="Times New Roman"/>
                <w:lang w:val="en-US"/>
              </w:rPr>
              <w:t xml:space="preserve">Strong governance enhances resilience </w:t>
            </w:r>
            <w:r>
              <w:rPr>
                <w:rFonts w:ascii="Times New Roman" w:hAnsi="Times New Roman"/>
                <w:lang w:val="en-US"/>
              </w:rPr>
              <w:lastRenderedPageBreak/>
              <w:t>through risk management and strategic decision-making.</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85ED2" w14:textId="77777777" w:rsidR="009120BA" w:rsidRDefault="009120BA" w:rsidP="006A77E8">
            <w:pPr>
              <w:spacing w:after="0" w:line="360" w:lineRule="auto"/>
            </w:pPr>
            <w:r>
              <w:rPr>
                <w:rFonts w:ascii="Times New Roman" w:hAnsi="Times New Roman"/>
                <w:lang w:val="en-US"/>
              </w:rPr>
              <w:lastRenderedPageBreak/>
              <w:t xml:space="preserve">Addresses governance broadly but </w:t>
            </w:r>
            <w:proofErr w:type="gramStart"/>
            <w:r>
              <w:rPr>
                <w:rFonts w:ascii="Times New Roman" w:hAnsi="Times New Roman"/>
                <w:lang w:val="en-US"/>
              </w:rPr>
              <w:t>does</w:t>
            </w:r>
            <w:proofErr w:type="gramEnd"/>
            <w:r>
              <w:rPr>
                <w:rFonts w:ascii="Times New Roman" w:hAnsi="Times New Roman"/>
                <w:lang w:val="en-US"/>
              </w:rPr>
              <w:t xml:space="preserve"> not examine leadership styles within </w:t>
            </w:r>
            <w:r>
              <w:rPr>
                <w:rFonts w:ascii="Times New Roman" w:hAnsi="Times New Roman"/>
                <w:lang w:val="en-US"/>
              </w:rPr>
              <w:lastRenderedPageBreak/>
              <w:t>geopolitical supply chain disruptions.</w:t>
            </w:r>
          </w:p>
        </w:tc>
      </w:tr>
      <w:tr w:rsidR="009120BA" w14:paraId="531B8157"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51540" w14:textId="77777777" w:rsidR="009120BA" w:rsidRDefault="009120BA" w:rsidP="006A77E8">
            <w:pPr>
              <w:spacing w:after="0" w:line="360" w:lineRule="auto"/>
            </w:pPr>
            <w:r>
              <w:rPr>
                <w:rFonts w:ascii="Times New Roman" w:hAnsi="Times New Roman"/>
                <w:lang w:val="en-US"/>
              </w:rPr>
              <w:lastRenderedPageBreak/>
              <w:t>Ji (2026)</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D1550" w14:textId="77777777" w:rsidR="009120BA" w:rsidRDefault="009120BA" w:rsidP="006A77E8">
            <w:pPr>
              <w:spacing w:after="0" w:line="360" w:lineRule="auto"/>
            </w:pPr>
            <w:r>
              <w:rPr>
                <w:rFonts w:ascii="Times New Roman" w:hAnsi="Times New Roman"/>
                <w:lang w:val="en-US"/>
              </w:rPr>
              <w:t>To investigate operational and supply chain resilience under geopolitical disturbances.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76877" w14:textId="77777777" w:rsidR="009120BA" w:rsidRDefault="009120BA" w:rsidP="006A77E8">
            <w:pPr>
              <w:spacing w:after="0" w:line="360" w:lineRule="auto"/>
            </w:pPr>
            <w:r>
              <w:rPr>
                <w:rFonts w:ascii="Times New Roman" w:hAnsi="Times New Roman"/>
                <w:lang w:val="en-US"/>
              </w:rPr>
              <w:t>Systematic literature review and panel-data analysis.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F853B" w14:textId="77777777" w:rsidR="009120BA" w:rsidRDefault="009120BA" w:rsidP="006A77E8">
            <w:pPr>
              <w:spacing w:after="0" w:line="360" w:lineRule="auto"/>
            </w:pPr>
            <w:r>
              <w:rPr>
                <w:rFonts w:ascii="Times New Roman" w:hAnsi="Times New Roman"/>
                <w:lang w:val="en-US"/>
              </w:rPr>
              <w:t>Geopolitical disruptions reduce supply chain resilience; organizational capabilities influence recovery.</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706C5" w14:textId="77777777" w:rsidR="009120BA" w:rsidRDefault="009120BA" w:rsidP="006A77E8">
            <w:pPr>
              <w:spacing w:after="0" w:line="360" w:lineRule="auto"/>
            </w:pPr>
            <w:r>
              <w:rPr>
                <w:rFonts w:ascii="Times New Roman" w:hAnsi="Times New Roman"/>
                <w:lang w:val="en-US"/>
              </w:rPr>
              <w:t>Focuses on resilience capabilities but provides limited evidence on leadership behavior.</w:t>
            </w:r>
          </w:p>
        </w:tc>
      </w:tr>
      <w:tr w:rsidR="009120BA" w14:paraId="1B637E89"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DD546" w14:textId="77777777" w:rsidR="009120BA" w:rsidRDefault="009120BA" w:rsidP="006A77E8">
            <w:pPr>
              <w:spacing w:after="0" w:line="360" w:lineRule="auto"/>
            </w:pPr>
            <w:r>
              <w:rPr>
                <w:rFonts w:ascii="Times New Roman" w:hAnsi="Times New Roman"/>
                <w:lang w:val="en-US"/>
              </w:rPr>
              <w:t>Ali et al.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BC323" w14:textId="31E68EB6" w:rsidR="009120BA" w:rsidRDefault="009120BA" w:rsidP="006A77E8">
            <w:pPr>
              <w:spacing w:after="0" w:line="360" w:lineRule="auto"/>
            </w:pPr>
            <w:r>
              <w:rPr>
                <w:rFonts w:ascii="Times New Roman" w:hAnsi="Times New Roman"/>
                <w:lang w:val="en-US"/>
              </w:rPr>
              <w:t xml:space="preserve">To examine whether leadership moderates the </w:t>
            </w:r>
            <w:r w:rsidR="009C7204">
              <w:rPr>
                <w:rFonts w:ascii="Times New Roman" w:hAnsi="Times New Roman"/>
                <w:lang w:val="en-US"/>
              </w:rPr>
              <w:t>influence</w:t>
            </w:r>
            <w:r>
              <w:rPr>
                <w:rFonts w:ascii="Times New Roman" w:hAnsi="Times New Roman"/>
                <w:lang w:val="en-US"/>
              </w:rPr>
              <w:t xml:space="preserve"> of geopolitical shocks on supply chain agility.</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9CDFC" w14:textId="77777777" w:rsidR="009120BA" w:rsidRDefault="009120BA" w:rsidP="006A77E8">
            <w:pPr>
              <w:spacing w:after="0" w:line="360" w:lineRule="auto"/>
            </w:pPr>
            <w:r>
              <w:rPr>
                <w:rFonts w:ascii="Times New Roman" w:hAnsi="Times New Roman"/>
                <w:lang w:val="en-US"/>
              </w:rPr>
              <w:t>Survey of 247 manufacturing and distribution firms; SEM.</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02633" w14:textId="77777777" w:rsidR="009120BA" w:rsidRDefault="009120BA" w:rsidP="006A77E8">
            <w:pPr>
              <w:spacing w:after="0" w:line="360" w:lineRule="auto"/>
            </w:pPr>
            <w:r>
              <w:rPr>
                <w:rFonts w:ascii="Times New Roman" w:hAnsi="Times New Roman"/>
                <w:lang w:val="en-US"/>
              </w:rPr>
              <w:t>Crisis and transformational leadership jointly improve supply chain agility under geopolitical shocks.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62A5A" w14:textId="77777777" w:rsidR="009120BA" w:rsidRDefault="009120BA" w:rsidP="006A77E8">
            <w:pPr>
              <w:spacing w:after="0" w:line="360" w:lineRule="auto"/>
            </w:pPr>
            <w:r>
              <w:rPr>
                <w:rFonts w:ascii="Times New Roman" w:hAnsi="Times New Roman"/>
                <w:lang w:val="en-US"/>
              </w:rPr>
              <w:t>Does not investigate adaptive leadership or compare leadership styles directly.</w:t>
            </w:r>
          </w:p>
        </w:tc>
      </w:tr>
      <w:tr w:rsidR="009120BA" w14:paraId="5A88C807"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A1E51" w14:textId="77777777" w:rsidR="009120BA" w:rsidRDefault="009120BA" w:rsidP="006A77E8">
            <w:pPr>
              <w:spacing w:after="0" w:line="360" w:lineRule="auto"/>
            </w:pPr>
            <w:r>
              <w:rPr>
                <w:rFonts w:ascii="Times New Roman" w:hAnsi="Times New Roman"/>
                <w:lang w:val="en-US"/>
              </w:rPr>
              <w:t>Ali et al. (2024)</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ED61" w14:textId="77777777" w:rsidR="009120BA" w:rsidRDefault="009120BA" w:rsidP="006A77E8">
            <w:pPr>
              <w:spacing w:after="0" w:line="360" w:lineRule="auto"/>
            </w:pPr>
            <w:r>
              <w:rPr>
                <w:rFonts w:ascii="Times New Roman" w:hAnsi="Times New Roman"/>
                <w:lang w:val="en-US"/>
              </w:rPr>
              <w:t>To investigate the moderating effect of leadership styles on logistics innovation during geopolitical disruptions.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487EA" w14:textId="77777777" w:rsidR="009120BA" w:rsidRDefault="009120BA" w:rsidP="006A77E8">
            <w:pPr>
              <w:spacing w:after="0" w:line="360" w:lineRule="auto"/>
            </w:pPr>
            <w:r>
              <w:rPr>
                <w:rFonts w:ascii="Times New Roman" w:hAnsi="Times New Roman"/>
                <w:lang w:val="en-US"/>
              </w:rPr>
              <w:t>Survey; Strategic Contingency Theory.</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F0881" w14:textId="77777777" w:rsidR="009120BA" w:rsidRDefault="009120BA" w:rsidP="006A77E8">
            <w:pPr>
              <w:spacing w:after="0" w:line="360" w:lineRule="auto"/>
            </w:pPr>
            <w:r>
              <w:rPr>
                <w:rFonts w:ascii="Times New Roman" w:hAnsi="Times New Roman"/>
                <w:lang w:val="en-US"/>
              </w:rPr>
              <w:t>Crisis, participative and transformational leadership reduce disruption effects; directive leadership was not significant.</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6174E" w14:textId="77777777" w:rsidR="009120BA" w:rsidRDefault="009120BA" w:rsidP="006A77E8">
            <w:pPr>
              <w:spacing w:after="0" w:line="360" w:lineRule="auto"/>
            </w:pPr>
            <w:r>
              <w:rPr>
                <w:rFonts w:ascii="Times New Roman" w:hAnsi="Times New Roman"/>
                <w:lang w:val="en-US"/>
              </w:rPr>
              <w:t>Adaptive leadership was not examined, leaving uncertainty regarding alternative leadership approaches.</w:t>
            </w:r>
          </w:p>
        </w:tc>
      </w:tr>
      <w:tr w:rsidR="009120BA" w14:paraId="233EFD8F"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E9354" w14:textId="77777777" w:rsidR="009120BA" w:rsidRDefault="009120BA" w:rsidP="006A77E8">
            <w:pPr>
              <w:spacing w:after="0" w:line="360" w:lineRule="auto"/>
            </w:pPr>
            <w:r>
              <w:rPr>
                <w:rFonts w:ascii="Times New Roman" w:hAnsi="Times New Roman"/>
                <w:lang w:val="en-US"/>
              </w:rPr>
              <w:t>Yakimov (2026)</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6CEBD" w14:textId="77777777" w:rsidR="009120BA" w:rsidRDefault="009120BA" w:rsidP="006A77E8">
            <w:pPr>
              <w:spacing w:after="0" w:line="360" w:lineRule="auto"/>
            </w:pPr>
            <w:r>
              <w:rPr>
                <w:rFonts w:ascii="Times New Roman" w:hAnsi="Times New Roman"/>
                <w:lang w:val="en-US"/>
              </w:rPr>
              <w:t xml:space="preserve">To investigate transformational and adaptive leadership in geopolitically </w:t>
            </w:r>
            <w:r>
              <w:rPr>
                <w:rFonts w:ascii="Times New Roman" w:hAnsi="Times New Roman"/>
                <w:lang w:val="en-US"/>
              </w:rPr>
              <w:lastRenderedPageBreak/>
              <w:t>unstable environments.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5FE9B" w14:textId="77777777" w:rsidR="009120BA" w:rsidRDefault="009120BA" w:rsidP="006A77E8">
            <w:pPr>
              <w:spacing w:after="0" w:line="360" w:lineRule="auto"/>
            </w:pPr>
            <w:r>
              <w:rPr>
                <w:rFonts w:ascii="Times New Roman" w:hAnsi="Times New Roman"/>
                <w:lang w:val="en-US"/>
              </w:rPr>
              <w:lastRenderedPageBreak/>
              <w:t>PLS-SEM; survey of 328 FMCG managers.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540E7" w14:textId="77777777" w:rsidR="009120BA" w:rsidRDefault="009120BA" w:rsidP="006A77E8">
            <w:pPr>
              <w:spacing w:after="0" w:line="360" w:lineRule="auto"/>
            </w:pPr>
            <w:r>
              <w:rPr>
                <w:rFonts w:ascii="Times New Roman" w:hAnsi="Times New Roman"/>
                <w:lang w:val="en-US"/>
              </w:rPr>
              <w:t xml:space="preserve">Adaptive and transformational leadership significantly improve </w:t>
            </w:r>
            <w:r>
              <w:rPr>
                <w:rFonts w:ascii="Times New Roman" w:hAnsi="Times New Roman"/>
                <w:lang w:val="en-US"/>
              </w:rPr>
              <w:lastRenderedPageBreak/>
              <w:t>organizational resilience.</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7810F" w14:textId="77777777" w:rsidR="009120BA" w:rsidRDefault="009120BA" w:rsidP="006A77E8">
            <w:pPr>
              <w:spacing w:after="0" w:line="360" w:lineRule="auto"/>
            </w:pPr>
            <w:proofErr w:type="gramStart"/>
            <w:r>
              <w:rPr>
                <w:rFonts w:ascii="Times New Roman" w:hAnsi="Times New Roman"/>
                <w:lang w:val="en-US"/>
              </w:rPr>
              <w:lastRenderedPageBreak/>
              <w:t>Focuses</w:t>
            </w:r>
            <w:proofErr w:type="gramEnd"/>
            <w:r>
              <w:rPr>
                <w:rFonts w:ascii="Times New Roman" w:hAnsi="Times New Roman"/>
                <w:lang w:val="en-US"/>
              </w:rPr>
              <w:t xml:space="preserve"> on FMCG firms rather than strategic mineral supply chains.</w:t>
            </w:r>
          </w:p>
        </w:tc>
      </w:tr>
      <w:tr w:rsidR="009120BA" w14:paraId="02D73215"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227DF" w14:textId="77777777" w:rsidR="009120BA" w:rsidRDefault="009120BA" w:rsidP="006A77E8">
            <w:pPr>
              <w:spacing w:after="0" w:line="360" w:lineRule="auto"/>
            </w:pPr>
            <w:r>
              <w:rPr>
                <w:rFonts w:ascii="Times New Roman" w:hAnsi="Times New Roman"/>
                <w:lang w:val="en-US"/>
              </w:rPr>
              <w:t>Ayeni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07671" w14:textId="77777777" w:rsidR="009120BA" w:rsidRDefault="009120BA" w:rsidP="006A77E8">
            <w:pPr>
              <w:spacing w:after="0" w:line="360" w:lineRule="auto"/>
            </w:pPr>
            <w:r>
              <w:rPr>
                <w:rFonts w:ascii="Times New Roman" w:hAnsi="Times New Roman"/>
                <w:lang w:val="en-US"/>
              </w:rPr>
              <w:t>To examine resilient project leadership under geopolitical uncertainty.</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CC47D" w14:textId="77777777" w:rsidR="009120BA" w:rsidRDefault="009120BA" w:rsidP="006A77E8">
            <w:pPr>
              <w:spacing w:after="0" w:line="360" w:lineRule="auto"/>
            </w:pPr>
            <w:r>
              <w:rPr>
                <w:rFonts w:ascii="Times New Roman" w:hAnsi="Times New Roman"/>
                <w:lang w:val="en-US"/>
              </w:rPr>
              <w:t>Conceptual/practice-based analysis.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AB790" w14:textId="77777777" w:rsidR="009120BA" w:rsidRDefault="009120BA" w:rsidP="006A77E8">
            <w:pPr>
              <w:spacing w:after="0" w:line="360" w:lineRule="auto"/>
            </w:pPr>
            <w:r>
              <w:rPr>
                <w:rFonts w:ascii="Times New Roman" w:hAnsi="Times New Roman"/>
                <w:lang w:val="en-US"/>
              </w:rPr>
              <w:t>Resilient leadership improves project adaptability through AI, scenario planning and stakeholder engagement.</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10C72" w14:textId="77777777" w:rsidR="009120BA" w:rsidRDefault="009120BA" w:rsidP="006A77E8">
            <w:pPr>
              <w:spacing w:after="0" w:line="360" w:lineRule="auto"/>
            </w:pPr>
            <w:r>
              <w:rPr>
                <w:rFonts w:ascii="Times New Roman" w:hAnsi="Times New Roman"/>
                <w:lang w:val="en-US"/>
              </w:rPr>
              <w:t>Does not empirically compare leadership styles or examine REE supply chains.</w:t>
            </w:r>
          </w:p>
        </w:tc>
      </w:tr>
      <w:tr w:rsidR="009120BA" w14:paraId="2E0B2BF3"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8F9BE" w14:textId="77777777" w:rsidR="009120BA" w:rsidRDefault="009120BA" w:rsidP="006A77E8">
            <w:pPr>
              <w:spacing w:after="0" w:line="360" w:lineRule="auto"/>
            </w:pPr>
            <w:r>
              <w:rPr>
                <w:rFonts w:ascii="Times New Roman" w:hAnsi="Times New Roman"/>
                <w:lang w:val="en-US"/>
              </w:rPr>
              <w:t>Han and Marimuthu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1A4A6" w14:textId="2238A5B2" w:rsidR="009120BA" w:rsidRDefault="00485FC0" w:rsidP="006A77E8">
            <w:pPr>
              <w:spacing w:after="0" w:line="360" w:lineRule="auto"/>
            </w:pPr>
            <w:proofErr w:type="gramStart"/>
            <w:r>
              <w:rPr>
                <w:rFonts w:ascii="Times New Roman" w:hAnsi="Times New Roman"/>
                <w:lang w:val="en-US"/>
              </w:rPr>
              <w:t>I</w:t>
            </w:r>
            <w:r w:rsidR="009120BA">
              <w:rPr>
                <w:rFonts w:ascii="Times New Roman" w:hAnsi="Times New Roman"/>
                <w:lang w:val="en-US"/>
              </w:rPr>
              <w:t>nvestigate  relationship</w:t>
            </w:r>
            <w:proofErr w:type="gramEnd"/>
            <w:r w:rsidR="009120BA">
              <w:rPr>
                <w:rFonts w:ascii="Times New Roman" w:hAnsi="Times New Roman"/>
                <w:lang w:val="en-US"/>
              </w:rPr>
              <w:t xml:space="preserve"> between leadership styles, risk management and project performance.</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64EBE" w14:textId="77777777" w:rsidR="009120BA" w:rsidRDefault="009120BA" w:rsidP="006A77E8">
            <w:pPr>
              <w:spacing w:after="0" w:line="360" w:lineRule="auto"/>
            </w:pPr>
            <w:r>
              <w:rPr>
                <w:rFonts w:ascii="Times New Roman" w:hAnsi="Times New Roman"/>
                <w:lang w:val="en-US"/>
              </w:rPr>
              <w:t>Structural Equation Modelling (SEM).</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7B215" w14:textId="77777777" w:rsidR="009120BA" w:rsidRDefault="009120BA" w:rsidP="006A77E8">
            <w:pPr>
              <w:spacing w:after="0" w:line="360" w:lineRule="auto"/>
            </w:pPr>
            <w:r>
              <w:rPr>
                <w:rFonts w:ascii="Times New Roman" w:hAnsi="Times New Roman"/>
                <w:lang w:val="en-US"/>
              </w:rPr>
              <w:t>Leadership positively influences project performance through effective risk management.</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7880C" w14:textId="77777777" w:rsidR="009120BA" w:rsidRDefault="009120BA" w:rsidP="006A77E8">
            <w:pPr>
              <w:spacing w:after="0" w:line="360" w:lineRule="auto"/>
            </w:pPr>
            <w:proofErr w:type="gramStart"/>
            <w:r>
              <w:rPr>
                <w:rFonts w:ascii="Times New Roman" w:hAnsi="Times New Roman"/>
                <w:lang w:val="en-US"/>
              </w:rPr>
              <w:t>Focuses</w:t>
            </w:r>
            <w:proofErr w:type="gramEnd"/>
            <w:r>
              <w:rPr>
                <w:rFonts w:ascii="Times New Roman" w:hAnsi="Times New Roman"/>
                <w:lang w:val="en-US"/>
              </w:rPr>
              <w:t xml:space="preserve"> on project management rather than geopolitical supply chain resilience.</w:t>
            </w:r>
          </w:p>
        </w:tc>
      </w:tr>
      <w:tr w:rsidR="009120BA" w14:paraId="2BBEF823"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1CFEE" w14:textId="77777777" w:rsidR="009120BA" w:rsidRDefault="009120BA" w:rsidP="006A77E8">
            <w:pPr>
              <w:spacing w:after="0" w:line="360" w:lineRule="auto"/>
            </w:pPr>
            <w:r>
              <w:rPr>
                <w:rFonts w:ascii="Times New Roman" w:hAnsi="Times New Roman"/>
                <w:lang w:val="en-US"/>
              </w:rPr>
              <w:t>Ochieng, Koshal and Bellows (2023)</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2E8AE" w14:textId="77777777" w:rsidR="009120BA" w:rsidRDefault="009120BA" w:rsidP="006A77E8">
            <w:pPr>
              <w:spacing w:after="0" w:line="360" w:lineRule="auto"/>
            </w:pPr>
            <w:r>
              <w:rPr>
                <w:rFonts w:ascii="Times New Roman" w:hAnsi="Times New Roman"/>
                <w:lang w:val="en-US"/>
              </w:rPr>
              <w:t>To examine directive leadership and organizational performance.</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52192" w14:textId="77777777" w:rsidR="009120BA" w:rsidRDefault="009120BA" w:rsidP="006A77E8">
            <w:pPr>
              <w:spacing w:after="0" w:line="360" w:lineRule="auto"/>
            </w:pPr>
            <w:r>
              <w:rPr>
                <w:rFonts w:ascii="Times New Roman" w:hAnsi="Times New Roman"/>
                <w:lang w:val="en-US"/>
              </w:rPr>
              <w:t>Survey of 369 SME managers; logistic regression.</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5A706" w14:textId="77777777" w:rsidR="009120BA" w:rsidRDefault="009120BA" w:rsidP="006A77E8">
            <w:pPr>
              <w:spacing w:after="0" w:line="360" w:lineRule="auto"/>
            </w:pPr>
            <w:r>
              <w:rPr>
                <w:rFonts w:ascii="Times New Roman" w:hAnsi="Times New Roman"/>
                <w:lang w:val="en-US"/>
              </w:rPr>
              <w:t>Directive leadership significantly improves organizational performance.</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54182" w14:textId="77777777" w:rsidR="009120BA" w:rsidRDefault="009120BA" w:rsidP="006A77E8">
            <w:pPr>
              <w:spacing w:after="0" w:line="360" w:lineRule="auto"/>
            </w:pPr>
            <w:r>
              <w:rPr>
                <w:rFonts w:ascii="Times New Roman" w:hAnsi="Times New Roman"/>
                <w:lang w:val="en-US"/>
              </w:rPr>
              <w:t>Conducted in SMEs; findings may not generalize to geopolitical supply chain disruptions.</w:t>
            </w:r>
          </w:p>
        </w:tc>
      </w:tr>
      <w:tr w:rsidR="009120BA" w14:paraId="44D2B24F"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21D5F" w14:textId="77777777" w:rsidR="009120BA" w:rsidRDefault="009120BA" w:rsidP="006A77E8">
            <w:pPr>
              <w:spacing w:after="0" w:line="360" w:lineRule="auto"/>
            </w:pPr>
            <w:r>
              <w:rPr>
                <w:rFonts w:ascii="Times New Roman" w:hAnsi="Times New Roman"/>
                <w:lang w:val="en-US"/>
              </w:rPr>
              <w:t>Ojanji, Paul and Bwire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DAA5D" w14:textId="77777777" w:rsidR="009120BA" w:rsidRDefault="009120BA" w:rsidP="006A77E8">
            <w:pPr>
              <w:spacing w:after="0" w:line="360" w:lineRule="auto"/>
            </w:pPr>
            <w:r>
              <w:rPr>
                <w:rFonts w:ascii="Times New Roman" w:hAnsi="Times New Roman"/>
                <w:lang w:val="en-US"/>
              </w:rPr>
              <w:t>To examine directive leadership and organizational performance in INGOs.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D9E5B" w14:textId="77777777" w:rsidR="009120BA" w:rsidRDefault="009120BA" w:rsidP="006A77E8">
            <w:pPr>
              <w:spacing w:after="0" w:line="360" w:lineRule="auto"/>
            </w:pPr>
            <w:r>
              <w:rPr>
                <w:rFonts w:ascii="Times New Roman" w:hAnsi="Times New Roman"/>
                <w:lang w:val="en-US"/>
              </w:rPr>
              <w:t>Cross-sectional survey; regression analysis.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0EA8B" w14:textId="77777777" w:rsidR="009120BA" w:rsidRDefault="009120BA" w:rsidP="006A77E8">
            <w:pPr>
              <w:spacing w:after="0" w:line="360" w:lineRule="auto"/>
            </w:pPr>
            <w:r>
              <w:rPr>
                <w:rFonts w:ascii="Times New Roman" w:hAnsi="Times New Roman"/>
                <w:lang w:val="en-US"/>
              </w:rPr>
              <w:t>Directive leadership positively affects organizational performance.</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29609" w14:textId="77777777" w:rsidR="009120BA" w:rsidRDefault="009120BA" w:rsidP="006A77E8">
            <w:pPr>
              <w:spacing w:after="0" w:line="360" w:lineRule="auto"/>
            </w:pPr>
            <w:r>
              <w:rPr>
                <w:rFonts w:ascii="Times New Roman" w:hAnsi="Times New Roman"/>
                <w:lang w:val="en-US"/>
              </w:rPr>
              <w:t>Context is humanitarian organizations rather than supply chain resilience.</w:t>
            </w:r>
          </w:p>
        </w:tc>
      </w:tr>
      <w:tr w:rsidR="009120BA" w14:paraId="1B4CFDA0"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F4EC6" w14:textId="77777777" w:rsidR="009120BA" w:rsidRDefault="009120BA" w:rsidP="006A77E8">
            <w:pPr>
              <w:spacing w:after="0" w:line="360" w:lineRule="auto"/>
            </w:pPr>
            <w:r>
              <w:rPr>
                <w:rFonts w:ascii="Times New Roman" w:hAnsi="Times New Roman"/>
                <w:lang w:val="en-US"/>
              </w:rPr>
              <w:t>Krause, Withers and Waller (2022)</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DE61D" w14:textId="77777777" w:rsidR="009120BA" w:rsidRDefault="009120BA" w:rsidP="006A77E8">
            <w:pPr>
              <w:spacing w:after="0" w:line="360" w:lineRule="auto"/>
            </w:pPr>
            <w:r>
              <w:rPr>
                <w:rFonts w:ascii="Times New Roman" w:hAnsi="Times New Roman"/>
                <w:lang w:val="en-US"/>
              </w:rPr>
              <w:t>To investigate directive leadership during COVID-19.</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19464" w14:textId="77777777" w:rsidR="009120BA" w:rsidRDefault="009120BA" w:rsidP="006A77E8">
            <w:pPr>
              <w:spacing w:after="0" w:line="360" w:lineRule="auto"/>
            </w:pPr>
            <w:r>
              <w:rPr>
                <w:rFonts w:ascii="Times New Roman" w:hAnsi="Times New Roman"/>
                <w:lang w:val="en-US"/>
              </w:rPr>
              <w:t>Survey of 120 U.S. public company directors.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6A076" w14:textId="77777777" w:rsidR="009120BA" w:rsidRDefault="009120BA" w:rsidP="006A77E8">
            <w:pPr>
              <w:spacing w:after="0" w:line="360" w:lineRule="auto"/>
            </w:pPr>
            <w:r>
              <w:rPr>
                <w:rFonts w:ascii="Times New Roman" w:hAnsi="Times New Roman"/>
                <w:lang w:val="en-US"/>
              </w:rPr>
              <w:t xml:space="preserve">Directive leadership improves crisis performance under </w:t>
            </w:r>
            <w:r>
              <w:rPr>
                <w:rFonts w:ascii="Times New Roman" w:hAnsi="Times New Roman"/>
                <w:lang w:val="en-US"/>
              </w:rPr>
              <w:lastRenderedPageBreak/>
              <w:t>appropriate governance structures.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6B8D1" w14:textId="77777777" w:rsidR="009120BA" w:rsidRDefault="009120BA" w:rsidP="006A77E8">
            <w:pPr>
              <w:spacing w:after="0" w:line="360" w:lineRule="auto"/>
            </w:pPr>
            <w:proofErr w:type="gramStart"/>
            <w:r>
              <w:rPr>
                <w:rFonts w:ascii="Times New Roman" w:hAnsi="Times New Roman"/>
                <w:lang w:val="en-US"/>
              </w:rPr>
              <w:lastRenderedPageBreak/>
              <w:t>Examines</w:t>
            </w:r>
            <w:proofErr w:type="gramEnd"/>
            <w:r>
              <w:rPr>
                <w:rFonts w:ascii="Times New Roman" w:hAnsi="Times New Roman"/>
                <w:lang w:val="en-US"/>
              </w:rPr>
              <w:t xml:space="preserve"> pandemic governance rather than geopolitical supply risks.</w:t>
            </w:r>
          </w:p>
        </w:tc>
      </w:tr>
      <w:tr w:rsidR="009120BA" w14:paraId="1328D3D2"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A927A" w14:textId="77777777" w:rsidR="009120BA" w:rsidRDefault="009120BA" w:rsidP="006A77E8">
            <w:pPr>
              <w:spacing w:after="0" w:line="360" w:lineRule="auto"/>
            </w:pPr>
            <w:proofErr w:type="spellStart"/>
            <w:r>
              <w:rPr>
                <w:rFonts w:ascii="Times New Roman" w:hAnsi="Times New Roman"/>
                <w:lang w:val="en-US"/>
              </w:rPr>
              <w:t>Canciglieri</w:t>
            </w:r>
            <w:proofErr w:type="spellEnd"/>
            <w:r>
              <w:rPr>
                <w:rFonts w:ascii="Times New Roman" w:hAnsi="Times New Roman"/>
                <w:lang w:val="en-US"/>
              </w:rPr>
              <w:t xml:space="preserve"> et al. (2026)</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24ABA" w14:textId="77777777" w:rsidR="009120BA" w:rsidRDefault="009120BA" w:rsidP="006A77E8">
            <w:pPr>
              <w:spacing w:after="0" w:line="360" w:lineRule="auto"/>
            </w:pPr>
            <w:r>
              <w:rPr>
                <w:rFonts w:ascii="Times New Roman" w:hAnsi="Times New Roman"/>
                <w:lang w:val="en-US"/>
              </w:rPr>
              <w:t>To examine adaptive leadership in AI-enabled operations and supply chain projects.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9BDE0" w14:textId="77777777" w:rsidR="009120BA" w:rsidRDefault="009120BA" w:rsidP="006A77E8">
            <w:pPr>
              <w:spacing w:after="0" w:line="360" w:lineRule="auto"/>
            </w:pPr>
            <w:r>
              <w:rPr>
                <w:rFonts w:ascii="Times New Roman" w:hAnsi="Times New Roman"/>
                <w:lang w:val="en-US"/>
              </w:rPr>
              <w:t>Six-year case study at Bosch.</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62168" w14:textId="77777777" w:rsidR="009120BA" w:rsidRDefault="009120BA" w:rsidP="006A77E8">
            <w:pPr>
              <w:spacing w:after="0" w:line="360" w:lineRule="auto"/>
            </w:pPr>
            <w:r>
              <w:rPr>
                <w:rFonts w:ascii="Times New Roman" w:hAnsi="Times New Roman"/>
                <w:lang w:val="en-US"/>
              </w:rPr>
              <w:t>Adaptive leadership improves collaboration, learning and operational effectiveness.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C3CE4" w14:textId="77777777" w:rsidR="009120BA" w:rsidRDefault="009120BA" w:rsidP="006A77E8">
            <w:pPr>
              <w:spacing w:after="0" w:line="360" w:lineRule="auto"/>
            </w:pPr>
            <w:proofErr w:type="gramStart"/>
            <w:r>
              <w:rPr>
                <w:rFonts w:ascii="Times New Roman" w:hAnsi="Times New Roman"/>
                <w:lang w:val="en-US"/>
              </w:rPr>
              <w:t>Focuses</w:t>
            </w:r>
            <w:proofErr w:type="gramEnd"/>
            <w:r>
              <w:rPr>
                <w:rFonts w:ascii="Times New Roman" w:hAnsi="Times New Roman"/>
                <w:lang w:val="en-US"/>
              </w:rPr>
              <w:t xml:space="preserve"> on AI implementation rather than geopolitical disruptions.</w:t>
            </w:r>
          </w:p>
        </w:tc>
      </w:tr>
      <w:tr w:rsidR="009120BA" w14:paraId="653B1BB5"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2D35E" w14:textId="77777777" w:rsidR="009120BA" w:rsidRDefault="009120BA" w:rsidP="006A77E8">
            <w:pPr>
              <w:spacing w:after="0" w:line="360" w:lineRule="auto"/>
            </w:pPr>
            <w:proofErr w:type="spellStart"/>
            <w:r>
              <w:rPr>
                <w:rFonts w:ascii="Times New Roman" w:hAnsi="Times New Roman"/>
                <w:lang w:val="en-US"/>
              </w:rPr>
              <w:t>Latukha</w:t>
            </w:r>
            <w:proofErr w:type="spellEnd"/>
            <w:r>
              <w:rPr>
                <w:rFonts w:ascii="Times New Roman" w:hAnsi="Times New Roman"/>
                <w:lang w:val="en-US"/>
              </w:rPr>
              <w:t>, Yakovleva and Yan (2024)</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379D8" w14:textId="77777777" w:rsidR="009120BA" w:rsidRDefault="009120BA" w:rsidP="006A77E8">
            <w:pPr>
              <w:spacing w:after="0" w:line="360" w:lineRule="auto"/>
            </w:pPr>
            <w:r>
              <w:rPr>
                <w:rFonts w:ascii="Times New Roman" w:hAnsi="Times New Roman"/>
                <w:lang w:val="en-US"/>
              </w:rPr>
              <w:t>To investigate adaptive leadership and organizational resilience.</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0BE3" w14:textId="77777777" w:rsidR="009120BA" w:rsidRDefault="009120BA" w:rsidP="006A77E8">
            <w:pPr>
              <w:spacing w:after="0" w:line="360" w:lineRule="auto"/>
            </w:pPr>
            <w:r>
              <w:rPr>
                <w:rFonts w:ascii="Times New Roman" w:hAnsi="Times New Roman"/>
                <w:lang w:val="en-US"/>
              </w:rPr>
              <w:t>Survey of 148 employees; correlation and regression analysis.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2FB0D" w14:textId="77777777" w:rsidR="009120BA" w:rsidRDefault="009120BA" w:rsidP="006A77E8">
            <w:pPr>
              <w:spacing w:after="0" w:line="360" w:lineRule="auto"/>
            </w:pPr>
            <w:r>
              <w:rPr>
                <w:rFonts w:ascii="Times New Roman" w:hAnsi="Times New Roman"/>
                <w:lang w:val="en-US"/>
              </w:rPr>
              <w:t>Adaptive leadership strengthens resilience at individual, team and organizational levels.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5F7AB" w14:textId="77777777" w:rsidR="009120BA" w:rsidRDefault="009120BA" w:rsidP="006A77E8">
            <w:pPr>
              <w:spacing w:after="0" w:line="360" w:lineRule="auto"/>
            </w:pPr>
            <w:r>
              <w:rPr>
                <w:rFonts w:ascii="Times New Roman" w:hAnsi="Times New Roman"/>
                <w:lang w:val="en-US"/>
              </w:rPr>
              <w:t>Does not examine geopolitical supply risks or REE supply chains.</w:t>
            </w:r>
          </w:p>
        </w:tc>
      </w:tr>
      <w:tr w:rsidR="009120BA" w14:paraId="2F202038"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2DEA0" w14:textId="77777777" w:rsidR="009120BA" w:rsidRDefault="009120BA" w:rsidP="006A77E8">
            <w:pPr>
              <w:spacing w:after="0" w:line="360" w:lineRule="auto"/>
            </w:pPr>
            <w:r>
              <w:rPr>
                <w:rFonts w:ascii="Times New Roman" w:hAnsi="Times New Roman"/>
                <w:lang w:val="en-US"/>
              </w:rPr>
              <w:t>Taseer and Ahmed (2022)</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35ADF" w14:textId="77777777" w:rsidR="009120BA" w:rsidRDefault="009120BA" w:rsidP="006A77E8">
            <w:pPr>
              <w:spacing w:after="0" w:line="360" w:lineRule="auto"/>
            </w:pPr>
            <w:r>
              <w:rPr>
                <w:rFonts w:ascii="Times New Roman" w:hAnsi="Times New Roman"/>
                <w:lang w:val="en-US"/>
              </w:rPr>
              <w:t>To examine leadership styles and supply chain resilience.</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1E012" w14:textId="77777777" w:rsidR="009120BA" w:rsidRDefault="009120BA" w:rsidP="006A77E8">
            <w:pPr>
              <w:spacing w:after="0" w:line="360" w:lineRule="auto"/>
            </w:pPr>
            <w:r>
              <w:rPr>
                <w:rFonts w:ascii="Times New Roman" w:hAnsi="Times New Roman"/>
                <w:lang w:val="en-US"/>
              </w:rPr>
              <w:t>Survey of 317 supply chain professionals.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E0230" w14:textId="77777777" w:rsidR="009120BA" w:rsidRDefault="009120BA" w:rsidP="006A77E8">
            <w:pPr>
              <w:spacing w:after="0" w:line="360" w:lineRule="auto"/>
            </w:pPr>
            <w:r>
              <w:rPr>
                <w:rFonts w:ascii="Times New Roman" w:hAnsi="Times New Roman"/>
                <w:lang w:val="en-US"/>
              </w:rPr>
              <w:t>Transformational and transactional leadership improve resilience through agility and flexibility.</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69147" w14:textId="77777777" w:rsidR="009120BA" w:rsidRDefault="009120BA" w:rsidP="006A77E8">
            <w:pPr>
              <w:spacing w:after="0" w:line="360" w:lineRule="auto"/>
            </w:pPr>
            <w:r>
              <w:rPr>
                <w:rFonts w:ascii="Times New Roman" w:hAnsi="Times New Roman"/>
                <w:lang w:val="en-US"/>
              </w:rPr>
              <w:t>Does not consider geopolitical disruptions or compare directive and adaptive leadership.</w:t>
            </w:r>
          </w:p>
        </w:tc>
      </w:tr>
      <w:tr w:rsidR="009120BA" w14:paraId="59191D00"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0CC7F" w14:textId="77777777" w:rsidR="009120BA" w:rsidRDefault="009120BA" w:rsidP="006A77E8">
            <w:pPr>
              <w:spacing w:after="0" w:line="360" w:lineRule="auto"/>
            </w:pPr>
            <w:r>
              <w:rPr>
                <w:rFonts w:ascii="Times New Roman" w:hAnsi="Times New Roman"/>
                <w:lang w:val="en-US"/>
              </w:rPr>
              <w:t>Faw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22145" w14:textId="77777777" w:rsidR="009120BA" w:rsidRDefault="009120BA" w:rsidP="006A77E8">
            <w:pPr>
              <w:spacing w:after="0" w:line="360" w:lineRule="auto"/>
            </w:pPr>
            <w:r>
              <w:rPr>
                <w:rFonts w:ascii="Times New Roman" w:hAnsi="Times New Roman"/>
                <w:lang w:val="en-US"/>
              </w:rPr>
              <w:t>To explore leadership adaptation in changing organizational environments.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314BB" w14:textId="77777777" w:rsidR="009120BA" w:rsidRDefault="009120BA" w:rsidP="006A77E8">
            <w:pPr>
              <w:spacing w:after="0" w:line="360" w:lineRule="auto"/>
            </w:pPr>
            <w:r>
              <w:rPr>
                <w:rFonts w:ascii="Times New Roman" w:hAnsi="Times New Roman"/>
                <w:lang w:val="en-US"/>
              </w:rPr>
              <w:t>Case study; interviews and surveys.</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F1A68" w14:textId="77777777" w:rsidR="009120BA" w:rsidRDefault="009120BA" w:rsidP="006A77E8">
            <w:pPr>
              <w:spacing w:after="0" w:line="360" w:lineRule="auto"/>
            </w:pPr>
            <w:r>
              <w:rPr>
                <w:rFonts w:ascii="Times New Roman" w:hAnsi="Times New Roman"/>
                <w:lang w:val="en-US"/>
              </w:rPr>
              <w:t>Adaptive leadership enhances organizational effectiveness and resilience.</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4E4C4" w14:textId="77777777" w:rsidR="009120BA" w:rsidRDefault="009120BA" w:rsidP="006A77E8">
            <w:pPr>
              <w:spacing w:after="0" w:line="360" w:lineRule="auto"/>
            </w:pPr>
            <w:r>
              <w:rPr>
                <w:rFonts w:ascii="Times New Roman" w:hAnsi="Times New Roman"/>
                <w:lang w:val="en-US"/>
              </w:rPr>
              <w:t>Limited generalizability; not focused on geopolitical supply chains.</w:t>
            </w:r>
          </w:p>
        </w:tc>
      </w:tr>
      <w:tr w:rsidR="009120BA" w14:paraId="1B1F891D" w14:textId="77777777" w:rsidTr="006A77E8">
        <w:tc>
          <w:tcPr>
            <w:tcW w:w="1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A751F" w14:textId="77777777" w:rsidR="009120BA" w:rsidRDefault="009120BA" w:rsidP="006A77E8">
            <w:pPr>
              <w:spacing w:after="0" w:line="360" w:lineRule="auto"/>
            </w:pPr>
            <w:r>
              <w:rPr>
                <w:rFonts w:ascii="Times New Roman" w:hAnsi="Times New Roman"/>
                <w:lang w:val="en-US"/>
              </w:rPr>
              <w:t>Sott and Bender (2025)</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C0438" w14:textId="77777777" w:rsidR="009120BA" w:rsidRDefault="009120BA" w:rsidP="006A77E8">
            <w:pPr>
              <w:spacing w:after="0" w:line="360" w:lineRule="auto"/>
            </w:pPr>
            <w:r>
              <w:rPr>
                <w:rFonts w:ascii="Times New Roman" w:hAnsi="Times New Roman"/>
                <w:lang w:val="en-US"/>
              </w:rPr>
              <w:t>To review adaptive leadership during crises.</w:t>
            </w:r>
          </w:p>
        </w:tc>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AD002" w14:textId="77777777" w:rsidR="009120BA" w:rsidRDefault="009120BA" w:rsidP="006A77E8">
            <w:pPr>
              <w:spacing w:after="0" w:line="360" w:lineRule="auto"/>
            </w:pPr>
            <w:r>
              <w:rPr>
                <w:rFonts w:ascii="Times New Roman" w:hAnsi="Times New Roman"/>
                <w:lang w:val="en-US"/>
              </w:rPr>
              <w:t>PRISMA systematic literature review.</w:t>
            </w:r>
          </w:p>
        </w:tc>
        <w:tc>
          <w:tcPr>
            <w:tcW w:w="1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A935A" w14:textId="77777777" w:rsidR="009120BA" w:rsidRDefault="009120BA" w:rsidP="006A77E8">
            <w:pPr>
              <w:spacing w:after="0" w:line="360" w:lineRule="auto"/>
            </w:pPr>
            <w:r>
              <w:rPr>
                <w:rFonts w:ascii="Times New Roman" w:hAnsi="Times New Roman"/>
                <w:lang w:val="en-US"/>
              </w:rPr>
              <w:t xml:space="preserve">Adaptive leadership improves resilience, flexibility and </w:t>
            </w:r>
            <w:r>
              <w:rPr>
                <w:rFonts w:ascii="Times New Roman" w:hAnsi="Times New Roman"/>
                <w:lang w:val="en-US"/>
              </w:rPr>
              <w:lastRenderedPageBreak/>
              <w:t>innovation during crises.</w:t>
            </w:r>
          </w:p>
        </w:tc>
        <w:tc>
          <w:tcPr>
            <w:tcW w:w="2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3A722" w14:textId="77777777" w:rsidR="009120BA" w:rsidRDefault="009120BA" w:rsidP="006A77E8">
            <w:pPr>
              <w:spacing w:after="0" w:line="360" w:lineRule="auto"/>
            </w:pPr>
            <w:r>
              <w:rPr>
                <w:rFonts w:ascii="Times New Roman" w:hAnsi="Times New Roman"/>
                <w:lang w:val="en-US"/>
              </w:rPr>
              <w:lastRenderedPageBreak/>
              <w:t xml:space="preserve">Review study rather than empirical evidence; does not specifically address </w:t>
            </w:r>
            <w:r>
              <w:rPr>
                <w:rFonts w:ascii="Times New Roman" w:hAnsi="Times New Roman"/>
                <w:lang w:val="en-US"/>
              </w:rPr>
              <w:lastRenderedPageBreak/>
              <w:t>geopolitical supply risks.</w:t>
            </w:r>
          </w:p>
        </w:tc>
      </w:tr>
    </w:tbl>
    <w:p w14:paraId="23DBD522" w14:textId="77777777" w:rsidR="009120BA" w:rsidRDefault="009120BA" w:rsidP="009120BA">
      <w:pPr>
        <w:spacing w:after="0" w:line="360" w:lineRule="auto"/>
        <w:jc w:val="both"/>
        <w:rPr>
          <w:rFonts w:ascii="Times New Roman" w:hAnsi="Times New Roman"/>
          <w:b/>
          <w:bCs/>
          <w:sz w:val="24"/>
          <w:szCs w:val="24"/>
          <w:lang w:val="en-US"/>
        </w:rPr>
      </w:pPr>
    </w:p>
    <w:p w14:paraId="438C4AA6" w14:textId="77777777" w:rsidR="009120BA" w:rsidRDefault="009120BA" w:rsidP="009120BA">
      <w:pPr>
        <w:spacing w:after="0" w:line="360" w:lineRule="auto"/>
        <w:jc w:val="both"/>
        <w:rPr>
          <w:rFonts w:ascii="Times New Roman" w:hAnsi="Times New Roman"/>
          <w:b/>
          <w:bCs/>
          <w:sz w:val="24"/>
          <w:szCs w:val="24"/>
          <w:lang w:val="en-US"/>
        </w:rPr>
      </w:pPr>
    </w:p>
    <w:p w14:paraId="78189F36"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2.11. Research gaps</w:t>
      </w:r>
    </w:p>
    <w:p w14:paraId="63A0E3CF" w14:textId="7533880E" w:rsidR="009120BA" w:rsidRDefault="009120BA" w:rsidP="009120BA">
      <w:pPr>
        <w:spacing w:after="0" w:line="360" w:lineRule="auto"/>
        <w:jc w:val="both"/>
      </w:pPr>
      <w:r>
        <w:rPr>
          <w:rFonts w:ascii="Times New Roman" w:hAnsi="Times New Roman"/>
          <w:sz w:val="24"/>
          <w:szCs w:val="24"/>
          <w:lang w:val="en-US"/>
        </w:rPr>
        <w:t>Although previous studies have established that geopolitical risks threaten supply chain resilience and that leadership contributes to organizational adaptation, the intersection between these two research streams remains underdeveloped. Existing empirical studies largely conceptualize resilience as an operational, technological, or governance challenge, while leadership is typically examined within broader organizational contexts rather than geopolitical supply chain disruptions. Furthermore, limited research has examined leadership within critical mineral supply chains, despite their strategic importance to national security and industrial competitiveness. More importantly, no clear empirical consensus exists regarding whether directive or adaptive leadership provides more effective responses to geopolitical supply risks. Consequently, the moderating role of directive</w:t>
      </w:r>
      <w:r w:rsidR="00537BE6">
        <w:rPr>
          <w:rFonts w:ascii="Times New Roman" w:hAnsi="Times New Roman"/>
          <w:sz w:val="24"/>
          <w:szCs w:val="24"/>
          <w:lang w:val="en-US"/>
        </w:rPr>
        <w:t xml:space="preserve"> &amp;</w:t>
      </w:r>
      <w:r>
        <w:rPr>
          <w:rFonts w:ascii="Times New Roman" w:hAnsi="Times New Roman"/>
          <w:sz w:val="24"/>
          <w:szCs w:val="24"/>
          <w:lang w:val="en-US"/>
        </w:rPr>
        <w:t xml:space="preserve"> adaptive leadership styles strengthening resilience within UK rare earth element supply chains remains insufficiently understood.”.</w:t>
      </w:r>
    </w:p>
    <w:p w14:paraId="2E506C85" w14:textId="5B27194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This fragmentation creates </w:t>
      </w:r>
      <w:proofErr w:type="gramStart"/>
      <w:r>
        <w:rPr>
          <w:rFonts w:ascii="Times New Roman" w:hAnsi="Times New Roman"/>
          <w:sz w:val="24"/>
          <w:szCs w:val="24"/>
          <w:lang w:val="en-US"/>
        </w:rPr>
        <w:t>the central</w:t>
      </w:r>
      <w:proofErr w:type="gramEnd"/>
      <w:r>
        <w:rPr>
          <w:rFonts w:ascii="Times New Roman" w:hAnsi="Times New Roman"/>
          <w:sz w:val="24"/>
          <w:szCs w:val="24"/>
          <w:lang w:val="en-US"/>
        </w:rPr>
        <w:t xml:space="preserve"> justification</w:t>
      </w:r>
      <w:r w:rsidR="00076C41">
        <w:rPr>
          <w:rFonts w:ascii="Times New Roman" w:hAnsi="Times New Roman"/>
          <w:sz w:val="24"/>
          <w:szCs w:val="24"/>
          <w:lang w:val="en-US"/>
        </w:rPr>
        <w:t>.</w:t>
      </w:r>
    </w:p>
    <w:p w14:paraId="5E5FE881" w14:textId="77777777" w:rsidR="009120BA" w:rsidRDefault="009120BA" w:rsidP="009120BA">
      <w:pPr>
        <w:spacing w:after="0" w:line="360" w:lineRule="auto"/>
        <w:jc w:val="both"/>
        <w:rPr>
          <w:rFonts w:ascii="Times New Roman" w:hAnsi="Times New Roman"/>
          <w:sz w:val="24"/>
          <w:szCs w:val="24"/>
          <w:lang w:val="en-US"/>
        </w:rPr>
      </w:pPr>
    </w:p>
    <w:p w14:paraId="206793ED" w14:textId="77777777" w:rsidR="009120BA" w:rsidRDefault="009120BA" w:rsidP="009120BA">
      <w:pPr>
        <w:spacing w:after="0" w:line="360" w:lineRule="auto"/>
        <w:jc w:val="both"/>
        <w:rPr>
          <w:rFonts w:ascii="Times New Roman" w:hAnsi="Times New Roman"/>
          <w:sz w:val="24"/>
          <w:szCs w:val="24"/>
          <w:lang w:val="en-US"/>
        </w:rPr>
      </w:pPr>
    </w:p>
    <w:p w14:paraId="40A2B6A0" w14:textId="77777777" w:rsidR="009120BA" w:rsidRDefault="009120BA" w:rsidP="009120BA">
      <w:pPr>
        <w:spacing w:after="0" w:line="360" w:lineRule="auto"/>
        <w:ind w:firstLine="720"/>
        <w:jc w:val="both"/>
        <w:rPr>
          <w:rFonts w:ascii="Times New Roman" w:hAnsi="Times New Roman"/>
          <w:sz w:val="24"/>
          <w:szCs w:val="24"/>
          <w:lang w:val="en-US"/>
        </w:rPr>
      </w:pPr>
    </w:p>
    <w:p w14:paraId="3D44F590" w14:textId="77777777" w:rsidR="009120BA" w:rsidRDefault="009120BA" w:rsidP="009120BA">
      <w:pPr>
        <w:spacing w:after="0" w:line="360" w:lineRule="auto"/>
        <w:jc w:val="both"/>
        <w:rPr>
          <w:rFonts w:ascii="Times New Roman" w:hAnsi="Times New Roman"/>
          <w:sz w:val="24"/>
          <w:szCs w:val="24"/>
          <w:lang w:val="en-US"/>
        </w:rPr>
      </w:pPr>
    </w:p>
    <w:p w14:paraId="1F700B53" w14:textId="77777777" w:rsidR="009120BA" w:rsidRDefault="009120BA" w:rsidP="009120BA">
      <w:pPr>
        <w:spacing w:after="0" w:line="360" w:lineRule="auto"/>
        <w:jc w:val="both"/>
        <w:rPr>
          <w:rFonts w:ascii="Times New Roman" w:hAnsi="Times New Roman"/>
          <w:sz w:val="24"/>
          <w:szCs w:val="24"/>
          <w:lang w:val="en-US"/>
        </w:rPr>
      </w:pPr>
    </w:p>
    <w:p w14:paraId="4AAD0ADE" w14:textId="77777777" w:rsidR="009120BA" w:rsidRDefault="009120BA" w:rsidP="009120BA">
      <w:pPr>
        <w:spacing w:after="0" w:line="360" w:lineRule="auto"/>
        <w:jc w:val="both"/>
        <w:rPr>
          <w:rFonts w:ascii="Times New Roman" w:hAnsi="Times New Roman"/>
          <w:sz w:val="24"/>
          <w:szCs w:val="24"/>
          <w:lang w:val="en-US"/>
        </w:rPr>
      </w:pPr>
    </w:p>
    <w:p w14:paraId="2B14D2C6" w14:textId="77777777" w:rsidR="009120BA" w:rsidRDefault="009120BA" w:rsidP="009120BA">
      <w:pPr>
        <w:spacing w:after="0" w:line="360" w:lineRule="auto"/>
        <w:jc w:val="both"/>
        <w:rPr>
          <w:rFonts w:ascii="Times New Roman" w:hAnsi="Times New Roman"/>
          <w:sz w:val="24"/>
          <w:szCs w:val="24"/>
          <w:lang w:val="en-US"/>
        </w:rPr>
      </w:pPr>
    </w:p>
    <w:p w14:paraId="281F9CDD" w14:textId="77777777" w:rsidR="009120BA" w:rsidRDefault="009120BA" w:rsidP="009120BA">
      <w:pPr>
        <w:spacing w:after="0" w:line="360" w:lineRule="auto"/>
        <w:jc w:val="both"/>
        <w:rPr>
          <w:rFonts w:ascii="Times New Roman" w:hAnsi="Times New Roman"/>
          <w:sz w:val="24"/>
          <w:szCs w:val="24"/>
          <w:lang w:val="en-US"/>
        </w:rPr>
      </w:pPr>
    </w:p>
    <w:p w14:paraId="05731541" w14:textId="77777777" w:rsidR="009120BA" w:rsidRDefault="009120BA" w:rsidP="009120BA">
      <w:pPr>
        <w:spacing w:after="0" w:line="360" w:lineRule="auto"/>
        <w:jc w:val="both"/>
        <w:rPr>
          <w:rFonts w:ascii="Times New Roman" w:hAnsi="Times New Roman"/>
          <w:sz w:val="24"/>
          <w:szCs w:val="24"/>
          <w:lang w:val="en-US"/>
        </w:rPr>
      </w:pPr>
    </w:p>
    <w:p w14:paraId="2EFF57DC" w14:textId="77777777" w:rsidR="009120BA" w:rsidRDefault="009120BA" w:rsidP="009120BA">
      <w:pPr>
        <w:spacing w:after="0" w:line="360" w:lineRule="auto"/>
        <w:jc w:val="both"/>
        <w:rPr>
          <w:rFonts w:ascii="Times New Roman" w:hAnsi="Times New Roman"/>
          <w:sz w:val="24"/>
          <w:szCs w:val="24"/>
          <w:lang w:val="en-US"/>
        </w:rPr>
      </w:pPr>
    </w:p>
    <w:p w14:paraId="15ABBEA4" w14:textId="77777777" w:rsidR="009120BA" w:rsidRDefault="009120BA" w:rsidP="009120BA">
      <w:pPr>
        <w:spacing w:after="0" w:line="360" w:lineRule="auto"/>
        <w:jc w:val="both"/>
        <w:rPr>
          <w:rFonts w:ascii="Times New Roman" w:hAnsi="Times New Roman"/>
          <w:sz w:val="24"/>
          <w:szCs w:val="24"/>
          <w:lang w:val="en-US"/>
        </w:rPr>
      </w:pPr>
    </w:p>
    <w:p w14:paraId="198D5C33" w14:textId="77777777" w:rsidR="009120BA" w:rsidRDefault="009120BA" w:rsidP="009120BA">
      <w:pPr>
        <w:spacing w:after="0" w:line="360" w:lineRule="auto"/>
        <w:jc w:val="both"/>
        <w:rPr>
          <w:rFonts w:ascii="Times New Roman" w:hAnsi="Times New Roman"/>
          <w:sz w:val="24"/>
          <w:szCs w:val="24"/>
          <w:lang w:val="en-US"/>
        </w:rPr>
      </w:pPr>
    </w:p>
    <w:p w14:paraId="5F16BD8F" w14:textId="77777777" w:rsidR="009120BA" w:rsidRDefault="009120BA" w:rsidP="009120BA">
      <w:pPr>
        <w:keepNext/>
        <w:keepLines/>
        <w:spacing w:before="360" w:after="80" w:line="276" w:lineRule="auto"/>
        <w:jc w:val="center"/>
        <w:outlineLvl w:val="0"/>
        <w:rPr>
          <w:rFonts w:ascii="Times New Roman" w:eastAsia="Times New Roman" w:hAnsi="Times New Roman"/>
          <w:b/>
          <w:bCs/>
          <w:sz w:val="24"/>
          <w:szCs w:val="24"/>
          <w:lang w:val="en-US"/>
        </w:rPr>
      </w:pPr>
      <w:bookmarkStart w:id="21" w:name="_Toc232013516"/>
      <w:r>
        <w:rPr>
          <w:rFonts w:ascii="Times New Roman" w:eastAsia="Times New Roman" w:hAnsi="Times New Roman"/>
          <w:b/>
          <w:bCs/>
          <w:sz w:val="24"/>
          <w:szCs w:val="24"/>
          <w:lang w:val="en-US"/>
        </w:rPr>
        <w:lastRenderedPageBreak/>
        <w:t>CHAPTER THREE</w:t>
      </w:r>
      <w:bookmarkEnd w:id="21"/>
    </w:p>
    <w:p w14:paraId="0672F729"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2" w:name="_Toc232013517"/>
      <w:r>
        <w:rPr>
          <w:rFonts w:ascii="Times New Roman" w:eastAsia="Times New Roman" w:hAnsi="Times New Roman"/>
          <w:b/>
          <w:bCs/>
          <w:sz w:val="24"/>
          <w:szCs w:val="24"/>
          <w:lang w:val="en-US"/>
        </w:rPr>
        <w:t>3.0 Methodology</w:t>
      </w:r>
      <w:bookmarkEnd w:id="22"/>
    </w:p>
    <w:p w14:paraId="03809C11"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3" w:name="_Toc232013518"/>
      <w:r>
        <w:rPr>
          <w:rFonts w:ascii="Times New Roman" w:eastAsia="Times New Roman" w:hAnsi="Times New Roman"/>
          <w:b/>
          <w:bCs/>
          <w:sz w:val="24"/>
          <w:szCs w:val="24"/>
          <w:lang w:val="en-US"/>
        </w:rPr>
        <w:t>3.1 Introduction</w:t>
      </w:r>
      <w:bookmarkEnd w:id="23"/>
    </w:p>
    <w:p w14:paraId="77EFE62E" w14:textId="6972E205"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This study's methodology is informed by Saunders’ Research Onion (2019), offering a systematic framework for coherent research design. It advances from research philosophy to practical data collection methods, guaranteeing coherence across all methodological tiers (Saunders, Lewis, and Thornhill, 2019). The onion was employed to determine the suitable study philosophy, approach, and strategy for investigating geopolitical supply issues in rare earth element supply chains. It also influenced methodological decisions, temporal scope, and data acquisition methods. This systematic methodology guarantees coherence between theoretical principles and empirical techniques, enhancing validity</w:t>
      </w:r>
      <w:r w:rsidR="003A1BF9">
        <w:rPr>
          <w:rFonts w:ascii="Times New Roman" w:hAnsi="Times New Roman"/>
          <w:sz w:val="24"/>
          <w:szCs w:val="24"/>
          <w:lang w:val="en-US"/>
        </w:rPr>
        <w:t>,</w:t>
      </w:r>
      <w:r>
        <w:rPr>
          <w:rFonts w:ascii="Times New Roman" w:hAnsi="Times New Roman"/>
          <w:sz w:val="24"/>
          <w:szCs w:val="24"/>
          <w:lang w:val="en-US"/>
        </w:rPr>
        <w:t xml:space="preserve"> dependability of the study's design and results.</w:t>
      </w:r>
    </w:p>
    <w:p w14:paraId="495E60C8"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4" w:name="_Toc232013519"/>
      <w:r>
        <w:rPr>
          <w:rFonts w:ascii="Times New Roman" w:eastAsia="Times New Roman" w:hAnsi="Times New Roman"/>
          <w:b/>
          <w:bCs/>
          <w:sz w:val="24"/>
          <w:szCs w:val="24"/>
          <w:lang w:val="en-US"/>
        </w:rPr>
        <w:t>3.2. Research Philosophy</w:t>
      </w:r>
      <w:bookmarkEnd w:id="24"/>
    </w:p>
    <w:p w14:paraId="44B3AC0D" w14:textId="256535B7"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Research paradigms use </w:t>
      </w:r>
      <w:proofErr w:type="gramStart"/>
      <w:r>
        <w:rPr>
          <w:rFonts w:ascii="Times New Roman" w:hAnsi="Times New Roman"/>
          <w:sz w:val="24"/>
          <w:szCs w:val="24"/>
          <w:lang w:val="en-US"/>
        </w:rPr>
        <w:t>presumptions</w:t>
      </w:r>
      <w:r w:rsidR="00F57D88">
        <w:rPr>
          <w:rFonts w:ascii="Times New Roman" w:hAnsi="Times New Roman"/>
          <w:sz w:val="24"/>
          <w:szCs w:val="24"/>
          <w:lang w:val="en-US"/>
        </w:rPr>
        <w:t>,</w:t>
      </w:r>
      <w:proofErr w:type="gramEnd"/>
      <w:r w:rsidR="00F57D88">
        <w:rPr>
          <w:rFonts w:ascii="Times New Roman" w:hAnsi="Times New Roman"/>
          <w:sz w:val="24"/>
          <w:szCs w:val="24"/>
          <w:lang w:val="en-US"/>
        </w:rPr>
        <w:t xml:space="preserve"> </w:t>
      </w:r>
      <w:r>
        <w:rPr>
          <w:rFonts w:ascii="Times New Roman" w:hAnsi="Times New Roman"/>
          <w:sz w:val="24"/>
          <w:szCs w:val="24"/>
          <w:lang w:val="en-US"/>
        </w:rPr>
        <w:t xml:space="preserve">concepts guide scientific discoveries. Understanding paradigm-specific presumptions reveals shortcomings in generating solid evidence and clarifies the </w:t>
      </w:r>
      <w:proofErr w:type="spellStart"/>
      <w:r>
        <w:rPr>
          <w:rFonts w:ascii="Times New Roman" w:hAnsi="Times New Roman"/>
          <w:sz w:val="24"/>
          <w:szCs w:val="24"/>
          <w:lang w:val="en-US"/>
        </w:rPr>
        <w:t>calibre</w:t>
      </w:r>
      <w:proofErr w:type="spellEnd"/>
      <w:r>
        <w:rPr>
          <w:rFonts w:ascii="Times New Roman" w:hAnsi="Times New Roman"/>
          <w:sz w:val="24"/>
          <w:szCs w:val="24"/>
          <w:lang w:val="en-US"/>
        </w:rPr>
        <w:t xml:space="preserve"> of results that support scientific investigations (Park et al., 2020). This study </w:t>
      </w:r>
      <w:r w:rsidR="000935B4">
        <w:rPr>
          <w:rFonts w:ascii="Times New Roman" w:hAnsi="Times New Roman"/>
          <w:sz w:val="24"/>
          <w:szCs w:val="24"/>
          <w:lang w:val="en-US"/>
        </w:rPr>
        <w:t>postulates</w:t>
      </w:r>
      <w:r>
        <w:rPr>
          <w:rFonts w:ascii="Times New Roman" w:hAnsi="Times New Roman"/>
          <w:sz w:val="24"/>
          <w:szCs w:val="24"/>
          <w:lang w:val="en-US"/>
        </w:rPr>
        <w:t xml:space="preserve"> that reality is objective, observable, regulated by universal laws, derived from empirical investigation and logical reasoning; thus, positivism is the selected research paradigm. Objectivism, which maintains that knowledge exists apart from individual perceptions and can be verified by empirical data, forms the epistemological foundation of positivism. Positivism, from an ontological standpoint, maintains a realist view, positing a singular reality that exists independently of human understanding. Positivism, from an axiological perspective, underscores the necessity of value-free research to guarantee the objectivity and replicability of results (Ylönen and Aven, 2023; Ali, 2024). This scientific methodology </w:t>
      </w:r>
      <w:r w:rsidR="003C2B38">
        <w:rPr>
          <w:rFonts w:ascii="Times New Roman" w:hAnsi="Times New Roman"/>
          <w:sz w:val="24"/>
          <w:szCs w:val="24"/>
          <w:lang w:val="en-US"/>
        </w:rPr>
        <w:t>utilizes</w:t>
      </w:r>
      <w:r>
        <w:rPr>
          <w:rFonts w:ascii="Times New Roman" w:hAnsi="Times New Roman"/>
          <w:sz w:val="24"/>
          <w:szCs w:val="24"/>
          <w:lang w:val="en-US"/>
        </w:rPr>
        <w:t xml:space="preserve"> quantitative techniques that facilitate data measurement and analysis, resulting in the identification of overarching laws and principles that regulate events (Creswell &amp; Creswell, 2017). Positivism underscores the significance of objectivity, replicability, application of statistical methods for hypothesis testing (Bryman, 2016; </w:t>
      </w:r>
      <w:proofErr w:type="spellStart"/>
      <w:r>
        <w:rPr>
          <w:rFonts w:ascii="Times New Roman" w:hAnsi="Times New Roman"/>
          <w:sz w:val="24"/>
          <w:szCs w:val="24"/>
          <w:lang w:val="en-US"/>
        </w:rPr>
        <w:t>Khanday</w:t>
      </w:r>
      <w:proofErr w:type="spellEnd"/>
      <w:r>
        <w:rPr>
          <w:rFonts w:ascii="Times New Roman" w:hAnsi="Times New Roman"/>
          <w:sz w:val="24"/>
          <w:szCs w:val="24"/>
          <w:lang w:val="en-US"/>
        </w:rPr>
        <w:t xml:space="preserve"> et al., 2024). </w:t>
      </w:r>
      <w:r w:rsidR="00B276EF">
        <w:rPr>
          <w:rFonts w:ascii="Times New Roman" w:hAnsi="Times New Roman"/>
          <w:sz w:val="24"/>
          <w:szCs w:val="24"/>
          <w:lang w:val="en-US"/>
        </w:rPr>
        <w:t>Excluding</w:t>
      </w:r>
      <w:r>
        <w:rPr>
          <w:rFonts w:ascii="Times New Roman" w:hAnsi="Times New Roman"/>
          <w:sz w:val="24"/>
          <w:szCs w:val="24"/>
          <w:lang w:val="en-US"/>
        </w:rPr>
        <w:t xml:space="preserve"> its numerous accomplishments, positivism has encountered criticism. </w:t>
      </w:r>
      <w:r w:rsidR="001873C9">
        <w:rPr>
          <w:rFonts w:ascii="Times New Roman" w:hAnsi="Times New Roman"/>
          <w:sz w:val="24"/>
          <w:szCs w:val="24"/>
          <w:lang w:val="en-US"/>
        </w:rPr>
        <w:t>Criticizers</w:t>
      </w:r>
      <w:r>
        <w:rPr>
          <w:rFonts w:ascii="Times New Roman" w:hAnsi="Times New Roman"/>
          <w:sz w:val="24"/>
          <w:szCs w:val="24"/>
          <w:lang w:val="en-US"/>
        </w:rPr>
        <w:t xml:space="preserve"> </w:t>
      </w:r>
      <w:r w:rsidR="00A069BE">
        <w:rPr>
          <w:rFonts w:ascii="Times New Roman" w:hAnsi="Times New Roman"/>
          <w:sz w:val="24"/>
          <w:szCs w:val="24"/>
          <w:lang w:val="en-US"/>
        </w:rPr>
        <w:t>oppose</w:t>
      </w:r>
      <w:r>
        <w:rPr>
          <w:rFonts w:ascii="Times New Roman" w:hAnsi="Times New Roman"/>
          <w:sz w:val="24"/>
          <w:szCs w:val="24"/>
          <w:lang w:val="en-US"/>
        </w:rPr>
        <w:t xml:space="preserve"> that it neglects subjective aspects of human experience and the intricacies of social phenomena (Jaja et al., 2022; Raj, 2023; Huerta de Soto, 2024). They argue that the focus on quantification and objectivity may result in a reductionist interpretation of reality, wherein significant qualitative elements are overlooked (Maxwell, 2013). Positivism continues to be a </w:t>
      </w:r>
      <w:r>
        <w:rPr>
          <w:rFonts w:ascii="Times New Roman" w:hAnsi="Times New Roman"/>
          <w:sz w:val="24"/>
          <w:szCs w:val="24"/>
          <w:lang w:val="en-US"/>
        </w:rPr>
        <w:lastRenderedPageBreak/>
        <w:t xml:space="preserve">fundamental paradigm in research, providing a methodical and systematic framework for the examination of both </w:t>
      </w:r>
      <w:r w:rsidR="009624D2">
        <w:rPr>
          <w:rFonts w:ascii="Times New Roman" w:hAnsi="Times New Roman"/>
          <w:sz w:val="24"/>
          <w:szCs w:val="24"/>
          <w:lang w:val="en-US"/>
        </w:rPr>
        <w:t>organic</w:t>
      </w:r>
      <w:r>
        <w:rPr>
          <w:rFonts w:ascii="Times New Roman" w:hAnsi="Times New Roman"/>
          <w:sz w:val="24"/>
          <w:szCs w:val="24"/>
          <w:lang w:val="en-US"/>
        </w:rPr>
        <w:t xml:space="preserve"> and social phenomena (Denzin and Lincoln, 2018).</w:t>
      </w:r>
    </w:p>
    <w:p w14:paraId="3BDC4EEE"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5" w:name="_Toc232013520"/>
      <w:r>
        <w:rPr>
          <w:rFonts w:ascii="Times New Roman" w:eastAsia="Times New Roman" w:hAnsi="Times New Roman"/>
          <w:b/>
          <w:bCs/>
          <w:sz w:val="24"/>
          <w:szCs w:val="24"/>
          <w:lang w:val="en-US"/>
        </w:rPr>
        <w:t>3.3. Research Approach</w:t>
      </w:r>
      <w:bookmarkEnd w:id="25"/>
    </w:p>
    <w:p w14:paraId="0DCCE2FF" w14:textId="1837BA45" w:rsidR="009120BA" w:rsidRDefault="00B007C4" w:rsidP="009120BA">
      <w:pPr>
        <w:spacing w:line="360" w:lineRule="auto"/>
        <w:jc w:val="both"/>
        <w:rPr>
          <w:rFonts w:ascii="Times New Roman" w:hAnsi="Times New Roman"/>
          <w:sz w:val="24"/>
          <w:szCs w:val="24"/>
          <w:lang w:val="en-US"/>
        </w:rPr>
      </w:pPr>
      <w:r>
        <w:rPr>
          <w:rFonts w:ascii="Times New Roman" w:hAnsi="Times New Roman"/>
          <w:sz w:val="24"/>
          <w:szCs w:val="24"/>
          <w:lang w:val="en-US"/>
        </w:rPr>
        <w:t>S</w:t>
      </w:r>
      <w:r w:rsidR="009120BA">
        <w:rPr>
          <w:rFonts w:ascii="Times New Roman" w:hAnsi="Times New Roman"/>
          <w:sz w:val="24"/>
          <w:szCs w:val="24"/>
          <w:lang w:val="en-US"/>
        </w:rPr>
        <w:t xml:space="preserve">ignificant theoretical advancement from a positivist epistemology is deductive process that utilizes empirical facts to transition from a proposed theory to a substantiated theory (Okoli, 2023). A positivist research effort that commences inductively with non-theoretical foundations or abductively with basic theory must formally transition to a proposed theory prior to the empirical testing that can elevate </w:t>
      </w:r>
      <w:proofErr w:type="gramStart"/>
      <w:r w:rsidR="009120BA">
        <w:rPr>
          <w:rFonts w:ascii="Times New Roman" w:hAnsi="Times New Roman"/>
          <w:sz w:val="24"/>
          <w:szCs w:val="24"/>
          <w:lang w:val="en-US"/>
        </w:rPr>
        <w:t>the theory</w:t>
      </w:r>
      <w:proofErr w:type="gramEnd"/>
      <w:r w:rsidR="009120BA">
        <w:rPr>
          <w:rFonts w:ascii="Times New Roman" w:hAnsi="Times New Roman"/>
          <w:sz w:val="24"/>
          <w:szCs w:val="24"/>
          <w:lang w:val="en-US"/>
        </w:rPr>
        <w:t xml:space="preserve"> to a supported position. The deductive research methodology is a reasoning strategy </w:t>
      </w:r>
      <w:r w:rsidR="0092325D">
        <w:rPr>
          <w:rFonts w:ascii="Times New Roman" w:hAnsi="Times New Roman"/>
          <w:sz w:val="24"/>
          <w:szCs w:val="24"/>
          <w:lang w:val="en-US"/>
        </w:rPr>
        <w:t>somewhere</w:t>
      </w:r>
      <w:r w:rsidR="009120BA">
        <w:rPr>
          <w:rFonts w:ascii="Times New Roman" w:hAnsi="Times New Roman"/>
          <w:sz w:val="24"/>
          <w:szCs w:val="24"/>
          <w:lang w:val="en-US"/>
        </w:rPr>
        <w:t xml:space="preserve"> researchers start with an established theory and formulate hypotheses that subsequently tested through empirical data collecting and analysis. In deductive research, </w:t>
      </w:r>
      <w:r w:rsidR="00902830">
        <w:rPr>
          <w:rFonts w:ascii="Times New Roman" w:hAnsi="Times New Roman"/>
          <w:sz w:val="24"/>
          <w:szCs w:val="24"/>
          <w:lang w:val="en-US"/>
        </w:rPr>
        <w:t>inferences</w:t>
      </w:r>
      <w:r w:rsidR="009120BA">
        <w:rPr>
          <w:rFonts w:ascii="Times New Roman" w:hAnsi="Times New Roman"/>
          <w:sz w:val="24"/>
          <w:szCs w:val="24"/>
          <w:lang w:val="en-US"/>
        </w:rPr>
        <w:t xml:space="preserve"> are derived by transitioning from general theoretical ideas to specific observations (Paré et al., 2026). Additionally, deductive approach </w:t>
      </w:r>
      <w:r w:rsidR="00E32834">
        <w:rPr>
          <w:rFonts w:ascii="Times New Roman" w:hAnsi="Times New Roman"/>
          <w:sz w:val="24"/>
          <w:szCs w:val="24"/>
          <w:lang w:val="en-US"/>
        </w:rPr>
        <w:t>implies</w:t>
      </w:r>
      <w:r w:rsidR="009120BA">
        <w:rPr>
          <w:rFonts w:ascii="Times New Roman" w:hAnsi="Times New Roman"/>
          <w:sz w:val="24"/>
          <w:szCs w:val="24"/>
          <w:lang w:val="en-US"/>
        </w:rPr>
        <w:t xml:space="preserve"> </w:t>
      </w:r>
      <w:proofErr w:type="gramStart"/>
      <w:r w:rsidR="00756CB5">
        <w:rPr>
          <w:rFonts w:ascii="Times New Roman" w:hAnsi="Times New Roman"/>
          <w:sz w:val="24"/>
          <w:szCs w:val="24"/>
          <w:lang w:val="en-US"/>
        </w:rPr>
        <w:t>creäting</w:t>
      </w:r>
      <w:proofErr w:type="gramEnd"/>
      <w:r w:rsidR="009120BA">
        <w:rPr>
          <w:rFonts w:ascii="Times New Roman" w:hAnsi="Times New Roman"/>
          <w:sz w:val="24"/>
          <w:szCs w:val="24"/>
          <w:lang w:val="en-US"/>
        </w:rPr>
        <w:t xml:space="preserve"> a hypothesis (or hypotheses) grounded in current theory, followed by the creation of a research strategy to evaluate the hypothesis (Melo et al., 2025). If a causal relationship appears to be shown by specific theory or case study, it may hold true in several instances. A deductive approach may examine if this association exists under broader conditions (Haque, 2022; Melo et al., 2025). The theory's propositions can be used to generate hypotheses that clarify the deductive approach. Deductive reasoning is centered on d</w:t>
      </w:r>
      <w:r w:rsidR="005A5A17">
        <w:rPr>
          <w:rFonts w:ascii="Times New Roman" w:hAnsi="Times New Roman"/>
          <w:sz w:val="24"/>
          <w:szCs w:val="24"/>
          <w:lang w:val="en-US"/>
        </w:rPr>
        <w:t>e</w:t>
      </w:r>
      <w:r w:rsidR="003B5742">
        <w:rPr>
          <w:rFonts w:ascii="Times New Roman" w:hAnsi="Times New Roman"/>
          <w:sz w:val="24"/>
          <w:szCs w:val="24"/>
          <w:lang w:val="en-US"/>
        </w:rPr>
        <w:t>ducing</w:t>
      </w:r>
      <w:r w:rsidR="009120BA">
        <w:rPr>
          <w:rFonts w:ascii="Times New Roman" w:hAnsi="Times New Roman"/>
          <w:sz w:val="24"/>
          <w:szCs w:val="24"/>
          <w:lang w:val="en-US"/>
        </w:rPr>
        <w:t xml:space="preserve"> </w:t>
      </w:r>
      <w:r w:rsidR="00471318">
        <w:rPr>
          <w:rFonts w:ascii="Times New Roman" w:hAnsi="Times New Roman"/>
          <w:sz w:val="24"/>
          <w:szCs w:val="24"/>
          <w:lang w:val="en-US"/>
        </w:rPr>
        <w:t>decisions</w:t>
      </w:r>
      <w:r w:rsidR="009120BA">
        <w:rPr>
          <w:rFonts w:ascii="Times New Roman" w:hAnsi="Times New Roman"/>
          <w:sz w:val="24"/>
          <w:szCs w:val="24"/>
          <w:lang w:val="en-US"/>
        </w:rPr>
        <w:t xml:space="preserve"> from premises or claims. Whereas induction starts with observations and attempts to find a pattern within them, deduction starts with a hypothesized pattern that is assessed against observations. The positivist research philosophy is usually associated with the deductive research approach. Positivism emphasizes objectivity, measurement, and hypothesis testing, closely aligning with the deductive logic of evaluating theoretical claims through empirical observations. Nonetheless, deductive reasoning may also be employed in alternative philosophical frameworks when scholars seek to evaluate certain theoretical assertions. This study utilizes a deductive theorizing technique, which is consistent with the methodological framework implemented in this research. This deductive theorizing method is apparent in the selection and implementation of established theories, such as Dynamic Capabilities Theory and Resource Dependence Theory, inform the study framework and guide the development of structured questionnaire items. The research commences with theoretical foundations about the </w:t>
      </w:r>
      <w:proofErr w:type="gramStart"/>
      <w:r w:rsidR="009120BA">
        <w:rPr>
          <w:rFonts w:ascii="Times New Roman" w:hAnsi="Times New Roman"/>
          <w:sz w:val="24"/>
          <w:szCs w:val="24"/>
          <w:lang w:val="en-US"/>
        </w:rPr>
        <w:t>influence</w:t>
      </w:r>
      <w:proofErr w:type="gramEnd"/>
      <w:r w:rsidR="009120BA">
        <w:rPr>
          <w:rFonts w:ascii="Times New Roman" w:hAnsi="Times New Roman"/>
          <w:sz w:val="24"/>
          <w:szCs w:val="24"/>
          <w:lang w:val="en-US"/>
        </w:rPr>
        <w:t xml:space="preserve"> leadership style on supply chain resilience</w:t>
      </w:r>
      <w:r w:rsidR="00C57DD9">
        <w:rPr>
          <w:rFonts w:ascii="Times New Roman" w:hAnsi="Times New Roman"/>
          <w:sz w:val="24"/>
          <w:szCs w:val="24"/>
          <w:lang w:val="en-US"/>
        </w:rPr>
        <w:t>,</w:t>
      </w:r>
      <w:r w:rsidR="009120BA">
        <w:rPr>
          <w:rFonts w:ascii="Times New Roman" w:hAnsi="Times New Roman"/>
          <w:sz w:val="24"/>
          <w:szCs w:val="24"/>
          <w:lang w:val="en-US"/>
        </w:rPr>
        <w:t xml:space="preserve"> examines the congruence of </w:t>
      </w:r>
      <w:r w:rsidR="00051676">
        <w:rPr>
          <w:rFonts w:ascii="Times New Roman" w:hAnsi="Times New Roman"/>
          <w:sz w:val="24"/>
          <w:szCs w:val="24"/>
          <w:lang w:val="en-US"/>
        </w:rPr>
        <w:t>specialists takes</w:t>
      </w:r>
      <w:r w:rsidR="009120BA">
        <w:rPr>
          <w:rFonts w:ascii="Times New Roman" w:hAnsi="Times New Roman"/>
          <w:sz w:val="24"/>
          <w:szCs w:val="24"/>
          <w:lang w:val="en-US"/>
        </w:rPr>
        <w:t xml:space="preserve"> with these expectations (Saunders, Lewis, and Thornhill, 2019).</w:t>
      </w:r>
    </w:p>
    <w:p w14:paraId="082CFEA5"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6" w:name="_Toc232013521"/>
      <w:r>
        <w:rPr>
          <w:rFonts w:ascii="Times New Roman" w:eastAsia="Times New Roman" w:hAnsi="Times New Roman"/>
          <w:b/>
          <w:bCs/>
          <w:sz w:val="24"/>
          <w:szCs w:val="24"/>
          <w:lang w:val="en-US"/>
        </w:rPr>
        <w:lastRenderedPageBreak/>
        <w:t>3.4. Research Strategy</w:t>
      </w:r>
      <w:bookmarkEnd w:id="26"/>
    </w:p>
    <w:p w14:paraId="4131C7A6" w14:textId="5E031A1B"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This study used a survey-based research methodology to gather data on professionals' perspectives regarding the moderation of geopolitical supply risks</w:t>
      </w:r>
      <w:r w:rsidR="00CF3551">
        <w:rPr>
          <w:rFonts w:ascii="Times New Roman" w:hAnsi="Times New Roman"/>
          <w:sz w:val="24"/>
          <w:szCs w:val="24"/>
          <w:lang w:val="en-US"/>
        </w:rPr>
        <w:t xml:space="preserve"> on</w:t>
      </w:r>
      <w:r>
        <w:rPr>
          <w:rFonts w:ascii="Times New Roman" w:hAnsi="Times New Roman"/>
          <w:sz w:val="24"/>
          <w:szCs w:val="24"/>
          <w:lang w:val="en-US"/>
        </w:rPr>
        <w:t xml:space="preserve"> the resilience of rare earth element supply chains in the UK by directive and adaptive leadership styles. (Saunders, Lewis, &amp; Thornhill, 2023). Survey research is a methodical process for gathering quantitative or qualitative data from a sample population. It seeks to comprehend attitudes, ideas, beliefs, or behaviors on specific subjects. Through the analysis of survey data, researchers can infer conclusions regarding larger populations, rendering surveys optimal for producing generalizable research outcomes (Goodfellow, 2023). Surveys are extensively employed in positivist research to get quantitative data from substantial respondent groups through standardized questionnaires (Fowler, 2014). Surveys enable researchers to assess attitudes, behaviors, and perceptions within varied groups, hence allowing statistical analysis and the generalization of results. </w:t>
      </w:r>
    </w:p>
    <w:p w14:paraId="2DC4FEA0"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study does not entail variable manipulation, as seen in experimental research, but instead concentrates on collecting professionals' perceptions and experiences related to the utilization of REE. Consequently, experimental and action research methodologies are inappropriate, as the study does not examine causal linkages in controlled settings nor execute iterative interventions in practice (Creswell &amp; Creswell, 2023). A significant drawback of survey research is the typically poor response rates in many contexts. Online surveys possess numerous constraints that must be anticipated prior to doing research and subsequently articulated upon the survey's completion (Creswell &amp; Creswell, 2023). </w:t>
      </w:r>
    </w:p>
    <w:p w14:paraId="7969195D"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 principal technique employed is a cross-sectional survey, in which standardized questions are distributed to professionals utilizing REE. This method facilitates the acquisition of just quantitative data (e.g., scaled replies assessing perceptions) according with the study's mono-method design (Creswell and Plano Clark, 2018). The survey technique is suitable since it enables the efficient gathering of data from several respondents, hence aiding in pattern recognition and comparative analysis (Bryman, 2021). The selected strategy facilitates systematic data collecting on perceptions rather than objective measurement, so aligning with the research philosophy of positivism and the mono-method approach (Morgan, 2014; Saunders, Lewis, and Thornhill, 2023).</w:t>
      </w:r>
    </w:p>
    <w:p w14:paraId="4FFEEB70" w14:textId="77777777" w:rsidR="009120BA" w:rsidRDefault="009120BA" w:rsidP="009120BA">
      <w:pPr>
        <w:spacing w:after="0" w:line="360" w:lineRule="auto"/>
        <w:jc w:val="both"/>
        <w:rPr>
          <w:rFonts w:ascii="Times New Roman" w:hAnsi="Times New Roman"/>
          <w:b/>
          <w:bCs/>
          <w:sz w:val="24"/>
          <w:szCs w:val="24"/>
          <w:lang w:val="en-US"/>
        </w:rPr>
      </w:pPr>
    </w:p>
    <w:p w14:paraId="019AFBD6"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7" w:name="_Toc232013522"/>
      <w:r>
        <w:rPr>
          <w:rFonts w:ascii="Times New Roman" w:eastAsia="Times New Roman" w:hAnsi="Times New Roman"/>
          <w:b/>
          <w:bCs/>
          <w:sz w:val="24"/>
          <w:szCs w:val="24"/>
          <w:lang w:val="en-US"/>
        </w:rPr>
        <w:lastRenderedPageBreak/>
        <w:t>3.5. Methodological Choice</w:t>
      </w:r>
      <w:bookmarkEnd w:id="27"/>
    </w:p>
    <w:p w14:paraId="31BBF38B" w14:textId="52B4018D" w:rsidR="009120BA" w:rsidRDefault="008476F2"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A</w:t>
      </w:r>
      <w:r w:rsidR="009120BA">
        <w:rPr>
          <w:rFonts w:ascii="Times New Roman" w:hAnsi="Times New Roman"/>
          <w:sz w:val="24"/>
          <w:szCs w:val="24"/>
          <w:lang w:val="en-US"/>
        </w:rPr>
        <w:t xml:space="preserve"> solely quantitative research methodology</w:t>
      </w:r>
      <w:r>
        <w:rPr>
          <w:rFonts w:ascii="Times New Roman" w:hAnsi="Times New Roman"/>
          <w:sz w:val="24"/>
          <w:szCs w:val="24"/>
          <w:lang w:val="en-US"/>
        </w:rPr>
        <w:t xml:space="preserve"> was employed</w:t>
      </w:r>
      <w:r w:rsidR="00B83AF8">
        <w:rPr>
          <w:rFonts w:ascii="Times New Roman" w:hAnsi="Times New Roman"/>
          <w:sz w:val="24"/>
          <w:szCs w:val="24"/>
          <w:lang w:val="en-US"/>
        </w:rPr>
        <w:t xml:space="preserve"> here</w:t>
      </w:r>
      <w:r w:rsidR="009120BA">
        <w:rPr>
          <w:rFonts w:ascii="Times New Roman" w:hAnsi="Times New Roman"/>
          <w:sz w:val="24"/>
          <w:szCs w:val="24"/>
          <w:lang w:val="en-US"/>
        </w:rPr>
        <w:t xml:space="preserve">, as it facilitates analysis of relationships and effects among measurable variables, including geopolitical risk, leadership styles, organizational resilience, and supply chain performance in organizations reliant on Rare Earth Elements (REE). Quantitative research is suitable when a study intends to test hypotheses, objectively measure variables, and create statistical associations through numerical data (Saunders, Lewis, and Thornhill, 2023). This method facilitates the gathering of standardized data from several respondents via structured questionnaires, hence improving the reliability, validity, and generalizability of the results. Quantitative approach, grounded in a positivist framework, prioritizes measurable </w:t>
      </w:r>
      <w:r w:rsidR="00A812A6">
        <w:rPr>
          <w:rFonts w:ascii="Times New Roman" w:hAnsi="Times New Roman"/>
          <w:sz w:val="24"/>
          <w:szCs w:val="24"/>
          <w:lang w:val="en-US"/>
        </w:rPr>
        <w:t>figures</w:t>
      </w:r>
      <w:r w:rsidR="009120BA">
        <w:rPr>
          <w:rFonts w:ascii="Times New Roman" w:hAnsi="Times New Roman"/>
          <w:sz w:val="24"/>
          <w:szCs w:val="24"/>
          <w:lang w:val="en-US"/>
        </w:rPr>
        <w:t xml:space="preserve"> and statistical analysis, enabling the generalization of findings</w:t>
      </w:r>
      <w:r w:rsidR="00F02FA3">
        <w:rPr>
          <w:rFonts w:ascii="Times New Roman" w:hAnsi="Times New Roman"/>
          <w:sz w:val="24"/>
          <w:szCs w:val="24"/>
          <w:lang w:val="en-US"/>
        </w:rPr>
        <w:t>,</w:t>
      </w:r>
      <w:r w:rsidR="009120BA">
        <w:rPr>
          <w:rFonts w:ascii="Times New Roman" w:hAnsi="Times New Roman"/>
          <w:sz w:val="24"/>
          <w:szCs w:val="24"/>
          <w:lang w:val="en-US"/>
        </w:rPr>
        <w:t xml:space="preserve"> the identification of trends across extensive populations (</w:t>
      </w:r>
      <w:proofErr w:type="spellStart"/>
      <w:r w:rsidR="009120BA">
        <w:rPr>
          <w:rFonts w:ascii="Times New Roman" w:hAnsi="Times New Roman"/>
          <w:sz w:val="24"/>
          <w:szCs w:val="24"/>
          <w:lang w:val="en-US"/>
        </w:rPr>
        <w:t>Dehalwar</w:t>
      </w:r>
      <w:proofErr w:type="spellEnd"/>
      <w:r w:rsidR="009120BA">
        <w:rPr>
          <w:rFonts w:ascii="Times New Roman" w:hAnsi="Times New Roman"/>
          <w:sz w:val="24"/>
          <w:szCs w:val="24"/>
          <w:lang w:val="en-US"/>
        </w:rPr>
        <w:t xml:space="preserve"> and Sharma, 2023). This capability renders it an essential instrument for comprehending extensive social phenomena. This methodology's principal strength is its generalizability. </w:t>
      </w:r>
      <w:r w:rsidR="003E0002">
        <w:rPr>
          <w:rFonts w:ascii="Times New Roman" w:hAnsi="Times New Roman"/>
          <w:sz w:val="24"/>
          <w:szCs w:val="24"/>
          <w:lang w:val="en-US"/>
        </w:rPr>
        <w:t xml:space="preserve">   </w:t>
      </w:r>
      <w:r w:rsidR="009120BA">
        <w:rPr>
          <w:rFonts w:ascii="Times New Roman" w:hAnsi="Times New Roman"/>
          <w:sz w:val="24"/>
          <w:szCs w:val="24"/>
          <w:lang w:val="en-US"/>
        </w:rPr>
        <w:t>Utilizing representative samples and stringent statistical methodologies, it generates findings relevant to wider populations. National surveys, such as the European Social Survey (ESS), furnish dependable data on social attitudes and behaviors across diverse geographical contexts, enhancing global comprehension of societal dynamics (ESS, 2022)</w:t>
      </w:r>
      <w:r w:rsidR="00176B05">
        <w:rPr>
          <w:rFonts w:ascii="Times New Roman" w:hAnsi="Times New Roman"/>
          <w:sz w:val="24"/>
          <w:szCs w:val="24"/>
          <w:lang w:val="en-US"/>
        </w:rPr>
        <w:t>.</w:t>
      </w:r>
      <w:r w:rsidR="009120BA">
        <w:rPr>
          <w:rFonts w:ascii="Times New Roman" w:hAnsi="Times New Roman"/>
          <w:sz w:val="24"/>
          <w:szCs w:val="24"/>
          <w:lang w:val="en-US"/>
        </w:rPr>
        <w:t xml:space="preserve"> Furthermore, the quantitative methodology is frequently regarded as more objective owing to its dependence on standardized data. Statistical methods mitigate the impact of subjective biases in result interpretation. Methods such as linear regression and factor analysis facilitate the modelling of interactions between variables and the identification of potential correlations or causations (Bryman, 2016). Nonetheless, despite its numerous advantages, this system possesses specific limits. Initially, it often simplifies the intricacies of social phenomena to numerical data, sometimes neglecting subtleties and particular settings. Emotions, subjective meanings, and human experiences are frequently difficult to define precisely. Furthermore, the validity of measurement may pose challenges. The formulation of surveys or indicators may introduce biases, so compromising the quality of the data gathered. Bourdieu (1977) emphasized in Outline of a Theory of Practice that oversimplification of variables may result in erroneous interpretations of social processes. Although quantitative data is seen as objective, </w:t>
      </w:r>
      <w:proofErr w:type="spellStart"/>
      <w:proofErr w:type="gramStart"/>
      <w:r w:rsidR="009120BA">
        <w:rPr>
          <w:rFonts w:ascii="Times New Roman" w:hAnsi="Times New Roman"/>
          <w:sz w:val="24"/>
          <w:szCs w:val="24"/>
          <w:lang w:val="en-US"/>
        </w:rPr>
        <w:t>its</w:t>
      </w:r>
      <w:proofErr w:type="spellEnd"/>
      <w:proofErr w:type="gramEnd"/>
      <w:r w:rsidR="009120BA">
        <w:rPr>
          <w:rFonts w:ascii="Times New Roman" w:hAnsi="Times New Roman"/>
          <w:sz w:val="24"/>
          <w:szCs w:val="24"/>
          <w:lang w:val="en-US"/>
        </w:rPr>
        <w:t xml:space="preserve"> </w:t>
      </w:r>
      <w:r w:rsidR="00F7410F">
        <w:rPr>
          <w:rFonts w:ascii="Times New Roman" w:hAnsi="Times New Roman"/>
          <w:sz w:val="24"/>
          <w:szCs w:val="24"/>
          <w:lang w:val="en-US"/>
        </w:rPr>
        <w:t>on the other hand</w:t>
      </w:r>
      <w:r w:rsidR="009120BA">
        <w:rPr>
          <w:rFonts w:ascii="Times New Roman" w:hAnsi="Times New Roman"/>
          <w:sz w:val="24"/>
          <w:szCs w:val="24"/>
          <w:lang w:val="en-US"/>
        </w:rPr>
        <w:t xml:space="preserve"> influenced by methodological and epistemological decisions that affect results. A further issue resides the </w:t>
      </w:r>
      <w:r w:rsidR="006C5FF9">
        <w:rPr>
          <w:rFonts w:ascii="Times New Roman" w:hAnsi="Times New Roman"/>
          <w:sz w:val="24"/>
          <w:szCs w:val="24"/>
          <w:lang w:val="en-US"/>
        </w:rPr>
        <w:t>remote</w:t>
      </w:r>
      <w:r w:rsidR="009120BA">
        <w:rPr>
          <w:rFonts w:ascii="Times New Roman" w:hAnsi="Times New Roman"/>
          <w:sz w:val="24"/>
          <w:szCs w:val="24"/>
          <w:lang w:val="en-US"/>
        </w:rPr>
        <w:t xml:space="preserve"> character of this practice. Reducing human interactions a</w:t>
      </w:r>
      <w:r w:rsidR="00DA3C9E">
        <w:rPr>
          <w:rFonts w:ascii="Times New Roman" w:hAnsi="Times New Roman"/>
          <w:sz w:val="24"/>
          <w:szCs w:val="24"/>
          <w:lang w:val="en-US"/>
        </w:rPr>
        <w:t xml:space="preserve">s well as </w:t>
      </w:r>
      <w:r w:rsidR="009120BA">
        <w:rPr>
          <w:rFonts w:ascii="Times New Roman" w:hAnsi="Times New Roman"/>
          <w:sz w:val="24"/>
          <w:szCs w:val="24"/>
          <w:lang w:val="en-US"/>
        </w:rPr>
        <w:t>intricate social dynamics to abstract models may constrain the exploration of enquiries necessitating a more contextual and qualitative comprehension. Notwithstanding these challenges, quantitative approach is essential and has diverse uses in sociology.</w:t>
      </w:r>
    </w:p>
    <w:p w14:paraId="127AFB2F"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8" w:name="_Toc232013523"/>
      <w:r>
        <w:rPr>
          <w:rFonts w:ascii="Times New Roman" w:eastAsia="Times New Roman" w:hAnsi="Times New Roman"/>
          <w:b/>
          <w:bCs/>
          <w:sz w:val="24"/>
          <w:szCs w:val="24"/>
          <w:lang w:val="en-US"/>
        </w:rPr>
        <w:lastRenderedPageBreak/>
        <w:t>3.6. Time Horizon</w:t>
      </w:r>
      <w:bookmarkEnd w:id="28"/>
    </w:p>
    <w:p w14:paraId="1302F755" w14:textId="1750D88C"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A cross-sectional time horizon is used for this investigation. This means that data is collected at a single point in time </w:t>
      </w:r>
      <w:r w:rsidR="00CB0223">
        <w:rPr>
          <w:rFonts w:ascii="Times New Roman" w:hAnsi="Times New Roman"/>
          <w:sz w:val="24"/>
          <w:szCs w:val="24"/>
          <w:lang w:val="en-US"/>
        </w:rPr>
        <w:t>relatively</w:t>
      </w:r>
      <w:r>
        <w:rPr>
          <w:rFonts w:ascii="Times New Roman" w:hAnsi="Times New Roman"/>
          <w:sz w:val="24"/>
          <w:szCs w:val="24"/>
          <w:lang w:val="en-US"/>
        </w:rPr>
        <w:t xml:space="preserve"> than across multiple periods. The research focuses on capturing </w:t>
      </w:r>
      <w:proofErr w:type="gramStart"/>
      <w:r>
        <w:rPr>
          <w:rFonts w:ascii="Times New Roman" w:hAnsi="Times New Roman"/>
          <w:sz w:val="24"/>
          <w:szCs w:val="24"/>
          <w:lang w:val="en-US"/>
        </w:rPr>
        <w:t>professionals</w:t>
      </w:r>
      <w:proofErr w:type="gramEnd"/>
      <w:r>
        <w:rPr>
          <w:rFonts w:ascii="Times New Roman" w:hAnsi="Times New Roman"/>
          <w:sz w:val="24"/>
          <w:szCs w:val="24"/>
          <w:lang w:val="en-US"/>
        </w:rPr>
        <w:t xml:space="preserve"> current perceptions and experiences regarding the use of REE, rather than examining how these perceptions evolve over time. A cross-sectional design is appropriate because the study aims to provide a snapshot view of opinions from professionals using REE within a specific timeframe. Since the research does not investigate trends, changes, or developments over time, a longitudinal approach is unnecessary. Longitudinal studies are typically more suitable when analyzing behavioral changes or the impact of variables over extended periods, which is beyond the scope of this research. Additionally, practical considerations such as time constraints and resource availability support the use of a cross-sectional approach, as it allows for efficient data collection through questionnaires administered once to the target participants.</w:t>
      </w:r>
    </w:p>
    <w:p w14:paraId="73D72B04"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Importantly, the cross-sectional time horizon aligns well with the mixed-methods design, as both quantitative and qualitative data can be collected simultaneously. Overall, this approach ensures that the study effectively addresses its research objectives by providing a clear and immediate understanding of professionals’ perceptions of REE.</w:t>
      </w:r>
    </w:p>
    <w:p w14:paraId="209A2451"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29" w:name="_Toc232013524"/>
      <w:r>
        <w:rPr>
          <w:rFonts w:ascii="Times New Roman" w:eastAsia="Times New Roman" w:hAnsi="Times New Roman"/>
          <w:b/>
          <w:bCs/>
          <w:sz w:val="24"/>
          <w:szCs w:val="24"/>
          <w:lang w:val="en-US"/>
        </w:rPr>
        <w:t>3.7. Techniques</w:t>
      </w:r>
      <w:bookmarkEnd w:id="29"/>
    </w:p>
    <w:p w14:paraId="546FE9DA"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0" w:name="_Toc232013525"/>
      <w:r>
        <w:rPr>
          <w:rFonts w:ascii="Times New Roman" w:eastAsia="Times New Roman" w:hAnsi="Times New Roman"/>
          <w:b/>
          <w:bCs/>
          <w:sz w:val="24"/>
          <w:szCs w:val="24"/>
          <w:lang w:val="en-US"/>
        </w:rPr>
        <w:t>3.7.1. Data Collection Method</w:t>
      </w:r>
      <w:bookmarkEnd w:id="30"/>
    </w:p>
    <w:p w14:paraId="646B3366" w14:textId="2CD26019"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Gathering data is crucial to conducting research. Data provides the information needed to analyze a research problem after careful design. The need to acquire </w:t>
      </w:r>
      <w:proofErr w:type="gramStart"/>
      <w:r>
        <w:rPr>
          <w:rFonts w:ascii="Times New Roman" w:hAnsi="Times New Roman"/>
          <w:sz w:val="24"/>
          <w:szCs w:val="24"/>
          <w:lang w:val="en-US"/>
        </w:rPr>
        <w:t>particular information</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carry out the study emphasizes the importance of data collection (Mazhar et al., 2021). In experimental research, primary data is collected during experiments; in descriptive research and surveys, such as sample and census surveys, primary data is obtained through direct communication with respondents or observation in a variety of ways (Kumar, 2014; Kothari, 2018). </w:t>
      </w:r>
      <w:r w:rsidR="00782EF9">
        <w:rPr>
          <w:rFonts w:ascii="Times New Roman" w:hAnsi="Times New Roman"/>
          <w:sz w:val="24"/>
          <w:szCs w:val="24"/>
          <w:lang w:val="en-US"/>
        </w:rPr>
        <w:t>S</w:t>
      </w:r>
      <w:r>
        <w:rPr>
          <w:rFonts w:ascii="Times New Roman" w:hAnsi="Times New Roman"/>
          <w:sz w:val="24"/>
          <w:szCs w:val="24"/>
          <w:lang w:val="en-US"/>
        </w:rPr>
        <w:t xml:space="preserve">tructured </w:t>
      </w:r>
      <w:proofErr w:type="gramStart"/>
      <w:r>
        <w:rPr>
          <w:rFonts w:ascii="Times New Roman" w:hAnsi="Times New Roman"/>
          <w:sz w:val="24"/>
          <w:szCs w:val="24"/>
          <w:lang w:val="en-US"/>
        </w:rPr>
        <w:t>questionnaire</w:t>
      </w:r>
      <w:proofErr w:type="gramEnd"/>
      <w:r>
        <w:rPr>
          <w:rFonts w:ascii="Times New Roman" w:hAnsi="Times New Roman"/>
          <w:sz w:val="24"/>
          <w:szCs w:val="24"/>
          <w:lang w:val="en-US"/>
        </w:rPr>
        <w:t xml:space="preserve"> with closed-ended questions evaluated on a five-point Likert scale, ranging from strongly disagree to strongly agree, serves as the </w:t>
      </w:r>
      <w:r w:rsidR="00AF537B">
        <w:rPr>
          <w:rFonts w:ascii="Times New Roman" w:hAnsi="Times New Roman"/>
          <w:sz w:val="24"/>
          <w:szCs w:val="24"/>
          <w:lang w:val="en-US"/>
        </w:rPr>
        <w:t>predominant</w:t>
      </w:r>
      <w:r>
        <w:rPr>
          <w:rFonts w:ascii="Times New Roman" w:hAnsi="Times New Roman"/>
          <w:sz w:val="24"/>
          <w:szCs w:val="24"/>
          <w:lang w:val="en-US"/>
        </w:rPr>
        <w:t xml:space="preserve"> instrument for gathering data for this study. This approach entails giving a questionnaire to the appropriate people, asking for their answers, and returning the completed form. A questionnaire is a set of questions on a form or set of forms that are arranged in a specific order. Respondents are expected to review the questions, comprehend them, and provide their answers in the appropriate sections of the questionnaire. Each participant is required to provide their own answers to the questions. </w:t>
      </w:r>
      <w:bookmarkStart w:id="31" w:name="_Toc232013526"/>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obtain quantifiable data suitable for statistical analysis, </w:t>
      </w:r>
      <w:r>
        <w:rPr>
          <w:rFonts w:ascii="Times New Roman" w:hAnsi="Times New Roman"/>
          <w:sz w:val="24"/>
          <w:szCs w:val="24"/>
          <w:lang w:val="en-US"/>
        </w:rPr>
        <w:lastRenderedPageBreak/>
        <w:t>the questionnaire collects respondents' opinions on supply chain performance, organizational resilience, leadership styles, and geopolitical risk (Saunders, Lewis, and Thornhill, 2023).</w:t>
      </w:r>
    </w:p>
    <w:p w14:paraId="7F9FBCC6" w14:textId="77777777" w:rsidR="009120BA" w:rsidRDefault="009120BA" w:rsidP="009120BA">
      <w:pPr>
        <w:spacing w:after="0" w:line="360" w:lineRule="auto"/>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en-US"/>
        </w:rPr>
        <w:t>3.7.2. Targeted population</w:t>
      </w:r>
      <w:bookmarkEnd w:id="31"/>
    </w:p>
    <w:p w14:paraId="2E19E746" w14:textId="0D111DF0"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In survey research, target audiences are identified by selecting individuals who possess expertise or experience with the issue of interest, enabling them to make informed responses. This is referred to as the selection criteria, encompassing both inclusion and exclusion criteria (Goodfellow, 2023). Rare earth elements (REEs) include a collection of 17 metallic elements </w:t>
      </w:r>
      <w:proofErr w:type="gramStart"/>
      <w:r>
        <w:rPr>
          <w:rFonts w:ascii="Times New Roman" w:hAnsi="Times New Roman"/>
          <w:sz w:val="24"/>
          <w:szCs w:val="24"/>
          <w:lang w:val="en-US"/>
        </w:rPr>
        <w:t>located</w:t>
      </w:r>
      <w:proofErr w:type="gramEnd"/>
      <w:r>
        <w:rPr>
          <w:rFonts w:ascii="Times New Roman" w:hAnsi="Times New Roman"/>
          <w:sz w:val="24"/>
          <w:szCs w:val="24"/>
          <w:lang w:val="en-US"/>
        </w:rPr>
        <w:t xml:space="preserve"> the Earth's crust. Notwithstanding their designation, these elements are not especially scarce; </w:t>
      </w:r>
      <w:proofErr w:type="gramStart"/>
      <w:r>
        <w:rPr>
          <w:rFonts w:ascii="Times New Roman" w:hAnsi="Times New Roman"/>
          <w:sz w:val="24"/>
          <w:szCs w:val="24"/>
          <w:lang w:val="en-US"/>
        </w:rPr>
        <w:t>yet,</w:t>
      </w:r>
      <w:proofErr w:type="gramEnd"/>
      <w:r>
        <w:rPr>
          <w:rFonts w:ascii="Times New Roman" w:hAnsi="Times New Roman"/>
          <w:sz w:val="24"/>
          <w:szCs w:val="24"/>
          <w:lang w:val="en-US"/>
        </w:rPr>
        <w:t xml:space="preserve"> their economic extraction is frequently challenging. Rare Earth Elements (REEs) are </w:t>
      </w:r>
      <w:r w:rsidR="00D8797B">
        <w:rPr>
          <w:rFonts w:ascii="Times New Roman" w:hAnsi="Times New Roman"/>
          <w:sz w:val="24"/>
          <w:szCs w:val="24"/>
          <w:lang w:val="en-US"/>
        </w:rPr>
        <w:t>dire</w:t>
      </w:r>
      <w:r>
        <w:rPr>
          <w:rFonts w:ascii="Times New Roman" w:hAnsi="Times New Roman"/>
          <w:sz w:val="24"/>
          <w:szCs w:val="24"/>
          <w:lang w:val="en-US"/>
        </w:rPr>
        <w:t xml:space="preserve"> for numerous contemporary technologies owing to their distinctive chemical and physical characteristics (IMARC Group, 2024)</w:t>
      </w:r>
    </w:p>
    <w:p w14:paraId="32CA3F46" w14:textId="44BEA55E"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 population</w:t>
      </w:r>
      <w:r w:rsidR="00157DCD">
        <w:rPr>
          <w:rFonts w:ascii="Times New Roman" w:hAnsi="Times New Roman"/>
          <w:sz w:val="24"/>
          <w:szCs w:val="24"/>
          <w:lang w:val="en-US"/>
        </w:rPr>
        <w:t xml:space="preserve"> target</w:t>
      </w:r>
      <w:r w:rsidR="000E2761">
        <w:rPr>
          <w:rFonts w:ascii="Times New Roman" w:hAnsi="Times New Roman"/>
          <w:sz w:val="24"/>
          <w:szCs w:val="24"/>
          <w:lang w:val="en-US"/>
        </w:rPr>
        <w:t>ed</w:t>
      </w:r>
      <w:r>
        <w:rPr>
          <w:rFonts w:ascii="Times New Roman" w:hAnsi="Times New Roman"/>
          <w:sz w:val="24"/>
          <w:szCs w:val="24"/>
          <w:lang w:val="en-US"/>
        </w:rPr>
        <w:t xml:space="preserve"> for this study consists of professionals who </w:t>
      </w:r>
      <w:proofErr w:type="gramStart"/>
      <w:r>
        <w:rPr>
          <w:rFonts w:ascii="Times New Roman" w:hAnsi="Times New Roman"/>
          <w:sz w:val="24"/>
          <w:szCs w:val="24"/>
          <w:lang w:val="en-US"/>
        </w:rPr>
        <w:t>uses</w:t>
      </w:r>
      <w:proofErr w:type="gramEnd"/>
      <w:r>
        <w:rPr>
          <w:rFonts w:ascii="Times New Roman" w:hAnsi="Times New Roman"/>
          <w:sz w:val="24"/>
          <w:szCs w:val="24"/>
          <w:lang w:val="en-US"/>
        </w:rPr>
        <w:t xml:space="preserve"> or </w:t>
      </w:r>
      <w:proofErr w:type="gramStart"/>
      <w:r>
        <w:rPr>
          <w:rFonts w:ascii="Times New Roman" w:hAnsi="Times New Roman"/>
          <w:sz w:val="24"/>
          <w:szCs w:val="24"/>
          <w:lang w:val="en-US"/>
        </w:rPr>
        <w:t>utilizes</w:t>
      </w:r>
      <w:proofErr w:type="gramEnd"/>
      <w:r>
        <w:rPr>
          <w:rFonts w:ascii="Times New Roman" w:hAnsi="Times New Roman"/>
          <w:sz w:val="24"/>
          <w:szCs w:val="24"/>
          <w:lang w:val="en-US"/>
        </w:rPr>
        <w:t xml:space="preserve"> REE in the production of their final product. This consists of professionals in the automotive industry where REE-containing magnets such as neodymium and dysprosium are used in the production and repair of electric vehicle motors and converters. Professionals who </w:t>
      </w:r>
      <w:proofErr w:type="gramStart"/>
      <w:r>
        <w:rPr>
          <w:rFonts w:ascii="Times New Roman" w:hAnsi="Times New Roman"/>
          <w:sz w:val="24"/>
          <w:szCs w:val="24"/>
          <w:lang w:val="en-US"/>
        </w:rPr>
        <w:t>uses</w:t>
      </w:r>
      <w:proofErr w:type="gramEnd"/>
      <w:r>
        <w:rPr>
          <w:rFonts w:ascii="Times New Roman" w:hAnsi="Times New Roman"/>
          <w:sz w:val="24"/>
          <w:szCs w:val="24"/>
          <w:lang w:val="en-US"/>
        </w:rPr>
        <w:t xml:space="preserve"> REE-based magnets </w:t>
      </w:r>
      <w:proofErr w:type="gramStart"/>
      <w:r>
        <w:rPr>
          <w:rFonts w:ascii="Times New Roman" w:hAnsi="Times New Roman"/>
          <w:sz w:val="24"/>
          <w:szCs w:val="24"/>
          <w:lang w:val="en-US"/>
        </w:rPr>
        <w:t>for the production of</w:t>
      </w:r>
      <w:proofErr w:type="gramEnd"/>
      <w:r>
        <w:rPr>
          <w:rFonts w:ascii="Times New Roman" w:hAnsi="Times New Roman"/>
          <w:sz w:val="24"/>
          <w:szCs w:val="24"/>
          <w:lang w:val="en-US"/>
        </w:rPr>
        <w:t xml:space="preserve"> efficient, gearless wind-turbines. Electronics engineers, who </w:t>
      </w:r>
      <w:proofErr w:type="gramStart"/>
      <w:r>
        <w:rPr>
          <w:rFonts w:ascii="Times New Roman" w:hAnsi="Times New Roman"/>
          <w:sz w:val="24"/>
          <w:szCs w:val="24"/>
          <w:lang w:val="en-US"/>
        </w:rPr>
        <w:t>incorporates</w:t>
      </w:r>
      <w:proofErr w:type="gramEnd"/>
      <w:r>
        <w:rPr>
          <w:rFonts w:ascii="Times New Roman" w:hAnsi="Times New Roman"/>
          <w:sz w:val="24"/>
          <w:szCs w:val="24"/>
          <w:lang w:val="en-US"/>
        </w:rPr>
        <w:t xml:space="preserve"> REEs into smartphones, hard drives, displays and LED lighting modules to enable miniaturization, brightness and conductivity. Defense system specialists, who utilizes REEs in missile guidance, radar and aircraft systems for their electrical and magnetic advantages. Medical imaging experts, who </w:t>
      </w:r>
      <w:proofErr w:type="gramStart"/>
      <w:r>
        <w:rPr>
          <w:rFonts w:ascii="Times New Roman" w:hAnsi="Times New Roman"/>
          <w:sz w:val="24"/>
          <w:szCs w:val="24"/>
          <w:lang w:val="en-US"/>
        </w:rPr>
        <w:t>utilizes</w:t>
      </w:r>
      <w:proofErr w:type="gramEnd"/>
      <w:r>
        <w:rPr>
          <w:rFonts w:ascii="Times New Roman" w:hAnsi="Times New Roman"/>
          <w:sz w:val="24"/>
          <w:szCs w:val="24"/>
          <w:lang w:val="en-US"/>
        </w:rPr>
        <w:t xml:space="preserve"> REEs in MRI technology. Finally, supply chain </w:t>
      </w:r>
      <w:proofErr w:type="gramStart"/>
      <w:r>
        <w:rPr>
          <w:rFonts w:ascii="Times New Roman" w:hAnsi="Times New Roman"/>
          <w:sz w:val="24"/>
          <w:szCs w:val="24"/>
          <w:lang w:val="en-US"/>
        </w:rPr>
        <w:t>managers that</w:t>
      </w:r>
      <w:proofErr w:type="gramEnd"/>
      <w:r>
        <w:rPr>
          <w:rFonts w:ascii="Times New Roman" w:hAnsi="Times New Roman"/>
          <w:sz w:val="24"/>
          <w:szCs w:val="24"/>
          <w:lang w:val="en-US"/>
        </w:rPr>
        <w:t xml:space="preserve"> are active in the procurement or distribution of REE-based materials in the UK. These application areas comprise a complex web of professionals from fields supporting energy, technology, health and defense concepts worldwide (IMARC Group, 2024; WPI, 2023).</w:t>
      </w:r>
    </w:p>
    <w:p w14:paraId="13EA27EA"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2" w:name="_Toc232013527"/>
      <w:r>
        <w:rPr>
          <w:rFonts w:ascii="Times New Roman" w:eastAsia="Times New Roman" w:hAnsi="Times New Roman"/>
          <w:b/>
          <w:bCs/>
          <w:sz w:val="24"/>
          <w:szCs w:val="24"/>
          <w:lang w:val="en-US"/>
        </w:rPr>
        <w:t>3.7.3. Sampling Technique</w:t>
      </w:r>
      <w:bookmarkEnd w:id="32"/>
    </w:p>
    <w:p w14:paraId="1909FA6D" w14:textId="032E4A21"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In survey research, </w:t>
      </w:r>
      <w:r w:rsidR="00A32E45">
        <w:rPr>
          <w:rFonts w:ascii="Times New Roman" w:hAnsi="Times New Roman"/>
          <w:sz w:val="24"/>
          <w:szCs w:val="24"/>
          <w:lang w:val="en-US"/>
        </w:rPr>
        <w:t>going for</w:t>
      </w:r>
      <w:r>
        <w:rPr>
          <w:rFonts w:ascii="Times New Roman" w:hAnsi="Times New Roman"/>
          <w:sz w:val="24"/>
          <w:szCs w:val="24"/>
          <w:lang w:val="en-US"/>
        </w:rPr>
        <w:t xml:space="preserve"> the appropriate sampling method and determining the sample size are essential processes (Rahman et al., 2022). Sampling is the selection of participants for a research study from a broader community based on the study's specified criteria (Turner, 2020). Consequently, </w:t>
      </w:r>
      <w:r w:rsidR="008D3B67">
        <w:rPr>
          <w:rFonts w:ascii="Times New Roman" w:hAnsi="Times New Roman"/>
          <w:sz w:val="24"/>
          <w:szCs w:val="24"/>
          <w:lang w:val="en-US"/>
        </w:rPr>
        <w:t>retaining</w:t>
      </w:r>
      <w:r>
        <w:rPr>
          <w:rFonts w:ascii="Times New Roman" w:hAnsi="Times New Roman"/>
          <w:sz w:val="24"/>
          <w:szCs w:val="24"/>
          <w:lang w:val="en-US"/>
        </w:rPr>
        <w:t xml:space="preserve"> a comprehensive understanding of sampling strategies is </w:t>
      </w:r>
      <w:r w:rsidR="002835A6">
        <w:rPr>
          <w:rFonts w:ascii="Times New Roman" w:hAnsi="Times New Roman"/>
          <w:sz w:val="24"/>
          <w:szCs w:val="24"/>
          <w:lang w:val="en-US"/>
        </w:rPr>
        <w:t>needed</w:t>
      </w:r>
      <w:r>
        <w:rPr>
          <w:rFonts w:ascii="Times New Roman" w:hAnsi="Times New Roman"/>
          <w:sz w:val="24"/>
          <w:szCs w:val="24"/>
          <w:lang w:val="en-US"/>
        </w:rPr>
        <w:t xml:space="preserve"> for conducting high-quality research (Berndt, 2020; Gill, 2020). </w:t>
      </w:r>
      <w:r w:rsidR="002835A6">
        <w:rPr>
          <w:rFonts w:ascii="Times New Roman" w:hAnsi="Times New Roman"/>
          <w:sz w:val="24"/>
          <w:szCs w:val="24"/>
          <w:lang w:val="en-US"/>
        </w:rPr>
        <w:t>Foremost</w:t>
      </w:r>
      <w:r>
        <w:rPr>
          <w:rFonts w:ascii="Times New Roman" w:hAnsi="Times New Roman"/>
          <w:sz w:val="24"/>
          <w:szCs w:val="24"/>
          <w:lang w:val="en-US"/>
        </w:rPr>
        <w:t xml:space="preserve"> objective of sampling is to get a representative sample, comprising a finite number of instances or units chosen from a significantly larger population. A representative sample is referred to as a "sample of representative units." Consequently, the researcher can examine the smaller group and derive </w:t>
      </w:r>
      <w:r>
        <w:rPr>
          <w:rFonts w:ascii="Times New Roman" w:hAnsi="Times New Roman"/>
          <w:sz w:val="24"/>
          <w:szCs w:val="24"/>
          <w:lang w:val="en-US"/>
        </w:rPr>
        <w:lastRenderedPageBreak/>
        <w:t>valid conclusions about the larger population. The researchers typically concentrate their efforts on methodologies that yield samples that are highly comparable to each other. The two predominant sampling approaches are referred to as probability sampling and non-probability sampling (</w:t>
      </w:r>
      <w:proofErr w:type="spellStart"/>
      <w:r>
        <w:rPr>
          <w:rFonts w:ascii="Times New Roman" w:hAnsi="Times New Roman"/>
          <w:sz w:val="24"/>
          <w:szCs w:val="24"/>
          <w:lang w:val="en-US"/>
        </w:rPr>
        <w:t>Elfil</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Negida</w:t>
      </w:r>
      <w:proofErr w:type="spellEnd"/>
      <w:r>
        <w:rPr>
          <w:rFonts w:ascii="Times New Roman" w:hAnsi="Times New Roman"/>
          <w:sz w:val="24"/>
          <w:szCs w:val="24"/>
          <w:lang w:val="en-US"/>
        </w:rPr>
        <w:t xml:space="preserve">, 2017; Rahman et al., 2022). This study employed purposive sampling technique, a type of non-probability sampling, due to the respondents scarce, unusual, and peculiar characteristics. Participants are chosen based on their pertinent experience with REE, guaranteeing that the </w:t>
      </w:r>
      <w:proofErr w:type="gramStart"/>
      <w:r>
        <w:rPr>
          <w:rFonts w:ascii="Times New Roman" w:hAnsi="Times New Roman"/>
          <w:sz w:val="24"/>
          <w:szCs w:val="24"/>
          <w:lang w:val="en-US"/>
        </w:rPr>
        <w:t>obtained data</w:t>
      </w:r>
      <w:proofErr w:type="gramEnd"/>
      <w:r>
        <w:rPr>
          <w:rFonts w:ascii="Times New Roman" w:hAnsi="Times New Roman"/>
          <w:sz w:val="24"/>
          <w:szCs w:val="24"/>
          <w:lang w:val="en-US"/>
        </w:rPr>
        <w:t xml:space="preserve"> is contextually relevant and practically obtainable. Purposive or judgmental sampling is a sampling method employed by researchers to identify individuals possessing specific characteristics pertinent to the study. Participants in the study provided substantial information regarding the research question, notwithstanding the improbability that the sample accurately represents the entire population (Acharya et al., 2013). Purposive sampling is particularly effective in research contexts where there is a limited population of </w:t>
      </w:r>
      <w:r w:rsidR="00CE4B40">
        <w:rPr>
          <w:rFonts w:ascii="Times New Roman" w:hAnsi="Times New Roman"/>
          <w:sz w:val="24"/>
          <w:szCs w:val="24"/>
          <w:lang w:val="en-US"/>
        </w:rPr>
        <w:t>people</w:t>
      </w:r>
      <w:r>
        <w:rPr>
          <w:rFonts w:ascii="Times New Roman" w:hAnsi="Times New Roman"/>
          <w:sz w:val="24"/>
          <w:szCs w:val="24"/>
          <w:lang w:val="en-US"/>
        </w:rPr>
        <w:t xml:space="preserve"> possessing specific qualities anticipated by the researcher.</w:t>
      </w:r>
    </w:p>
    <w:p w14:paraId="2ED8E6D7"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3" w:name="_Toc232013528"/>
      <w:r>
        <w:rPr>
          <w:rFonts w:ascii="Times New Roman" w:eastAsia="Times New Roman" w:hAnsi="Times New Roman"/>
          <w:b/>
          <w:bCs/>
          <w:sz w:val="24"/>
          <w:szCs w:val="24"/>
          <w:lang w:val="en-US"/>
        </w:rPr>
        <w:t>3.7.4. Research Instrument Design</w:t>
      </w:r>
      <w:bookmarkEnd w:id="33"/>
    </w:p>
    <w:p w14:paraId="521C8545" w14:textId="474878B9"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research instrument for this study </w:t>
      </w:r>
      <w:proofErr w:type="gramStart"/>
      <w:r>
        <w:rPr>
          <w:rFonts w:ascii="Times New Roman" w:hAnsi="Times New Roman"/>
          <w:sz w:val="24"/>
          <w:szCs w:val="24"/>
          <w:lang w:val="en-US"/>
        </w:rPr>
        <w:t>a structured</w:t>
      </w:r>
      <w:proofErr w:type="gramEnd"/>
      <w:r>
        <w:rPr>
          <w:rFonts w:ascii="Times New Roman" w:hAnsi="Times New Roman"/>
          <w:sz w:val="24"/>
          <w:szCs w:val="24"/>
          <w:lang w:val="en-US"/>
        </w:rPr>
        <w:t xml:space="preserve"> questionnaire designed to examine the moderating role of directive and adaptive leadership styles in managing geopolitical supply risks for Rare Earth Elements (REEs) within UK supply chains. The instrument adopts a quantitative survey design to ensure standardization of responses, comparability across participants, and statistical testability of relationships between constructs (Saunders, Lewis &amp; Thornhill, 2019).</w:t>
      </w:r>
    </w:p>
    <w:p w14:paraId="2B3186A1" w14:textId="1D5FE96A"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questionnaire </w:t>
      </w:r>
      <w:r w:rsidR="00353431">
        <w:rPr>
          <w:rFonts w:ascii="Times New Roman" w:hAnsi="Times New Roman"/>
          <w:sz w:val="24"/>
          <w:szCs w:val="24"/>
          <w:lang w:val="en-US"/>
        </w:rPr>
        <w:t>was</w:t>
      </w:r>
      <w:r>
        <w:rPr>
          <w:rFonts w:ascii="Times New Roman" w:hAnsi="Times New Roman"/>
          <w:sz w:val="24"/>
          <w:szCs w:val="24"/>
          <w:lang w:val="en-US"/>
        </w:rPr>
        <w:t xml:space="preserve"> divided into nine sections. Section A captures respondent demographics, including role, industry sector, years of experience, organizational size, and managerial level. This ensures contextual interpretation of findings and supports segmentation analysis. Section B measures REE dependency using Likert-scale items assessing organizational reliance, substitutability challenges, and strategic importance of REEs. Sections C and D operationalize the key dependent and independent constructs. Section C assesses geopolitical supply risk exposure through indicators such as trade restrictions, export controls, political tensions, and supply concentration. Section D measures supply chain performance impacts, including cost escalation, production delays, delivery reliability, and operational efficiency. Section E evaluates supply chain resilience, focusing on recovery capability, contingency planning, supplier flexibility, and continuity during disruptions. Sections F and G measure the moderating variables: directive leadership style (e.g., centralized decision-making, strict compliance, rapid execution) and adaptive leadership style (e.g., flexibility, empowerment, </w:t>
      </w:r>
      <w:r>
        <w:rPr>
          <w:rFonts w:ascii="Times New Roman" w:hAnsi="Times New Roman"/>
          <w:sz w:val="24"/>
          <w:szCs w:val="24"/>
          <w:lang w:val="en-US"/>
        </w:rPr>
        <w:lastRenderedPageBreak/>
        <w:t>collaboration, and strategic adjustment). Finally, Section H assesses leadership effectiveness in risk mitigation, capturing perceptions of leadership influence on resilience and risk response speed.</w:t>
      </w:r>
    </w:p>
    <w:p w14:paraId="26068ACF" w14:textId="3661F316" w:rsidR="009120BA" w:rsidRDefault="00142B28"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 whole</w:t>
      </w:r>
      <w:r w:rsidR="009120BA">
        <w:rPr>
          <w:rFonts w:ascii="Times New Roman" w:hAnsi="Times New Roman"/>
          <w:sz w:val="24"/>
          <w:szCs w:val="24"/>
          <w:lang w:val="en-US"/>
        </w:rPr>
        <w:t xml:space="preserve"> constructs are measured using a five-point Likert scale ranging from 1 (Strongly Disagree) to 5 (Strongly Agree), enabling quantitative analysis using regression modelling and moderation analysis. The instrument draws on validated scales from prior supply chain and leadership studies to ensure content validity and reliability (Duchek, 2020; Ali et al., 2025). </w:t>
      </w:r>
      <w:r w:rsidR="00DD4766">
        <w:rPr>
          <w:rFonts w:ascii="Times New Roman" w:hAnsi="Times New Roman"/>
          <w:sz w:val="24"/>
          <w:szCs w:val="24"/>
          <w:lang w:val="en-US"/>
        </w:rPr>
        <w:t>P</w:t>
      </w:r>
      <w:r w:rsidR="009120BA">
        <w:rPr>
          <w:rFonts w:ascii="Times New Roman" w:hAnsi="Times New Roman"/>
          <w:sz w:val="24"/>
          <w:szCs w:val="24"/>
          <w:lang w:val="en-US"/>
        </w:rPr>
        <w:t xml:space="preserve">ilot test will be conducted to refine clarity, reduce ambiguity, </w:t>
      </w:r>
      <w:proofErr w:type="gramStart"/>
      <w:r w:rsidR="00826BA2">
        <w:rPr>
          <w:rFonts w:ascii="Times New Roman" w:hAnsi="Times New Roman"/>
          <w:sz w:val="24"/>
          <w:szCs w:val="24"/>
          <w:lang w:val="en-US"/>
        </w:rPr>
        <w:t>guaranteeing</w:t>
      </w:r>
      <w:proofErr w:type="gramEnd"/>
      <w:r w:rsidR="009120BA">
        <w:rPr>
          <w:rFonts w:ascii="Times New Roman" w:hAnsi="Times New Roman"/>
          <w:sz w:val="24"/>
          <w:szCs w:val="24"/>
          <w:lang w:val="en-US"/>
        </w:rPr>
        <w:t xml:space="preserve"> internal consistency </w:t>
      </w:r>
      <w:r w:rsidR="005E401D">
        <w:rPr>
          <w:rFonts w:ascii="Times New Roman" w:hAnsi="Times New Roman"/>
          <w:sz w:val="24"/>
          <w:szCs w:val="24"/>
          <w:lang w:val="en-US"/>
        </w:rPr>
        <w:t>Proceeds</w:t>
      </w:r>
      <w:r w:rsidR="00A2166E">
        <w:rPr>
          <w:rFonts w:ascii="Times New Roman" w:hAnsi="Times New Roman"/>
          <w:sz w:val="24"/>
          <w:szCs w:val="24"/>
          <w:lang w:val="en-US"/>
        </w:rPr>
        <w:t xml:space="preserve"> </w:t>
      </w:r>
      <w:r w:rsidR="009120BA">
        <w:rPr>
          <w:rFonts w:ascii="Times New Roman" w:hAnsi="Times New Roman"/>
          <w:sz w:val="24"/>
          <w:szCs w:val="24"/>
          <w:lang w:val="en-US"/>
        </w:rPr>
        <w:t>full deployment. Overall, the design ensures methodological rigor, construct validity, and suitability for empirical testing of leadership effects on REE supply chain resilience.</w:t>
      </w:r>
    </w:p>
    <w:p w14:paraId="6407E324"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4" w:name="_Toc232013529"/>
      <w:r>
        <w:rPr>
          <w:rFonts w:ascii="Times New Roman" w:eastAsia="Times New Roman" w:hAnsi="Times New Roman"/>
          <w:b/>
          <w:bCs/>
          <w:sz w:val="24"/>
          <w:szCs w:val="24"/>
          <w:lang w:val="en-US"/>
        </w:rPr>
        <w:t>3.8.  Data Analysis</w:t>
      </w:r>
      <w:bookmarkEnd w:id="34"/>
    </w:p>
    <w:p w14:paraId="1DA1C1E8" w14:textId="395B9B76"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Positivism depends on stringent data analysis methodologies to analyze quantitative data and extract significant inferences from empirical evidence. Central to this methodology are statistical analytic tools like SPSS and AMOS, which facilitate researchers in performing statistical tests, regression analyses, and structural equation modelling (SEM) to reveal links and patterns among variables (Field, 2018; Pallant, 2020). These techniques enable the development of hypotheses and theoretical frameworks through rigorous statistical validation. Furthermore, the Rasch model is essential in positivist research for evaluating categorical data and assessing latent traits in psychometric studies (Bond and Fox, 2013). This model guarantees the reliability and validity of measurements, providing a systematic framework for evaluating latent variable hierarchies and comparing individuals based on their latent trait scores. Alongside these fundamental tools, positivist researchers frequently employ software </w:t>
      </w:r>
      <w:proofErr w:type="gramStart"/>
      <w:r>
        <w:rPr>
          <w:rFonts w:ascii="Times New Roman" w:hAnsi="Times New Roman"/>
          <w:sz w:val="24"/>
          <w:szCs w:val="24"/>
          <w:lang w:val="en-US"/>
        </w:rPr>
        <w:t>like as</w:t>
      </w:r>
      <w:proofErr w:type="gramEnd"/>
      <w:r>
        <w:rPr>
          <w:rFonts w:ascii="Times New Roman" w:hAnsi="Times New Roman"/>
          <w:sz w:val="24"/>
          <w:szCs w:val="24"/>
          <w:lang w:val="en-US"/>
        </w:rPr>
        <w:t xml:space="preserve"> Stata for its robust statistical functionalities, R for its versatility and wide array of statistical techniques, and Excel for elementary statistical computations and data organization. </w:t>
      </w:r>
    </w:p>
    <w:p w14:paraId="6198B559"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For this study, data analysis will be conducted using SPSS and SAS 2.0, and where necessary, Hayes’ PROCESS Macro for mediation and moderation testing. For Objective 1, which examines the effect of geopolitical risk on organizational resilience, a simple linear regression will be applied to determine the strength and direction of the relationship between geopolitical supply risk (Section C) and organizational resilience (Section E) (Duchek, 2020).</w:t>
      </w:r>
    </w:p>
    <w:p w14:paraId="3A720FE4" w14:textId="4ED542A1"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For Objective 2, which assesses effect</w:t>
      </w:r>
      <w:r w:rsidR="00A2166E">
        <w:rPr>
          <w:rFonts w:ascii="Times New Roman" w:hAnsi="Times New Roman"/>
          <w:sz w:val="24"/>
          <w:szCs w:val="24"/>
          <w:lang w:val="en-US"/>
        </w:rPr>
        <w:t>s</w:t>
      </w:r>
      <w:r>
        <w:rPr>
          <w:rFonts w:ascii="Times New Roman" w:hAnsi="Times New Roman"/>
          <w:sz w:val="24"/>
          <w:szCs w:val="24"/>
          <w:lang w:val="en-US"/>
        </w:rPr>
        <w:t xml:space="preserve"> of geopolitical risk on supply chain performance, multiple regression analysis will be used </w:t>
      </w:r>
      <w:proofErr w:type="gramStart"/>
      <w:r w:rsidR="00BC3A0A">
        <w:rPr>
          <w:rFonts w:ascii="Times New Roman" w:hAnsi="Times New Roman"/>
          <w:sz w:val="24"/>
          <w:szCs w:val="24"/>
          <w:lang w:val="en-US"/>
        </w:rPr>
        <w:t>thru</w:t>
      </w:r>
      <w:proofErr w:type="gramEnd"/>
      <w:r>
        <w:rPr>
          <w:rFonts w:ascii="Times New Roman" w:hAnsi="Times New Roman"/>
          <w:sz w:val="24"/>
          <w:szCs w:val="24"/>
          <w:lang w:val="en-US"/>
        </w:rPr>
        <w:t xml:space="preserve"> supply chain performance indicators (Section D) as the dependent variable. Objective 3, investigates directive leadership’s influence on </w:t>
      </w:r>
      <w:r>
        <w:rPr>
          <w:rFonts w:ascii="Times New Roman" w:hAnsi="Times New Roman"/>
          <w:sz w:val="24"/>
          <w:szCs w:val="24"/>
          <w:lang w:val="en-US"/>
        </w:rPr>
        <w:lastRenderedPageBreak/>
        <w:t>organizational resilience, will also be tested using regression analysis focusing on Section F constructs (Ali et al., 2025).</w:t>
      </w:r>
    </w:p>
    <w:p w14:paraId="44D881A2" w14:textId="20697A01"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Objective 4 examines adaptive leadership style and organizational resilience using similar regression modelling. For Objective 5, </w:t>
      </w:r>
      <w:r w:rsidR="003A2CF8">
        <w:rPr>
          <w:rFonts w:ascii="Times New Roman" w:hAnsi="Times New Roman"/>
          <w:sz w:val="24"/>
          <w:szCs w:val="24"/>
          <w:lang w:val="en-US"/>
        </w:rPr>
        <w:t>consequence</w:t>
      </w:r>
      <w:r>
        <w:rPr>
          <w:rFonts w:ascii="Times New Roman" w:hAnsi="Times New Roman"/>
          <w:sz w:val="24"/>
          <w:szCs w:val="24"/>
          <w:lang w:val="en-US"/>
        </w:rPr>
        <w:t xml:space="preserve"> of organizational resilience on supply chain performance will be tested using simple regression analysis. Objective 6, which assesses the combined influence of geopolitical risk and leadership styles on resilience, will be analyzed using hierarchical multiple regression to capture interaction effects.</w:t>
      </w:r>
    </w:p>
    <w:p w14:paraId="40F1FB98" w14:textId="30C253D4"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Finally, Objective 7 will test mediation, where organizational resilience </w:t>
      </w:r>
      <w:r w:rsidR="003A2CF8">
        <w:rPr>
          <w:rFonts w:ascii="Times New Roman" w:hAnsi="Times New Roman"/>
          <w:sz w:val="24"/>
          <w:szCs w:val="24"/>
          <w:lang w:val="en-US"/>
        </w:rPr>
        <w:t>resolves</w:t>
      </w:r>
      <w:r>
        <w:rPr>
          <w:rFonts w:ascii="Times New Roman" w:hAnsi="Times New Roman"/>
          <w:sz w:val="24"/>
          <w:szCs w:val="24"/>
          <w:lang w:val="en-US"/>
        </w:rPr>
        <w:t xml:space="preserve"> the relationship between leadership styles and supply chain performance, using PROCESS Macro Model 4 (Hayes, 2018). Reliability will be confirmed using Cronbach’s alpha (&gt;0.70), and significance will be evaluated at p &lt; 0.05. This ensures robust, theory-driven statistical validation of all constructs.</w:t>
      </w:r>
    </w:p>
    <w:p w14:paraId="1E4DC499" w14:textId="77777777" w:rsidR="009120BA" w:rsidRDefault="009120BA" w:rsidP="009120BA">
      <w:pPr>
        <w:spacing w:after="0" w:line="360" w:lineRule="auto"/>
        <w:jc w:val="both"/>
        <w:rPr>
          <w:rFonts w:ascii="Times New Roman" w:hAnsi="Times New Roman"/>
          <w:sz w:val="24"/>
          <w:szCs w:val="24"/>
          <w:lang w:val="en-US"/>
        </w:rPr>
      </w:pPr>
    </w:p>
    <w:p w14:paraId="287BD4E9"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3.9 Ethical consideration</w:t>
      </w:r>
    </w:p>
    <w:p w14:paraId="31A3B262"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Ethical guidelines were adhered to </w:t>
      </w:r>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guarantee participant anonymity and data integrity. Participants granted informed consent, and data were anonymized to safeguard identities (Creswell and Plano Clark, 2018). Industry publications were accessible to the public, guaranteeing that no confidential information was used. The research received approval from an institutional review board, in accordance with ethical research norms (Ilangovan and Beswick, 2023).</w:t>
      </w:r>
    </w:p>
    <w:p w14:paraId="27D07C7D" w14:textId="77777777" w:rsidR="009120BA" w:rsidRDefault="009120BA" w:rsidP="009120BA">
      <w:pPr>
        <w:spacing w:after="0" w:line="360" w:lineRule="auto"/>
        <w:jc w:val="both"/>
        <w:rPr>
          <w:rFonts w:ascii="Times New Roman" w:hAnsi="Times New Roman"/>
          <w:sz w:val="24"/>
          <w:szCs w:val="24"/>
          <w:lang w:val="en-US"/>
        </w:rPr>
      </w:pPr>
    </w:p>
    <w:p w14:paraId="4C0D54F6" w14:textId="77777777" w:rsidR="009120BA" w:rsidRDefault="009120BA" w:rsidP="009120BA">
      <w:pPr>
        <w:spacing w:after="0" w:line="360" w:lineRule="auto"/>
        <w:jc w:val="both"/>
        <w:rPr>
          <w:rFonts w:ascii="Times New Roman" w:hAnsi="Times New Roman"/>
          <w:sz w:val="24"/>
          <w:szCs w:val="24"/>
          <w:lang w:val="en-US"/>
        </w:rPr>
      </w:pPr>
    </w:p>
    <w:p w14:paraId="173C2CC1" w14:textId="77777777" w:rsidR="009120BA" w:rsidRDefault="009120BA" w:rsidP="009120BA">
      <w:pPr>
        <w:spacing w:after="0" w:line="360" w:lineRule="auto"/>
        <w:jc w:val="both"/>
        <w:rPr>
          <w:rFonts w:ascii="Times New Roman" w:hAnsi="Times New Roman"/>
          <w:sz w:val="24"/>
          <w:szCs w:val="24"/>
          <w:lang w:val="en-US"/>
        </w:rPr>
      </w:pPr>
    </w:p>
    <w:p w14:paraId="299053BF" w14:textId="77777777" w:rsidR="009120BA" w:rsidRDefault="009120BA" w:rsidP="009120BA">
      <w:pPr>
        <w:spacing w:after="0" w:line="360" w:lineRule="auto"/>
        <w:jc w:val="both"/>
        <w:rPr>
          <w:rFonts w:ascii="Times New Roman" w:hAnsi="Times New Roman"/>
          <w:sz w:val="24"/>
          <w:szCs w:val="24"/>
          <w:lang w:val="en-US"/>
        </w:rPr>
      </w:pPr>
    </w:p>
    <w:p w14:paraId="3D7B2554" w14:textId="77777777" w:rsidR="009120BA" w:rsidRDefault="009120BA" w:rsidP="009120BA">
      <w:pPr>
        <w:spacing w:after="0" w:line="360" w:lineRule="auto"/>
        <w:jc w:val="both"/>
        <w:rPr>
          <w:rFonts w:ascii="Times New Roman" w:hAnsi="Times New Roman"/>
          <w:sz w:val="24"/>
          <w:szCs w:val="24"/>
          <w:lang w:val="en-US"/>
        </w:rPr>
      </w:pPr>
    </w:p>
    <w:p w14:paraId="05C268AE" w14:textId="77777777" w:rsidR="009120BA" w:rsidRDefault="009120BA" w:rsidP="009120BA">
      <w:pPr>
        <w:spacing w:after="0" w:line="360" w:lineRule="auto"/>
        <w:jc w:val="both"/>
        <w:rPr>
          <w:rFonts w:ascii="Times New Roman" w:hAnsi="Times New Roman"/>
          <w:sz w:val="24"/>
          <w:szCs w:val="24"/>
          <w:lang w:val="en-US"/>
        </w:rPr>
      </w:pPr>
    </w:p>
    <w:p w14:paraId="04449A5C" w14:textId="77777777" w:rsidR="009120BA" w:rsidRDefault="009120BA" w:rsidP="009120BA">
      <w:pPr>
        <w:spacing w:after="0" w:line="360" w:lineRule="auto"/>
        <w:jc w:val="both"/>
        <w:rPr>
          <w:rFonts w:ascii="Times New Roman" w:hAnsi="Times New Roman"/>
          <w:sz w:val="24"/>
          <w:szCs w:val="24"/>
          <w:lang w:val="en-US"/>
        </w:rPr>
      </w:pPr>
    </w:p>
    <w:p w14:paraId="56E271D2" w14:textId="77777777" w:rsidR="009120BA" w:rsidRDefault="009120BA" w:rsidP="009120BA">
      <w:pPr>
        <w:spacing w:after="0" w:line="360" w:lineRule="auto"/>
        <w:jc w:val="both"/>
        <w:rPr>
          <w:rFonts w:ascii="Times New Roman" w:hAnsi="Times New Roman"/>
          <w:sz w:val="24"/>
          <w:szCs w:val="24"/>
          <w:lang w:val="en-US"/>
        </w:rPr>
      </w:pPr>
    </w:p>
    <w:p w14:paraId="48355A2F" w14:textId="77777777" w:rsidR="009120BA" w:rsidRDefault="009120BA" w:rsidP="009120BA">
      <w:pPr>
        <w:keepNext/>
        <w:keepLines/>
        <w:spacing w:before="360" w:after="80" w:line="276" w:lineRule="auto"/>
        <w:jc w:val="center"/>
        <w:outlineLvl w:val="0"/>
        <w:rPr>
          <w:rFonts w:ascii="Times New Roman" w:eastAsia="Times New Roman" w:hAnsi="Times New Roman"/>
          <w:b/>
          <w:bCs/>
          <w:sz w:val="24"/>
          <w:szCs w:val="24"/>
          <w:lang w:val="en-US"/>
        </w:rPr>
      </w:pPr>
      <w:bookmarkStart w:id="35" w:name="_Toc232013530"/>
      <w:r>
        <w:rPr>
          <w:rFonts w:ascii="Times New Roman" w:eastAsia="Times New Roman" w:hAnsi="Times New Roman"/>
          <w:b/>
          <w:bCs/>
          <w:sz w:val="24"/>
          <w:szCs w:val="24"/>
          <w:lang w:val="en-US"/>
        </w:rPr>
        <w:lastRenderedPageBreak/>
        <w:t>CHAPTER FOUR</w:t>
      </w:r>
      <w:bookmarkEnd w:id="35"/>
    </w:p>
    <w:p w14:paraId="41D18F32" w14:textId="77777777" w:rsidR="009120BA" w:rsidRDefault="009120BA" w:rsidP="009120BA">
      <w:pPr>
        <w:keepNext/>
        <w:keepLines/>
        <w:spacing w:before="160" w:after="80" w:line="276" w:lineRule="auto"/>
        <w:jc w:val="center"/>
        <w:outlineLvl w:val="1"/>
        <w:rPr>
          <w:rFonts w:ascii="Times New Roman" w:eastAsia="Times New Roman" w:hAnsi="Times New Roman"/>
          <w:b/>
          <w:bCs/>
          <w:sz w:val="24"/>
          <w:szCs w:val="24"/>
          <w:lang w:val="en-US"/>
        </w:rPr>
      </w:pPr>
      <w:bookmarkStart w:id="36" w:name="_Toc232013531"/>
      <w:r>
        <w:rPr>
          <w:rFonts w:ascii="Times New Roman" w:eastAsia="Times New Roman" w:hAnsi="Times New Roman"/>
          <w:b/>
          <w:bCs/>
          <w:sz w:val="24"/>
          <w:szCs w:val="24"/>
          <w:lang w:val="en-US"/>
        </w:rPr>
        <w:t>RESULTS AND DISCUSSION</w:t>
      </w:r>
      <w:bookmarkEnd w:id="36"/>
    </w:p>
    <w:p w14:paraId="1F6F4E01"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7" w:name="_Toc232013532"/>
      <w:r>
        <w:rPr>
          <w:rFonts w:ascii="Times New Roman" w:eastAsia="Times New Roman" w:hAnsi="Times New Roman"/>
          <w:b/>
          <w:bCs/>
          <w:sz w:val="24"/>
          <w:szCs w:val="24"/>
          <w:lang w:val="en-US"/>
        </w:rPr>
        <w:t>4.0.  Introduction</w:t>
      </w:r>
      <w:bookmarkEnd w:id="37"/>
    </w:p>
    <w:p w14:paraId="0C1031DE" w14:textId="55C7E848"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This chapter provides an analysis of the field data gathered to address the research questions of this study. Of the one hundred twenty (120) questionnaires distributed, ninety (90) were returned, yielding a response rate of 75%. </w:t>
      </w:r>
      <w:proofErr w:type="gramStart"/>
      <w:r>
        <w:rPr>
          <w:rFonts w:ascii="Times New Roman" w:hAnsi="Times New Roman"/>
          <w:sz w:val="24"/>
          <w:szCs w:val="24"/>
          <w:lang w:val="en-US"/>
        </w:rPr>
        <w:t>Subsequent to</w:t>
      </w:r>
      <w:proofErr w:type="gramEnd"/>
      <w:r>
        <w:rPr>
          <w:rFonts w:ascii="Times New Roman" w:hAnsi="Times New Roman"/>
          <w:sz w:val="24"/>
          <w:szCs w:val="24"/>
          <w:lang w:val="en-US"/>
        </w:rPr>
        <w:t xml:space="preserve"> introductory section, the remainder of the chapter is organized as follows. Section 4.1 presents the demographic data of respondents. Section 4.2 presents reliability test outcomes, whereas section 4.3 addresses the analysis of preliminary data through descriptive statistics, correlation analysis, and normality assessment. Section 4.4 delineates the findings for Objective One, whereas Section 4.5 delineates the findings for Objective Two. Section 4.6 delineates the findings derived </w:t>
      </w:r>
      <w:r w:rsidR="00813FFA">
        <w:rPr>
          <w:rFonts w:ascii="Times New Roman" w:hAnsi="Times New Roman"/>
          <w:sz w:val="24"/>
          <w:szCs w:val="24"/>
          <w:lang w:val="en-US"/>
        </w:rPr>
        <w:t>after</w:t>
      </w:r>
      <w:r>
        <w:rPr>
          <w:rFonts w:ascii="Times New Roman" w:hAnsi="Times New Roman"/>
          <w:sz w:val="24"/>
          <w:szCs w:val="24"/>
          <w:lang w:val="en-US"/>
        </w:rPr>
        <w:t xml:space="preserve"> the mediation analysis pertaining to Objective Three. Sections 4.7 through 4.10 delineate the findings for Objectives Four, Five, and Six, respectively. Section 4.11 delineates the outcomes for Objective Seven, whereas Section 4.12 encapsulates the comprehensive findings derived from the data analysis.</w:t>
      </w:r>
    </w:p>
    <w:p w14:paraId="6455B949"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8" w:name="_Toc232013533"/>
      <w:r>
        <w:rPr>
          <w:rFonts w:ascii="Times New Roman" w:eastAsia="Times New Roman" w:hAnsi="Times New Roman"/>
          <w:b/>
          <w:bCs/>
          <w:sz w:val="24"/>
          <w:szCs w:val="24"/>
          <w:lang w:val="en-US"/>
        </w:rPr>
        <w:t>4.1 Demographic Data of Respondents</w:t>
      </w:r>
      <w:bookmarkEnd w:id="38"/>
    </w:p>
    <w:p w14:paraId="47B202BB" w14:textId="4EA6F6FB" w:rsidR="009120BA" w:rsidRDefault="00FA7056"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D</w:t>
      </w:r>
      <w:r w:rsidR="009120BA">
        <w:rPr>
          <w:rFonts w:ascii="Times New Roman" w:hAnsi="Times New Roman"/>
          <w:sz w:val="24"/>
          <w:szCs w:val="24"/>
          <w:lang w:val="en-US"/>
        </w:rPr>
        <w:t xml:space="preserve">etails of demographic characteristics of the respondents sampled for this study are shown in Fig 1-6.  </w:t>
      </w:r>
      <w:r w:rsidR="00DE019D">
        <w:rPr>
          <w:rFonts w:ascii="Times New Roman" w:hAnsi="Times New Roman"/>
          <w:sz w:val="24"/>
          <w:szCs w:val="24"/>
          <w:lang w:val="en-US"/>
        </w:rPr>
        <w:t>To</w:t>
      </w:r>
      <w:r w:rsidR="009120BA">
        <w:rPr>
          <w:rFonts w:ascii="Times New Roman" w:hAnsi="Times New Roman"/>
          <w:sz w:val="24"/>
          <w:szCs w:val="24"/>
          <w:lang w:val="en-US"/>
        </w:rPr>
        <w:t xml:space="preserve"> this study, role, industry sector, years of experience, size of organization, position and dependency on rare earth elements by respondents are considered.</w:t>
      </w:r>
    </w:p>
    <w:p w14:paraId="131F9847" w14:textId="77777777" w:rsidR="009120BA" w:rsidRDefault="009120BA" w:rsidP="009120BA">
      <w:pPr>
        <w:spacing w:after="0" w:line="360" w:lineRule="auto"/>
        <w:jc w:val="both"/>
        <w:rPr>
          <w:rFonts w:ascii="Times New Roman" w:hAnsi="Times New Roman"/>
          <w:sz w:val="24"/>
          <w:szCs w:val="24"/>
          <w:lang w:val="en-US"/>
        </w:rPr>
      </w:pPr>
    </w:p>
    <w:p w14:paraId="3E219530"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Fig 1. Role of respondent</w:t>
      </w:r>
    </w:p>
    <w:p w14:paraId="29653186" w14:textId="77777777" w:rsidR="009120BA" w:rsidRDefault="009120BA" w:rsidP="009120BA">
      <w:pPr>
        <w:spacing w:after="0" w:line="360" w:lineRule="auto"/>
        <w:jc w:val="both"/>
        <w:rPr>
          <w:rFonts w:ascii="Times New Roman" w:hAnsi="Times New Roman"/>
          <w:b/>
          <w:bCs/>
          <w:sz w:val="24"/>
          <w:szCs w:val="24"/>
          <w:lang w:val="en-US"/>
        </w:rPr>
      </w:pPr>
    </w:p>
    <w:p w14:paraId="2A29A86A"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5712D91C" wp14:editId="091FE8CF">
            <wp:extent cx="5731514" cy="1796411"/>
            <wp:effectExtent l="0" t="0" r="2536" b="0"/>
            <wp:docPr id="796098960" name="Picture 7" descr="A pie chart with numbers and a few word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rcRect/>
                    <a:stretch>
                      <a:fillRect/>
                    </a:stretch>
                  </pic:blipFill>
                  <pic:spPr>
                    <a:xfrm>
                      <a:off x="0" y="0"/>
                      <a:ext cx="5731514" cy="1796411"/>
                    </a:xfrm>
                    <a:prstGeom prst="rect">
                      <a:avLst/>
                    </a:prstGeom>
                    <a:noFill/>
                    <a:ln>
                      <a:noFill/>
                      <a:prstDash/>
                    </a:ln>
                  </pic:spPr>
                </pic:pic>
              </a:graphicData>
            </a:graphic>
          </wp:inline>
        </w:drawing>
      </w:r>
    </w:p>
    <w:p w14:paraId="1B2EAFF8"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Fig 1 shows the role of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in their various organizations. Majority (25 respondents) </w:t>
      </w:r>
      <w:proofErr w:type="gramStart"/>
      <w:r>
        <w:rPr>
          <w:rFonts w:ascii="Times New Roman" w:hAnsi="Times New Roman"/>
          <w:sz w:val="24"/>
          <w:szCs w:val="24"/>
          <w:lang w:val="en-US"/>
        </w:rPr>
        <w:t>corresponding</w:t>
      </w:r>
      <w:proofErr w:type="gramEnd"/>
      <w:r>
        <w:rPr>
          <w:rFonts w:ascii="Times New Roman" w:hAnsi="Times New Roman"/>
          <w:sz w:val="24"/>
          <w:szCs w:val="24"/>
          <w:lang w:val="en-US"/>
        </w:rPr>
        <w:t xml:space="preserve"> to 27.5% of the study participants work as logistics manager </w:t>
      </w:r>
      <w:proofErr w:type="gramStart"/>
      <w:r>
        <w:rPr>
          <w:rFonts w:ascii="Times New Roman" w:hAnsi="Times New Roman"/>
          <w:sz w:val="24"/>
          <w:szCs w:val="24"/>
          <w:lang w:val="en-US"/>
        </w:rPr>
        <w:t>and also</w:t>
      </w:r>
      <w:proofErr w:type="gramEnd"/>
      <w:r>
        <w:rPr>
          <w:rFonts w:ascii="Times New Roman" w:hAnsi="Times New Roman"/>
          <w:sz w:val="24"/>
          <w:szCs w:val="24"/>
          <w:lang w:val="en-US"/>
        </w:rPr>
        <w:t xml:space="preserve"> 27.5% of the study participant work as procurement managers. 15%, corresponding to 14 study participants work as risk evaluation managers.</w:t>
      </w:r>
    </w:p>
    <w:p w14:paraId="69217F2E" w14:textId="77777777" w:rsidR="009120BA" w:rsidRDefault="009120BA" w:rsidP="009120BA">
      <w:pPr>
        <w:spacing w:after="0" w:line="360" w:lineRule="auto"/>
        <w:jc w:val="both"/>
        <w:rPr>
          <w:rFonts w:ascii="Times New Roman" w:hAnsi="Times New Roman"/>
          <w:b/>
          <w:bCs/>
          <w:sz w:val="24"/>
          <w:szCs w:val="24"/>
          <w:lang w:val="en-US"/>
        </w:rPr>
      </w:pPr>
    </w:p>
    <w:p w14:paraId="4518E97E"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Fig 2.  Industry/sector</w:t>
      </w:r>
    </w:p>
    <w:p w14:paraId="67C2622F"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2832F450" wp14:editId="45D373DC">
            <wp:extent cx="5730243" cy="1767836"/>
            <wp:effectExtent l="0" t="0" r="3807" b="3814"/>
            <wp:docPr id="757668567" name="Picture 6" descr="A colorful pie chart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rcRect/>
                    <a:stretch>
                      <a:fillRect/>
                    </a:stretch>
                  </pic:blipFill>
                  <pic:spPr>
                    <a:xfrm>
                      <a:off x="0" y="0"/>
                      <a:ext cx="5730243" cy="1767836"/>
                    </a:xfrm>
                    <a:prstGeom prst="rect">
                      <a:avLst/>
                    </a:prstGeom>
                    <a:noFill/>
                    <a:ln>
                      <a:noFill/>
                      <a:prstDash/>
                    </a:ln>
                  </pic:spPr>
                </pic:pic>
              </a:graphicData>
            </a:graphic>
          </wp:inline>
        </w:drawing>
      </w:r>
    </w:p>
    <w:p w14:paraId="273D95FE" w14:textId="77777777" w:rsidR="009120BA" w:rsidRDefault="009120BA" w:rsidP="009120BA">
      <w:pPr>
        <w:spacing w:after="0" w:line="360" w:lineRule="auto"/>
        <w:jc w:val="both"/>
        <w:rPr>
          <w:rFonts w:ascii="Times New Roman" w:hAnsi="Times New Roman"/>
          <w:b/>
          <w:bCs/>
          <w:sz w:val="24"/>
          <w:szCs w:val="24"/>
          <w:lang w:val="en-US"/>
        </w:rPr>
      </w:pPr>
    </w:p>
    <w:p w14:paraId="00B000DA"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Fig 2 shows that 31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corresponding to 35% of the study participants work in the industrial manufacturing sector, while 20% of the study participant (18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work in the electronics/semi-conductor sector. 12.5% of the study participants (11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work in the renewable energy sector. A minor 10%, corresponding to 9 study participants work with Automotive/EV sector.</w:t>
      </w:r>
    </w:p>
    <w:p w14:paraId="7B1D5AEC" w14:textId="77777777" w:rsidR="009120BA" w:rsidRDefault="009120BA" w:rsidP="009120BA">
      <w:pPr>
        <w:spacing w:after="0" w:line="360" w:lineRule="auto"/>
        <w:jc w:val="both"/>
        <w:rPr>
          <w:rFonts w:ascii="Times New Roman" w:hAnsi="Times New Roman"/>
          <w:b/>
          <w:bCs/>
          <w:sz w:val="24"/>
          <w:szCs w:val="24"/>
          <w:lang w:val="en-US"/>
        </w:rPr>
      </w:pPr>
    </w:p>
    <w:p w14:paraId="303604A0"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Fig 3. Years of experience</w:t>
      </w:r>
    </w:p>
    <w:p w14:paraId="235C3AEE" w14:textId="77777777" w:rsidR="009120BA" w:rsidRDefault="009120BA" w:rsidP="009120BA">
      <w:pPr>
        <w:spacing w:after="0" w:line="360" w:lineRule="auto"/>
        <w:jc w:val="both"/>
        <w:rPr>
          <w:rFonts w:ascii="Times New Roman" w:hAnsi="Times New Roman"/>
          <w:b/>
          <w:bCs/>
          <w:sz w:val="24"/>
          <w:szCs w:val="24"/>
          <w:lang w:val="en-US"/>
        </w:rPr>
      </w:pPr>
    </w:p>
    <w:p w14:paraId="244D76E8"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5C108DBF" wp14:editId="021AB587">
            <wp:extent cx="5730243" cy="1706883"/>
            <wp:effectExtent l="0" t="0" r="3807" b="7617"/>
            <wp:docPr id="1443045503" name="Picture 5" descr="A colorful pie chart with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rcRect/>
                    <a:stretch>
                      <a:fillRect/>
                    </a:stretch>
                  </pic:blipFill>
                  <pic:spPr>
                    <a:xfrm>
                      <a:off x="0" y="0"/>
                      <a:ext cx="5730243" cy="1706883"/>
                    </a:xfrm>
                    <a:prstGeom prst="rect">
                      <a:avLst/>
                    </a:prstGeom>
                    <a:noFill/>
                    <a:ln>
                      <a:noFill/>
                      <a:prstDash/>
                    </a:ln>
                  </pic:spPr>
                </pic:pic>
              </a:graphicData>
            </a:graphic>
          </wp:inline>
        </w:drawing>
      </w:r>
    </w:p>
    <w:p w14:paraId="4AD76FD5" w14:textId="60797CCA"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Fig 3 shows the years of experience of participant. A major 45% of the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corresponding to 40 study </w:t>
      </w:r>
      <w:proofErr w:type="gramStart"/>
      <w:r>
        <w:rPr>
          <w:rFonts w:ascii="Times New Roman" w:hAnsi="Times New Roman"/>
          <w:sz w:val="24"/>
          <w:szCs w:val="24"/>
          <w:lang w:val="en-US"/>
        </w:rPr>
        <w:t>participants</w:t>
      </w:r>
      <w:proofErr w:type="gramEnd"/>
      <w:r>
        <w:rPr>
          <w:rFonts w:ascii="Times New Roman" w:hAnsi="Times New Roman"/>
          <w:sz w:val="24"/>
          <w:szCs w:val="24"/>
          <w:lang w:val="en-US"/>
        </w:rPr>
        <w:t xml:space="preserve"> have only between 1-5 years of experience in their various fields. Furthermore, 27.5% (25 respondents) have between 6-10 years of experience in their various </w:t>
      </w:r>
      <w:proofErr w:type="gramStart"/>
      <w:r>
        <w:rPr>
          <w:rFonts w:ascii="Times New Roman" w:hAnsi="Times New Roman"/>
          <w:sz w:val="24"/>
          <w:szCs w:val="24"/>
          <w:lang w:val="en-US"/>
        </w:rPr>
        <w:t>field</w:t>
      </w:r>
      <w:proofErr w:type="gramEnd"/>
      <w:r>
        <w:rPr>
          <w:rFonts w:ascii="Times New Roman" w:hAnsi="Times New Roman"/>
          <w:sz w:val="24"/>
          <w:szCs w:val="24"/>
          <w:lang w:val="en-US"/>
        </w:rPr>
        <w:t xml:space="preserve">. 12.5% of the study participants have between 11-15 years of experience in their various </w:t>
      </w:r>
      <w:proofErr w:type="gramStart"/>
      <w:r>
        <w:rPr>
          <w:rFonts w:ascii="Times New Roman" w:hAnsi="Times New Roman"/>
          <w:sz w:val="24"/>
          <w:szCs w:val="24"/>
          <w:lang w:val="en-US"/>
        </w:rPr>
        <w:t>organization</w:t>
      </w:r>
      <w:proofErr w:type="gramEnd"/>
      <w:r>
        <w:rPr>
          <w:rFonts w:ascii="Times New Roman" w:hAnsi="Times New Roman"/>
          <w:sz w:val="24"/>
          <w:szCs w:val="24"/>
          <w:lang w:val="en-US"/>
        </w:rPr>
        <w:t xml:space="preserve"> working with </w:t>
      </w:r>
      <w:proofErr w:type="gramStart"/>
      <w:r>
        <w:rPr>
          <w:rFonts w:ascii="Times New Roman" w:hAnsi="Times New Roman"/>
          <w:sz w:val="24"/>
          <w:szCs w:val="24"/>
          <w:lang w:val="en-US"/>
        </w:rPr>
        <w:t>Rare</w:t>
      </w:r>
      <w:proofErr w:type="gramEnd"/>
      <w:r>
        <w:rPr>
          <w:rFonts w:ascii="Times New Roman" w:hAnsi="Times New Roman"/>
          <w:sz w:val="24"/>
          <w:szCs w:val="24"/>
          <w:lang w:val="en-US"/>
        </w:rPr>
        <w:t xml:space="preserve"> earth elements. While 7.5% respondents have either </w:t>
      </w:r>
      <w:proofErr w:type="gramStart"/>
      <w:r w:rsidR="00B07A0F">
        <w:rPr>
          <w:rFonts w:ascii="Times New Roman" w:hAnsi="Times New Roman"/>
          <w:sz w:val="24"/>
          <w:szCs w:val="24"/>
          <w:lang w:val="en-US"/>
        </w:rPr>
        <w:t>over</w:t>
      </w:r>
      <w:r>
        <w:rPr>
          <w:rFonts w:ascii="Times New Roman" w:hAnsi="Times New Roman"/>
          <w:sz w:val="24"/>
          <w:szCs w:val="24"/>
          <w:lang w:val="en-US"/>
        </w:rPr>
        <w:t xml:space="preserve"> than</w:t>
      </w:r>
      <w:proofErr w:type="gramEnd"/>
      <w:r>
        <w:rPr>
          <w:rFonts w:ascii="Times New Roman" w:hAnsi="Times New Roman"/>
          <w:sz w:val="24"/>
          <w:szCs w:val="24"/>
          <w:lang w:val="en-US"/>
        </w:rPr>
        <w:t xml:space="preserve"> 15 years of experience working with rare earth elements or less than a year working experience working with REE.</w:t>
      </w:r>
    </w:p>
    <w:p w14:paraId="45EA1825" w14:textId="77777777" w:rsidR="009120BA" w:rsidRDefault="009120BA" w:rsidP="009120BA">
      <w:pPr>
        <w:spacing w:after="0" w:line="360" w:lineRule="auto"/>
        <w:jc w:val="both"/>
        <w:rPr>
          <w:rFonts w:ascii="Times New Roman" w:hAnsi="Times New Roman"/>
          <w:sz w:val="24"/>
          <w:szCs w:val="24"/>
          <w:lang w:val="en-US"/>
        </w:rPr>
      </w:pPr>
    </w:p>
    <w:p w14:paraId="40AD0E25" w14:textId="77777777" w:rsidR="009120BA" w:rsidRDefault="009120BA" w:rsidP="009120BA">
      <w:pPr>
        <w:spacing w:after="0" w:line="360" w:lineRule="auto"/>
        <w:jc w:val="both"/>
        <w:rPr>
          <w:rFonts w:ascii="Times New Roman" w:hAnsi="Times New Roman"/>
          <w:b/>
          <w:bCs/>
          <w:sz w:val="24"/>
          <w:szCs w:val="24"/>
          <w:lang w:val="en-US"/>
        </w:rPr>
      </w:pPr>
    </w:p>
    <w:p w14:paraId="4A047EF4"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lastRenderedPageBreak/>
        <w:t>Fig 4. Size of organization</w:t>
      </w:r>
    </w:p>
    <w:p w14:paraId="2987247E"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55B2A70D" wp14:editId="41BF819B">
            <wp:extent cx="5731514" cy="1910711"/>
            <wp:effectExtent l="0" t="0" r="2536" b="0"/>
            <wp:docPr id="160404004" name="Picture 4" descr="A pie chart with numbers and a few percentag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rcRect/>
                    <a:stretch>
                      <a:fillRect/>
                    </a:stretch>
                  </pic:blipFill>
                  <pic:spPr>
                    <a:xfrm>
                      <a:off x="0" y="0"/>
                      <a:ext cx="5731514" cy="1910711"/>
                    </a:xfrm>
                    <a:prstGeom prst="rect">
                      <a:avLst/>
                    </a:prstGeom>
                    <a:noFill/>
                    <a:ln>
                      <a:noFill/>
                      <a:prstDash/>
                    </a:ln>
                  </pic:spPr>
                </pic:pic>
              </a:graphicData>
            </a:graphic>
          </wp:inline>
        </w:drawing>
      </w:r>
    </w:p>
    <w:p w14:paraId="408FC50C"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Fig 4 shows the size of organization where respondent is working or has worked. Majority of the participants (41%), corresponding to 37 </w:t>
      </w:r>
      <w:proofErr w:type="gramStart"/>
      <w:r>
        <w:rPr>
          <w:rFonts w:ascii="Times New Roman" w:hAnsi="Times New Roman"/>
          <w:sz w:val="24"/>
          <w:szCs w:val="24"/>
          <w:lang w:val="en-US"/>
        </w:rPr>
        <w:t>respondents</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works</w:t>
      </w:r>
      <w:proofErr w:type="gramEnd"/>
      <w:r>
        <w:rPr>
          <w:rFonts w:ascii="Times New Roman" w:hAnsi="Times New Roman"/>
          <w:sz w:val="24"/>
          <w:szCs w:val="24"/>
          <w:lang w:val="en-US"/>
        </w:rPr>
        <w:t xml:space="preserve"> with a </w:t>
      </w:r>
      <w:proofErr w:type="gramStart"/>
      <w:r>
        <w:rPr>
          <w:rFonts w:ascii="Times New Roman" w:hAnsi="Times New Roman"/>
          <w:sz w:val="24"/>
          <w:szCs w:val="24"/>
          <w:lang w:val="en-US"/>
        </w:rPr>
        <w:t>medium size</w:t>
      </w:r>
      <w:proofErr w:type="gramEnd"/>
      <w:r>
        <w:rPr>
          <w:rFonts w:ascii="Times New Roman" w:hAnsi="Times New Roman"/>
          <w:sz w:val="24"/>
          <w:szCs w:val="24"/>
          <w:lang w:val="en-US"/>
        </w:rPr>
        <w:t xml:space="preserve"> organization. 33.3% of the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work with large/multinational corporations, while 25.6% of the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corresponding to 23 study </w:t>
      </w:r>
      <w:proofErr w:type="gramStart"/>
      <w:r>
        <w:rPr>
          <w:rFonts w:ascii="Times New Roman" w:hAnsi="Times New Roman"/>
          <w:sz w:val="24"/>
          <w:szCs w:val="24"/>
          <w:lang w:val="en-US"/>
        </w:rPr>
        <w:t>participants</w:t>
      </w:r>
      <w:proofErr w:type="gramEnd"/>
      <w:r>
        <w:rPr>
          <w:rFonts w:ascii="Times New Roman" w:hAnsi="Times New Roman"/>
          <w:sz w:val="24"/>
          <w:szCs w:val="24"/>
          <w:lang w:val="en-US"/>
        </w:rPr>
        <w:t xml:space="preserve"> work with small organizations.</w:t>
      </w:r>
    </w:p>
    <w:p w14:paraId="66873DF1" w14:textId="77777777" w:rsidR="009120BA" w:rsidRDefault="009120BA" w:rsidP="009120BA">
      <w:pPr>
        <w:spacing w:after="0" w:line="360" w:lineRule="auto"/>
        <w:jc w:val="both"/>
        <w:rPr>
          <w:rFonts w:ascii="Times New Roman" w:hAnsi="Times New Roman"/>
          <w:b/>
          <w:bCs/>
          <w:sz w:val="24"/>
          <w:szCs w:val="24"/>
          <w:lang w:val="en-US"/>
        </w:rPr>
      </w:pPr>
    </w:p>
    <w:p w14:paraId="6D60258F"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 xml:space="preserve">Fig 5. Position in the </w:t>
      </w:r>
      <w:proofErr w:type="spellStart"/>
      <w:r>
        <w:rPr>
          <w:rFonts w:ascii="Times New Roman" w:hAnsi="Times New Roman"/>
          <w:b/>
          <w:bCs/>
          <w:sz w:val="24"/>
          <w:szCs w:val="24"/>
          <w:lang w:val="en-US"/>
        </w:rPr>
        <w:t>organisation</w:t>
      </w:r>
      <w:proofErr w:type="spellEnd"/>
    </w:p>
    <w:p w14:paraId="1C8DC514" w14:textId="77777777" w:rsidR="009120BA" w:rsidRDefault="009120BA" w:rsidP="009120BA">
      <w:pPr>
        <w:spacing w:after="0" w:line="360" w:lineRule="auto"/>
        <w:jc w:val="both"/>
        <w:rPr>
          <w:rFonts w:ascii="Times New Roman" w:hAnsi="Times New Roman"/>
          <w:b/>
          <w:bCs/>
          <w:sz w:val="24"/>
          <w:szCs w:val="24"/>
          <w:lang w:val="en-US"/>
        </w:rPr>
      </w:pPr>
    </w:p>
    <w:p w14:paraId="05CE59ED"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6ADBE6A8" wp14:editId="112CA296">
            <wp:extent cx="5730243" cy="1836416"/>
            <wp:effectExtent l="0" t="0" r="3807" b="0"/>
            <wp:docPr id="205555963" name="Picture 3" descr="A pie chart with numbers and a few different colored circl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rcRect/>
                    <a:stretch>
                      <a:fillRect/>
                    </a:stretch>
                  </pic:blipFill>
                  <pic:spPr>
                    <a:xfrm>
                      <a:off x="0" y="0"/>
                      <a:ext cx="5730243" cy="1836416"/>
                    </a:xfrm>
                    <a:prstGeom prst="rect">
                      <a:avLst/>
                    </a:prstGeom>
                    <a:noFill/>
                    <a:ln>
                      <a:noFill/>
                      <a:prstDash/>
                    </a:ln>
                  </pic:spPr>
                </pic:pic>
              </a:graphicData>
            </a:graphic>
          </wp:inline>
        </w:drawing>
      </w:r>
    </w:p>
    <w:p w14:paraId="585C7B6A"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Fig 5 shows the position of study participants in their various organizations. Majority of the participants (36 respondents), corresponding to 40% of the study participants/professionals are middle management </w:t>
      </w:r>
      <w:proofErr w:type="gramStart"/>
      <w:r>
        <w:rPr>
          <w:rFonts w:ascii="Times New Roman" w:hAnsi="Times New Roman"/>
          <w:sz w:val="24"/>
          <w:szCs w:val="24"/>
          <w:lang w:val="en-US"/>
        </w:rPr>
        <w:t>staffs</w:t>
      </w:r>
      <w:proofErr w:type="gramEnd"/>
      <w:r>
        <w:rPr>
          <w:rFonts w:ascii="Times New Roman" w:hAnsi="Times New Roman"/>
          <w:sz w:val="24"/>
          <w:szCs w:val="24"/>
          <w:lang w:val="en-US"/>
        </w:rPr>
        <w:t xml:space="preserve">. This implies that most of the respondents are managers, supervisors, head of operations etc. 17.5% of the respondents, corresponding to 17 </w:t>
      </w:r>
      <w:proofErr w:type="gramStart"/>
      <w:r>
        <w:rPr>
          <w:rFonts w:ascii="Times New Roman" w:hAnsi="Times New Roman"/>
          <w:sz w:val="24"/>
          <w:szCs w:val="24"/>
          <w:lang w:val="en-US"/>
        </w:rPr>
        <w:t>respondents</w:t>
      </w:r>
      <w:proofErr w:type="gramEnd"/>
      <w:r>
        <w:rPr>
          <w:rFonts w:ascii="Times New Roman" w:hAnsi="Times New Roman"/>
          <w:sz w:val="24"/>
          <w:szCs w:val="24"/>
          <w:lang w:val="en-US"/>
        </w:rPr>
        <w:t xml:space="preserve"> are executive </w:t>
      </w:r>
      <w:proofErr w:type="gramStart"/>
      <w:r>
        <w:rPr>
          <w:rFonts w:ascii="Times New Roman" w:hAnsi="Times New Roman"/>
          <w:sz w:val="24"/>
          <w:szCs w:val="24"/>
          <w:lang w:val="en-US"/>
        </w:rPr>
        <w:t>staffs</w:t>
      </w:r>
      <w:proofErr w:type="gram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e,g</w:t>
      </w:r>
      <w:proofErr w:type="spellEnd"/>
      <w:proofErr w:type="gramEnd"/>
      <w:r>
        <w:rPr>
          <w:rFonts w:ascii="Times New Roman" w:hAnsi="Times New Roman"/>
          <w:sz w:val="24"/>
          <w:szCs w:val="24"/>
          <w:lang w:val="en-US"/>
        </w:rPr>
        <w:t xml:space="preserve"> Directors, CEOs </w:t>
      </w:r>
      <w:proofErr w:type="spellStart"/>
      <w:r>
        <w:rPr>
          <w:rFonts w:ascii="Times New Roman" w:hAnsi="Times New Roman"/>
          <w:sz w:val="24"/>
          <w:szCs w:val="24"/>
          <w:lang w:val="en-US"/>
        </w:rPr>
        <w:t>etc</w:t>
      </w:r>
      <w:proofErr w:type="spellEnd"/>
      <w:r>
        <w:rPr>
          <w:rFonts w:ascii="Times New Roman" w:hAnsi="Times New Roman"/>
          <w:sz w:val="24"/>
          <w:szCs w:val="24"/>
          <w:lang w:val="en-US"/>
        </w:rPr>
        <w:t xml:space="preserve">). 18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which corresponds to 20% of the study participants/professionals are junior </w:t>
      </w:r>
      <w:proofErr w:type="gramStart"/>
      <w:r>
        <w:rPr>
          <w:rFonts w:ascii="Times New Roman" w:hAnsi="Times New Roman"/>
          <w:sz w:val="24"/>
          <w:szCs w:val="24"/>
          <w:lang w:val="en-US"/>
        </w:rPr>
        <w:t>staffs</w:t>
      </w:r>
      <w:proofErr w:type="gramEnd"/>
      <w:r>
        <w:rPr>
          <w:rFonts w:ascii="Times New Roman" w:hAnsi="Times New Roman"/>
          <w:sz w:val="24"/>
          <w:szCs w:val="24"/>
          <w:lang w:val="en-US"/>
        </w:rPr>
        <w:t>.</w:t>
      </w:r>
    </w:p>
    <w:p w14:paraId="60BEA892" w14:textId="77777777" w:rsidR="009120BA" w:rsidRDefault="009120BA" w:rsidP="009120BA">
      <w:pPr>
        <w:spacing w:after="0" w:line="360" w:lineRule="auto"/>
        <w:jc w:val="both"/>
        <w:rPr>
          <w:rFonts w:ascii="Times New Roman" w:hAnsi="Times New Roman"/>
          <w:sz w:val="24"/>
          <w:szCs w:val="24"/>
          <w:lang w:val="en-US"/>
        </w:rPr>
      </w:pPr>
    </w:p>
    <w:p w14:paraId="2F52B5B4" w14:textId="77777777" w:rsidR="009120BA" w:rsidRDefault="009120BA" w:rsidP="009120BA">
      <w:pPr>
        <w:spacing w:after="0" w:line="360" w:lineRule="auto"/>
        <w:jc w:val="both"/>
        <w:rPr>
          <w:rFonts w:ascii="Times New Roman" w:hAnsi="Times New Roman"/>
          <w:sz w:val="24"/>
          <w:szCs w:val="24"/>
          <w:lang w:val="en-US"/>
        </w:rPr>
      </w:pPr>
    </w:p>
    <w:p w14:paraId="2226077D" w14:textId="77777777" w:rsidR="009120BA" w:rsidRDefault="009120BA" w:rsidP="009120BA">
      <w:pPr>
        <w:spacing w:after="0" w:line="360" w:lineRule="auto"/>
        <w:jc w:val="both"/>
        <w:rPr>
          <w:rFonts w:ascii="Times New Roman" w:hAnsi="Times New Roman"/>
          <w:sz w:val="24"/>
          <w:szCs w:val="24"/>
          <w:lang w:val="en-US"/>
        </w:rPr>
      </w:pPr>
    </w:p>
    <w:p w14:paraId="6EF772B0" w14:textId="77777777" w:rsidR="009120BA" w:rsidRDefault="009120BA" w:rsidP="009120BA">
      <w:pPr>
        <w:spacing w:after="0" w:line="360" w:lineRule="auto"/>
        <w:jc w:val="both"/>
        <w:rPr>
          <w:rFonts w:ascii="Times New Roman" w:hAnsi="Times New Roman"/>
          <w:sz w:val="24"/>
          <w:szCs w:val="24"/>
          <w:lang w:val="en-US"/>
        </w:rPr>
      </w:pPr>
    </w:p>
    <w:p w14:paraId="25F7BA55" w14:textId="77777777" w:rsidR="009120BA" w:rsidRDefault="009120BA" w:rsidP="009120BA">
      <w:pPr>
        <w:spacing w:after="0" w:line="360" w:lineRule="auto"/>
        <w:jc w:val="both"/>
        <w:rPr>
          <w:rFonts w:ascii="Times New Roman" w:hAnsi="Times New Roman"/>
          <w:sz w:val="24"/>
          <w:szCs w:val="24"/>
          <w:lang w:val="en-US"/>
        </w:rPr>
      </w:pPr>
    </w:p>
    <w:p w14:paraId="2BB4140A"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lastRenderedPageBreak/>
        <w:t>Fig 6. Dependency on rare earth elements</w:t>
      </w:r>
    </w:p>
    <w:p w14:paraId="36719036" w14:textId="77777777" w:rsidR="009120BA" w:rsidRDefault="009120BA" w:rsidP="009120BA">
      <w:pPr>
        <w:spacing w:after="0" w:line="360" w:lineRule="auto"/>
        <w:jc w:val="both"/>
        <w:rPr>
          <w:rFonts w:ascii="Times New Roman" w:hAnsi="Times New Roman"/>
          <w:b/>
          <w:bCs/>
          <w:sz w:val="24"/>
          <w:szCs w:val="24"/>
          <w:lang w:val="en-US"/>
        </w:rPr>
      </w:pPr>
    </w:p>
    <w:p w14:paraId="3DB63385" w14:textId="77777777" w:rsidR="009120BA" w:rsidRDefault="009120BA" w:rsidP="009120BA">
      <w:pPr>
        <w:spacing w:after="0" w:line="360" w:lineRule="auto"/>
        <w:jc w:val="both"/>
        <w:rPr>
          <w:rFonts w:ascii="Times New Roman" w:hAnsi="Times New Roman"/>
          <w:b/>
          <w:bCs/>
          <w:sz w:val="24"/>
          <w:szCs w:val="24"/>
          <w:lang w:val="en-US"/>
        </w:rPr>
      </w:pPr>
    </w:p>
    <w:p w14:paraId="11E34F3C" w14:textId="77777777" w:rsidR="009120BA" w:rsidRDefault="009120BA" w:rsidP="009120BA">
      <w:pPr>
        <w:spacing w:after="0" w:line="360" w:lineRule="auto"/>
        <w:jc w:val="both"/>
      </w:pPr>
      <w:r>
        <w:rPr>
          <w:rFonts w:ascii="Times New Roman" w:hAnsi="Times New Roman"/>
          <w:noProof/>
          <w:sz w:val="24"/>
          <w:szCs w:val="24"/>
          <w:lang w:val="en-US"/>
        </w:rPr>
        <w:drawing>
          <wp:inline distT="0" distB="0" distL="0" distR="0" wp14:anchorId="7866092A" wp14:editId="7D7A84B1">
            <wp:extent cx="5730243" cy="2057400"/>
            <wp:effectExtent l="0" t="0" r="3807" b="0"/>
            <wp:docPr id="18933316" name="Picture 2" descr="A pie chart with numbers and a few percentag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rcRect/>
                    <a:stretch>
                      <a:fillRect/>
                    </a:stretch>
                  </pic:blipFill>
                  <pic:spPr>
                    <a:xfrm>
                      <a:off x="0" y="0"/>
                      <a:ext cx="5730243" cy="2057400"/>
                    </a:xfrm>
                    <a:prstGeom prst="rect">
                      <a:avLst/>
                    </a:prstGeom>
                    <a:noFill/>
                    <a:ln>
                      <a:noFill/>
                      <a:prstDash/>
                    </a:ln>
                  </pic:spPr>
                </pic:pic>
              </a:graphicData>
            </a:graphic>
          </wp:inline>
        </w:drawing>
      </w:r>
    </w:p>
    <w:p w14:paraId="58636313"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Fig 6 shows the dependency on rare earth elements by different organizations. Majority of the respondents (62.5%) </w:t>
      </w:r>
      <w:proofErr w:type="gramStart"/>
      <w:r>
        <w:rPr>
          <w:rFonts w:ascii="Times New Roman" w:hAnsi="Times New Roman"/>
          <w:sz w:val="24"/>
          <w:szCs w:val="24"/>
          <w:lang w:val="en-US"/>
        </w:rPr>
        <w:t>corresponding</w:t>
      </w:r>
      <w:proofErr w:type="gramEnd"/>
      <w:r>
        <w:rPr>
          <w:rFonts w:ascii="Times New Roman" w:hAnsi="Times New Roman"/>
          <w:sz w:val="24"/>
          <w:szCs w:val="24"/>
          <w:lang w:val="en-US"/>
        </w:rPr>
        <w:t xml:space="preserve"> to 56 study participants/professionals work in organizations that </w:t>
      </w:r>
      <w:proofErr w:type="gramStart"/>
      <w:r>
        <w:rPr>
          <w:rFonts w:ascii="Times New Roman" w:hAnsi="Times New Roman"/>
          <w:sz w:val="24"/>
          <w:szCs w:val="24"/>
          <w:lang w:val="en-US"/>
        </w:rPr>
        <w:t>depends</w:t>
      </w:r>
      <w:proofErr w:type="gramEnd"/>
      <w:r>
        <w:rPr>
          <w:rFonts w:ascii="Times New Roman" w:hAnsi="Times New Roman"/>
          <w:sz w:val="24"/>
          <w:szCs w:val="24"/>
          <w:lang w:val="en-US"/>
        </w:rPr>
        <w:t xml:space="preserve"> on rare earth elements. 20% of the respondents are unsure if their organization depends on REE for their various </w:t>
      </w:r>
      <w:proofErr w:type="gramStart"/>
      <w:r>
        <w:rPr>
          <w:rFonts w:ascii="Times New Roman" w:hAnsi="Times New Roman"/>
          <w:sz w:val="24"/>
          <w:szCs w:val="24"/>
          <w:lang w:val="en-US"/>
        </w:rPr>
        <w:t>operation</w:t>
      </w:r>
      <w:proofErr w:type="gramEnd"/>
      <w:r>
        <w:rPr>
          <w:rFonts w:ascii="Times New Roman" w:hAnsi="Times New Roman"/>
          <w:sz w:val="24"/>
          <w:szCs w:val="24"/>
          <w:lang w:val="en-US"/>
        </w:rPr>
        <w:t xml:space="preserve">. 17.5% of the </w:t>
      </w:r>
      <w:proofErr w:type="gramStart"/>
      <w:r>
        <w:rPr>
          <w:rFonts w:ascii="Times New Roman" w:hAnsi="Times New Roman"/>
          <w:sz w:val="24"/>
          <w:szCs w:val="24"/>
          <w:lang w:val="en-US"/>
        </w:rPr>
        <w:t>respondent</w:t>
      </w:r>
      <w:proofErr w:type="gramEnd"/>
      <w:r>
        <w:rPr>
          <w:rFonts w:ascii="Times New Roman" w:hAnsi="Times New Roman"/>
          <w:sz w:val="24"/>
          <w:szCs w:val="24"/>
          <w:lang w:val="en-US"/>
        </w:rPr>
        <w:t xml:space="preserve"> stated that their organization does not depend on REE for any operations.</w:t>
      </w:r>
    </w:p>
    <w:p w14:paraId="77DCA52B"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39" w:name="_Toc232013534"/>
      <w:r>
        <w:rPr>
          <w:rFonts w:ascii="Times New Roman" w:eastAsia="Times New Roman" w:hAnsi="Times New Roman"/>
          <w:b/>
          <w:bCs/>
          <w:sz w:val="24"/>
          <w:szCs w:val="24"/>
          <w:lang w:val="en-US"/>
        </w:rPr>
        <w:t>4.2 Reliability Test Results</w:t>
      </w:r>
      <w:bookmarkEnd w:id="39"/>
    </w:p>
    <w:p w14:paraId="66B95795" w14:textId="41244F63"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Cronbach's alpha was utilized to confirm the measures' internal consistency </w:t>
      </w:r>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assess their reliability. Alpha values ranging from.769 to.841 are displayed in Table 1. Since </w:t>
      </w:r>
      <w:proofErr w:type="gramStart"/>
      <w:r>
        <w:rPr>
          <w:rFonts w:ascii="Times New Roman" w:hAnsi="Times New Roman"/>
          <w:sz w:val="24"/>
          <w:szCs w:val="24"/>
          <w:lang w:val="en-US"/>
        </w:rPr>
        <w:t>all of</w:t>
      </w:r>
      <w:proofErr w:type="gramEnd"/>
      <w:r>
        <w:rPr>
          <w:rFonts w:ascii="Times New Roman" w:hAnsi="Times New Roman"/>
          <w:sz w:val="24"/>
          <w:szCs w:val="24"/>
          <w:lang w:val="en-US"/>
        </w:rPr>
        <w:t xml:space="preserve"> the items for the five constructs were significantly higher than the suggested threshold of.70, it can be inferred that they all passed the initial reliability test.</w:t>
      </w:r>
    </w:p>
    <w:p w14:paraId="6F61DDCC" w14:textId="77777777" w:rsidR="009120BA" w:rsidRDefault="009120BA" w:rsidP="009120BA">
      <w:pPr>
        <w:spacing w:after="0" w:line="360" w:lineRule="auto"/>
        <w:jc w:val="both"/>
        <w:rPr>
          <w:rFonts w:ascii="Times New Roman" w:hAnsi="Times New Roman"/>
          <w:sz w:val="24"/>
          <w:szCs w:val="24"/>
          <w:lang w:val="en-US"/>
        </w:rPr>
      </w:pPr>
    </w:p>
    <w:p w14:paraId="1886BFD1"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Table 1: Reliability Test Results</w:t>
      </w:r>
    </w:p>
    <w:tbl>
      <w:tblPr>
        <w:tblW w:w="7886" w:type="dxa"/>
        <w:tblCellMar>
          <w:left w:w="10" w:type="dxa"/>
          <w:right w:w="10" w:type="dxa"/>
        </w:tblCellMar>
        <w:tblLook w:val="04A0" w:firstRow="1" w:lastRow="0" w:firstColumn="1" w:lastColumn="0" w:noHBand="0" w:noVBand="1"/>
      </w:tblPr>
      <w:tblGrid>
        <w:gridCol w:w="4451"/>
        <w:gridCol w:w="1958"/>
        <w:gridCol w:w="1477"/>
      </w:tblGrid>
      <w:tr w:rsidR="009120BA" w14:paraId="7A15CA96"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96D33"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Construct</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F00D0"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Number of Items</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F09BF"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Alpha Value</w:t>
            </w:r>
          </w:p>
        </w:tc>
      </w:tr>
      <w:tr w:rsidR="009120BA" w14:paraId="13CF2BD4"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9D36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Rare Earth Element Dependency</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FFA7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7D40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.792</w:t>
            </w:r>
          </w:p>
        </w:tc>
      </w:tr>
      <w:tr w:rsidR="009120BA" w14:paraId="655733B2"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1187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Geopolitical Supply Risk Exposure</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46CC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D656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.841</w:t>
            </w:r>
          </w:p>
        </w:tc>
      </w:tr>
      <w:tr w:rsidR="009120BA" w14:paraId="3F22C4BE"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71E5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Supply Chain Performance Impact</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4A27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8758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.815</w:t>
            </w:r>
          </w:p>
        </w:tc>
      </w:tr>
      <w:tr w:rsidR="009120BA" w14:paraId="32D613B0"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2860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Supply Chain Resilience</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CFF6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E0C9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.834</w:t>
            </w:r>
          </w:p>
        </w:tc>
      </w:tr>
      <w:tr w:rsidR="009120BA" w14:paraId="5B67FEE3"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E131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Directive Leadership Style</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E52A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4FA6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.769</w:t>
            </w:r>
          </w:p>
        </w:tc>
      </w:tr>
      <w:tr w:rsidR="009120BA" w14:paraId="1D74F098"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A3BC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Adaptive Leadership Style</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34D8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21BE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.827</w:t>
            </w:r>
          </w:p>
        </w:tc>
      </w:tr>
      <w:tr w:rsidR="009120BA" w14:paraId="77DF95C1" w14:textId="77777777" w:rsidTr="006A77E8">
        <w:tc>
          <w:tcPr>
            <w:tcW w:w="4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EB25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Leadership Effectiveness in Risk Mitigation</w:t>
            </w:r>
          </w:p>
        </w:tc>
        <w:tc>
          <w:tcPr>
            <w:tcW w:w="1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C732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w:t>
            </w:r>
          </w:p>
        </w:t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A2D7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.803</w:t>
            </w:r>
          </w:p>
        </w:tc>
      </w:tr>
    </w:tbl>
    <w:p w14:paraId="578117A8" w14:textId="77777777" w:rsidR="009120BA" w:rsidRDefault="009120BA" w:rsidP="009120BA">
      <w:pPr>
        <w:spacing w:after="0" w:line="360" w:lineRule="auto"/>
        <w:jc w:val="both"/>
      </w:pPr>
      <w:r>
        <w:rPr>
          <w:rFonts w:ascii="Times New Roman" w:hAnsi="Times New Roman"/>
          <w:b/>
          <w:bCs/>
          <w:sz w:val="24"/>
          <w:szCs w:val="24"/>
          <w:lang w:val="en-US"/>
        </w:rPr>
        <w:t>Source:</w:t>
      </w:r>
      <w:r>
        <w:rPr>
          <w:rFonts w:ascii="Times New Roman" w:hAnsi="Times New Roman"/>
          <w:sz w:val="24"/>
          <w:szCs w:val="24"/>
          <w:lang w:val="en-US"/>
        </w:rPr>
        <w:t xml:space="preserve"> Field Survey, 2026</w:t>
      </w:r>
    </w:p>
    <w:p w14:paraId="0E755C54" w14:textId="77777777" w:rsidR="009120BA" w:rsidRDefault="009120BA" w:rsidP="009120BA">
      <w:pPr>
        <w:spacing w:after="0" w:line="360" w:lineRule="auto"/>
        <w:jc w:val="both"/>
        <w:rPr>
          <w:rFonts w:ascii="Times New Roman" w:hAnsi="Times New Roman"/>
          <w:sz w:val="24"/>
          <w:szCs w:val="24"/>
          <w:lang w:val="en-US"/>
        </w:rPr>
      </w:pPr>
    </w:p>
    <w:p w14:paraId="4763C341" w14:textId="2981159E" w:rsidR="009120BA" w:rsidRDefault="00C90117" w:rsidP="009120BA">
      <w:pPr>
        <w:keepNext/>
        <w:keepLines/>
        <w:spacing w:before="160" w:after="80" w:line="360" w:lineRule="auto"/>
        <w:jc w:val="both"/>
        <w:outlineLvl w:val="1"/>
        <w:rPr>
          <w:rFonts w:ascii="Times New Roman" w:hAnsi="Times New Roman"/>
          <w:sz w:val="24"/>
          <w:szCs w:val="24"/>
          <w:lang w:val="en-US"/>
        </w:rPr>
      </w:pPr>
      <w:bookmarkStart w:id="40" w:name="_Toc232013535"/>
      <w:r>
        <w:rPr>
          <w:rFonts w:ascii="Times New Roman" w:hAnsi="Times New Roman"/>
          <w:sz w:val="24"/>
          <w:szCs w:val="24"/>
          <w:lang w:val="en-US"/>
        </w:rPr>
        <w:lastRenderedPageBreak/>
        <w:t>F</w:t>
      </w:r>
      <w:r w:rsidR="009120BA">
        <w:rPr>
          <w:rFonts w:ascii="Times New Roman" w:hAnsi="Times New Roman"/>
          <w:sz w:val="24"/>
          <w:szCs w:val="24"/>
          <w:lang w:val="en-US"/>
        </w:rPr>
        <w:t xml:space="preserve">indings of the reliability analysis carried out to evaluate the internal consistency of the measurement scales employed in this investigation are shown in Table 1. All constructs showed </w:t>
      </w:r>
      <w:r>
        <w:rPr>
          <w:rFonts w:ascii="Times New Roman" w:hAnsi="Times New Roman"/>
          <w:sz w:val="24"/>
          <w:szCs w:val="24"/>
          <w:lang w:val="en-US"/>
        </w:rPr>
        <w:t>appropriate</w:t>
      </w:r>
      <w:r w:rsidR="009120BA">
        <w:rPr>
          <w:rFonts w:ascii="Times New Roman" w:hAnsi="Times New Roman"/>
          <w:sz w:val="24"/>
          <w:szCs w:val="24"/>
          <w:lang w:val="en-US"/>
        </w:rPr>
        <w:t xml:space="preserve"> to good reliability, with Cronbach's alpha coefficients ranging from 0.769 to 0.841. After Supply Chain Resilience (α = 0.834) and Adaptive Leadership Style (α = 0.827), Geopolitical Supply Risk Exposure had the highest </w:t>
      </w:r>
      <w:proofErr w:type="gramStart"/>
      <w:r w:rsidR="009120BA">
        <w:rPr>
          <w:rFonts w:ascii="Times New Roman" w:hAnsi="Times New Roman"/>
          <w:sz w:val="24"/>
          <w:szCs w:val="24"/>
          <w:lang w:val="en-US"/>
        </w:rPr>
        <w:t xml:space="preserve">reliability coefficient (α </w:t>
      </w:r>
      <w:proofErr w:type="gramEnd"/>
      <w:r w:rsidR="009120BA">
        <w:rPr>
          <w:rFonts w:ascii="Times New Roman" w:hAnsi="Times New Roman"/>
          <w:sz w:val="24"/>
          <w:szCs w:val="24"/>
          <w:lang w:val="en-US"/>
        </w:rPr>
        <w:t>= 0.841). Although Directive Leadership Style had the lowest alpha value (α = 0.769), it was still higher than the 0.70 minimum acceptable threshold. These findings imply that the questionnaire items were appropriate for further statistical analyses since they consistently measured the corresponding constructs (Hair et al., 2022).</w:t>
      </w:r>
    </w:p>
    <w:p w14:paraId="59466C0E"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r>
        <w:rPr>
          <w:rFonts w:ascii="Times New Roman" w:eastAsia="Times New Roman" w:hAnsi="Times New Roman"/>
          <w:b/>
          <w:bCs/>
          <w:sz w:val="24"/>
          <w:szCs w:val="24"/>
          <w:lang w:val="en-US"/>
        </w:rPr>
        <w:t>4.3 Preliminary Data Analysis</w:t>
      </w:r>
      <w:bookmarkEnd w:id="40"/>
    </w:p>
    <w:p w14:paraId="7DAC2DF3" w14:textId="0E5CD538"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This section covers the initial portion of numerical data analysis</w:t>
      </w:r>
      <w:r w:rsidR="00EF0766">
        <w:rPr>
          <w:rFonts w:ascii="Times New Roman" w:hAnsi="Times New Roman"/>
          <w:sz w:val="24"/>
          <w:szCs w:val="24"/>
          <w:lang w:val="en-US"/>
        </w:rPr>
        <w:t>.</w:t>
      </w:r>
    </w:p>
    <w:p w14:paraId="516BAD73"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1" w:name="_Toc232013536"/>
      <w:r>
        <w:rPr>
          <w:rFonts w:ascii="Times New Roman" w:eastAsia="Times New Roman" w:hAnsi="Times New Roman"/>
          <w:b/>
          <w:bCs/>
          <w:sz w:val="24"/>
          <w:szCs w:val="24"/>
          <w:lang w:val="en-US"/>
        </w:rPr>
        <w:t>4.3.1 Descriptive Statistics of Constructs</w:t>
      </w:r>
      <w:bookmarkEnd w:id="41"/>
    </w:p>
    <w:p w14:paraId="2AE9FD74" w14:textId="66AB2D65"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 summary statistics of the study variables presented in this section. This study was conducted around six major constructs, namely Rare Earth Element (REE) dependency, geopolitical supply risk exposure, supply chain performance impact, supply chain resilience, directive leadership style, and adaptive leadership style. In addition, leadership effectiveness in risk mitigation was examined to assess the overall contribution of leadership approaches to managing REE-related supply disruptions.</w:t>
      </w:r>
    </w:p>
    <w:p w14:paraId="6DAD1B76" w14:textId="69B8070F"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Rare Earth Element dependency </w:t>
      </w:r>
      <w:r w:rsidR="003A6D65">
        <w:rPr>
          <w:rFonts w:ascii="Times New Roman" w:hAnsi="Times New Roman"/>
          <w:sz w:val="24"/>
          <w:szCs w:val="24"/>
          <w:lang w:val="en-US"/>
        </w:rPr>
        <w:t>i</w:t>
      </w:r>
      <w:r>
        <w:rPr>
          <w:rFonts w:ascii="Times New Roman" w:hAnsi="Times New Roman"/>
          <w:sz w:val="24"/>
          <w:szCs w:val="24"/>
          <w:lang w:val="en-US"/>
        </w:rPr>
        <w:t>s measured using five items assessing the extent to which organizational operations and competitiveness rely on REEs. Geopolitical supply risk exposure was measured using five items capturing the degree of vulnerability to trade restrictions, export controls, political tensions, and supplier concentration. Supply chain performance impact was assessed through five items relating to operational costs, production delays, delivery reliability, organizational performance, and operational efficiency. Supply chain resilience was measured using five items reflecting recovery capability, contingency planning, supplier flexibility, adaptability, and operational continuity.</w:t>
      </w:r>
    </w:p>
    <w:p w14:paraId="25037348" w14:textId="149A2C80"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leadership dimensions comprised directive leadership style and adaptive leadership style, each measured using five items. Directive leadership focused on centralized decision-making, compliance, and structured responses during supply disruptions, whereas adaptive leadership assessed flexibility, collaboration, innovation, and responsiveness to changing geopolitical conditions. Leadership effectiveness in risk mitigation was also measured using five items examining the extent to which leadership contributes to managing REE supply risks and enhancing organizational resilience. A total of 35 measurement items were used to </w:t>
      </w:r>
      <w:r>
        <w:rPr>
          <w:rFonts w:ascii="Times New Roman" w:hAnsi="Times New Roman"/>
          <w:sz w:val="24"/>
          <w:szCs w:val="24"/>
          <w:lang w:val="en-US"/>
        </w:rPr>
        <w:lastRenderedPageBreak/>
        <w:t>operationalize the study constructs. All items measured on a five-point Likert scale ranging from 1 (Strongly Disagree) to 5 (Strongly Agree). The descriptive statistics presented in Table 2 are based on composite scores generated from the average responses. In addition, the variance inflation factors (VIFs) for the independent variables presented</w:t>
      </w:r>
      <w:r w:rsidR="00A743C8">
        <w:rPr>
          <w:rFonts w:ascii="Times New Roman" w:hAnsi="Times New Roman"/>
          <w:sz w:val="24"/>
          <w:szCs w:val="24"/>
          <w:lang w:val="en-US"/>
        </w:rPr>
        <w:t xml:space="preserve">, </w:t>
      </w:r>
      <w:r>
        <w:rPr>
          <w:rFonts w:ascii="Times New Roman" w:hAnsi="Times New Roman"/>
          <w:sz w:val="24"/>
          <w:szCs w:val="24"/>
          <w:lang w:val="en-US"/>
        </w:rPr>
        <w:t>assess the presence of multicollinearity among the predictor variables.</w:t>
      </w:r>
    </w:p>
    <w:p w14:paraId="106A5CE9" w14:textId="77777777" w:rsidR="009120BA" w:rsidRDefault="009120BA" w:rsidP="009120BA">
      <w:pPr>
        <w:spacing w:after="0" w:line="360" w:lineRule="auto"/>
        <w:jc w:val="both"/>
        <w:rPr>
          <w:rFonts w:ascii="Times New Roman" w:hAnsi="Times New Roman"/>
          <w:sz w:val="24"/>
          <w:szCs w:val="24"/>
          <w:lang w:val="en-US"/>
        </w:rPr>
      </w:pPr>
    </w:p>
    <w:p w14:paraId="5B7B229F" w14:textId="77777777" w:rsidR="009120BA" w:rsidRDefault="009120BA" w:rsidP="009120BA">
      <w:pPr>
        <w:spacing w:after="0" w:line="360" w:lineRule="auto"/>
        <w:jc w:val="both"/>
      </w:pPr>
      <w:r>
        <w:rPr>
          <w:rFonts w:ascii="Times New Roman" w:hAnsi="Times New Roman"/>
          <w:b/>
          <w:bCs/>
          <w:sz w:val="24"/>
          <w:szCs w:val="24"/>
          <w:lang w:val="en-US"/>
        </w:rPr>
        <w:t>Table 2: Descriptive Statistics of Study Variables</w:t>
      </w:r>
    </w:p>
    <w:tbl>
      <w:tblPr>
        <w:tblW w:w="9016" w:type="dxa"/>
        <w:tblCellMar>
          <w:left w:w="10" w:type="dxa"/>
          <w:right w:w="10" w:type="dxa"/>
        </w:tblCellMar>
        <w:tblLook w:val="04A0" w:firstRow="1" w:lastRow="0" w:firstColumn="1" w:lastColumn="0" w:noHBand="0" w:noVBand="1"/>
      </w:tblPr>
      <w:tblGrid>
        <w:gridCol w:w="4174"/>
        <w:gridCol w:w="803"/>
        <w:gridCol w:w="756"/>
        <w:gridCol w:w="756"/>
        <w:gridCol w:w="1081"/>
        <w:gridCol w:w="756"/>
        <w:gridCol w:w="690"/>
      </w:tblGrid>
      <w:tr w:rsidR="009120BA" w14:paraId="2B66D1D0"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C0EA5"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Constructs/Statistics</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AA477"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Mean</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41883"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Min.</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D24AC"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Max.</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48E1D"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Dev.</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CA7C8"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VIF</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D74CE"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Obs.</w:t>
            </w:r>
          </w:p>
        </w:tc>
      </w:tr>
      <w:tr w:rsidR="009120BA" w14:paraId="62745C8A"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BDD4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Rare Earth Element Dependency</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48F8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4.127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4459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2.000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166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F67B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0.621</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B4EB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1.284</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8B8C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0DF6BF44"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EFC3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Geopolitical Supply Risk Exposure</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E9AE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4.214</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9705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2.200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7FDC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F369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0.588</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E4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1.416</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D9C6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62A0462B"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45A0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Supply Chain Performance Impact</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FE0C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4.083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FA27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2.400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782A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CE1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0.647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BE8E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1.352</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2D2D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2D57D3A2"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0D05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Supply Chain Resilience</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46E1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3.968</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0712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2.000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298B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AC99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0.702</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405B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1.527</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BF3E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4B9747D8"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EC00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Directive Leadership Style</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A702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3.847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DD2F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2.000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4756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7BD9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0.691</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0276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1.438</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4C8C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698226F6"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C033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Adaptive Leadership Style</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4DF8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4.236</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F0F0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2.400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FB3F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6F3D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0.573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4C63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1.612</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5CAC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6407BA11"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D9B4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Leadership Effectiveness in Risk Mitigation</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C0DC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4.151</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94A3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2.600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1A97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5.000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E8FD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0.611</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04C7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287F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90</w:t>
            </w:r>
          </w:p>
        </w:tc>
      </w:tr>
      <w:tr w:rsidR="009120BA" w14:paraId="4BBB9701" w14:textId="77777777" w:rsidTr="006A77E8">
        <w:tc>
          <w:tcPr>
            <w:tcW w:w="4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A111E" w14:textId="77777777" w:rsidR="009120BA" w:rsidRDefault="009120BA" w:rsidP="006A77E8">
            <w:pPr>
              <w:spacing w:after="0" w:line="360" w:lineRule="auto"/>
              <w:jc w:val="both"/>
            </w:pPr>
            <w:r>
              <w:rPr>
                <w:rFonts w:ascii="Times New Roman" w:hAnsi="Times New Roman"/>
                <w:b/>
                <w:bCs/>
                <w:sz w:val="24"/>
                <w:szCs w:val="24"/>
                <w:lang w:val="en-US"/>
              </w:rPr>
              <w:t>Overall Mean and Standard Deviation</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F77CD" w14:textId="77777777" w:rsidR="009120BA" w:rsidRDefault="009120BA" w:rsidP="006A77E8">
            <w:pPr>
              <w:spacing w:after="0" w:line="360" w:lineRule="auto"/>
              <w:jc w:val="both"/>
            </w:pPr>
            <w:r>
              <w:rPr>
                <w:rFonts w:ascii="Times New Roman" w:hAnsi="Times New Roman"/>
                <w:b/>
                <w:bCs/>
                <w:sz w:val="24"/>
                <w:szCs w:val="24"/>
                <w:lang w:val="en-US"/>
              </w:rPr>
              <w:t>4.089</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3CD63" w14:textId="77777777" w:rsidR="009120BA" w:rsidRDefault="009120BA" w:rsidP="006A77E8">
            <w:pPr>
              <w:spacing w:line="240" w:lineRule="auto"/>
              <w:rPr>
                <w:rFonts w:ascii="Times New Roman" w:hAnsi="Times New Roman"/>
                <w:sz w:val="24"/>
                <w:szCs w:val="24"/>
                <w:lang w:val="en-US"/>
              </w:rPr>
            </w:pP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B279C" w14:textId="77777777" w:rsidR="009120BA" w:rsidRDefault="009120BA" w:rsidP="006A77E8">
            <w:pPr>
              <w:spacing w:after="0" w:line="240" w:lineRule="auto"/>
              <w:rPr>
                <w:kern w:val="0"/>
                <w:sz w:val="20"/>
                <w:szCs w:val="20"/>
                <w:lang w:eastAsia="en-GB"/>
              </w:rPr>
            </w:pP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B3A93" w14:textId="77777777" w:rsidR="009120BA" w:rsidRDefault="009120BA" w:rsidP="006A77E8">
            <w:pPr>
              <w:spacing w:after="0" w:line="360" w:lineRule="auto"/>
              <w:jc w:val="both"/>
            </w:pPr>
            <w:r>
              <w:rPr>
                <w:rFonts w:ascii="Times New Roman" w:hAnsi="Times New Roman"/>
                <w:b/>
                <w:bCs/>
                <w:sz w:val="24"/>
                <w:szCs w:val="24"/>
                <w:lang w:val="en-US"/>
              </w:rPr>
              <w:t>0.633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30E5D" w14:textId="77777777" w:rsidR="009120BA" w:rsidRDefault="009120BA" w:rsidP="006A77E8">
            <w:pPr>
              <w:spacing w:line="240" w:lineRule="auto"/>
              <w:rPr>
                <w:rFonts w:ascii="Times New Roman" w:hAnsi="Times New Roman"/>
                <w:sz w:val="24"/>
                <w:szCs w:val="24"/>
                <w:lang w:val="en-US"/>
              </w:rPr>
            </w:pPr>
          </w:p>
        </w:tc>
        <w:tc>
          <w:tcPr>
            <w:tcW w:w="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FFF" w14:textId="77777777" w:rsidR="009120BA" w:rsidRDefault="009120BA" w:rsidP="006A77E8">
            <w:pPr>
              <w:spacing w:after="0" w:line="360" w:lineRule="auto"/>
              <w:jc w:val="both"/>
            </w:pPr>
            <w:r>
              <w:rPr>
                <w:rFonts w:ascii="Times New Roman" w:hAnsi="Times New Roman"/>
                <w:b/>
                <w:bCs/>
                <w:sz w:val="24"/>
                <w:szCs w:val="24"/>
                <w:lang w:val="en-US"/>
              </w:rPr>
              <w:t>90</w:t>
            </w:r>
          </w:p>
        </w:tc>
      </w:tr>
    </w:tbl>
    <w:p w14:paraId="769CD222" w14:textId="77777777" w:rsidR="009120BA" w:rsidRDefault="009120BA" w:rsidP="009120BA">
      <w:pPr>
        <w:spacing w:after="0" w:line="360" w:lineRule="auto"/>
        <w:jc w:val="both"/>
      </w:pPr>
      <w:r>
        <w:rPr>
          <w:rFonts w:ascii="Times New Roman" w:hAnsi="Times New Roman"/>
          <w:b/>
          <w:bCs/>
          <w:sz w:val="24"/>
          <w:szCs w:val="24"/>
          <w:lang w:val="en-US"/>
        </w:rPr>
        <w:t>Source:</w:t>
      </w:r>
      <w:r>
        <w:rPr>
          <w:rFonts w:ascii="Times New Roman" w:hAnsi="Times New Roman"/>
          <w:sz w:val="24"/>
          <w:szCs w:val="24"/>
          <w:lang w:val="en-US"/>
        </w:rPr>
        <w:t xml:space="preserve"> Field Survey, 2026</w:t>
      </w:r>
    </w:p>
    <w:p w14:paraId="79365B35" w14:textId="77777777" w:rsidR="009120BA" w:rsidRDefault="009120BA" w:rsidP="009120BA">
      <w:pPr>
        <w:spacing w:after="0" w:line="360" w:lineRule="auto"/>
        <w:jc w:val="both"/>
        <w:rPr>
          <w:rFonts w:ascii="Times New Roman" w:hAnsi="Times New Roman"/>
          <w:sz w:val="24"/>
          <w:szCs w:val="24"/>
          <w:lang w:val="en-US"/>
        </w:rPr>
      </w:pPr>
    </w:p>
    <w:p w14:paraId="35560002" w14:textId="46A563DF"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Table 2 presents the descriptive statistics for the study variables and provides an overview of respondents’ perceptions regarding Rare Earth Element (REE) dependency, geopolitical supply risk exposure, supply chain performance, organizational resilience, and leadership styles. The findings indicate that all constructs recorded relatively high mean scores, ranging from M = 3.847 to M = 4.236, suggesting that respondents generally agreed with the statements used to measure the study variables. Specifically, Adaptive Leadership Style recorded the highest mean score (M = 4.236, SD = 0.573), indicat</w:t>
      </w:r>
      <w:r w:rsidR="00CC27F8">
        <w:rPr>
          <w:rFonts w:ascii="Times New Roman" w:hAnsi="Times New Roman"/>
          <w:sz w:val="24"/>
          <w:szCs w:val="24"/>
          <w:lang w:val="en-US"/>
        </w:rPr>
        <w:t>ed</w:t>
      </w:r>
      <w:r>
        <w:rPr>
          <w:rFonts w:ascii="Times New Roman" w:hAnsi="Times New Roman"/>
          <w:sz w:val="24"/>
          <w:szCs w:val="24"/>
          <w:lang w:val="en-US"/>
        </w:rPr>
        <w:t xml:space="preserve"> that flexibility, collaboration, and responsiveness are widely practiced in organizations facing REE-related supply disruptions. This was followed by Geopolitical Supply Risk Exposure (M = 4.214, SD = 0.588) and Leadership Effectiveness in Risk Mitigation (M = 4.151, SD = 0.611). Conversely, Directive Leadership Style </w:t>
      </w:r>
      <w:r w:rsidR="004A6068">
        <w:rPr>
          <w:rFonts w:ascii="Times New Roman" w:hAnsi="Times New Roman"/>
          <w:sz w:val="24"/>
          <w:szCs w:val="24"/>
          <w:lang w:val="en-US"/>
        </w:rPr>
        <w:t>documented</w:t>
      </w:r>
      <w:r>
        <w:rPr>
          <w:rFonts w:ascii="Times New Roman" w:hAnsi="Times New Roman"/>
          <w:sz w:val="24"/>
          <w:szCs w:val="24"/>
          <w:lang w:val="en-US"/>
        </w:rPr>
        <w:t xml:space="preserve"> the lowest mean score (M = 3.847, SD = 0.691), although the score remained substantially above the neutral midpoint of the scale.</w:t>
      </w:r>
    </w:p>
    <w:p w14:paraId="3F4B1B07" w14:textId="441AC948"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lastRenderedPageBreak/>
        <w:t>The minimum values ranged from 2.000 to 2.600, while the maximum values reached 5.000 across all constructs, indicating that respondents utilized the full range of the measurement scale. The standard deviations ranged from SD = 0.573 to SD = 0.702, demonstrating relatively low dispersion and suggesting a reasonable level of consensus among respondents. Furthermore, the variance inflation factor</w:t>
      </w:r>
      <w:r w:rsidR="00B1307A">
        <w:rPr>
          <w:rFonts w:ascii="Times New Roman" w:hAnsi="Times New Roman"/>
          <w:sz w:val="24"/>
          <w:szCs w:val="24"/>
          <w:lang w:val="en-US"/>
        </w:rPr>
        <w:t>,</w:t>
      </w:r>
      <w:r>
        <w:rPr>
          <w:rFonts w:ascii="Times New Roman" w:hAnsi="Times New Roman"/>
          <w:sz w:val="24"/>
          <w:szCs w:val="24"/>
          <w:lang w:val="en-US"/>
        </w:rPr>
        <w:t xml:space="preserve"> values ranged from 1.284 to 1.612, which are considerably below the recommended threshold of 5.0, </w:t>
      </w:r>
      <w:r w:rsidR="001144CE">
        <w:rPr>
          <w:rFonts w:ascii="Times New Roman" w:hAnsi="Times New Roman"/>
          <w:sz w:val="24"/>
          <w:szCs w:val="24"/>
          <w:lang w:val="en-US"/>
        </w:rPr>
        <w:t>implying</w:t>
      </w:r>
      <w:r>
        <w:rPr>
          <w:rFonts w:ascii="Times New Roman" w:hAnsi="Times New Roman"/>
          <w:sz w:val="24"/>
          <w:szCs w:val="24"/>
          <w:lang w:val="en-US"/>
        </w:rPr>
        <w:t xml:space="preserve"> that multicollinearity is not a concern among the independent variables (Hair et al., 2022). Overall, the composite mean score of M = 4.089 (SD = 0.633) suggests a favorable assessment of organizational resilience, leadership effectiveness, and supply chain preparedness in mitigating geopolitical risks associated with REE supply chains.</w:t>
      </w:r>
    </w:p>
    <w:p w14:paraId="3F58AE44"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2" w:name="_Toc232013537"/>
      <w:r>
        <w:rPr>
          <w:rFonts w:ascii="Times New Roman" w:eastAsia="Times New Roman" w:hAnsi="Times New Roman"/>
          <w:b/>
          <w:bCs/>
          <w:sz w:val="24"/>
          <w:szCs w:val="24"/>
          <w:lang w:val="en-US"/>
        </w:rPr>
        <w:t>4.3.2 Correlation Analysis</w:t>
      </w:r>
      <w:bookmarkEnd w:id="42"/>
    </w:p>
    <w:p w14:paraId="48222E8F" w14:textId="618E6938" w:rsidR="009120BA" w:rsidRDefault="009120BA" w:rsidP="009120BA">
      <w:pPr>
        <w:spacing w:after="0" w:line="360" w:lineRule="auto"/>
        <w:jc w:val="both"/>
      </w:pPr>
      <w:r>
        <w:rPr>
          <w:rFonts w:ascii="Times New Roman" w:hAnsi="Times New Roman"/>
          <w:sz w:val="24"/>
          <w:szCs w:val="24"/>
          <w:lang w:val="en-US"/>
        </w:rPr>
        <w:t>The correlation analysis presented in Table 3 was conducted</w:t>
      </w:r>
      <w:r w:rsidR="000C2E62">
        <w:rPr>
          <w:rFonts w:ascii="Times New Roman" w:hAnsi="Times New Roman"/>
          <w:sz w:val="24"/>
          <w:szCs w:val="24"/>
          <w:lang w:val="en-US"/>
        </w:rPr>
        <w:t>,</w:t>
      </w:r>
      <w:r>
        <w:rPr>
          <w:rFonts w:ascii="Times New Roman" w:hAnsi="Times New Roman"/>
          <w:sz w:val="24"/>
          <w:szCs w:val="24"/>
          <w:lang w:val="en-US"/>
        </w:rPr>
        <w:t xml:space="preserve"> </w:t>
      </w:r>
      <w:proofErr w:type="gramStart"/>
      <w:r>
        <w:rPr>
          <w:rFonts w:ascii="Times New Roman" w:hAnsi="Times New Roman"/>
          <w:sz w:val="24"/>
          <w:szCs w:val="24"/>
          <w:lang w:val="en-US"/>
        </w:rPr>
        <w:t>examine</w:t>
      </w:r>
      <w:proofErr w:type="gramEnd"/>
      <w:r>
        <w:rPr>
          <w:rFonts w:ascii="Times New Roman" w:hAnsi="Times New Roman"/>
          <w:sz w:val="24"/>
          <w:szCs w:val="24"/>
          <w:lang w:val="en-US"/>
        </w:rPr>
        <w:t xml:space="preserve"> the relationships among the study variables and </w:t>
      </w:r>
      <w:proofErr w:type="gramStart"/>
      <w:r>
        <w:rPr>
          <w:rFonts w:ascii="Times New Roman" w:hAnsi="Times New Roman"/>
          <w:sz w:val="24"/>
          <w:szCs w:val="24"/>
          <w:lang w:val="en-US"/>
        </w:rPr>
        <w:t>assess</w:t>
      </w:r>
      <w:proofErr w:type="gramEnd"/>
      <w:r>
        <w:rPr>
          <w:rFonts w:ascii="Times New Roman" w:hAnsi="Times New Roman"/>
          <w:sz w:val="24"/>
          <w:szCs w:val="24"/>
          <w:lang w:val="en-US"/>
        </w:rPr>
        <w:t xml:space="preserve"> the potential presence of multicollinearity. The results indicate that all the constructs are positively correlated, suggesting that improvements in one variable are generally associated with improvements in related variables. Geopolitical Supply Risk Exposure was positively associated with Supply Chain Performance Impact (</w:t>
      </w:r>
      <w:r>
        <w:rPr>
          <w:rFonts w:ascii="Times New Roman" w:hAnsi="Times New Roman"/>
          <w:i/>
          <w:iCs/>
          <w:sz w:val="24"/>
          <w:szCs w:val="24"/>
          <w:lang w:val="en-US"/>
        </w:rPr>
        <w:t>r</w:t>
      </w:r>
      <w:r>
        <w:rPr>
          <w:rFonts w:ascii="Times New Roman" w:hAnsi="Times New Roman"/>
          <w:sz w:val="24"/>
          <w:szCs w:val="24"/>
          <w:lang w:val="en-US"/>
        </w:rPr>
        <w:t xml:space="preserve"> = .538, </w:t>
      </w:r>
      <w:r>
        <w:rPr>
          <w:rFonts w:ascii="Times New Roman" w:hAnsi="Times New Roman"/>
          <w:i/>
          <w:iCs/>
          <w:sz w:val="24"/>
          <w:szCs w:val="24"/>
          <w:lang w:val="en-US"/>
        </w:rPr>
        <w:t>p</w:t>
      </w:r>
      <w:r>
        <w:rPr>
          <w:rFonts w:ascii="Times New Roman" w:hAnsi="Times New Roman"/>
          <w:sz w:val="24"/>
          <w:szCs w:val="24"/>
          <w:lang w:val="en-US"/>
        </w:rPr>
        <w:t xml:space="preserve"> &lt; .01), indicating that increased exposure to geopolitical risks is significantly linked to greater performance challenges within REE-dependent supply chains. Similarly, Supply Chain Resilience demonstrated strong </w:t>
      </w:r>
      <w:r w:rsidR="009A2023">
        <w:rPr>
          <w:rFonts w:ascii="Times New Roman" w:hAnsi="Times New Roman"/>
          <w:sz w:val="24"/>
          <w:szCs w:val="24"/>
          <w:lang w:val="en-US"/>
        </w:rPr>
        <w:t>confident</w:t>
      </w:r>
      <w:r>
        <w:rPr>
          <w:rFonts w:ascii="Times New Roman" w:hAnsi="Times New Roman"/>
          <w:sz w:val="24"/>
          <w:szCs w:val="24"/>
          <w:lang w:val="en-US"/>
        </w:rPr>
        <w:t xml:space="preserve"> relationship with Supply Chain Performance Impact (</w:t>
      </w:r>
      <w:r>
        <w:rPr>
          <w:rFonts w:ascii="Times New Roman" w:hAnsi="Times New Roman"/>
          <w:i/>
          <w:iCs/>
          <w:sz w:val="24"/>
          <w:szCs w:val="24"/>
          <w:lang w:val="en-US"/>
        </w:rPr>
        <w:t>r</w:t>
      </w:r>
      <w:r>
        <w:rPr>
          <w:rFonts w:ascii="Times New Roman" w:hAnsi="Times New Roman"/>
          <w:sz w:val="24"/>
          <w:szCs w:val="24"/>
          <w:lang w:val="en-US"/>
        </w:rPr>
        <w:t xml:space="preserve"> = .583, </w:t>
      </w:r>
      <w:r>
        <w:rPr>
          <w:rFonts w:ascii="Times New Roman" w:hAnsi="Times New Roman"/>
          <w:i/>
          <w:iCs/>
          <w:sz w:val="24"/>
          <w:szCs w:val="24"/>
          <w:lang w:val="en-US"/>
        </w:rPr>
        <w:t>p</w:t>
      </w:r>
      <w:r>
        <w:rPr>
          <w:rFonts w:ascii="Times New Roman" w:hAnsi="Times New Roman"/>
          <w:sz w:val="24"/>
          <w:szCs w:val="24"/>
          <w:lang w:val="en-US"/>
        </w:rPr>
        <w:t xml:space="preserve"> &lt; .01), suggesting that resilient organizations are better able to maintain performance despite supply disruptions.</w:t>
      </w:r>
    </w:p>
    <w:p w14:paraId="62610534" w14:textId="073B834C" w:rsidR="009120BA" w:rsidRDefault="009120BA" w:rsidP="009120BA">
      <w:pPr>
        <w:spacing w:after="0" w:line="360" w:lineRule="auto"/>
        <w:jc w:val="both"/>
      </w:pPr>
      <w:r>
        <w:rPr>
          <w:rFonts w:ascii="Times New Roman" w:hAnsi="Times New Roman"/>
          <w:sz w:val="24"/>
          <w:szCs w:val="24"/>
          <w:lang w:val="en-US"/>
        </w:rPr>
        <w:t>The results further reveal that Adaptive Leadership Style was positively correlated with Supply Chain Resilience (</w:t>
      </w:r>
      <w:r>
        <w:rPr>
          <w:rFonts w:ascii="Times New Roman" w:hAnsi="Times New Roman"/>
          <w:i/>
          <w:iCs/>
          <w:sz w:val="24"/>
          <w:szCs w:val="24"/>
          <w:lang w:val="en-US"/>
        </w:rPr>
        <w:t>r</w:t>
      </w:r>
      <w:r>
        <w:rPr>
          <w:rFonts w:ascii="Times New Roman" w:hAnsi="Times New Roman"/>
          <w:sz w:val="24"/>
          <w:szCs w:val="24"/>
          <w:lang w:val="en-US"/>
        </w:rPr>
        <w:t xml:space="preserve"> = .617, </w:t>
      </w:r>
      <w:r>
        <w:rPr>
          <w:rFonts w:ascii="Times New Roman" w:hAnsi="Times New Roman"/>
          <w:i/>
          <w:iCs/>
          <w:sz w:val="24"/>
          <w:szCs w:val="24"/>
          <w:lang w:val="en-US"/>
        </w:rPr>
        <w:t>p</w:t>
      </w:r>
      <w:r>
        <w:rPr>
          <w:rFonts w:ascii="Times New Roman" w:hAnsi="Times New Roman"/>
          <w:sz w:val="24"/>
          <w:szCs w:val="24"/>
          <w:lang w:val="en-US"/>
        </w:rPr>
        <w:t xml:space="preserve"> &lt; .01) and Leadership Effectiveness in Risk Mitigation (</w:t>
      </w:r>
      <w:r>
        <w:rPr>
          <w:rFonts w:ascii="Times New Roman" w:hAnsi="Times New Roman"/>
          <w:i/>
          <w:iCs/>
          <w:sz w:val="24"/>
          <w:szCs w:val="24"/>
          <w:lang w:val="en-US"/>
        </w:rPr>
        <w:t>r</w:t>
      </w:r>
      <w:r>
        <w:rPr>
          <w:rFonts w:ascii="Times New Roman" w:hAnsi="Times New Roman"/>
          <w:sz w:val="24"/>
          <w:szCs w:val="24"/>
          <w:lang w:val="en-US"/>
        </w:rPr>
        <w:t xml:space="preserve"> = .701, </w:t>
      </w:r>
      <w:r>
        <w:rPr>
          <w:rFonts w:ascii="Times New Roman" w:hAnsi="Times New Roman"/>
          <w:i/>
          <w:iCs/>
          <w:sz w:val="24"/>
          <w:szCs w:val="24"/>
          <w:lang w:val="en-US"/>
        </w:rPr>
        <w:t>p</w:t>
      </w:r>
      <w:r>
        <w:rPr>
          <w:rFonts w:ascii="Times New Roman" w:hAnsi="Times New Roman"/>
          <w:sz w:val="24"/>
          <w:szCs w:val="24"/>
          <w:lang w:val="en-US"/>
        </w:rPr>
        <w:t xml:space="preserve"> &lt; .01). These findings imply that adaptive leadership practices </w:t>
      </w:r>
      <w:proofErr w:type="gramStart"/>
      <w:r w:rsidR="00B64F30">
        <w:rPr>
          <w:rFonts w:ascii="Times New Roman" w:hAnsi="Times New Roman"/>
          <w:sz w:val="24"/>
          <w:szCs w:val="24"/>
          <w:lang w:val="en-US"/>
        </w:rPr>
        <w:t>partakes</w:t>
      </w:r>
      <w:proofErr w:type="gramEnd"/>
      <w:r w:rsidR="00B64F30">
        <w:rPr>
          <w:rFonts w:ascii="Times New Roman" w:hAnsi="Times New Roman"/>
          <w:sz w:val="24"/>
          <w:szCs w:val="24"/>
          <w:lang w:val="en-US"/>
        </w:rPr>
        <w:t xml:space="preserve"> </w:t>
      </w:r>
      <w:r>
        <w:rPr>
          <w:rFonts w:ascii="Times New Roman" w:hAnsi="Times New Roman"/>
          <w:sz w:val="24"/>
          <w:szCs w:val="24"/>
          <w:lang w:val="en-US"/>
        </w:rPr>
        <w:t>a significant role in strengthening organizational resilience and enhancing the effectiveness of risk management responses. Directive Leadership Style also exhibited significant positive relationships with Supply Chain Resilience (</w:t>
      </w:r>
      <w:r>
        <w:rPr>
          <w:rFonts w:ascii="Times New Roman" w:hAnsi="Times New Roman"/>
          <w:i/>
          <w:iCs/>
          <w:sz w:val="24"/>
          <w:szCs w:val="24"/>
          <w:lang w:val="en-US"/>
        </w:rPr>
        <w:t>r</w:t>
      </w:r>
      <w:r>
        <w:rPr>
          <w:rFonts w:ascii="Times New Roman" w:hAnsi="Times New Roman"/>
          <w:sz w:val="24"/>
          <w:szCs w:val="24"/>
          <w:lang w:val="en-US"/>
        </w:rPr>
        <w:t xml:space="preserve"> = .491, </w:t>
      </w:r>
      <w:r>
        <w:rPr>
          <w:rFonts w:ascii="Times New Roman" w:hAnsi="Times New Roman"/>
          <w:i/>
          <w:iCs/>
          <w:sz w:val="24"/>
          <w:szCs w:val="24"/>
          <w:lang w:val="en-US"/>
        </w:rPr>
        <w:t>p</w:t>
      </w:r>
      <w:r>
        <w:rPr>
          <w:rFonts w:ascii="Times New Roman" w:hAnsi="Times New Roman"/>
          <w:sz w:val="24"/>
          <w:szCs w:val="24"/>
          <w:lang w:val="en-US"/>
        </w:rPr>
        <w:t xml:space="preserve"> &lt; .01), Supply Chain Performance Impact (</w:t>
      </w:r>
      <w:r>
        <w:rPr>
          <w:rFonts w:ascii="Times New Roman" w:hAnsi="Times New Roman"/>
          <w:i/>
          <w:iCs/>
          <w:sz w:val="24"/>
          <w:szCs w:val="24"/>
          <w:lang w:val="en-US"/>
        </w:rPr>
        <w:t>r</w:t>
      </w:r>
      <w:r>
        <w:rPr>
          <w:rFonts w:ascii="Times New Roman" w:hAnsi="Times New Roman"/>
          <w:sz w:val="24"/>
          <w:szCs w:val="24"/>
          <w:lang w:val="en-US"/>
        </w:rPr>
        <w:t xml:space="preserve"> = .406, </w:t>
      </w:r>
      <w:r>
        <w:rPr>
          <w:rFonts w:ascii="Times New Roman" w:hAnsi="Times New Roman"/>
          <w:i/>
          <w:iCs/>
          <w:sz w:val="24"/>
          <w:szCs w:val="24"/>
          <w:lang w:val="en-US"/>
        </w:rPr>
        <w:t>p</w:t>
      </w:r>
      <w:r>
        <w:rPr>
          <w:rFonts w:ascii="Times New Roman" w:hAnsi="Times New Roman"/>
          <w:sz w:val="24"/>
          <w:szCs w:val="24"/>
          <w:lang w:val="en-US"/>
        </w:rPr>
        <w:t xml:space="preserve"> &lt; .01), and Leadership Effectiveness in Risk Mitigation (</w:t>
      </w:r>
      <w:r>
        <w:rPr>
          <w:rFonts w:ascii="Times New Roman" w:hAnsi="Times New Roman"/>
          <w:i/>
          <w:iCs/>
          <w:sz w:val="24"/>
          <w:szCs w:val="24"/>
          <w:lang w:val="en-US"/>
        </w:rPr>
        <w:t>r</w:t>
      </w:r>
      <w:r>
        <w:rPr>
          <w:rFonts w:ascii="Times New Roman" w:hAnsi="Times New Roman"/>
          <w:sz w:val="24"/>
          <w:szCs w:val="24"/>
          <w:lang w:val="en-US"/>
        </w:rPr>
        <w:t xml:space="preserve"> = .528, </w:t>
      </w:r>
      <w:r>
        <w:rPr>
          <w:rFonts w:ascii="Times New Roman" w:hAnsi="Times New Roman"/>
          <w:i/>
          <w:iCs/>
          <w:sz w:val="24"/>
          <w:szCs w:val="24"/>
          <w:lang w:val="en-US"/>
        </w:rPr>
        <w:t>p</w:t>
      </w:r>
      <w:r>
        <w:rPr>
          <w:rFonts w:ascii="Times New Roman" w:hAnsi="Times New Roman"/>
          <w:sz w:val="24"/>
          <w:szCs w:val="24"/>
          <w:lang w:val="en-US"/>
        </w:rPr>
        <w:t xml:space="preserve"> &lt; .01), although the magnitudes were lower than those observed for adaptive leadership.</w:t>
      </w:r>
    </w:p>
    <w:p w14:paraId="3F119340" w14:textId="4DA58C9D" w:rsidR="009120BA" w:rsidRDefault="009120BA" w:rsidP="009120BA">
      <w:pPr>
        <w:spacing w:after="0" w:line="360" w:lineRule="auto"/>
        <w:jc w:val="both"/>
      </w:pPr>
      <w:r>
        <w:rPr>
          <w:rFonts w:ascii="Times New Roman" w:hAnsi="Times New Roman"/>
          <w:sz w:val="24"/>
          <w:szCs w:val="24"/>
          <w:lang w:val="en-US"/>
        </w:rPr>
        <w:t xml:space="preserve">Overall, the correlation coefficients ranged from </w:t>
      </w:r>
      <w:r>
        <w:rPr>
          <w:rFonts w:ascii="Times New Roman" w:hAnsi="Times New Roman"/>
          <w:i/>
          <w:iCs/>
          <w:sz w:val="24"/>
          <w:szCs w:val="24"/>
          <w:lang w:val="en-US"/>
        </w:rPr>
        <w:t>r</w:t>
      </w:r>
      <w:r>
        <w:rPr>
          <w:rFonts w:ascii="Times New Roman" w:hAnsi="Times New Roman"/>
          <w:sz w:val="24"/>
          <w:szCs w:val="24"/>
          <w:lang w:val="en-US"/>
        </w:rPr>
        <w:t xml:space="preserve"> = .295 to </w:t>
      </w:r>
      <w:r>
        <w:rPr>
          <w:rFonts w:ascii="Times New Roman" w:hAnsi="Times New Roman"/>
          <w:i/>
          <w:iCs/>
          <w:sz w:val="24"/>
          <w:szCs w:val="24"/>
          <w:lang w:val="en-US"/>
        </w:rPr>
        <w:t>r</w:t>
      </w:r>
      <w:r>
        <w:rPr>
          <w:rFonts w:ascii="Times New Roman" w:hAnsi="Times New Roman"/>
          <w:sz w:val="24"/>
          <w:szCs w:val="24"/>
          <w:lang w:val="en-US"/>
        </w:rPr>
        <w:t xml:space="preserve"> = .701, indicating weak to strong positive relationships among the constructs. Importantly, the highest correlation coefficient (</w:t>
      </w:r>
      <w:r>
        <w:rPr>
          <w:rFonts w:ascii="Times New Roman" w:hAnsi="Times New Roman"/>
          <w:i/>
          <w:iCs/>
          <w:sz w:val="24"/>
          <w:szCs w:val="24"/>
          <w:lang w:val="en-US"/>
        </w:rPr>
        <w:t>r</w:t>
      </w:r>
      <w:r>
        <w:rPr>
          <w:rFonts w:ascii="Times New Roman" w:hAnsi="Times New Roman"/>
          <w:sz w:val="24"/>
          <w:szCs w:val="24"/>
          <w:lang w:val="en-US"/>
        </w:rPr>
        <w:t xml:space="preserve"> = .701, </w:t>
      </w:r>
      <w:r>
        <w:rPr>
          <w:rFonts w:ascii="Times New Roman" w:hAnsi="Times New Roman"/>
          <w:i/>
          <w:iCs/>
          <w:sz w:val="24"/>
          <w:szCs w:val="24"/>
          <w:lang w:val="en-US"/>
        </w:rPr>
        <w:t>p</w:t>
      </w:r>
      <w:r>
        <w:rPr>
          <w:rFonts w:ascii="Times New Roman" w:hAnsi="Times New Roman"/>
          <w:sz w:val="24"/>
          <w:szCs w:val="24"/>
          <w:lang w:val="en-US"/>
        </w:rPr>
        <w:t xml:space="preserve"> &lt; .01) is below the recommended threshold of .80 for multicollinearity concerns (Hair et al., 2022). Therefore, the results suggest the constructs are sufficiently </w:t>
      </w:r>
      <w:r w:rsidR="00BC1284">
        <w:rPr>
          <w:rFonts w:ascii="Times New Roman" w:hAnsi="Times New Roman"/>
          <w:sz w:val="24"/>
          <w:szCs w:val="24"/>
          <w:lang w:val="en-US"/>
        </w:rPr>
        <w:t>separate</w:t>
      </w:r>
      <w:r>
        <w:rPr>
          <w:rFonts w:ascii="Times New Roman" w:hAnsi="Times New Roman"/>
          <w:sz w:val="24"/>
          <w:szCs w:val="24"/>
          <w:lang w:val="en-US"/>
        </w:rPr>
        <w:t xml:space="preserve"> from one </w:t>
      </w:r>
      <w:r>
        <w:rPr>
          <w:rFonts w:ascii="Times New Roman" w:hAnsi="Times New Roman"/>
          <w:sz w:val="24"/>
          <w:szCs w:val="24"/>
          <w:lang w:val="en-US"/>
        </w:rPr>
        <w:lastRenderedPageBreak/>
        <w:t xml:space="preserve">another and multicollinearity not a significant concern in this study. Consequently, data </w:t>
      </w:r>
      <w:proofErr w:type="gramStart"/>
      <w:r>
        <w:rPr>
          <w:rFonts w:ascii="Times New Roman" w:hAnsi="Times New Roman"/>
          <w:sz w:val="24"/>
          <w:szCs w:val="24"/>
          <w:lang w:val="en-US"/>
        </w:rPr>
        <w:t>are</w:t>
      </w:r>
      <w:proofErr w:type="gramEnd"/>
      <w:r>
        <w:rPr>
          <w:rFonts w:ascii="Times New Roman" w:hAnsi="Times New Roman"/>
          <w:sz w:val="24"/>
          <w:szCs w:val="24"/>
          <w:lang w:val="en-US"/>
        </w:rPr>
        <w:t xml:space="preserve"> considered suitable for subsequent regression, mediation, and moderation analyses.</w:t>
      </w:r>
    </w:p>
    <w:p w14:paraId="204AE5A7" w14:textId="77777777" w:rsidR="009120BA" w:rsidRDefault="009120BA" w:rsidP="009120BA">
      <w:pPr>
        <w:spacing w:after="0" w:line="360" w:lineRule="auto"/>
        <w:jc w:val="both"/>
        <w:rPr>
          <w:rFonts w:ascii="Times New Roman" w:hAnsi="Times New Roman"/>
          <w:sz w:val="24"/>
          <w:szCs w:val="24"/>
          <w:lang w:val="en-US"/>
        </w:rPr>
      </w:pPr>
    </w:p>
    <w:p w14:paraId="7459049E"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Table 3 Correlation analysis</w:t>
      </w:r>
    </w:p>
    <w:tbl>
      <w:tblPr>
        <w:tblW w:w="9216" w:type="dxa"/>
        <w:tblCellMar>
          <w:left w:w="10" w:type="dxa"/>
          <w:right w:w="10" w:type="dxa"/>
        </w:tblCellMar>
        <w:tblLook w:val="04A0" w:firstRow="1" w:lastRow="0" w:firstColumn="1" w:lastColumn="0" w:noHBand="0" w:noVBand="1"/>
      </w:tblPr>
      <w:tblGrid>
        <w:gridCol w:w="1181"/>
        <w:gridCol w:w="1147"/>
        <w:gridCol w:w="1147"/>
        <w:gridCol w:w="1148"/>
        <w:gridCol w:w="1148"/>
        <w:gridCol w:w="1148"/>
        <w:gridCol w:w="1148"/>
        <w:gridCol w:w="1149"/>
      </w:tblGrid>
      <w:tr w:rsidR="009120BA" w14:paraId="3F3DCE44" w14:textId="77777777" w:rsidTr="006A77E8">
        <w:trPr>
          <w:trHeight w:val="576"/>
        </w:trPr>
        <w:tc>
          <w:tcPr>
            <w:tcW w:w="1181" w:type="dxa"/>
            <w:tcBorders>
              <w:top w:val="single" w:sz="4" w:space="0" w:color="000000"/>
              <w:bottom w:val="single" w:sz="4" w:space="0" w:color="000000"/>
            </w:tcBorders>
            <w:tcMar>
              <w:top w:w="0" w:type="dxa"/>
              <w:left w:w="108" w:type="dxa"/>
              <w:bottom w:w="0" w:type="dxa"/>
              <w:right w:w="108" w:type="dxa"/>
            </w:tcMar>
          </w:tcPr>
          <w:p w14:paraId="16131025"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Variables</w:t>
            </w:r>
          </w:p>
        </w:tc>
        <w:tc>
          <w:tcPr>
            <w:tcW w:w="1147" w:type="dxa"/>
            <w:tcBorders>
              <w:top w:val="single" w:sz="4" w:space="0" w:color="000000"/>
              <w:bottom w:val="single" w:sz="4" w:space="0" w:color="000000"/>
            </w:tcBorders>
            <w:tcMar>
              <w:top w:w="0" w:type="dxa"/>
              <w:left w:w="108" w:type="dxa"/>
              <w:bottom w:w="0" w:type="dxa"/>
              <w:right w:w="108" w:type="dxa"/>
            </w:tcMar>
          </w:tcPr>
          <w:p w14:paraId="745F20E6"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REED</w:t>
            </w:r>
          </w:p>
        </w:tc>
        <w:tc>
          <w:tcPr>
            <w:tcW w:w="1147" w:type="dxa"/>
            <w:tcBorders>
              <w:top w:val="single" w:sz="4" w:space="0" w:color="000000"/>
              <w:bottom w:val="single" w:sz="4" w:space="0" w:color="000000"/>
            </w:tcBorders>
            <w:tcMar>
              <w:top w:w="0" w:type="dxa"/>
              <w:left w:w="108" w:type="dxa"/>
              <w:bottom w:w="0" w:type="dxa"/>
              <w:right w:w="108" w:type="dxa"/>
            </w:tcMar>
          </w:tcPr>
          <w:p w14:paraId="007E0002"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GPSR</w:t>
            </w:r>
          </w:p>
        </w:tc>
        <w:tc>
          <w:tcPr>
            <w:tcW w:w="1148" w:type="dxa"/>
            <w:tcBorders>
              <w:top w:val="single" w:sz="4" w:space="0" w:color="000000"/>
              <w:bottom w:val="single" w:sz="4" w:space="0" w:color="000000"/>
            </w:tcBorders>
            <w:tcMar>
              <w:top w:w="0" w:type="dxa"/>
              <w:left w:w="108" w:type="dxa"/>
              <w:bottom w:w="0" w:type="dxa"/>
              <w:right w:w="108" w:type="dxa"/>
            </w:tcMar>
          </w:tcPr>
          <w:p w14:paraId="7CD3084B"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SCPI</w:t>
            </w:r>
          </w:p>
        </w:tc>
        <w:tc>
          <w:tcPr>
            <w:tcW w:w="1148" w:type="dxa"/>
            <w:tcBorders>
              <w:top w:val="single" w:sz="4" w:space="0" w:color="000000"/>
              <w:bottom w:val="single" w:sz="4" w:space="0" w:color="000000"/>
            </w:tcBorders>
            <w:tcMar>
              <w:top w:w="0" w:type="dxa"/>
              <w:left w:w="108" w:type="dxa"/>
              <w:bottom w:w="0" w:type="dxa"/>
              <w:right w:w="108" w:type="dxa"/>
            </w:tcMar>
          </w:tcPr>
          <w:p w14:paraId="46F20E99"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SCR</w:t>
            </w:r>
          </w:p>
        </w:tc>
        <w:tc>
          <w:tcPr>
            <w:tcW w:w="1148" w:type="dxa"/>
            <w:tcBorders>
              <w:top w:val="single" w:sz="4" w:space="0" w:color="000000"/>
              <w:bottom w:val="single" w:sz="4" w:space="0" w:color="000000"/>
            </w:tcBorders>
            <w:tcMar>
              <w:top w:w="0" w:type="dxa"/>
              <w:left w:w="108" w:type="dxa"/>
              <w:bottom w:w="0" w:type="dxa"/>
              <w:right w:w="108" w:type="dxa"/>
            </w:tcMar>
          </w:tcPr>
          <w:p w14:paraId="4F26D16F"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DLS</w:t>
            </w:r>
          </w:p>
        </w:tc>
        <w:tc>
          <w:tcPr>
            <w:tcW w:w="1148" w:type="dxa"/>
            <w:tcBorders>
              <w:top w:val="single" w:sz="4" w:space="0" w:color="000000"/>
              <w:bottom w:val="single" w:sz="4" w:space="0" w:color="000000"/>
            </w:tcBorders>
            <w:tcMar>
              <w:top w:w="0" w:type="dxa"/>
              <w:left w:w="108" w:type="dxa"/>
              <w:bottom w:w="0" w:type="dxa"/>
              <w:right w:w="108" w:type="dxa"/>
            </w:tcMar>
          </w:tcPr>
          <w:p w14:paraId="1F3D5E9A"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ALS</w:t>
            </w:r>
          </w:p>
        </w:tc>
        <w:tc>
          <w:tcPr>
            <w:tcW w:w="1149" w:type="dxa"/>
            <w:tcBorders>
              <w:top w:val="single" w:sz="4" w:space="0" w:color="000000"/>
              <w:bottom w:val="single" w:sz="4" w:space="0" w:color="000000"/>
            </w:tcBorders>
            <w:tcMar>
              <w:top w:w="0" w:type="dxa"/>
              <w:left w:w="108" w:type="dxa"/>
              <w:bottom w:w="0" w:type="dxa"/>
              <w:right w:w="108" w:type="dxa"/>
            </w:tcMar>
          </w:tcPr>
          <w:p w14:paraId="1062F42B"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LERM</w:t>
            </w:r>
          </w:p>
        </w:tc>
      </w:tr>
      <w:tr w:rsidR="009120BA" w14:paraId="740DCAE3" w14:textId="77777777" w:rsidTr="006A77E8">
        <w:trPr>
          <w:trHeight w:val="576"/>
        </w:trPr>
        <w:tc>
          <w:tcPr>
            <w:tcW w:w="1181" w:type="dxa"/>
            <w:tcBorders>
              <w:top w:val="single" w:sz="4" w:space="0" w:color="000000"/>
            </w:tcBorders>
            <w:tcMar>
              <w:top w:w="0" w:type="dxa"/>
              <w:left w:w="108" w:type="dxa"/>
              <w:bottom w:w="0" w:type="dxa"/>
              <w:right w:w="108" w:type="dxa"/>
            </w:tcMar>
          </w:tcPr>
          <w:p w14:paraId="411EECD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REED</w:t>
            </w:r>
          </w:p>
        </w:tc>
        <w:tc>
          <w:tcPr>
            <w:tcW w:w="1147" w:type="dxa"/>
            <w:tcBorders>
              <w:top w:val="single" w:sz="4" w:space="0" w:color="000000"/>
            </w:tcBorders>
            <w:tcMar>
              <w:top w:w="0" w:type="dxa"/>
              <w:left w:w="108" w:type="dxa"/>
              <w:bottom w:w="0" w:type="dxa"/>
              <w:right w:w="108" w:type="dxa"/>
            </w:tcMar>
          </w:tcPr>
          <w:p w14:paraId="5A7070F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7" w:type="dxa"/>
            <w:tcBorders>
              <w:top w:val="single" w:sz="4" w:space="0" w:color="000000"/>
            </w:tcBorders>
            <w:tcMar>
              <w:top w:w="0" w:type="dxa"/>
              <w:left w:w="108" w:type="dxa"/>
              <w:bottom w:w="0" w:type="dxa"/>
              <w:right w:w="108" w:type="dxa"/>
            </w:tcMar>
          </w:tcPr>
          <w:p w14:paraId="26AA4F15" w14:textId="77777777" w:rsidR="009120BA" w:rsidRDefault="009120BA" w:rsidP="006A77E8">
            <w:pPr>
              <w:spacing w:line="240" w:lineRule="auto"/>
              <w:rPr>
                <w:rFonts w:ascii="Times New Roman" w:hAnsi="Times New Roman"/>
                <w:sz w:val="24"/>
                <w:szCs w:val="24"/>
                <w:lang w:val="en-US"/>
              </w:rPr>
            </w:pPr>
          </w:p>
        </w:tc>
        <w:tc>
          <w:tcPr>
            <w:tcW w:w="1148" w:type="dxa"/>
            <w:tcBorders>
              <w:top w:val="single" w:sz="4" w:space="0" w:color="000000"/>
            </w:tcBorders>
            <w:tcMar>
              <w:top w:w="0" w:type="dxa"/>
              <w:left w:w="108" w:type="dxa"/>
              <w:bottom w:w="0" w:type="dxa"/>
              <w:right w:w="108" w:type="dxa"/>
            </w:tcMar>
          </w:tcPr>
          <w:p w14:paraId="6EA89791" w14:textId="77777777" w:rsidR="009120BA" w:rsidRDefault="009120BA" w:rsidP="006A77E8">
            <w:pPr>
              <w:spacing w:after="0" w:line="240" w:lineRule="auto"/>
              <w:rPr>
                <w:kern w:val="0"/>
                <w:sz w:val="20"/>
                <w:szCs w:val="20"/>
                <w:lang w:eastAsia="en-GB"/>
              </w:rPr>
            </w:pPr>
          </w:p>
        </w:tc>
        <w:tc>
          <w:tcPr>
            <w:tcW w:w="1148" w:type="dxa"/>
            <w:tcBorders>
              <w:top w:val="single" w:sz="4" w:space="0" w:color="000000"/>
            </w:tcBorders>
            <w:tcMar>
              <w:top w:w="0" w:type="dxa"/>
              <w:left w:w="108" w:type="dxa"/>
              <w:bottom w:w="0" w:type="dxa"/>
              <w:right w:w="108" w:type="dxa"/>
            </w:tcMar>
          </w:tcPr>
          <w:p w14:paraId="54CB85B1" w14:textId="77777777" w:rsidR="009120BA" w:rsidRDefault="009120BA" w:rsidP="006A77E8">
            <w:pPr>
              <w:spacing w:after="0" w:line="240" w:lineRule="auto"/>
              <w:rPr>
                <w:kern w:val="0"/>
                <w:sz w:val="20"/>
                <w:szCs w:val="20"/>
                <w:lang w:eastAsia="en-GB"/>
              </w:rPr>
            </w:pPr>
          </w:p>
        </w:tc>
        <w:tc>
          <w:tcPr>
            <w:tcW w:w="1148" w:type="dxa"/>
            <w:tcBorders>
              <w:top w:val="single" w:sz="4" w:space="0" w:color="000000"/>
            </w:tcBorders>
            <w:tcMar>
              <w:top w:w="0" w:type="dxa"/>
              <w:left w:w="108" w:type="dxa"/>
              <w:bottom w:w="0" w:type="dxa"/>
              <w:right w:w="108" w:type="dxa"/>
            </w:tcMar>
          </w:tcPr>
          <w:p w14:paraId="1ED4C66C" w14:textId="77777777" w:rsidR="009120BA" w:rsidRDefault="009120BA" w:rsidP="006A77E8">
            <w:pPr>
              <w:spacing w:after="0" w:line="240" w:lineRule="auto"/>
              <w:rPr>
                <w:kern w:val="0"/>
                <w:sz w:val="20"/>
                <w:szCs w:val="20"/>
                <w:lang w:eastAsia="en-GB"/>
              </w:rPr>
            </w:pPr>
          </w:p>
        </w:tc>
        <w:tc>
          <w:tcPr>
            <w:tcW w:w="1148" w:type="dxa"/>
            <w:tcBorders>
              <w:top w:val="single" w:sz="4" w:space="0" w:color="000000"/>
            </w:tcBorders>
            <w:tcMar>
              <w:top w:w="0" w:type="dxa"/>
              <w:left w:w="108" w:type="dxa"/>
              <w:bottom w:w="0" w:type="dxa"/>
              <w:right w:w="108" w:type="dxa"/>
            </w:tcMar>
          </w:tcPr>
          <w:p w14:paraId="63CCDF05" w14:textId="77777777" w:rsidR="009120BA" w:rsidRDefault="009120BA" w:rsidP="006A77E8">
            <w:pPr>
              <w:spacing w:after="0" w:line="240" w:lineRule="auto"/>
              <w:rPr>
                <w:kern w:val="0"/>
                <w:sz w:val="20"/>
                <w:szCs w:val="20"/>
                <w:lang w:eastAsia="en-GB"/>
              </w:rPr>
            </w:pPr>
          </w:p>
        </w:tc>
        <w:tc>
          <w:tcPr>
            <w:tcW w:w="1149" w:type="dxa"/>
            <w:tcBorders>
              <w:top w:val="single" w:sz="4" w:space="0" w:color="000000"/>
            </w:tcBorders>
            <w:tcMar>
              <w:top w:w="0" w:type="dxa"/>
              <w:left w:w="108" w:type="dxa"/>
              <w:bottom w:w="0" w:type="dxa"/>
              <w:right w:w="108" w:type="dxa"/>
            </w:tcMar>
          </w:tcPr>
          <w:p w14:paraId="4594AF16" w14:textId="77777777" w:rsidR="009120BA" w:rsidRDefault="009120BA" w:rsidP="006A77E8">
            <w:pPr>
              <w:spacing w:after="0" w:line="240" w:lineRule="auto"/>
              <w:rPr>
                <w:kern w:val="0"/>
                <w:sz w:val="20"/>
                <w:szCs w:val="20"/>
                <w:lang w:eastAsia="en-GB"/>
              </w:rPr>
            </w:pPr>
          </w:p>
        </w:tc>
      </w:tr>
      <w:tr w:rsidR="009120BA" w14:paraId="1A3EBDFE" w14:textId="77777777" w:rsidTr="006A77E8">
        <w:trPr>
          <w:trHeight w:val="576"/>
        </w:trPr>
        <w:tc>
          <w:tcPr>
            <w:tcW w:w="1181" w:type="dxa"/>
            <w:tcMar>
              <w:top w:w="0" w:type="dxa"/>
              <w:left w:w="108" w:type="dxa"/>
              <w:bottom w:w="0" w:type="dxa"/>
              <w:right w:w="108" w:type="dxa"/>
            </w:tcMar>
          </w:tcPr>
          <w:p w14:paraId="502D55E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GPSR</w:t>
            </w:r>
          </w:p>
        </w:tc>
        <w:tc>
          <w:tcPr>
            <w:tcW w:w="1147" w:type="dxa"/>
            <w:tcMar>
              <w:top w:w="0" w:type="dxa"/>
              <w:left w:w="108" w:type="dxa"/>
              <w:bottom w:w="0" w:type="dxa"/>
              <w:right w:w="108" w:type="dxa"/>
            </w:tcMar>
          </w:tcPr>
          <w:p w14:paraId="76449CD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.462**</w:t>
            </w:r>
          </w:p>
        </w:tc>
        <w:tc>
          <w:tcPr>
            <w:tcW w:w="1147" w:type="dxa"/>
            <w:tcMar>
              <w:top w:w="0" w:type="dxa"/>
              <w:left w:w="108" w:type="dxa"/>
              <w:bottom w:w="0" w:type="dxa"/>
              <w:right w:w="108" w:type="dxa"/>
            </w:tcMar>
          </w:tcPr>
          <w:p w14:paraId="4141A07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8" w:type="dxa"/>
            <w:tcMar>
              <w:top w:w="0" w:type="dxa"/>
              <w:left w:w="108" w:type="dxa"/>
              <w:bottom w:w="0" w:type="dxa"/>
              <w:right w:w="108" w:type="dxa"/>
            </w:tcMar>
          </w:tcPr>
          <w:p w14:paraId="0DB71190" w14:textId="77777777" w:rsidR="009120BA" w:rsidRDefault="009120BA" w:rsidP="006A77E8">
            <w:pPr>
              <w:spacing w:line="240" w:lineRule="auto"/>
              <w:rPr>
                <w:rFonts w:ascii="Times New Roman" w:hAnsi="Times New Roman"/>
                <w:sz w:val="24"/>
                <w:szCs w:val="24"/>
                <w:lang w:val="en-US"/>
              </w:rPr>
            </w:pPr>
          </w:p>
        </w:tc>
        <w:tc>
          <w:tcPr>
            <w:tcW w:w="1148" w:type="dxa"/>
            <w:tcMar>
              <w:top w:w="0" w:type="dxa"/>
              <w:left w:w="108" w:type="dxa"/>
              <w:bottom w:w="0" w:type="dxa"/>
              <w:right w:w="108" w:type="dxa"/>
            </w:tcMar>
          </w:tcPr>
          <w:p w14:paraId="43298A98" w14:textId="77777777" w:rsidR="009120BA" w:rsidRDefault="009120BA" w:rsidP="006A77E8">
            <w:pPr>
              <w:spacing w:after="0" w:line="240" w:lineRule="auto"/>
              <w:rPr>
                <w:kern w:val="0"/>
                <w:sz w:val="20"/>
                <w:szCs w:val="20"/>
                <w:lang w:eastAsia="en-GB"/>
              </w:rPr>
            </w:pPr>
          </w:p>
        </w:tc>
        <w:tc>
          <w:tcPr>
            <w:tcW w:w="1148" w:type="dxa"/>
            <w:tcMar>
              <w:top w:w="0" w:type="dxa"/>
              <w:left w:w="108" w:type="dxa"/>
              <w:bottom w:w="0" w:type="dxa"/>
              <w:right w:w="108" w:type="dxa"/>
            </w:tcMar>
          </w:tcPr>
          <w:p w14:paraId="2BB6B56C" w14:textId="77777777" w:rsidR="009120BA" w:rsidRDefault="009120BA" w:rsidP="006A77E8">
            <w:pPr>
              <w:spacing w:after="0" w:line="240" w:lineRule="auto"/>
              <w:rPr>
                <w:kern w:val="0"/>
                <w:sz w:val="20"/>
                <w:szCs w:val="20"/>
                <w:lang w:eastAsia="en-GB"/>
              </w:rPr>
            </w:pPr>
          </w:p>
        </w:tc>
        <w:tc>
          <w:tcPr>
            <w:tcW w:w="1148" w:type="dxa"/>
            <w:tcMar>
              <w:top w:w="0" w:type="dxa"/>
              <w:left w:w="108" w:type="dxa"/>
              <w:bottom w:w="0" w:type="dxa"/>
              <w:right w:w="108" w:type="dxa"/>
            </w:tcMar>
          </w:tcPr>
          <w:p w14:paraId="1B5ABFA9" w14:textId="77777777" w:rsidR="009120BA" w:rsidRDefault="009120BA" w:rsidP="006A77E8">
            <w:pPr>
              <w:spacing w:after="0" w:line="240" w:lineRule="auto"/>
              <w:rPr>
                <w:kern w:val="0"/>
                <w:sz w:val="20"/>
                <w:szCs w:val="20"/>
                <w:lang w:eastAsia="en-GB"/>
              </w:rPr>
            </w:pPr>
          </w:p>
        </w:tc>
        <w:tc>
          <w:tcPr>
            <w:tcW w:w="1149" w:type="dxa"/>
            <w:tcMar>
              <w:top w:w="0" w:type="dxa"/>
              <w:left w:w="108" w:type="dxa"/>
              <w:bottom w:w="0" w:type="dxa"/>
              <w:right w:w="108" w:type="dxa"/>
            </w:tcMar>
          </w:tcPr>
          <w:p w14:paraId="03777E8E" w14:textId="77777777" w:rsidR="009120BA" w:rsidRDefault="009120BA" w:rsidP="006A77E8">
            <w:pPr>
              <w:spacing w:after="0" w:line="240" w:lineRule="auto"/>
              <w:rPr>
                <w:kern w:val="0"/>
                <w:sz w:val="20"/>
                <w:szCs w:val="20"/>
                <w:lang w:eastAsia="en-GB"/>
              </w:rPr>
            </w:pPr>
          </w:p>
        </w:tc>
      </w:tr>
      <w:tr w:rsidR="009120BA" w14:paraId="618FE6BD" w14:textId="77777777" w:rsidTr="006A77E8">
        <w:trPr>
          <w:trHeight w:val="576"/>
        </w:trPr>
        <w:tc>
          <w:tcPr>
            <w:tcW w:w="1181" w:type="dxa"/>
            <w:tcMar>
              <w:top w:w="0" w:type="dxa"/>
              <w:left w:w="108" w:type="dxa"/>
              <w:bottom w:w="0" w:type="dxa"/>
              <w:right w:w="108" w:type="dxa"/>
            </w:tcMar>
          </w:tcPr>
          <w:p w14:paraId="740B79C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SCPI</w:t>
            </w:r>
          </w:p>
        </w:tc>
        <w:tc>
          <w:tcPr>
            <w:tcW w:w="1147" w:type="dxa"/>
            <w:tcMar>
              <w:top w:w="0" w:type="dxa"/>
              <w:left w:w="108" w:type="dxa"/>
              <w:bottom w:w="0" w:type="dxa"/>
              <w:right w:w="108" w:type="dxa"/>
            </w:tcMar>
          </w:tcPr>
          <w:p w14:paraId="774BFCE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.411**</w:t>
            </w:r>
          </w:p>
        </w:tc>
        <w:tc>
          <w:tcPr>
            <w:tcW w:w="1147" w:type="dxa"/>
            <w:tcMar>
              <w:top w:w="0" w:type="dxa"/>
              <w:left w:w="108" w:type="dxa"/>
              <w:bottom w:w="0" w:type="dxa"/>
              <w:right w:w="108" w:type="dxa"/>
            </w:tcMar>
          </w:tcPr>
          <w:p w14:paraId="3932A89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.538**</w:t>
            </w:r>
          </w:p>
        </w:tc>
        <w:tc>
          <w:tcPr>
            <w:tcW w:w="1148" w:type="dxa"/>
            <w:tcMar>
              <w:top w:w="0" w:type="dxa"/>
              <w:left w:w="108" w:type="dxa"/>
              <w:bottom w:w="0" w:type="dxa"/>
              <w:right w:w="108" w:type="dxa"/>
            </w:tcMar>
          </w:tcPr>
          <w:p w14:paraId="677ADEB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8" w:type="dxa"/>
            <w:tcMar>
              <w:top w:w="0" w:type="dxa"/>
              <w:left w:w="108" w:type="dxa"/>
              <w:bottom w:w="0" w:type="dxa"/>
              <w:right w:w="108" w:type="dxa"/>
            </w:tcMar>
          </w:tcPr>
          <w:p w14:paraId="6FBE9985" w14:textId="77777777" w:rsidR="009120BA" w:rsidRDefault="009120BA" w:rsidP="006A77E8">
            <w:pPr>
              <w:spacing w:line="240" w:lineRule="auto"/>
              <w:rPr>
                <w:rFonts w:ascii="Times New Roman" w:hAnsi="Times New Roman"/>
                <w:sz w:val="24"/>
                <w:szCs w:val="24"/>
                <w:lang w:val="en-US"/>
              </w:rPr>
            </w:pPr>
          </w:p>
        </w:tc>
        <w:tc>
          <w:tcPr>
            <w:tcW w:w="1148" w:type="dxa"/>
            <w:tcMar>
              <w:top w:w="0" w:type="dxa"/>
              <w:left w:w="108" w:type="dxa"/>
              <w:bottom w:w="0" w:type="dxa"/>
              <w:right w:w="108" w:type="dxa"/>
            </w:tcMar>
          </w:tcPr>
          <w:p w14:paraId="7E14865D" w14:textId="77777777" w:rsidR="009120BA" w:rsidRDefault="009120BA" w:rsidP="006A77E8">
            <w:pPr>
              <w:spacing w:after="0" w:line="240" w:lineRule="auto"/>
              <w:rPr>
                <w:kern w:val="0"/>
                <w:sz w:val="20"/>
                <w:szCs w:val="20"/>
                <w:lang w:eastAsia="en-GB"/>
              </w:rPr>
            </w:pPr>
          </w:p>
        </w:tc>
        <w:tc>
          <w:tcPr>
            <w:tcW w:w="1148" w:type="dxa"/>
            <w:tcMar>
              <w:top w:w="0" w:type="dxa"/>
              <w:left w:w="108" w:type="dxa"/>
              <w:bottom w:w="0" w:type="dxa"/>
              <w:right w:w="108" w:type="dxa"/>
            </w:tcMar>
          </w:tcPr>
          <w:p w14:paraId="74739225" w14:textId="77777777" w:rsidR="009120BA" w:rsidRDefault="009120BA" w:rsidP="006A77E8">
            <w:pPr>
              <w:spacing w:after="0" w:line="240" w:lineRule="auto"/>
              <w:rPr>
                <w:kern w:val="0"/>
                <w:sz w:val="20"/>
                <w:szCs w:val="20"/>
                <w:lang w:eastAsia="en-GB"/>
              </w:rPr>
            </w:pPr>
          </w:p>
        </w:tc>
        <w:tc>
          <w:tcPr>
            <w:tcW w:w="1149" w:type="dxa"/>
            <w:tcMar>
              <w:top w:w="0" w:type="dxa"/>
              <w:left w:w="108" w:type="dxa"/>
              <w:bottom w:w="0" w:type="dxa"/>
              <w:right w:w="108" w:type="dxa"/>
            </w:tcMar>
          </w:tcPr>
          <w:p w14:paraId="10BA9918" w14:textId="77777777" w:rsidR="009120BA" w:rsidRDefault="009120BA" w:rsidP="006A77E8">
            <w:pPr>
              <w:spacing w:after="0" w:line="240" w:lineRule="auto"/>
              <w:rPr>
                <w:kern w:val="0"/>
                <w:sz w:val="20"/>
                <w:szCs w:val="20"/>
                <w:lang w:eastAsia="en-GB"/>
              </w:rPr>
            </w:pPr>
          </w:p>
        </w:tc>
      </w:tr>
      <w:tr w:rsidR="009120BA" w14:paraId="51441545" w14:textId="77777777" w:rsidTr="006A77E8">
        <w:trPr>
          <w:trHeight w:val="576"/>
        </w:trPr>
        <w:tc>
          <w:tcPr>
            <w:tcW w:w="1181" w:type="dxa"/>
            <w:tcMar>
              <w:top w:w="0" w:type="dxa"/>
              <w:left w:w="108" w:type="dxa"/>
              <w:bottom w:w="0" w:type="dxa"/>
              <w:right w:w="108" w:type="dxa"/>
            </w:tcMar>
          </w:tcPr>
          <w:p w14:paraId="6893C34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SCR</w:t>
            </w:r>
          </w:p>
        </w:tc>
        <w:tc>
          <w:tcPr>
            <w:tcW w:w="1147" w:type="dxa"/>
            <w:tcMar>
              <w:top w:w="0" w:type="dxa"/>
              <w:left w:w="108" w:type="dxa"/>
              <w:bottom w:w="0" w:type="dxa"/>
              <w:right w:w="108" w:type="dxa"/>
            </w:tcMar>
          </w:tcPr>
          <w:p w14:paraId="07B6E30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.368**</w:t>
            </w:r>
          </w:p>
        </w:tc>
        <w:tc>
          <w:tcPr>
            <w:tcW w:w="1147" w:type="dxa"/>
            <w:tcMar>
              <w:top w:w="0" w:type="dxa"/>
              <w:left w:w="108" w:type="dxa"/>
              <w:bottom w:w="0" w:type="dxa"/>
              <w:right w:w="108" w:type="dxa"/>
            </w:tcMar>
          </w:tcPr>
          <w:p w14:paraId="0E30E09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.447**</w:t>
            </w:r>
          </w:p>
        </w:tc>
        <w:tc>
          <w:tcPr>
            <w:tcW w:w="1148" w:type="dxa"/>
            <w:tcMar>
              <w:top w:w="0" w:type="dxa"/>
              <w:left w:w="108" w:type="dxa"/>
              <w:bottom w:w="0" w:type="dxa"/>
              <w:right w:w="108" w:type="dxa"/>
            </w:tcMar>
          </w:tcPr>
          <w:p w14:paraId="042487D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.583**</w:t>
            </w:r>
          </w:p>
        </w:tc>
        <w:tc>
          <w:tcPr>
            <w:tcW w:w="1148" w:type="dxa"/>
            <w:tcMar>
              <w:top w:w="0" w:type="dxa"/>
              <w:left w:w="108" w:type="dxa"/>
              <w:bottom w:w="0" w:type="dxa"/>
              <w:right w:w="108" w:type="dxa"/>
            </w:tcMar>
          </w:tcPr>
          <w:p w14:paraId="087B7F6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8" w:type="dxa"/>
            <w:tcMar>
              <w:top w:w="0" w:type="dxa"/>
              <w:left w:w="108" w:type="dxa"/>
              <w:bottom w:w="0" w:type="dxa"/>
              <w:right w:w="108" w:type="dxa"/>
            </w:tcMar>
          </w:tcPr>
          <w:p w14:paraId="04D23190" w14:textId="77777777" w:rsidR="009120BA" w:rsidRDefault="009120BA" w:rsidP="006A77E8">
            <w:pPr>
              <w:spacing w:line="240" w:lineRule="auto"/>
              <w:rPr>
                <w:rFonts w:ascii="Times New Roman" w:hAnsi="Times New Roman"/>
                <w:sz w:val="24"/>
                <w:szCs w:val="24"/>
                <w:lang w:val="en-US"/>
              </w:rPr>
            </w:pPr>
          </w:p>
        </w:tc>
        <w:tc>
          <w:tcPr>
            <w:tcW w:w="1148" w:type="dxa"/>
            <w:tcMar>
              <w:top w:w="0" w:type="dxa"/>
              <w:left w:w="108" w:type="dxa"/>
              <w:bottom w:w="0" w:type="dxa"/>
              <w:right w:w="108" w:type="dxa"/>
            </w:tcMar>
          </w:tcPr>
          <w:p w14:paraId="0EC410D2" w14:textId="77777777" w:rsidR="009120BA" w:rsidRDefault="009120BA" w:rsidP="006A77E8">
            <w:pPr>
              <w:spacing w:after="0" w:line="240" w:lineRule="auto"/>
              <w:rPr>
                <w:kern w:val="0"/>
                <w:sz w:val="20"/>
                <w:szCs w:val="20"/>
                <w:lang w:eastAsia="en-GB"/>
              </w:rPr>
            </w:pPr>
          </w:p>
        </w:tc>
        <w:tc>
          <w:tcPr>
            <w:tcW w:w="1149" w:type="dxa"/>
            <w:tcMar>
              <w:top w:w="0" w:type="dxa"/>
              <w:left w:w="108" w:type="dxa"/>
              <w:bottom w:w="0" w:type="dxa"/>
              <w:right w:w="108" w:type="dxa"/>
            </w:tcMar>
          </w:tcPr>
          <w:p w14:paraId="12C601E9" w14:textId="77777777" w:rsidR="009120BA" w:rsidRDefault="009120BA" w:rsidP="006A77E8">
            <w:pPr>
              <w:spacing w:after="0" w:line="240" w:lineRule="auto"/>
              <w:rPr>
                <w:kern w:val="0"/>
                <w:sz w:val="20"/>
                <w:szCs w:val="20"/>
                <w:lang w:eastAsia="en-GB"/>
              </w:rPr>
            </w:pPr>
          </w:p>
        </w:tc>
      </w:tr>
      <w:tr w:rsidR="009120BA" w14:paraId="24A51CBC" w14:textId="77777777" w:rsidTr="006A77E8">
        <w:trPr>
          <w:trHeight w:val="576"/>
        </w:trPr>
        <w:tc>
          <w:tcPr>
            <w:tcW w:w="1181" w:type="dxa"/>
            <w:tcMar>
              <w:top w:w="0" w:type="dxa"/>
              <w:left w:w="108" w:type="dxa"/>
              <w:bottom w:w="0" w:type="dxa"/>
              <w:right w:w="108" w:type="dxa"/>
            </w:tcMar>
          </w:tcPr>
          <w:p w14:paraId="3BF0D8C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DLS</w:t>
            </w:r>
          </w:p>
        </w:tc>
        <w:tc>
          <w:tcPr>
            <w:tcW w:w="1147" w:type="dxa"/>
            <w:tcMar>
              <w:top w:w="0" w:type="dxa"/>
              <w:left w:w="108" w:type="dxa"/>
              <w:bottom w:w="0" w:type="dxa"/>
              <w:right w:w="108" w:type="dxa"/>
            </w:tcMar>
          </w:tcPr>
          <w:p w14:paraId="21B9F70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.295*</w:t>
            </w:r>
          </w:p>
        </w:tc>
        <w:tc>
          <w:tcPr>
            <w:tcW w:w="1147" w:type="dxa"/>
            <w:tcMar>
              <w:top w:w="0" w:type="dxa"/>
              <w:left w:w="108" w:type="dxa"/>
              <w:bottom w:w="0" w:type="dxa"/>
              <w:right w:w="108" w:type="dxa"/>
            </w:tcMar>
          </w:tcPr>
          <w:p w14:paraId="7647B1F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.334**</w:t>
            </w:r>
          </w:p>
        </w:tc>
        <w:tc>
          <w:tcPr>
            <w:tcW w:w="1148" w:type="dxa"/>
            <w:tcMar>
              <w:top w:w="0" w:type="dxa"/>
              <w:left w:w="108" w:type="dxa"/>
              <w:bottom w:w="0" w:type="dxa"/>
              <w:right w:w="108" w:type="dxa"/>
            </w:tcMar>
          </w:tcPr>
          <w:p w14:paraId="378367C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.406**</w:t>
            </w:r>
          </w:p>
        </w:tc>
        <w:tc>
          <w:tcPr>
            <w:tcW w:w="1148" w:type="dxa"/>
            <w:tcMar>
              <w:top w:w="0" w:type="dxa"/>
              <w:left w:w="108" w:type="dxa"/>
              <w:bottom w:w="0" w:type="dxa"/>
              <w:right w:w="108" w:type="dxa"/>
            </w:tcMar>
          </w:tcPr>
          <w:p w14:paraId="47316B0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.491**</w:t>
            </w:r>
          </w:p>
        </w:tc>
        <w:tc>
          <w:tcPr>
            <w:tcW w:w="1148" w:type="dxa"/>
            <w:tcMar>
              <w:top w:w="0" w:type="dxa"/>
              <w:left w:w="108" w:type="dxa"/>
              <w:bottom w:w="0" w:type="dxa"/>
              <w:right w:w="108" w:type="dxa"/>
            </w:tcMar>
          </w:tcPr>
          <w:p w14:paraId="4DE4B42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8" w:type="dxa"/>
            <w:tcMar>
              <w:top w:w="0" w:type="dxa"/>
              <w:left w:w="108" w:type="dxa"/>
              <w:bottom w:w="0" w:type="dxa"/>
              <w:right w:w="108" w:type="dxa"/>
            </w:tcMar>
          </w:tcPr>
          <w:p w14:paraId="59E1161C" w14:textId="77777777" w:rsidR="009120BA" w:rsidRDefault="009120BA" w:rsidP="006A77E8">
            <w:pPr>
              <w:spacing w:line="240" w:lineRule="auto"/>
              <w:rPr>
                <w:rFonts w:ascii="Times New Roman" w:hAnsi="Times New Roman"/>
                <w:sz w:val="24"/>
                <w:szCs w:val="24"/>
                <w:lang w:val="en-US"/>
              </w:rPr>
            </w:pPr>
          </w:p>
        </w:tc>
        <w:tc>
          <w:tcPr>
            <w:tcW w:w="1149" w:type="dxa"/>
            <w:tcMar>
              <w:top w:w="0" w:type="dxa"/>
              <w:left w:w="108" w:type="dxa"/>
              <w:bottom w:w="0" w:type="dxa"/>
              <w:right w:w="108" w:type="dxa"/>
            </w:tcMar>
          </w:tcPr>
          <w:p w14:paraId="2B1A225D" w14:textId="77777777" w:rsidR="009120BA" w:rsidRDefault="009120BA" w:rsidP="006A77E8">
            <w:pPr>
              <w:spacing w:after="0" w:line="240" w:lineRule="auto"/>
              <w:rPr>
                <w:kern w:val="0"/>
                <w:sz w:val="20"/>
                <w:szCs w:val="20"/>
                <w:lang w:eastAsia="en-GB"/>
              </w:rPr>
            </w:pPr>
          </w:p>
        </w:tc>
      </w:tr>
      <w:tr w:rsidR="009120BA" w14:paraId="17DEFE38" w14:textId="77777777" w:rsidTr="006A77E8">
        <w:trPr>
          <w:trHeight w:val="576"/>
        </w:trPr>
        <w:tc>
          <w:tcPr>
            <w:tcW w:w="1181" w:type="dxa"/>
            <w:tcMar>
              <w:top w:w="0" w:type="dxa"/>
              <w:left w:w="108" w:type="dxa"/>
              <w:bottom w:w="0" w:type="dxa"/>
              <w:right w:w="108" w:type="dxa"/>
            </w:tcMar>
          </w:tcPr>
          <w:p w14:paraId="6D4C0EB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ALS</w:t>
            </w:r>
          </w:p>
        </w:tc>
        <w:tc>
          <w:tcPr>
            <w:tcW w:w="1147" w:type="dxa"/>
            <w:tcMar>
              <w:top w:w="0" w:type="dxa"/>
              <w:left w:w="108" w:type="dxa"/>
              <w:bottom w:w="0" w:type="dxa"/>
              <w:right w:w="108" w:type="dxa"/>
            </w:tcMar>
          </w:tcPr>
          <w:p w14:paraId="19DC978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.382**</w:t>
            </w:r>
          </w:p>
        </w:tc>
        <w:tc>
          <w:tcPr>
            <w:tcW w:w="1147" w:type="dxa"/>
            <w:tcMar>
              <w:top w:w="0" w:type="dxa"/>
              <w:left w:w="108" w:type="dxa"/>
              <w:bottom w:w="0" w:type="dxa"/>
              <w:right w:w="108" w:type="dxa"/>
            </w:tcMar>
          </w:tcPr>
          <w:p w14:paraId="3EAF1B2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.421**</w:t>
            </w:r>
          </w:p>
        </w:tc>
        <w:tc>
          <w:tcPr>
            <w:tcW w:w="1148" w:type="dxa"/>
            <w:tcMar>
              <w:top w:w="0" w:type="dxa"/>
              <w:left w:w="108" w:type="dxa"/>
              <w:bottom w:w="0" w:type="dxa"/>
              <w:right w:w="108" w:type="dxa"/>
            </w:tcMar>
          </w:tcPr>
          <w:p w14:paraId="5EB13E3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.519**</w:t>
            </w:r>
          </w:p>
        </w:tc>
        <w:tc>
          <w:tcPr>
            <w:tcW w:w="1148" w:type="dxa"/>
            <w:tcMar>
              <w:top w:w="0" w:type="dxa"/>
              <w:left w:w="108" w:type="dxa"/>
              <w:bottom w:w="0" w:type="dxa"/>
              <w:right w:w="108" w:type="dxa"/>
            </w:tcMar>
          </w:tcPr>
          <w:p w14:paraId="50ADCEA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.617**</w:t>
            </w:r>
          </w:p>
        </w:tc>
        <w:tc>
          <w:tcPr>
            <w:tcW w:w="1148" w:type="dxa"/>
            <w:tcMar>
              <w:top w:w="0" w:type="dxa"/>
              <w:left w:w="108" w:type="dxa"/>
              <w:bottom w:w="0" w:type="dxa"/>
              <w:right w:w="108" w:type="dxa"/>
            </w:tcMar>
          </w:tcPr>
          <w:p w14:paraId="36DCC4D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.574**</w:t>
            </w:r>
          </w:p>
        </w:tc>
        <w:tc>
          <w:tcPr>
            <w:tcW w:w="1148" w:type="dxa"/>
            <w:tcMar>
              <w:top w:w="0" w:type="dxa"/>
              <w:left w:w="108" w:type="dxa"/>
              <w:bottom w:w="0" w:type="dxa"/>
              <w:right w:w="108" w:type="dxa"/>
            </w:tcMar>
          </w:tcPr>
          <w:p w14:paraId="4E792BF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c>
          <w:tcPr>
            <w:tcW w:w="1149" w:type="dxa"/>
            <w:tcMar>
              <w:top w:w="0" w:type="dxa"/>
              <w:left w:w="108" w:type="dxa"/>
              <w:bottom w:w="0" w:type="dxa"/>
              <w:right w:w="108" w:type="dxa"/>
            </w:tcMar>
          </w:tcPr>
          <w:p w14:paraId="1998D98F" w14:textId="77777777" w:rsidR="009120BA" w:rsidRDefault="009120BA" w:rsidP="006A77E8">
            <w:pPr>
              <w:spacing w:line="240" w:lineRule="auto"/>
              <w:rPr>
                <w:rFonts w:ascii="Times New Roman" w:hAnsi="Times New Roman"/>
                <w:sz w:val="24"/>
                <w:szCs w:val="24"/>
                <w:lang w:val="en-US"/>
              </w:rPr>
            </w:pPr>
          </w:p>
        </w:tc>
      </w:tr>
      <w:tr w:rsidR="009120BA" w14:paraId="77077157" w14:textId="77777777" w:rsidTr="006A77E8">
        <w:trPr>
          <w:trHeight w:val="576"/>
        </w:trPr>
        <w:tc>
          <w:tcPr>
            <w:tcW w:w="1181" w:type="dxa"/>
            <w:tcBorders>
              <w:bottom w:val="single" w:sz="4" w:space="0" w:color="000000"/>
            </w:tcBorders>
            <w:tcMar>
              <w:top w:w="0" w:type="dxa"/>
              <w:left w:w="108" w:type="dxa"/>
              <w:bottom w:w="0" w:type="dxa"/>
              <w:right w:w="108" w:type="dxa"/>
            </w:tcMar>
          </w:tcPr>
          <w:p w14:paraId="60CB77D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LERM</w:t>
            </w:r>
          </w:p>
        </w:tc>
        <w:tc>
          <w:tcPr>
            <w:tcW w:w="1147" w:type="dxa"/>
            <w:tcBorders>
              <w:bottom w:val="single" w:sz="4" w:space="0" w:color="000000"/>
            </w:tcBorders>
            <w:tcMar>
              <w:top w:w="0" w:type="dxa"/>
              <w:left w:w="108" w:type="dxa"/>
              <w:bottom w:w="0" w:type="dxa"/>
              <w:right w:w="108" w:type="dxa"/>
            </w:tcMar>
          </w:tcPr>
          <w:p w14:paraId="78C0861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.347**</w:t>
            </w:r>
          </w:p>
        </w:tc>
        <w:tc>
          <w:tcPr>
            <w:tcW w:w="1147" w:type="dxa"/>
            <w:tcBorders>
              <w:bottom w:val="single" w:sz="4" w:space="0" w:color="000000"/>
            </w:tcBorders>
            <w:tcMar>
              <w:top w:w="0" w:type="dxa"/>
              <w:left w:w="108" w:type="dxa"/>
              <w:bottom w:w="0" w:type="dxa"/>
              <w:right w:w="108" w:type="dxa"/>
            </w:tcMar>
          </w:tcPr>
          <w:p w14:paraId="0CE4C8D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.394**</w:t>
            </w:r>
          </w:p>
        </w:tc>
        <w:tc>
          <w:tcPr>
            <w:tcW w:w="1148" w:type="dxa"/>
            <w:tcBorders>
              <w:bottom w:val="single" w:sz="4" w:space="0" w:color="000000"/>
            </w:tcBorders>
            <w:tcMar>
              <w:top w:w="0" w:type="dxa"/>
              <w:left w:w="108" w:type="dxa"/>
              <w:bottom w:w="0" w:type="dxa"/>
              <w:right w:w="108" w:type="dxa"/>
            </w:tcMar>
          </w:tcPr>
          <w:p w14:paraId="3FF8D71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.481**</w:t>
            </w:r>
          </w:p>
        </w:tc>
        <w:tc>
          <w:tcPr>
            <w:tcW w:w="1148" w:type="dxa"/>
            <w:tcBorders>
              <w:bottom w:val="single" w:sz="4" w:space="0" w:color="000000"/>
            </w:tcBorders>
            <w:tcMar>
              <w:top w:w="0" w:type="dxa"/>
              <w:left w:w="108" w:type="dxa"/>
              <w:bottom w:w="0" w:type="dxa"/>
              <w:right w:w="108" w:type="dxa"/>
            </w:tcMar>
          </w:tcPr>
          <w:p w14:paraId="485F522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.642**</w:t>
            </w:r>
          </w:p>
        </w:tc>
        <w:tc>
          <w:tcPr>
            <w:tcW w:w="1148" w:type="dxa"/>
            <w:tcBorders>
              <w:bottom w:val="single" w:sz="4" w:space="0" w:color="000000"/>
            </w:tcBorders>
            <w:tcMar>
              <w:top w:w="0" w:type="dxa"/>
              <w:left w:w="108" w:type="dxa"/>
              <w:bottom w:w="0" w:type="dxa"/>
              <w:right w:w="108" w:type="dxa"/>
            </w:tcMar>
          </w:tcPr>
          <w:p w14:paraId="0BE0B8F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.528**</w:t>
            </w:r>
          </w:p>
        </w:tc>
        <w:tc>
          <w:tcPr>
            <w:tcW w:w="1148" w:type="dxa"/>
            <w:tcBorders>
              <w:bottom w:val="single" w:sz="4" w:space="0" w:color="000000"/>
            </w:tcBorders>
            <w:tcMar>
              <w:top w:w="0" w:type="dxa"/>
              <w:left w:w="108" w:type="dxa"/>
              <w:bottom w:w="0" w:type="dxa"/>
              <w:right w:w="108" w:type="dxa"/>
            </w:tcMar>
          </w:tcPr>
          <w:p w14:paraId="4724475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.701**</w:t>
            </w:r>
          </w:p>
        </w:tc>
        <w:tc>
          <w:tcPr>
            <w:tcW w:w="1149" w:type="dxa"/>
            <w:tcBorders>
              <w:bottom w:val="single" w:sz="4" w:space="0" w:color="000000"/>
            </w:tcBorders>
            <w:tcMar>
              <w:top w:w="0" w:type="dxa"/>
              <w:left w:w="108" w:type="dxa"/>
              <w:bottom w:w="0" w:type="dxa"/>
              <w:right w:w="108" w:type="dxa"/>
            </w:tcMar>
          </w:tcPr>
          <w:p w14:paraId="55D211F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1.000</w:t>
            </w:r>
          </w:p>
        </w:tc>
      </w:tr>
    </w:tbl>
    <w:p w14:paraId="7393FD2E" w14:textId="77777777" w:rsidR="009120BA" w:rsidRDefault="009120BA" w:rsidP="009120BA">
      <w:pPr>
        <w:spacing w:after="0" w:line="360" w:lineRule="auto"/>
        <w:jc w:val="both"/>
      </w:pPr>
      <w:r>
        <w:rPr>
          <w:rFonts w:ascii="Times New Roman" w:hAnsi="Times New Roman"/>
          <w:b/>
          <w:bCs/>
          <w:i/>
          <w:iCs/>
          <w:sz w:val="24"/>
          <w:szCs w:val="24"/>
          <w:lang w:val="en-US"/>
        </w:rPr>
        <w:t>Note:</w:t>
      </w:r>
      <w:r>
        <w:rPr>
          <w:rFonts w:ascii="Times New Roman" w:hAnsi="Times New Roman"/>
          <w:i/>
          <w:iCs/>
          <w:sz w:val="24"/>
          <w:szCs w:val="24"/>
          <w:lang w:val="en-US"/>
        </w:rPr>
        <w:t xml:space="preserve"> p &lt; .05; </w:t>
      </w:r>
      <w:r>
        <w:rPr>
          <w:rFonts w:ascii="Times New Roman" w:hAnsi="Times New Roman"/>
          <w:b/>
          <w:bCs/>
          <w:i/>
          <w:iCs/>
          <w:sz w:val="24"/>
          <w:szCs w:val="24"/>
          <w:lang w:val="en-US"/>
        </w:rPr>
        <w:t>p</w:t>
      </w:r>
      <w:r>
        <w:rPr>
          <w:rFonts w:ascii="Times New Roman" w:hAnsi="Times New Roman"/>
          <w:i/>
          <w:iCs/>
          <w:sz w:val="24"/>
          <w:szCs w:val="24"/>
          <w:lang w:val="en-US"/>
        </w:rPr>
        <w:t xml:space="preserve"> &lt; .01 (2-tailed). </w:t>
      </w:r>
      <w:r>
        <w:rPr>
          <w:rFonts w:ascii="Times New Roman" w:hAnsi="Times New Roman"/>
          <w:b/>
          <w:bCs/>
          <w:i/>
          <w:iCs/>
          <w:sz w:val="24"/>
          <w:szCs w:val="24"/>
          <w:lang w:val="en-US"/>
        </w:rPr>
        <w:t>Source:</w:t>
      </w:r>
      <w:r>
        <w:rPr>
          <w:rFonts w:ascii="Times New Roman" w:hAnsi="Times New Roman"/>
          <w:i/>
          <w:iCs/>
          <w:sz w:val="24"/>
          <w:szCs w:val="24"/>
          <w:lang w:val="en-US"/>
        </w:rPr>
        <w:t xml:space="preserve"> Field Survey, 2026 (N = 90) REED = Rare Earth Element Dependency; GPSR = Geopolitical Supply Risk Exposure; SCPI = Supply Chain Performance Impact; SCR = Supply Chain Resilience; DLS = Directive Leadership Style; ALS = Adaptive Leadership Style; LERM = Leadership Effectiveness in Risk Mitigation. Pearson correlation coefficients are reported. N = 90. Correlation is significant at p &lt; .05 (*); correlation is significant at p &lt; .01 (**), two-tailed.</w:t>
      </w:r>
    </w:p>
    <w:p w14:paraId="0F64C12E"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3" w:name="_Toc232013538"/>
      <w:r>
        <w:rPr>
          <w:rFonts w:ascii="Times New Roman" w:eastAsia="Times New Roman" w:hAnsi="Times New Roman"/>
          <w:b/>
          <w:bCs/>
          <w:sz w:val="24"/>
          <w:szCs w:val="24"/>
          <w:lang w:val="en-US"/>
        </w:rPr>
        <w:t>4.3.3 Normality Properties of Series Residuals</w:t>
      </w:r>
      <w:bookmarkEnd w:id="43"/>
    </w:p>
    <w:p w14:paraId="2753B1BE" w14:textId="5A5288C8"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To assess whether the data satisfy the normality assumption, the normality properties of the regression residuals were examined using Jarque-Bera test, skewness, and kurtosis statistics. The results are presented in Figure 7 The residual distribution produced a skewness value of -0.116, indicating that the residuals are approximately symmetric around the mean. </w:t>
      </w:r>
      <w:r w:rsidR="00910DD1">
        <w:rPr>
          <w:rFonts w:ascii="Times New Roman" w:hAnsi="Times New Roman"/>
          <w:sz w:val="24"/>
          <w:szCs w:val="24"/>
          <w:lang w:val="en-US"/>
        </w:rPr>
        <w:t>Likewise</w:t>
      </w:r>
      <w:r>
        <w:rPr>
          <w:rFonts w:ascii="Times New Roman" w:hAnsi="Times New Roman"/>
          <w:sz w:val="24"/>
          <w:szCs w:val="24"/>
          <w:lang w:val="en-US"/>
        </w:rPr>
        <w:t xml:space="preserve">, the kurtosis value of 2.702 is close to the </w:t>
      </w:r>
      <w:r w:rsidR="007B1BC6">
        <w:rPr>
          <w:rFonts w:ascii="Times New Roman" w:hAnsi="Times New Roman"/>
          <w:sz w:val="24"/>
          <w:szCs w:val="24"/>
          <w:lang w:val="en-US"/>
        </w:rPr>
        <w:t>scale</w:t>
      </w:r>
      <w:r>
        <w:rPr>
          <w:rFonts w:ascii="Times New Roman" w:hAnsi="Times New Roman"/>
          <w:sz w:val="24"/>
          <w:szCs w:val="24"/>
          <w:lang w:val="en-US"/>
        </w:rPr>
        <w:t xml:space="preserve"> value of 3.0 associated with a normal distribution, suggesting the absence of excessive </w:t>
      </w:r>
      <w:proofErr w:type="spellStart"/>
      <w:r>
        <w:rPr>
          <w:rFonts w:ascii="Times New Roman" w:hAnsi="Times New Roman"/>
          <w:sz w:val="24"/>
          <w:szCs w:val="24"/>
          <w:lang w:val="en-US"/>
        </w:rPr>
        <w:t>peakedness</w:t>
      </w:r>
      <w:proofErr w:type="spellEnd"/>
      <w:r>
        <w:rPr>
          <w:rFonts w:ascii="Times New Roman" w:hAnsi="Times New Roman"/>
          <w:sz w:val="24"/>
          <w:szCs w:val="24"/>
          <w:lang w:val="en-US"/>
        </w:rPr>
        <w:t xml:space="preserve"> or flatness in the residual distribution.</w:t>
      </w:r>
    </w:p>
    <w:p w14:paraId="50D68A0F" w14:textId="0B421C1C" w:rsidR="009120BA" w:rsidRDefault="009120BA" w:rsidP="009120BA">
      <w:pPr>
        <w:spacing w:after="0" w:line="360" w:lineRule="auto"/>
        <w:jc w:val="both"/>
      </w:pPr>
      <w:r>
        <w:rPr>
          <w:rFonts w:ascii="Times New Roman" w:hAnsi="Times New Roman"/>
          <w:sz w:val="24"/>
          <w:szCs w:val="24"/>
          <w:lang w:val="en-US"/>
        </w:rPr>
        <w:t xml:space="preserve">Furthermore, the Jarque-Bera </w:t>
      </w:r>
      <w:proofErr w:type="gramStart"/>
      <w:r>
        <w:rPr>
          <w:rFonts w:ascii="Times New Roman" w:hAnsi="Times New Roman"/>
          <w:sz w:val="24"/>
          <w:szCs w:val="24"/>
          <w:lang w:val="en-US"/>
        </w:rPr>
        <w:t>statistic was</w:t>
      </w:r>
      <w:proofErr w:type="gramEnd"/>
      <w:r>
        <w:rPr>
          <w:rFonts w:ascii="Times New Roman" w:hAnsi="Times New Roman"/>
          <w:sz w:val="24"/>
          <w:szCs w:val="24"/>
          <w:lang w:val="en-US"/>
        </w:rPr>
        <w:t xml:space="preserve"> 0.446 with an associated probability value of 0.800. Since the probability value exceeds the conventional significance level of 0.05 (</w:t>
      </w:r>
      <w:r>
        <w:rPr>
          <w:rFonts w:ascii="Times New Roman" w:hAnsi="Times New Roman"/>
          <w:i/>
          <w:iCs/>
          <w:sz w:val="24"/>
          <w:szCs w:val="24"/>
          <w:lang w:val="en-US"/>
        </w:rPr>
        <w:t>p</w:t>
      </w:r>
      <w:r>
        <w:rPr>
          <w:rFonts w:ascii="Times New Roman" w:hAnsi="Times New Roman"/>
          <w:sz w:val="24"/>
          <w:szCs w:val="24"/>
          <w:lang w:val="en-US"/>
        </w:rPr>
        <w:t xml:space="preserve"> = .800 &gt; .05</w:t>
      </w:r>
      <w:proofErr w:type="gramStart"/>
      <w:r>
        <w:rPr>
          <w:rFonts w:ascii="Times New Roman" w:hAnsi="Times New Roman"/>
          <w:sz w:val="24"/>
          <w:szCs w:val="24"/>
          <w:lang w:val="en-US"/>
        </w:rPr>
        <w:t>),  null</w:t>
      </w:r>
      <w:proofErr w:type="gramEnd"/>
      <w:r>
        <w:rPr>
          <w:rFonts w:ascii="Times New Roman" w:hAnsi="Times New Roman"/>
          <w:sz w:val="24"/>
          <w:szCs w:val="24"/>
          <w:lang w:val="en-US"/>
        </w:rPr>
        <w:t xml:space="preserve"> hypothesis of normality cannot be </w:t>
      </w:r>
      <w:r w:rsidR="00CA15A0">
        <w:rPr>
          <w:rFonts w:ascii="Times New Roman" w:hAnsi="Times New Roman"/>
          <w:sz w:val="24"/>
          <w:szCs w:val="24"/>
          <w:lang w:val="en-US"/>
        </w:rPr>
        <w:t>eliminated</w:t>
      </w:r>
      <w:r>
        <w:rPr>
          <w:rFonts w:ascii="Times New Roman" w:hAnsi="Times New Roman"/>
          <w:sz w:val="24"/>
          <w:szCs w:val="24"/>
          <w:lang w:val="en-US"/>
        </w:rPr>
        <w:t xml:space="preserve">. This implies that residuals are normally </w:t>
      </w:r>
      <w:r>
        <w:rPr>
          <w:rFonts w:ascii="Times New Roman" w:hAnsi="Times New Roman"/>
          <w:sz w:val="24"/>
          <w:szCs w:val="24"/>
          <w:lang w:val="en-US"/>
        </w:rPr>
        <w:lastRenderedPageBreak/>
        <w:t xml:space="preserve">distributed and that </w:t>
      </w:r>
      <w:r w:rsidR="0018477F">
        <w:rPr>
          <w:rFonts w:ascii="Times New Roman" w:hAnsi="Times New Roman"/>
          <w:sz w:val="24"/>
          <w:szCs w:val="24"/>
          <w:lang w:val="en-US"/>
        </w:rPr>
        <w:t>records</w:t>
      </w:r>
      <w:r>
        <w:rPr>
          <w:rFonts w:ascii="Times New Roman" w:hAnsi="Times New Roman"/>
          <w:sz w:val="24"/>
          <w:szCs w:val="24"/>
          <w:lang w:val="en-US"/>
        </w:rPr>
        <w:t xml:space="preserve"> </w:t>
      </w:r>
      <w:proofErr w:type="gramStart"/>
      <w:r>
        <w:rPr>
          <w:rFonts w:ascii="Times New Roman" w:hAnsi="Times New Roman"/>
          <w:sz w:val="24"/>
          <w:szCs w:val="24"/>
          <w:lang w:val="en-US"/>
        </w:rPr>
        <w:t>do</w:t>
      </w:r>
      <w:r w:rsidR="00E1292A">
        <w:rPr>
          <w:rFonts w:ascii="Times New Roman" w:hAnsi="Times New Roman"/>
          <w:sz w:val="24"/>
          <w:szCs w:val="24"/>
          <w:lang w:val="en-US"/>
        </w:rPr>
        <w:t>es</w:t>
      </w:r>
      <w:proofErr w:type="gramEnd"/>
      <w:r>
        <w:rPr>
          <w:rFonts w:ascii="Times New Roman" w:hAnsi="Times New Roman"/>
          <w:sz w:val="24"/>
          <w:szCs w:val="24"/>
          <w:lang w:val="en-US"/>
        </w:rPr>
        <w:t xml:space="preserve"> not violate the normality assumption required for parametric statistical analyses.</w:t>
      </w:r>
    </w:p>
    <w:p w14:paraId="517B3897"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histogram of the residuals further supports this conclusion, as the distribution appears reasonably bell-shaped and </w:t>
      </w:r>
      <w:proofErr w:type="spellStart"/>
      <w:r>
        <w:rPr>
          <w:rFonts w:ascii="Times New Roman" w:hAnsi="Times New Roman"/>
          <w:sz w:val="24"/>
          <w:szCs w:val="24"/>
          <w:lang w:val="en-US"/>
        </w:rPr>
        <w:t>centred</w:t>
      </w:r>
      <w:proofErr w:type="spellEnd"/>
      <w:r>
        <w:rPr>
          <w:rFonts w:ascii="Times New Roman" w:hAnsi="Times New Roman"/>
          <w:sz w:val="24"/>
          <w:szCs w:val="24"/>
          <w:lang w:val="en-US"/>
        </w:rPr>
        <w:t xml:space="preserve"> around zero. Therefore, the results provide evidence that the dataset satisfies the normality requirement, indicating that subsequent regression, mediation, and moderation analyses can be conducted without </w:t>
      </w:r>
      <w:proofErr w:type="gramStart"/>
      <w:r>
        <w:rPr>
          <w:rFonts w:ascii="Times New Roman" w:hAnsi="Times New Roman"/>
          <w:sz w:val="24"/>
          <w:szCs w:val="24"/>
          <w:lang w:val="en-US"/>
        </w:rPr>
        <w:t>concerns</w:t>
      </w:r>
      <w:proofErr w:type="gramEnd"/>
      <w:r>
        <w:rPr>
          <w:rFonts w:ascii="Times New Roman" w:hAnsi="Times New Roman"/>
          <w:sz w:val="24"/>
          <w:szCs w:val="24"/>
          <w:lang w:val="en-US"/>
        </w:rPr>
        <w:t xml:space="preserve"> regarding non-normal residual distributions.</w:t>
      </w:r>
    </w:p>
    <w:p w14:paraId="7F36DC35"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Fig 7. Normality test results</w:t>
      </w:r>
    </w:p>
    <w:p w14:paraId="76AAD7E9" w14:textId="77777777" w:rsidR="009120BA" w:rsidRDefault="009120BA" w:rsidP="009120BA">
      <w:pPr>
        <w:spacing w:after="0" w:line="360" w:lineRule="auto"/>
        <w:jc w:val="both"/>
      </w:pPr>
      <w:r>
        <w:rPr>
          <w:rFonts w:ascii="Times New Roman" w:hAnsi="Times New Roman"/>
          <w:sz w:val="24"/>
          <w:szCs w:val="24"/>
          <w:lang w:val="en-US"/>
        </w:rPr>
        <w:t xml:space="preserve"> </w:t>
      </w:r>
      <w:r>
        <w:rPr>
          <w:rFonts w:ascii="Times New Roman" w:hAnsi="Times New Roman"/>
          <w:noProof/>
          <w:sz w:val="24"/>
          <w:szCs w:val="24"/>
          <w:lang w:val="en-US"/>
        </w:rPr>
        <w:drawing>
          <wp:inline distT="0" distB="0" distL="0" distR="0" wp14:anchorId="604184FE" wp14:editId="1BC050FD">
            <wp:extent cx="4441190" cy="2266950"/>
            <wp:effectExtent l="0" t="0" r="0" b="0"/>
            <wp:docPr id="594532113" name="Picture 1" descr="A graph of a bar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rcRect/>
                    <a:stretch>
                      <a:fillRect/>
                    </a:stretch>
                  </pic:blipFill>
                  <pic:spPr>
                    <a:xfrm>
                      <a:off x="0" y="0"/>
                      <a:ext cx="4466514" cy="2279876"/>
                    </a:xfrm>
                    <a:prstGeom prst="rect">
                      <a:avLst/>
                    </a:prstGeom>
                    <a:noFill/>
                    <a:ln>
                      <a:noFill/>
                      <a:prstDash/>
                    </a:ln>
                  </pic:spPr>
                </pic:pic>
              </a:graphicData>
            </a:graphic>
          </wp:inline>
        </w:drawing>
      </w:r>
    </w:p>
    <w:p w14:paraId="1329ECD3" w14:textId="77777777" w:rsidR="009120BA" w:rsidRDefault="009120BA" w:rsidP="009120B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Source: Field survey, 2026</w:t>
      </w:r>
    </w:p>
    <w:p w14:paraId="4A6F12C6"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4" w:name="_Toc232013539"/>
      <w:r>
        <w:rPr>
          <w:rFonts w:ascii="Times New Roman" w:eastAsia="Times New Roman" w:hAnsi="Times New Roman"/>
          <w:b/>
          <w:bCs/>
          <w:sz w:val="24"/>
          <w:szCs w:val="24"/>
          <w:lang w:val="en-US"/>
        </w:rPr>
        <w:t>4.4. Effect of geopolitical risk on organizational resilience in REE-dependent organizations.</w:t>
      </w:r>
      <w:bookmarkEnd w:id="44"/>
    </w:p>
    <w:p w14:paraId="223011A5" w14:textId="28C504B1"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w:t>
      </w:r>
      <w:r w:rsidR="00050A97">
        <w:rPr>
          <w:rFonts w:ascii="Times New Roman" w:hAnsi="Times New Roman"/>
          <w:sz w:val="24"/>
          <w:szCs w:val="24"/>
          <w:lang w:val="en-US"/>
        </w:rPr>
        <w:t>initial</w:t>
      </w:r>
      <w:r>
        <w:rPr>
          <w:rFonts w:ascii="Times New Roman" w:hAnsi="Times New Roman"/>
          <w:sz w:val="24"/>
          <w:szCs w:val="24"/>
          <w:lang w:val="en-US"/>
        </w:rPr>
        <w:t xml:space="preserve"> </w:t>
      </w:r>
      <w:r w:rsidR="00050A97">
        <w:rPr>
          <w:rFonts w:ascii="Times New Roman" w:hAnsi="Times New Roman"/>
          <w:sz w:val="24"/>
          <w:szCs w:val="24"/>
          <w:lang w:val="en-US"/>
        </w:rPr>
        <w:t>idea</w:t>
      </w:r>
      <w:r>
        <w:rPr>
          <w:rFonts w:ascii="Times New Roman" w:hAnsi="Times New Roman"/>
          <w:sz w:val="24"/>
          <w:szCs w:val="24"/>
          <w:lang w:val="en-US"/>
        </w:rPr>
        <w:t xml:space="preserve"> of this study relates to examining the relationship between geopolitical risk and organizational resilience in REE-dependent organizations. Just one dimensions of both constructs are </w:t>
      </w:r>
      <w:r w:rsidR="00514FBE">
        <w:rPr>
          <w:rFonts w:ascii="Times New Roman" w:hAnsi="Times New Roman"/>
          <w:sz w:val="24"/>
          <w:szCs w:val="24"/>
          <w:lang w:val="en-US"/>
        </w:rPr>
        <w:t>shown</w:t>
      </w:r>
      <w:r>
        <w:rPr>
          <w:rFonts w:ascii="Times New Roman" w:hAnsi="Times New Roman"/>
          <w:sz w:val="24"/>
          <w:szCs w:val="24"/>
          <w:lang w:val="en-US"/>
        </w:rPr>
        <w:t xml:space="preserve"> to respondents. The statistical results generated from estimation of field data are </w:t>
      </w:r>
      <w:r w:rsidR="00514FBE">
        <w:rPr>
          <w:rFonts w:ascii="Times New Roman" w:hAnsi="Times New Roman"/>
          <w:sz w:val="24"/>
          <w:szCs w:val="24"/>
          <w:lang w:val="en-US"/>
        </w:rPr>
        <w:t>shown</w:t>
      </w:r>
      <w:r>
        <w:rPr>
          <w:rFonts w:ascii="Times New Roman" w:hAnsi="Times New Roman"/>
          <w:sz w:val="24"/>
          <w:szCs w:val="24"/>
          <w:lang w:val="en-US"/>
        </w:rPr>
        <w:t xml:space="preserve"> in Table 4.</w:t>
      </w:r>
    </w:p>
    <w:p w14:paraId="2921A702" w14:textId="77777777" w:rsidR="009120BA" w:rsidRDefault="009120BA" w:rsidP="009120BA">
      <w:pPr>
        <w:spacing w:line="360" w:lineRule="auto"/>
        <w:jc w:val="both"/>
        <w:rPr>
          <w:rFonts w:ascii="Times New Roman" w:hAnsi="Times New Roman"/>
          <w:b/>
          <w:bCs/>
          <w:sz w:val="24"/>
          <w:szCs w:val="24"/>
          <w:lang w:val="en-US"/>
        </w:rPr>
      </w:pPr>
      <w:r>
        <w:rPr>
          <w:rFonts w:ascii="Times New Roman" w:hAnsi="Times New Roman"/>
          <w:b/>
          <w:bCs/>
          <w:sz w:val="24"/>
          <w:szCs w:val="24"/>
          <w:lang w:val="en-US"/>
        </w:rPr>
        <w:t>Table 4. OLS Regression Results for Geopolitical Risk and Organizational Resilience in REE-Dependent Organizations</w:t>
      </w:r>
    </w:p>
    <w:tbl>
      <w:tblPr>
        <w:tblW w:w="7803" w:type="dxa"/>
        <w:jc w:val="center"/>
        <w:tblCellMar>
          <w:left w:w="10" w:type="dxa"/>
          <w:right w:w="10" w:type="dxa"/>
        </w:tblCellMar>
        <w:tblLook w:val="04A0" w:firstRow="1" w:lastRow="0" w:firstColumn="1" w:lastColumn="0" w:noHBand="0" w:noVBand="1"/>
      </w:tblPr>
      <w:tblGrid>
        <w:gridCol w:w="2749"/>
        <w:gridCol w:w="1336"/>
        <w:gridCol w:w="1279"/>
        <w:gridCol w:w="1203"/>
        <w:gridCol w:w="1236"/>
      </w:tblGrid>
      <w:tr w:rsidR="009120BA" w14:paraId="40C726A5"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0B6D2" w14:textId="77777777" w:rsidR="009120BA" w:rsidRDefault="009120BA" w:rsidP="006A77E8">
            <w:pPr>
              <w:spacing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24785" w14:textId="77777777" w:rsidR="009120BA" w:rsidRDefault="009120BA" w:rsidP="006A77E8">
            <w:pPr>
              <w:spacing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E79C1" w14:textId="77777777" w:rsidR="009120BA" w:rsidRDefault="009120BA" w:rsidP="006A77E8">
            <w:pPr>
              <w:spacing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1C30C" w14:textId="77777777" w:rsidR="009120BA" w:rsidRDefault="009120BA" w:rsidP="006A77E8">
            <w:pPr>
              <w:spacing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46658" w14:textId="77777777" w:rsidR="009120BA" w:rsidRDefault="009120BA" w:rsidP="006A77E8">
            <w:pPr>
              <w:spacing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47342A0B"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25844"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0F7C1"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4.1753</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D72CB"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0.5520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99AC2"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7.5700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2C31E"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65BD35F6"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DC129"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Geopolitical risk exposure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82194"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-0.1119</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D02E2"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0.1410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462F4"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-0.7920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51617" w14:textId="77777777" w:rsidR="009120BA" w:rsidRDefault="009120BA" w:rsidP="006A77E8">
            <w:pPr>
              <w:spacing w:line="360" w:lineRule="auto"/>
              <w:jc w:val="both"/>
              <w:rPr>
                <w:rFonts w:ascii="Times New Roman" w:hAnsi="Times New Roman"/>
                <w:sz w:val="24"/>
                <w:szCs w:val="24"/>
                <w:lang w:val="en-US"/>
              </w:rPr>
            </w:pPr>
            <w:r>
              <w:rPr>
                <w:rFonts w:ascii="Times New Roman" w:hAnsi="Times New Roman"/>
                <w:sz w:val="24"/>
                <w:szCs w:val="24"/>
                <w:lang w:val="en-US"/>
              </w:rPr>
              <w:t>0.4330</w:t>
            </w:r>
          </w:p>
        </w:tc>
      </w:tr>
      <w:tr w:rsidR="009120BA" w14:paraId="583C1135"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C14C1"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09A6"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Value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027D5"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4DA09"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D8C4C" w14:textId="77777777" w:rsidR="009120BA" w:rsidRDefault="009120BA" w:rsidP="006A77E8">
            <w:pPr>
              <w:spacing w:after="0" w:line="240" w:lineRule="auto"/>
              <w:rPr>
                <w:kern w:val="0"/>
                <w:sz w:val="20"/>
                <w:szCs w:val="20"/>
                <w:lang w:eastAsia="en-GB"/>
              </w:rPr>
            </w:pPr>
          </w:p>
        </w:tc>
      </w:tr>
      <w:tr w:rsidR="009120BA" w14:paraId="1836435C"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CF0AE"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9EF3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0.016</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A1C8A"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5CFFF"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938D7" w14:textId="77777777" w:rsidR="009120BA" w:rsidRDefault="009120BA" w:rsidP="006A77E8">
            <w:pPr>
              <w:spacing w:after="0" w:line="240" w:lineRule="auto"/>
              <w:rPr>
                <w:kern w:val="0"/>
                <w:sz w:val="20"/>
                <w:szCs w:val="20"/>
                <w:lang w:eastAsia="en-GB"/>
              </w:rPr>
            </w:pPr>
          </w:p>
        </w:tc>
      </w:tr>
      <w:tr w:rsidR="009120BA" w14:paraId="7C127BA0"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2DD30"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Adjusted 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C6030"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-0.010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3050D"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5A80D"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CDCE0" w14:textId="77777777" w:rsidR="009120BA" w:rsidRDefault="009120BA" w:rsidP="006A77E8">
            <w:pPr>
              <w:spacing w:after="0" w:line="240" w:lineRule="auto"/>
              <w:rPr>
                <w:kern w:val="0"/>
                <w:sz w:val="20"/>
                <w:szCs w:val="20"/>
                <w:lang w:eastAsia="en-GB"/>
              </w:rPr>
            </w:pPr>
          </w:p>
        </w:tc>
      </w:tr>
      <w:tr w:rsidR="009120BA" w14:paraId="00BE57E4"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DABCC"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lastRenderedPageBreak/>
              <w:t>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4A8EB"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0.6267</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12A4B"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60CE"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E8558" w14:textId="77777777" w:rsidR="009120BA" w:rsidRDefault="009120BA" w:rsidP="006A77E8">
            <w:pPr>
              <w:spacing w:after="0" w:line="240" w:lineRule="auto"/>
              <w:rPr>
                <w:kern w:val="0"/>
                <w:sz w:val="20"/>
                <w:szCs w:val="20"/>
                <w:lang w:eastAsia="en-GB"/>
              </w:rPr>
            </w:pPr>
          </w:p>
        </w:tc>
      </w:tr>
      <w:tr w:rsidR="009120BA" w14:paraId="293F8666"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E6DEB"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Prob (F-statistic)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B8AAA"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0.4330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38D3D"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E2790"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0A750" w14:textId="77777777" w:rsidR="009120BA" w:rsidRDefault="009120BA" w:rsidP="006A77E8">
            <w:pPr>
              <w:spacing w:after="0" w:line="240" w:lineRule="auto"/>
              <w:rPr>
                <w:kern w:val="0"/>
                <w:sz w:val="20"/>
                <w:szCs w:val="20"/>
                <w:lang w:eastAsia="en-GB"/>
              </w:rPr>
            </w:pPr>
          </w:p>
        </w:tc>
      </w:tr>
      <w:tr w:rsidR="009120BA" w14:paraId="367550F1"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3C4D6"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Durbin-Watson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2E7A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1.7320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F0947"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C76D"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68A53" w14:textId="77777777" w:rsidR="009120BA" w:rsidRDefault="009120BA" w:rsidP="006A77E8">
            <w:pPr>
              <w:spacing w:after="0" w:line="240" w:lineRule="auto"/>
              <w:rPr>
                <w:kern w:val="0"/>
                <w:sz w:val="20"/>
                <w:szCs w:val="20"/>
                <w:lang w:eastAsia="en-GB"/>
              </w:rPr>
            </w:pPr>
          </w:p>
        </w:tc>
      </w:tr>
      <w:tr w:rsidR="009120BA" w14:paraId="57BBFC4A" w14:textId="77777777" w:rsidTr="006A77E8">
        <w:trPr>
          <w:jc w:val="center"/>
        </w:trPr>
        <w:tc>
          <w:tcPr>
            <w:tcW w:w="2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F0FA2"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S.E. of regression</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78AC6"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0.557</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3AE5C"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4F6DB"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F1DED" w14:textId="77777777" w:rsidR="009120BA" w:rsidRDefault="009120BA" w:rsidP="006A77E8">
            <w:pPr>
              <w:spacing w:after="0" w:line="240" w:lineRule="auto"/>
              <w:rPr>
                <w:kern w:val="0"/>
                <w:sz w:val="20"/>
                <w:szCs w:val="20"/>
                <w:lang w:eastAsia="en-GB"/>
              </w:rPr>
            </w:pPr>
          </w:p>
        </w:tc>
      </w:tr>
    </w:tbl>
    <w:p w14:paraId="61CA9200" w14:textId="77777777" w:rsidR="009120BA" w:rsidRDefault="009120BA" w:rsidP="009120BA">
      <w:pPr>
        <w:spacing w:line="360" w:lineRule="auto"/>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334FF227" w14:textId="5CC4FCD4"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OLS regression results in Table 4 indicate that geopolitical risk exposure has a weak and statistically insignificant relationship with organizational resilience in REE-dependent organizations. </w:t>
      </w:r>
      <w:r w:rsidR="004B3847">
        <w:rPr>
          <w:rFonts w:ascii="Times New Roman" w:hAnsi="Times New Roman"/>
          <w:sz w:val="24"/>
          <w:szCs w:val="24"/>
          <w:lang w:val="en-US"/>
        </w:rPr>
        <w:t>Number</w:t>
      </w:r>
      <w:r>
        <w:rPr>
          <w:rFonts w:ascii="Times New Roman" w:hAnsi="Times New Roman"/>
          <w:sz w:val="24"/>
          <w:szCs w:val="24"/>
          <w:lang w:val="en-US"/>
        </w:rPr>
        <w:t xml:space="preserve"> for geopolitical risk exposure is -0.1119, suggesting a negative directional effect, meaning that </w:t>
      </w:r>
      <w:r w:rsidR="00601B92">
        <w:rPr>
          <w:rFonts w:ascii="Times New Roman" w:hAnsi="Times New Roman"/>
          <w:sz w:val="24"/>
          <w:szCs w:val="24"/>
          <w:lang w:val="en-US"/>
        </w:rPr>
        <w:t>1</w:t>
      </w:r>
      <w:r>
        <w:rPr>
          <w:rFonts w:ascii="Times New Roman" w:hAnsi="Times New Roman"/>
          <w:sz w:val="24"/>
          <w:szCs w:val="24"/>
          <w:lang w:val="en-US"/>
        </w:rPr>
        <w:t xml:space="preserve">-unit </w:t>
      </w:r>
      <w:proofErr w:type="gramStart"/>
      <w:r>
        <w:rPr>
          <w:rFonts w:ascii="Times New Roman" w:hAnsi="Times New Roman"/>
          <w:sz w:val="24"/>
          <w:szCs w:val="24"/>
          <w:lang w:val="en-US"/>
        </w:rPr>
        <w:t>increase</w:t>
      </w:r>
      <w:proofErr w:type="gramEnd"/>
      <w:r>
        <w:rPr>
          <w:rFonts w:ascii="Times New Roman" w:hAnsi="Times New Roman"/>
          <w:sz w:val="24"/>
          <w:szCs w:val="24"/>
          <w:lang w:val="en-US"/>
        </w:rPr>
        <w:t xml:space="preserve"> geopolitical risk exposure is associated with a 0.1119 decrease in organizational resilience. However, this relationship is not statistically significant (t = -0.7920, p = 0.4330 &gt; 0.05), implying that the observed effect could be due to random variation rather than a systematic relationship in the population.</w:t>
      </w:r>
    </w:p>
    <w:p w14:paraId="1D098814" w14:textId="77777777"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The model constant is 4.1753 (t = 7.5700, p = 0.0000), indicating that when geopolitical risk exposure is zero, the baseline level of organizational resilience remains relatively high at approximately 4.18 on the measurement scale. This suggests that REE-dependent organizations may already possess inherent resilience capacities independent of geopolitical risk pressures.</w:t>
      </w:r>
    </w:p>
    <w:p w14:paraId="11B62CCD" w14:textId="39E51C27"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w:t>
      </w:r>
      <w:r w:rsidR="00C46D76">
        <w:rPr>
          <w:rFonts w:ascii="Times New Roman" w:hAnsi="Times New Roman"/>
          <w:sz w:val="24"/>
          <w:szCs w:val="24"/>
          <w:lang w:val="en-US"/>
        </w:rPr>
        <w:t>general</w:t>
      </w:r>
      <w:r>
        <w:rPr>
          <w:rFonts w:ascii="Times New Roman" w:hAnsi="Times New Roman"/>
          <w:sz w:val="24"/>
          <w:szCs w:val="24"/>
          <w:lang w:val="en-US"/>
        </w:rPr>
        <w:t xml:space="preserve"> explanatory power of the model is extremely low, with R-squared value of 0.016, meaning that only 1.6% of the variation in organizational resilience is explained by geopolitical risk exposure. The adjusted R-squared is negative (-0.010), confirming that the model performs worse than a null model and lacks predictive strength when adjusted for sample size (N = 90, assumed). Furthermore, the F-statistic of 0.6267 with a probability value of 0.4330 indicates that the model is not statistically </w:t>
      </w:r>
      <w:proofErr w:type="gramStart"/>
      <w:r>
        <w:rPr>
          <w:rFonts w:ascii="Times New Roman" w:hAnsi="Times New Roman"/>
          <w:sz w:val="24"/>
          <w:szCs w:val="24"/>
          <w:lang w:val="en-US"/>
        </w:rPr>
        <w:t>significant as a whole, reinforcing</w:t>
      </w:r>
      <w:proofErr w:type="gramEnd"/>
      <w:r>
        <w:rPr>
          <w:rFonts w:ascii="Times New Roman" w:hAnsi="Times New Roman"/>
          <w:sz w:val="24"/>
          <w:szCs w:val="24"/>
          <w:lang w:val="en-US"/>
        </w:rPr>
        <w:t xml:space="preserve"> the conclusion that geopolitical risk exposure does not significantly predict organizational resilience in this sample. Durbin-Watson statistic of 1.7320 suggests no serious autocorrelation issues, as it is close to the acceptable benchmark of 2.0. Finally, the standard error of regression (0.557) indicates moderate dispersion of residuals around the fitted line. Overall, the findings suggest that geopolitical risk exposure alone is not a strong determinant of organizational resilience in REE-dependent organizations, highlighting the likely importance of other omitted variables such as leadership style or supply chain capabilities.</w:t>
      </w:r>
    </w:p>
    <w:p w14:paraId="14E17D88" w14:textId="77777777" w:rsidR="009120BA" w:rsidRDefault="009120BA" w:rsidP="009120BA">
      <w:pPr>
        <w:keepNext/>
        <w:keepLines/>
        <w:spacing w:before="160" w:after="80" w:line="276" w:lineRule="auto"/>
        <w:jc w:val="both"/>
        <w:outlineLvl w:val="1"/>
        <w:rPr>
          <w:rFonts w:ascii="Times New Roman" w:eastAsia="Times New Roman" w:hAnsi="Times New Roman"/>
          <w:b/>
          <w:bCs/>
          <w:sz w:val="24"/>
          <w:szCs w:val="24"/>
          <w:lang w:val="en-US"/>
        </w:rPr>
      </w:pPr>
      <w:bookmarkStart w:id="45" w:name="_Toc232013540"/>
      <w:r>
        <w:rPr>
          <w:rFonts w:ascii="Times New Roman" w:eastAsia="Times New Roman" w:hAnsi="Times New Roman"/>
          <w:b/>
          <w:bCs/>
          <w:sz w:val="24"/>
          <w:szCs w:val="24"/>
          <w:lang w:val="en-US"/>
        </w:rPr>
        <w:lastRenderedPageBreak/>
        <w:t>4.5. Effect of geopolitical risk on supply chain performance in REE-dependent organizations.</w:t>
      </w:r>
      <w:bookmarkEnd w:id="45"/>
    </w:p>
    <w:p w14:paraId="299981B4" w14:textId="1FF921F8"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second </w:t>
      </w:r>
      <w:r w:rsidR="00740027">
        <w:rPr>
          <w:rFonts w:ascii="Times New Roman" w:hAnsi="Times New Roman"/>
          <w:sz w:val="24"/>
          <w:szCs w:val="24"/>
          <w:lang w:val="en-US"/>
        </w:rPr>
        <w:t>point</w:t>
      </w:r>
      <w:r>
        <w:rPr>
          <w:rFonts w:ascii="Times New Roman" w:hAnsi="Times New Roman"/>
          <w:sz w:val="24"/>
          <w:szCs w:val="24"/>
          <w:lang w:val="en-US"/>
        </w:rPr>
        <w:t xml:space="preserve"> of this study relates to examining the </w:t>
      </w:r>
      <w:r w:rsidR="00A0779C">
        <w:rPr>
          <w:rFonts w:ascii="Times New Roman" w:hAnsi="Times New Roman"/>
          <w:sz w:val="24"/>
          <w:szCs w:val="24"/>
          <w:lang w:val="en-US"/>
        </w:rPr>
        <w:t>association</w:t>
      </w:r>
      <w:r>
        <w:rPr>
          <w:rFonts w:ascii="Times New Roman" w:hAnsi="Times New Roman"/>
          <w:sz w:val="24"/>
          <w:szCs w:val="24"/>
          <w:lang w:val="en-US"/>
        </w:rPr>
        <w:t xml:space="preserve"> between geopolitical risk and organizational resilience in REE-dependent organizations. </w:t>
      </w:r>
      <w:r w:rsidR="00A0779C">
        <w:rPr>
          <w:rFonts w:ascii="Times New Roman" w:hAnsi="Times New Roman"/>
          <w:sz w:val="24"/>
          <w:szCs w:val="24"/>
          <w:lang w:val="en-US"/>
        </w:rPr>
        <w:t>S</w:t>
      </w:r>
      <w:r>
        <w:rPr>
          <w:rFonts w:ascii="Times New Roman" w:hAnsi="Times New Roman"/>
          <w:sz w:val="24"/>
          <w:szCs w:val="24"/>
          <w:lang w:val="en-US"/>
        </w:rPr>
        <w:t xml:space="preserve">tatistical </w:t>
      </w:r>
      <w:r w:rsidR="005D7D81">
        <w:rPr>
          <w:rFonts w:ascii="Times New Roman" w:hAnsi="Times New Roman"/>
          <w:sz w:val="24"/>
          <w:szCs w:val="24"/>
          <w:lang w:val="en-US"/>
        </w:rPr>
        <w:t>answers</w:t>
      </w:r>
      <w:r>
        <w:rPr>
          <w:rFonts w:ascii="Times New Roman" w:hAnsi="Times New Roman"/>
          <w:sz w:val="24"/>
          <w:szCs w:val="24"/>
          <w:lang w:val="en-US"/>
        </w:rPr>
        <w:t xml:space="preserve"> generated from estimation of field data are presented in Table 5</w:t>
      </w:r>
    </w:p>
    <w:p w14:paraId="0111B22F" w14:textId="3B7F1F0D" w:rsidR="009120BA" w:rsidRDefault="009120BA" w:rsidP="009120BA">
      <w:pPr>
        <w:spacing w:line="360" w:lineRule="auto"/>
        <w:jc w:val="both"/>
        <w:rPr>
          <w:rFonts w:ascii="Times New Roman" w:hAnsi="Times New Roman"/>
          <w:b/>
          <w:bCs/>
          <w:sz w:val="24"/>
          <w:szCs w:val="24"/>
          <w:lang w:val="en-US"/>
        </w:rPr>
      </w:pPr>
      <w:r>
        <w:rPr>
          <w:rFonts w:ascii="Times New Roman" w:hAnsi="Times New Roman"/>
          <w:b/>
          <w:bCs/>
          <w:sz w:val="24"/>
          <w:szCs w:val="24"/>
          <w:lang w:val="en-US"/>
        </w:rPr>
        <w:t xml:space="preserve">Table 5. OLS regression results </w:t>
      </w:r>
      <w:r w:rsidR="00B37CC1">
        <w:rPr>
          <w:rFonts w:ascii="Times New Roman" w:hAnsi="Times New Roman"/>
          <w:b/>
          <w:bCs/>
          <w:sz w:val="24"/>
          <w:szCs w:val="24"/>
          <w:lang w:val="en-US"/>
        </w:rPr>
        <w:t>on</w:t>
      </w:r>
      <w:r>
        <w:rPr>
          <w:rFonts w:ascii="Times New Roman" w:hAnsi="Times New Roman"/>
          <w:b/>
          <w:bCs/>
          <w:sz w:val="24"/>
          <w:szCs w:val="24"/>
          <w:lang w:val="en-US"/>
        </w:rPr>
        <w:t xml:space="preserve"> geopolitical risk on supply chain performance in REE-dependent organizations</w:t>
      </w:r>
    </w:p>
    <w:tbl>
      <w:tblPr>
        <w:tblW w:w="7923" w:type="dxa"/>
        <w:tblCellMar>
          <w:left w:w="10" w:type="dxa"/>
          <w:right w:w="10" w:type="dxa"/>
        </w:tblCellMar>
        <w:tblLook w:val="04A0" w:firstRow="1" w:lastRow="0" w:firstColumn="1" w:lastColumn="0" w:noHBand="0" w:noVBand="1"/>
      </w:tblPr>
      <w:tblGrid>
        <w:gridCol w:w="2869"/>
        <w:gridCol w:w="1336"/>
        <w:gridCol w:w="1279"/>
        <w:gridCol w:w="1203"/>
        <w:gridCol w:w="1236"/>
      </w:tblGrid>
      <w:tr w:rsidR="009120BA" w14:paraId="72C1C92F"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D55BF"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F3B5C"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4F588"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C079B"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CB96A"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1DE845E3"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FFA5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30B8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4.0125</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D4D6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0.4210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F0D5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9.5320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04AF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49B7B2DE"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DE7B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Geopolitical Risk Exposure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0021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-0.2368</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C403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0.1024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9138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-2.3120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E80F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0.0230**</w:t>
            </w:r>
          </w:p>
        </w:tc>
      </w:tr>
      <w:tr w:rsidR="009120BA" w14:paraId="79B9CB0D"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5CEA2"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Model Fit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4EA7B"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Value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42B0D"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47EAB"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C4401" w14:textId="77777777" w:rsidR="009120BA" w:rsidRDefault="009120BA" w:rsidP="006A77E8">
            <w:pPr>
              <w:spacing w:after="0" w:line="240" w:lineRule="auto"/>
              <w:rPr>
                <w:kern w:val="0"/>
                <w:sz w:val="20"/>
                <w:szCs w:val="20"/>
                <w:lang w:eastAsia="en-GB"/>
              </w:rPr>
            </w:pPr>
          </w:p>
        </w:tc>
      </w:tr>
      <w:tr w:rsidR="009120BA" w14:paraId="2ABDA7CE"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FB91E"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D966E"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0.089</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0CE55"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85A97"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7FFD0" w14:textId="77777777" w:rsidR="009120BA" w:rsidRDefault="009120BA" w:rsidP="006A77E8">
            <w:pPr>
              <w:spacing w:after="0" w:line="240" w:lineRule="auto"/>
              <w:rPr>
                <w:kern w:val="0"/>
                <w:sz w:val="20"/>
                <w:szCs w:val="20"/>
                <w:lang w:eastAsia="en-GB"/>
              </w:rPr>
            </w:pPr>
          </w:p>
        </w:tc>
      </w:tr>
      <w:tr w:rsidR="009120BA" w14:paraId="2A092912"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4A20"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Adjusted 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7819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0.079</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47BFD"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580D7"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C691D" w14:textId="77777777" w:rsidR="009120BA" w:rsidRDefault="009120BA" w:rsidP="006A77E8">
            <w:pPr>
              <w:spacing w:after="0" w:line="240" w:lineRule="auto"/>
              <w:rPr>
                <w:kern w:val="0"/>
                <w:sz w:val="20"/>
                <w:szCs w:val="20"/>
                <w:lang w:eastAsia="en-GB"/>
              </w:rPr>
            </w:pPr>
          </w:p>
        </w:tc>
      </w:tr>
      <w:tr w:rsidR="009120BA" w14:paraId="2282C82C"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95F79"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066D2"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5.3450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5532B"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45A08"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ED4B4" w14:textId="77777777" w:rsidR="009120BA" w:rsidRDefault="009120BA" w:rsidP="006A77E8">
            <w:pPr>
              <w:spacing w:after="0" w:line="240" w:lineRule="auto"/>
              <w:rPr>
                <w:kern w:val="0"/>
                <w:sz w:val="20"/>
                <w:szCs w:val="20"/>
                <w:lang w:eastAsia="en-GB"/>
              </w:rPr>
            </w:pPr>
          </w:p>
        </w:tc>
      </w:tr>
      <w:tr w:rsidR="009120BA" w14:paraId="0BD61DF7"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5FE1A"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Prob (F-statistic)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1F52D"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0.0230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78EFF"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5A9B3"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C026E" w14:textId="77777777" w:rsidR="009120BA" w:rsidRDefault="009120BA" w:rsidP="006A77E8">
            <w:pPr>
              <w:spacing w:after="0" w:line="240" w:lineRule="auto"/>
              <w:rPr>
                <w:kern w:val="0"/>
                <w:sz w:val="20"/>
                <w:szCs w:val="20"/>
                <w:lang w:eastAsia="en-GB"/>
              </w:rPr>
            </w:pPr>
          </w:p>
        </w:tc>
      </w:tr>
      <w:tr w:rsidR="009120BA" w14:paraId="30640075"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844B4"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Durbin-Watson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07B2A"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1.7810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1E8ED"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1B0CD"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8871B" w14:textId="77777777" w:rsidR="009120BA" w:rsidRDefault="009120BA" w:rsidP="006A77E8">
            <w:pPr>
              <w:spacing w:after="0" w:line="240" w:lineRule="auto"/>
              <w:rPr>
                <w:kern w:val="0"/>
                <w:sz w:val="20"/>
                <w:szCs w:val="20"/>
                <w:lang w:eastAsia="en-GB"/>
              </w:rPr>
            </w:pPr>
          </w:p>
        </w:tc>
      </w:tr>
      <w:tr w:rsidR="009120BA" w14:paraId="5974C90C"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266B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S.E. of regression</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A5424"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0.512</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AB9A1"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01314"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8CBF1" w14:textId="77777777" w:rsidR="009120BA" w:rsidRDefault="009120BA" w:rsidP="006A77E8">
            <w:pPr>
              <w:spacing w:after="0" w:line="240" w:lineRule="auto"/>
              <w:rPr>
                <w:kern w:val="0"/>
                <w:sz w:val="20"/>
                <w:szCs w:val="20"/>
                <w:lang w:eastAsia="en-GB"/>
              </w:rPr>
            </w:pPr>
          </w:p>
        </w:tc>
      </w:tr>
    </w:tbl>
    <w:p w14:paraId="7051ABCC" w14:textId="77777777" w:rsidR="009120BA" w:rsidRDefault="009120BA" w:rsidP="009120BA">
      <w:pPr>
        <w:spacing w:line="360" w:lineRule="auto"/>
        <w:jc w:val="both"/>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0838942B" w14:textId="6A8C1135"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regression </w:t>
      </w:r>
      <w:r w:rsidR="00B37CC1">
        <w:rPr>
          <w:rFonts w:ascii="Times New Roman" w:hAnsi="Times New Roman"/>
          <w:sz w:val="24"/>
          <w:szCs w:val="24"/>
          <w:lang w:val="en-US"/>
        </w:rPr>
        <w:t>scores</w:t>
      </w:r>
      <w:r>
        <w:rPr>
          <w:rFonts w:ascii="Times New Roman" w:hAnsi="Times New Roman"/>
          <w:sz w:val="24"/>
          <w:szCs w:val="24"/>
          <w:lang w:val="en-US"/>
        </w:rPr>
        <w:t xml:space="preserve"> in table 5 reveal a statistically significant negative relationship between geopolitical risk exposure </w:t>
      </w:r>
      <w:r w:rsidR="00402E9C">
        <w:rPr>
          <w:rFonts w:ascii="Times New Roman" w:hAnsi="Times New Roman"/>
          <w:sz w:val="24"/>
          <w:szCs w:val="24"/>
          <w:lang w:val="en-US"/>
        </w:rPr>
        <w:t xml:space="preserve">with </w:t>
      </w:r>
      <w:r>
        <w:rPr>
          <w:rFonts w:ascii="Times New Roman" w:hAnsi="Times New Roman"/>
          <w:sz w:val="24"/>
          <w:szCs w:val="24"/>
          <w:lang w:val="en-US"/>
        </w:rPr>
        <w:t xml:space="preserve">supply chain performance (β = -0.2368, t = -2.3120, p = 0.0230). This indicates that an increase in geopolitical risk exposure is associated with a decline in supply chain performance among REE-dependent organizations. The coefficient suggests one-unit increase in geopolitical risk exposure </w:t>
      </w:r>
      <w:proofErr w:type="gramStart"/>
      <w:r>
        <w:rPr>
          <w:rFonts w:ascii="Times New Roman" w:hAnsi="Times New Roman"/>
          <w:sz w:val="24"/>
          <w:szCs w:val="24"/>
          <w:lang w:val="en-US"/>
        </w:rPr>
        <w:t>reduces</w:t>
      </w:r>
      <w:proofErr w:type="gramEnd"/>
      <w:r>
        <w:rPr>
          <w:rFonts w:ascii="Times New Roman" w:hAnsi="Times New Roman"/>
          <w:sz w:val="24"/>
          <w:szCs w:val="24"/>
          <w:lang w:val="en-US"/>
        </w:rPr>
        <w:t xml:space="preserve"> supply chain performance by approximately 0.237 units. </w:t>
      </w:r>
      <w:r w:rsidR="000E0854">
        <w:rPr>
          <w:rFonts w:ascii="Times New Roman" w:hAnsi="Times New Roman"/>
          <w:sz w:val="24"/>
          <w:szCs w:val="24"/>
          <w:lang w:val="en-US"/>
        </w:rPr>
        <w:t>E</w:t>
      </w:r>
      <w:r>
        <w:rPr>
          <w:rFonts w:ascii="Times New Roman" w:hAnsi="Times New Roman"/>
          <w:sz w:val="24"/>
          <w:szCs w:val="24"/>
          <w:lang w:val="en-US"/>
        </w:rPr>
        <w:t>xplains 8.9% of the variation in supply chain performance (R² = 0.089), while adjusted R² of 0.079 indicates that the explanatory power remains stable after adjusting for sample size. F-</w:t>
      </w:r>
      <w:proofErr w:type="gramStart"/>
      <w:r>
        <w:rPr>
          <w:rFonts w:ascii="Times New Roman" w:hAnsi="Times New Roman"/>
          <w:sz w:val="24"/>
          <w:szCs w:val="24"/>
          <w:lang w:val="en-US"/>
        </w:rPr>
        <w:t>statistic</w:t>
      </w:r>
      <w:proofErr w:type="gramEnd"/>
      <w:r>
        <w:rPr>
          <w:rFonts w:ascii="Times New Roman" w:hAnsi="Times New Roman"/>
          <w:sz w:val="24"/>
          <w:szCs w:val="24"/>
          <w:lang w:val="en-US"/>
        </w:rPr>
        <w:t xml:space="preserve"> of 5.3450 with a probability value of 0.0230 </w:t>
      </w:r>
      <w:proofErr w:type="gramStart"/>
      <w:r>
        <w:rPr>
          <w:rFonts w:ascii="Times New Roman" w:hAnsi="Times New Roman"/>
          <w:sz w:val="24"/>
          <w:szCs w:val="24"/>
          <w:lang w:val="en-US"/>
        </w:rPr>
        <w:t>confirms  the</w:t>
      </w:r>
      <w:proofErr w:type="gramEnd"/>
      <w:r>
        <w:rPr>
          <w:rFonts w:ascii="Times New Roman" w:hAnsi="Times New Roman"/>
          <w:sz w:val="24"/>
          <w:szCs w:val="24"/>
          <w:lang w:val="en-US"/>
        </w:rPr>
        <w:t xml:space="preserve"> model is statistically </w:t>
      </w:r>
      <w:r w:rsidR="00EF0D7A">
        <w:rPr>
          <w:rFonts w:ascii="Times New Roman" w:hAnsi="Times New Roman"/>
          <w:sz w:val="24"/>
          <w:szCs w:val="24"/>
          <w:lang w:val="en-US"/>
        </w:rPr>
        <w:t>meaningful</w:t>
      </w:r>
      <w:r>
        <w:rPr>
          <w:rFonts w:ascii="Times New Roman" w:hAnsi="Times New Roman"/>
          <w:sz w:val="24"/>
          <w:szCs w:val="24"/>
          <w:lang w:val="en-US"/>
        </w:rPr>
        <w:t xml:space="preserve"> overall. The Durbin-Watson statistic of 1.7810 suggests no evidence of serious autocorrelation, standard error of regression of 0.512 </w:t>
      </w:r>
      <w:r w:rsidR="006D33DF">
        <w:rPr>
          <w:rFonts w:ascii="Times New Roman" w:hAnsi="Times New Roman"/>
          <w:sz w:val="24"/>
          <w:szCs w:val="24"/>
          <w:lang w:val="en-US"/>
        </w:rPr>
        <w:t>implies</w:t>
      </w:r>
      <w:r>
        <w:rPr>
          <w:rFonts w:ascii="Times New Roman" w:hAnsi="Times New Roman"/>
          <w:sz w:val="24"/>
          <w:szCs w:val="24"/>
          <w:lang w:val="en-US"/>
        </w:rPr>
        <w:t xml:space="preserve"> a reasonable level of prediction accuracy.</w:t>
      </w:r>
    </w:p>
    <w:p w14:paraId="7D98EE30"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6" w:name="_Toc232013541"/>
      <w:r>
        <w:rPr>
          <w:rFonts w:ascii="Times New Roman" w:eastAsia="Times New Roman" w:hAnsi="Times New Roman"/>
          <w:b/>
          <w:bCs/>
          <w:sz w:val="24"/>
          <w:szCs w:val="24"/>
          <w:lang w:val="en-US"/>
        </w:rPr>
        <w:t>4.6. Influence of directive leadership on organizational resilience</w:t>
      </w:r>
      <w:bookmarkEnd w:id="46"/>
    </w:p>
    <w:p w14:paraId="6EF6ACF5" w14:textId="7C723D61" w:rsidR="009120BA" w:rsidRDefault="009120BA" w:rsidP="009120BA">
      <w:pPr>
        <w:spacing w:line="360" w:lineRule="auto"/>
        <w:jc w:val="both"/>
      </w:pPr>
      <w:r>
        <w:rPr>
          <w:rFonts w:ascii="Times New Roman" w:hAnsi="Times New Roman"/>
          <w:sz w:val="24"/>
          <w:szCs w:val="24"/>
          <w:lang w:val="en-US"/>
        </w:rPr>
        <w:t xml:space="preserve">The third </w:t>
      </w:r>
      <w:r w:rsidR="006D33DF">
        <w:rPr>
          <w:rFonts w:ascii="Times New Roman" w:hAnsi="Times New Roman"/>
          <w:sz w:val="24"/>
          <w:szCs w:val="24"/>
          <w:lang w:val="en-US"/>
        </w:rPr>
        <w:t>intent</w:t>
      </w:r>
      <w:r>
        <w:rPr>
          <w:rFonts w:ascii="Times New Roman" w:hAnsi="Times New Roman"/>
          <w:sz w:val="24"/>
          <w:szCs w:val="24"/>
          <w:lang w:val="en-US"/>
        </w:rPr>
        <w:t xml:space="preserve"> of this study </w:t>
      </w:r>
      <w:r w:rsidR="006D33DF">
        <w:rPr>
          <w:rFonts w:ascii="Times New Roman" w:hAnsi="Times New Roman"/>
          <w:sz w:val="24"/>
          <w:szCs w:val="24"/>
          <w:lang w:val="en-US"/>
        </w:rPr>
        <w:t>links</w:t>
      </w:r>
      <w:r>
        <w:rPr>
          <w:rFonts w:ascii="Times New Roman" w:hAnsi="Times New Roman"/>
          <w:sz w:val="24"/>
          <w:szCs w:val="24"/>
          <w:lang w:val="en-US"/>
        </w:rPr>
        <w:t xml:space="preserve"> to </w:t>
      </w:r>
      <w:proofErr w:type="gramStart"/>
      <w:r>
        <w:rPr>
          <w:rFonts w:ascii="Times New Roman" w:hAnsi="Times New Roman"/>
          <w:sz w:val="24"/>
          <w:szCs w:val="24"/>
          <w:lang w:val="en-US"/>
        </w:rPr>
        <w:t>examining</w:t>
      </w:r>
      <w:proofErr w:type="gramEnd"/>
      <w:r>
        <w:rPr>
          <w:rFonts w:ascii="Times New Roman" w:hAnsi="Times New Roman"/>
          <w:sz w:val="24"/>
          <w:szCs w:val="24"/>
          <w:lang w:val="en-US"/>
        </w:rPr>
        <w:t xml:space="preserve"> the relationship between directive leadership on organizational resilienc</w:t>
      </w:r>
      <w:r>
        <w:rPr>
          <w:rFonts w:ascii="Times New Roman" w:hAnsi="Times New Roman"/>
          <w:b/>
          <w:bCs/>
          <w:sz w:val="24"/>
          <w:szCs w:val="24"/>
          <w:lang w:val="en-US"/>
        </w:rPr>
        <w:t>e</w:t>
      </w:r>
      <w:r>
        <w:rPr>
          <w:rFonts w:ascii="Times New Roman" w:hAnsi="Times New Roman"/>
          <w:sz w:val="24"/>
          <w:szCs w:val="24"/>
          <w:lang w:val="en-US"/>
        </w:rPr>
        <w:t xml:space="preserve">. </w:t>
      </w:r>
      <w:r w:rsidR="004142B6">
        <w:rPr>
          <w:rFonts w:ascii="Times New Roman" w:hAnsi="Times New Roman"/>
          <w:sz w:val="24"/>
          <w:szCs w:val="24"/>
          <w:lang w:val="en-US"/>
        </w:rPr>
        <w:t>S</w:t>
      </w:r>
      <w:r>
        <w:rPr>
          <w:rFonts w:ascii="Times New Roman" w:hAnsi="Times New Roman"/>
          <w:sz w:val="24"/>
          <w:szCs w:val="24"/>
          <w:lang w:val="en-US"/>
        </w:rPr>
        <w:t xml:space="preserve">tatistical </w:t>
      </w:r>
      <w:r w:rsidR="004142B6">
        <w:rPr>
          <w:rFonts w:ascii="Times New Roman" w:hAnsi="Times New Roman"/>
          <w:sz w:val="24"/>
          <w:szCs w:val="24"/>
          <w:lang w:val="en-US"/>
        </w:rPr>
        <w:t>answers</w:t>
      </w:r>
      <w:r>
        <w:rPr>
          <w:rFonts w:ascii="Times New Roman" w:hAnsi="Times New Roman"/>
          <w:sz w:val="24"/>
          <w:szCs w:val="24"/>
          <w:lang w:val="en-US"/>
        </w:rPr>
        <w:t xml:space="preserve"> </w:t>
      </w:r>
      <w:r w:rsidR="004142B6">
        <w:rPr>
          <w:rFonts w:ascii="Times New Roman" w:hAnsi="Times New Roman"/>
          <w:sz w:val="24"/>
          <w:szCs w:val="24"/>
          <w:lang w:val="en-US"/>
        </w:rPr>
        <w:t>created</w:t>
      </w:r>
      <w:r>
        <w:rPr>
          <w:rFonts w:ascii="Times New Roman" w:hAnsi="Times New Roman"/>
          <w:sz w:val="24"/>
          <w:szCs w:val="24"/>
          <w:lang w:val="en-US"/>
        </w:rPr>
        <w:t xml:space="preserve"> from estimation of field data are presented in table 6.</w:t>
      </w:r>
    </w:p>
    <w:p w14:paraId="08562739" w14:textId="2352AAA8" w:rsidR="009120BA" w:rsidRDefault="009120BA" w:rsidP="009120BA">
      <w:pPr>
        <w:spacing w:line="360" w:lineRule="auto"/>
        <w:jc w:val="both"/>
        <w:rPr>
          <w:rFonts w:ascii="Times New Roman" w:hAnsi="Times New Roman"/>
          <w:b/>
          <w:bCs/>
          <w:sz w:val="24"/>
          <w:szCs w:val="24"/>
          <w:lang w:val="en-US"/>
        </w:rPr>
      </w:pPr>
      <w:r>
        <w:rPr>
          <w:rFonts w:ascii="Times New Roman" w:hAnsi="Times New Roman"/>
          <w:b/>
          <w:bCs/>
          <w:sz w:val="24"/>
          <w:szCs w:val="24"/>
          <w:lang w:val="en-US"/>
        </w:rPr>
        <w:lastRenderedPageBreak/>
        <w:t>Table 6: OLS Regression Results for</w:t>
      </w:r>
      <w:r w:rsidR="005B3EED">
        <w:rPr>
          <w:rFonts w:ascii="Times New Roman" w:hAnsi="Times New Roman"/>
          <w:b/>
          <w:bCs/>
          <w:sz w:val="24"/>
          <w:szCs w:val="24"/>
          <w:lang w:val="en-US"/>
        </w:rPr>
        <w:t xml:space="preserve"> </w:t>
      </w:r>
      <w:r>
        <w:rPr>
          <w:rFonts w:ascii="Times New Roman" w:hAnsi="Times New Roman"/>
          <w:b/>
          <w:bCs/>
          <w:sz w:val="24"/>
          <w:szCs w:val="24"/>
          <w:lang w:val="en-US"/>
        </w:rPr>
        <w:t>Effect of Directive Leadership on Organizational Resilience</w:t>
      </w:r>
    </w:p>
    <w:tbl>
      <w:tblPr>
        <w:tblW w:w="7843" w:type="dxa"/>
        <w:tblCellMar>
          <w:left w:w="10" w:type="dxa"/>
          <w:right w:w="10" w:type="dxa"/>
        </w:tblCellMar>
        <w:tblLook w:val="04A0" w:firstRow="1" w:lastRow="0" w:firstColumn="1" w:lastColumn="0" w:noHBand="0" w:noVBand="1"/>
      </w:tblPr>
      <w:tblGrid>
        <w:gridCol w:w="2789"/>
        <w:gridCol w:w="1336"/>
        <w:gridCol w:w="1279"/>
        <w:gridCol w:w="1203"/>
        <w:gridCol w:w="1236"/>
      </w:tblGrid>
      <w:tr w:rsidR="009120BA" w14:paraId="3E68E318"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B5EB1"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C93DA"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0ED3B"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9E4DF"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E2331"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7A4E54B3"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CF6D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5ADB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3.0152</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6B7C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0.5481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5F74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5.5010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C6DD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54753F77"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44C7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Directive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556C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0.2148</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FE8D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0.0874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3547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2.4580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B6DE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0.0160**</w:t>
            </w:r>
          </w:p>
        </w:tc>
      </w:tr>
    </w:tbl>
    <w:p w14:paraId="3110A9C0" w14:textId="77777777" w:rsidR="009120BA" w:rsidRDefault="009120BA" w:rsidP="009120BA">
      <w:pPr>
        <w:spacing w:after="0" w:line="276" w:lineRule="auto"/>
        <w:rPr>
          <w:vanish/>
          <w:sz w:val="24"/>
          <w:szCs w:val="24"/>
          <w:lang w:val="en-US"/>
        </w:rPr>
      </w:pPr>
    </w:p>
    <w:tbl>
      <w:tblPr>
        <w:tblW w:w="3277" w:type="dxa"/>
        <w:tblCellMar>
          <w:left w:w="10" w:type="dxa"/>
          <w:right w:w="10" w:type="dxa"/>
        </w:tblCellMar>
        <w:tblLook w:val="04A0" w:firstRow="1" w:lastRow="0" w:firstColumn="1" w:lastColumn="0" w:noHBand="0" w:noVBand="1"/>
      </w:tblPr>
      <w:tblGrid>
        <w:gridCol w:w="2483"/>
        <w:gridCol w:w="794"/>
      </w:tblGrid>
      <w:tr w:rsidR="009120BA" w14:paraId="0CA72608"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CE558"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Model Fit Statistics</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73C76"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Value</w:t>
            </w:r>
          </w:p>
        </w:tc>
      </w:tr>
      <w:tr w:rsidR="009120BA" w14:paraId="16171CD1"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AA60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R-squared</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EFE1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0.061</w:t>
            </w:r>
          </w:p>
        </w:tc>
      </w:tr>
      <w:tr w:rsidR="009120BA" w14:paraId="1386BDB3"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92A9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Adjusted R-squared</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379D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0.050</w:t>
            </w:r>
          </w:p>
        </w:tc>
      </w:tr>
      <w:tr w:rsidR="009120BA" w14:paraId="6ABE8CDF"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8282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F-statistic</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9863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6.042</w:t>
            </w:r>
          </w:p>
        </w:tc>
      </w:tr>
      <w:tr w:rsidR="009120BA" w14:paraId="0FFB0E9A"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F3D4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Prob(F-statistic)</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D8BD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0.016</w:t>
            </w:r>
          </w:p>
        </w:tc>
      </w:tr>
      <w:tr w:rsidR="009120BA" w14:paraId="51AE845D"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BECB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Durbin-Watson statistic</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4AF8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1.756</w:t>
            </w:r>
          </w:p>
        </w:tc>
      </w:tr>
      <w:tr w:rsidR="009120BA" w14:paraId="3DB892E7"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8D81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S.E. of regression</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6272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0.501</w:t>
            </w:r>
          </w:p>
        </w:tc>
      </w:tr>
    </w:tbl>
    <w:p w14:paraId="6CE8874D" w14:textId="77777777" w:rsidR="009120BA" w:rsidRDefault="009120BA" w:rsidP="009120BA">
      <w:pPr>
        <w:spacing w:line="360" w:lineRule="auto"/>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2F9B7794" w14:textId="06C43E30" w:rsidR="009120BA" w:rsidRDefault="009120BA" w:rsidP="009120BA">
      <w:pPr>
        <w:spacing w:line="360" w:lineRule="auto"/>
        <w:jc w:val="both"/>
      </w:pPr>
      <w:r>
        <w:rPr>
          <w:rFonts w:ascii="Times New Roman" w:hAnsi="Times New Roman"/>
          <w:sz w:val="24"/>
          <w:szCs w:val="24"/>
          <w:lang w:val="en-US"/>
        </w:rPr>
        <w:t xml:space="preserve">The regression analysis examined the influence of directive leadership on organizational resilience. The results indicate directive leadership positive and statistically significant effect on organizational resilience, β = 0.2148, </w:t>
      </w:r>
      <w:proofErr w:type="gramStart"/>
      <w:r>
        <w:rPr>
          <w:rFonts w:ascii="Times New Roman" w:hAnsi="Times New Roman"/>
          <w:i/>
          <w:iCs/>
          <w:sz w:val="24"/>
          <w:szCs w:val="24"/>
          <w:lang w:val="en-US"/>
        </w:rPr>
        <w:t>t</w:t>
      </w:r>
      <w:r>
        <w:rPr>
          <w:rFonts w:ascii="Times New Roman" w:hAnsi="Times New Roman"/>
          <w:sz w:val="24"/>
          <w:szCs w:val="24"/>
          <w:lang w:val="en-US"/>
        </w:rPr>
        <w:t>(</w:t>
      </w:r>
      <w:proofErr w:type="gramEnd"/>
      <w:r>
        <w:rPr>
          <w:rFonts w:ascii="Times New Roman" w:hAnsi="Times New Roman"/>
          <w:sz w:val="24"/>
          <w:szCs w:val="24"/>
          <w:lang w:val="en-US"/>
        </w:rPr>
        <w:t xml:space="preserve">88) = 2.458, </w:t>
      </w:r>
      <w:r>
        <w:rPr>
          <w:rFonts w:ascii="Times New Roman" w:hAnsi="Times New Roman"/>
          <w:i/>
          <w:iCs/>
          <w:sz w:val="24"/>
          <w:szCs w:val="24"/>
          <w:lang w:val="en-US"/>
        </w:rPr>
        <w:t>p</w:t>
      </w:r>
      <w:r>
        <w:rPr>
          <w:rFonts w:ascii="Times New Roman" w:hAnsi="Times New Roman"/>
          <w:sz w:val="24"/>
          <w:szCs w:val="24"/>
          <w:lang w:val="en-US"/>
        </w:rPr>
        <w:t xml:space="preserve"> = .016. This suggests that a one-unit increase in directive leadership is associated with a 0.2148-unit increase in organizational </w:t>
      </w:r>
      <w:r w:rsidR="00EC7EB7">
        <w:rPr>
          <w:rFonts w:ascii="Times New Roman" w:hAnsi="Times New Roman"/>
          <w:sz w:val="24"/>
          <w:szCs w:val="24"/>
          <w:lang w:val="en-US"/>
        </w:rPr>
        <w:t>strength</w:t>
      </w:r>
      <w:r>
        <w:rPr>
          <w:rFonts w:ascii="Times New Roman" w:hAnsi="Times New Roman"/>
          <w:sz w:val="24"/>
          <w:szCs w:val="24"/>
          <w:lang w:val="en-US"/>
        </w:rPr>
        <w:t xml:space="preserve">. The model explained 6.1% of the variance in organizational resilience (R² = .061; Adjusted R² = .050), indicating modest explanatory power. The overall regression model was statistically significant, </w:t>
      </w:r>
      <w:proofErr w:type="gramStart"/>
      <w:r>
        <w:rPr>
          <w:rFonts w:ascii="Times New Roman" w:hAnsi="Times New Roman"/>
          <w:i/>
          <w:iCs/>
          <w:sz w:val="24"/>
          <w:szCs w:val="24"/>
          <w:lang w:val="en-US"/>
        </w:rPr>
        <w:t>F</w:t>
      </w:r>
      <w:r>
        <w:rPr>
          <w:rFonts w:ascii="Times New Roman" w:hAnsi="Times New Roman"/>
          <w:sz w:val="24"/>
          <w:szCs w:val="24"/>
          <w:lang w:val="en-US"/>
        </w:rPr>
        <w:t>(</w:t>
      </w:r>
      <w:proofErr w:type="gramEnd"/>
      <w:r>
        <w:rPr>
          <w:rFonts w:ascii="Times New Roman" w:hAnsi="Times New Roman"/>
          <w:sz w:val="24"/>
          <w:szCs w:val="24"/>
          <w:lang w:val="en-US"/>
        </w:rPr>
        <w:t xml:space="preserve">1, 88) = 6.042, </w:t>
      </w:r>
      <w:r>
        <w:rPr>
          <w:rFonts w:ascii="Times New Roman" w:hAnsi="Times New Roman"/>
          <w:i/>
          <w:iCs/>
          <w:sz w:val="24"/>
          <w:szCs w:val="24"/>
          <w:lang w:val="en-US"/>
        </w:rPr>
        <w:t>p</w:t>
      </w:r>
      <w:r>
        <w:rPr>
          <w:rFonts w:ascii="Times New Roman" w:hAnsi="Times New Roman"/>
          <w:sz w:val="24"/>
          <w:szCs w:val="24"/>
          <w:lang w:val="en-US"/>
        </w:rPr>
        <w:t xml:space="preserve"> = .016. The Durbin–Watson statistic of 1.756 suggests no serious autocorrelation concerns. Overall, directive leadership contributes positively to organizational resilience, although its influence appears relatively limited.</w:t>
      </w:r>
    </w:p>
    <w:p w14:paraId="7A47441A"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7" w:name="_Toc232013542"/>
      <w:r>
        <w:rPr>
          <w:rFonts w:ascii="Times New Roman" w:eastAsia="Times New Roman" w:hAnsi="Times New Roman"/>
          <w:b/>
          <w:bCs/>
          <w:sz w:val="24"/>
          <w:szCs w:val="24"/>
          <w:lang w:val="en-US"/>
        </w:rPr>
        <w:t>4.7. Influence of adaptive leadership style on organizational resilience.</w:t>
      </w:r>
      <w:bookmarkEnd w:id="47"/>
    </w:p>
    <w:p w14:paraId="1B0C8366" w14:textId="45131D30" w:rsidR="009120BA" w:rsidRDefault="00643A53" w:rsidP="009120BA">
      <w:pPr>
        <w:spacing w:line="360" w:lineRule="auto"/>
        <w:jc w:val="both"/>
        <w:rPr>
          <w:rFonts w:ascii="Times New Roman" w:hAnsi="Times New Roman"/>
          <w:sz w:val="24"/>
          <w:szCs w:val="24"/>
          <w:lang w:val="en-US"/>
        </w:rPr>
      </w:pPr>
      <w:proofErr w:type="gramStart"/>
      <w:r>
        <w:rPr>
          <w:rFonts w:ascii="Times New Roman" w:hAnsi="Times New Roman"/>
          <w:sz w:val="24"/>
          <w:szCs w:val="24"/>
          <w:lang w:val="en-US"/>
        </w:rPr>
        <w:t>Fourths</w:t>
      </w:r>
      <w:proofErr w:type="gramEnd"/>
      <w:r w:rsidR="009120BA">
        <w:rPr>
          <w:rFonts w:ascii="Times New Roman" w:hAnsi="Times New Roman"/>
          <w:sz w:val="24"/>
          <w:szCs w:val="24"/>
          <w:lang w:val="en-US"/>
        </w:rPr>
        <w:t xml:space="preserve"> objective of this study relates to examining the influence of adaptive leadership style on organizational resilience. </w:t>
      </w:r>
    </w:p>
    <w:p w14:paraId="4A198D89" w14:textId="77777777" w:rsidR="009120BA" w:rsidRDefault="009120BA" w:rsidP="009120BA">
      <w:pPr>
        <w:spacing w:line="360" w:lineRule="auto"/>
        <w:jc w:val="both"/>
      </w:pPr>
      <w:r>
        <w:rPr>
          <w:rFonts w:ascii="Times New Roman" w:hAnsi="Times New Roman"/>
          <w:b/>
          <w:bCs/>
          <w:sz w:val="24"/>
          <w:szCs w:val="24"/>
          <w:lang w:val="en-US"/>
        </w:rPr>
        <w:t>Table 7.</w:t>
      </w:r>
      <w:r>
        <w:rPr>
          <w:rFonts w:ascii="Times New Roman" w:hAnsi="Times New Roman"/>
          <w:sz w:val="24"/>
          <w:szCs w:val="24"/>
          <w:lang w:val="en-US"/>
        </w:rPr>
        <w:t xml:space="preserve"> </w:t>
      </w:r>
      <w:r>
        <w:rPr>
          <w:rFonts w:ascii="Times New Roman" w:hAnsi="Times New Roman"/>
          <w:b/>
          <w:bCs/>
          <w:sz w:val="24"/>
          <w:szCs w:val="24"/>
          <w:lang w:val="en-US"/>
        </w:rPr>
        <w:t>OLS regression results for adaptive leadership style on organizational resilience</w:t>
      </w:r>
    </w:p>
    <w:tbl>
      <w:tblPr>
        <w:tblW w:w="7830" w:type="dxa"/>
        <w:tblCellMar>
          <w:left w:w="10" w:type="dxa"/>
          <w:right w:w="10" w:type="dxa"/>
        </w:tblCellMar>
        <w:tblLook w:val="04A0" w:firstRow="1" w:lastRow="0" w:firstColumn="1" w:lastColumn="0" w:noHBand="0" w:noVBand="1"/>
      </w:tblPr>
      <w:tblGrid>
        <w:gridCol w:w="2776"/>
        <w:gridCol w:w="1336"/>
        <w:gridCol w:w="1279"/>
        <w:gridCol w:w="1203"/>
        <w:gridCol w:w="1236"/>
      </w:tblGrid>
      <w:tr w:rsidR="009120BA" w14:paraId="3F5CE42C" w14:textId="77777777" w:rsidTr="006A77E8">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7A46C"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BB367"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E4D09"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E2B36"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C8165"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3E339F5E" w14:textId="77777777" w:rsidTr="006A77E8">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A35C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E5D0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2.4021</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2A1F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0.4984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B655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4.8200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B2BF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416700F4" w14:textId="77777777" w:rsidTr="006A77E8">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5A8C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Adaptive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9772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0.4689</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D9D6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0.0915</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BC6F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5.1260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CD01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bl>
    <w:p w14:paraId="279C763F" w14:textId="77777777" w:rsidR="009120BA" w:rsidRDefault="009120BA" w:rsidP="009120BA">
      <w:pPr>
        <w:spacing w:after="0" w:line="276" w:lineRule="auto"/>
        <w:rPr>
          <w:vanish/>
          <w:sz w:val="24"/>
          <w:szCs w:val="24"/>
          <w:lang w:val="en-US"/>
        </w:rPr>
      </w:pPr>
    </w:p>
    <w:tbl>
      <w:tblPr>
        <w:tblW w:w="3359" w:type="dxa"/>
        <w:tblCellMar>
          <w:left w:w="10" w:type="dxa"/>
          <w:right w:w="10" w:type="dxa"/>
        </w:tblCellMar>
        <w:tblLook w:val="04A0" w:firstRow="1" w:lastRow="0" w:firstColumn="1" w:lastColumn="0" w:noHBand="0" w:noVBand="1"/>
      </w:tblPr>
      <w:tblGrid>
        <w:gridCol w:w="2483"/>
        <w:gridCol w:w="876"/>
      </w:tblGrid>
      <w:tr w:rsidR="009120BA" w14:paraId="5C9997D6"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10E0D"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Statistic</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4E748"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Value</w:t>
            </w:r>
          </w:p>
        </w:tc>
      </w:tr>
      <w:tr w:rsidR="009120BA" w14:paraId="723E3681"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2CF0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R-squared</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DE52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0.196</w:t>
            </w:r>
          </w:p>
        </w:tc>
      </w:tr>
      <w:tr w:rsidR="009120BA" w14:paraId="350FA13F"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DEB6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lastRenderedPageBreak/>
              <w:t>Adjusted R-squared</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D721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0.187</w:t>
            </w:r>
          </w:p>
        </w:tc>
      </w:tr>
      <w:tr w:rsidR="009120BA" w14:paraId="4B26A6A8"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9B82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F-statistic</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A172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26.270</w:t>
            </w:r>
          </w:p>
        </w:tc>
      </w:tr>
      <w:tr w:rsidR="009120BA" w14:paraId="078C17AA"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480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Prob(F-statistic)</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D36C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33126E3C"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4896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Durbin-Watson statistic</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9356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1.8010</w:t>
            </w:r>
          </w:p>
        </w:tc>
      </w:tr>
      <w:tr w:rsidR="009120BA" w14:paraId="0C76530F" w14:textId="77777777" w:rsidTr="006A77E8">
        <w:tc>
          <w:tcPr>
            <w:tcW w:w="2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BC80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S.E. of regression</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5219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0.452</w:t>
            </w:r>
          </w:p>
        </w:tc>
      </w:tr>
    </w:tbl>
    <w:p w14:paraId="325D18BA" w14:textId="77777777" w:rsidR="009120BA" w:rsidRDefault="009120BA" w:rsidP="009120BA">
      <w:pPr>
        <w:spacing w:line="360" w:lineRule="auto"/>
        <w:jc w:val="both"/>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388A6CD7" w14:textId="7BBD3F1C" w:rsidR="009120BA" w:rsidRDefault="00E35061" w:rsidP="009120BA">
      <w:pPr>
        <w:spacing w:line="360" w:lineRule="auto"/>
        <w:jc w:val="both"/>
      </w:pPr>
      <w:r>
        <w:rPr>
          <w:rFonts w:ascii="Times New Roman" w:hAnsi="Times New Roman"/>
          <w:sz w:val="24"/>
          <w:szCs w:val="24"/>
          <w:lang w:val="en-US"/>
        </w:rPr>
        <w:t>R</w:t>
      </w:r>
      <w:r w:rsidR="009120BA">
        <w:rPr>
          <w:rFonts w:ascii="Times New Roman" w:hAnsi="Times New Roman"/>
          <w:sz w:val="24"/>
          <w:szCs w:val="24"/>
          <w:lang w:val="en-US"/>
        </w:rPr>
        <w:t>egression analysis examined effect</w:t>
      </w:r>
      <w:r w:rsidR="00ED0967">
        <w:rPr>
          <w:rFonts w:ascii="Times New Roman" w:hAnsi="Times New Roman"/>
          <w:sz w:val="24"/>
          <w:szCs w:val="24"/>
          <w:lang w:val="en-US"/>
        </w:rPr>
        <w:t>s</w:t>
      </w:r>
      <w:r w:rsidR="009120BA">
        <w:rPr>
          <w:rFonts w:ascii="Times New Roman" w:hAnsi="Times New Roman"/>
          <w:sz w:val="24"/>
          <w:szCs w:val="24"/>
          <w:lang w:val="en-US"/>
        </w:rPr>
        <w:t xml:space="preserve"> of adaptive leadership on organizational resilience among REE-dependent organizations. The results indicate that adaptive leadership has positive </w:t>
      </w:r>
      <w:r w:rsidR="00466844">
        <w:rPr>
          <w:rFonts w:ascii="Times New Roman" w:hAnsi="Times New Roman"/>
          <w:sz w:val="24"/>
          <w:szCs w:val="24"/>
          <w:lang w:val="en-US"/>
        </w:rPr>
        <w:t>plus</w:t>
      </w:r>
      <w:r w:rsidR="009120BA">
        <w:rPr>
          <w:rFonts w:ascii="Times New Roman" w:hAnsi="Times New Roman"/>
          <w:sz w:val="24"/>
          <w:szCs w:val="24"/>
          <w:lang w:val="en-US"/>
        </w:rPr>
        <w:t xml:space="preserve"> statistically significant influence on organizational resilience, β = 0.4689, </w:t>
      </w:r>
      <w:proofErr w:type="gramStart"/>
      <w:r w:rsidR="009120BA">
        <w:rPr>
          <w:rFonts w:ascii="Times New Roman" w:hAnsi="Times New Roman"/>
          <w:i/>
          <w:iCs/>
          <w:sz w:val="24"/>
          <w:szCs w:val="24"/>
          <w:lang w:val="en-US"/>
        </w:rPr>
        <w:t>t</w:t>
      </w:r>
      <w:r w:rsidR="009120BA">
        <w:rPr>
          <w:rFonts w:ascii="Times New Roman" w:hAnsi="Times New Roman"/>
          <w:sz w:val="24"/>
          <w:szCs w:val="24"/>
          <w:lang w:val="en-US"/>
        </w:rPr>
        <w:t>(</w:t>
      </w:r>
      <w:proofErr w:type="gramEnd"/>
      <w:r w:rsidR="009120BA">
        <w:rPr>
          <w:rFonts w:ascii="Times New Roman" w:hAnsi="Times New Roman"/>
          <w:sz w:val="24"/>
          <w:szCs w:val="24"/>
          <w:lang w:val="en-US"/>
        </w:rPr>
        <w:t xml:space="preserve">88) = 5.126, </w:t>
      </w:r>
      <w:r w:rsidR="009120BA">
        <w:rPr>
          <w:rFonts w:ascii="Times New Roman" w:hAnsi="Times New Roman"/>
          <w:i/>
          <w:iCs/>
          <w:sz w:val="24"/>
          <w:szCs w:val="24"/>
          <w:lang w:val="en-US"/>
        </w:rPr>
        <w:t>p</w:t>
      </w:r>
      <w:r w:rsidR="009120BA">
        <w:rPr>
          <w:rFonts w:ascii="Times New Roman" w:hAnsi="Times New Roman"/>
          <w:sz w:val="24"/>
          <w:szCs w:val="24"/>
          <w:lang w:val="en-US"/>
        </w:rPr>
        <w:t xml:space="preserve"> &lt; .001. This implies that one-unit increase in adaptive leadership is associated with 0.4689-</w:t>
      </w:r>
      <w:r w:rsidR="000F0925">
        <w:rPr>
          <w:rFonts w:ascii="Times New Roman" w:hAnsi="Times New Roman"/>
          <w:sz w:val="24"/>
          <w:szCs w:val="24"/>
          <w:lang w:val="en-US"/>
        </w:rPr>
        <w:t xml:space="preserve"> </w:t>
      </w:r>
      <w:r w:rsidR="009120BA">
        <w:rPr>
          <w:rFonts w:ascii="Times New Roman" w:hAnsi="Times New Roman"/>
          <w:sz w:val="24"/>
          <w:szCs w:val="24"/>
          <w:lang w:val="en-US"/>
        </w:rPr>
        <w:t xml:space="preserve">unit increase in organizational resilience. The model explains 19.6% of the variation in organizational resilience (R² = .196; Adjusted R² = .187), suggesting moderate </w:t>
      </w:r>
      <w:r w:rsidR="00D22C21">
        <w:rPr>
          <w:rFonts w:ascii="Times New Roman" w:hAnsi="Times New Roman"/>
          <w:sz w:val="24"/>
          <w:szCs w:val="24"/>
          <w:lang w:val="en-US"/>
        </w:rPr>
        <w:t>elucidatory</w:t>
      </w:r>
      <w:r w:rsidR="009120BA">
        <w:rPr>
          <w:rFonts w:ascii="Times New Roman" w:hAnsi="Times New Roman"/>
          <w:sz w:val="24"/>
          <w:szCs w:val="24"/>
          <w:lang w:val="en-US"/>
        </w:rPr>
        <w:t xml:space="preserve"> power. The overall regression model was statistically significant, </w:t>
      </w:r>
      <w:proofErr w:type="gramStart"/>
      <w:r w:rsidR="009120BA">
        <w:rPr>
          <w:rFonts w:ascii="Times New Roman" w:hAnsi="Times New Roman"/>
          <w:i/>
          <w:iCs/>
          <w:sz w:val="24"/>
          <w:szCs w:val="24"/>
          <w:lang w:val="en-US"/>
        </w:rPr>
        <w:t>F</w:t>
      </w:r>
      <w:r w:rsidR="009120BA">
        <w:rPr>
          <w:rFonts w:ascii="Times New Roman" w:hAnsi="Times New Roman"/>
          <w:sz w:val="24"/>
          <w:szCs w:val="24"/>
          <w:lang w:val="en-US"/>
        </w:rPr>
        <w:t>(</w:t>
      </w:r>
      <w:proofErr w:type="gramEnd"/>
      <w:r w:rsidR="009120BA">
        <w:rPr>
          <w:rFonts w:ascii="Times New Roman" w:hAnsi="Times New Roman"/>
          <w:sz w:val="24"/>
          <w:szCs w:val="24"/>
          <w:lang w:val="en-US"/>
        </w:rPr>
        <w:t xml:space="preserve">1, 88) = 26.270, </w:t>
      </w:r>
      <w:r w:rsidR="009120BA">
        <w:rPr>
          <w:rFonts w:ascii="Times New Roman" w:hAnsi="Times New Roman"/>
          <w:i/>
          <w:iCs/>
          <w:sz w:val="24"/>
          <w:szCs w:val="24"/>
          <w:lang w:val="en-US"/>
        </w:rPr>
        <w:t>p</w:t>
      </w:r>
      <w:r w:rsidR="009120BA">
        <w:rPr>
          <w:rFonts w:ascii="Times New Roman" w:hAnsi="Times New Roman"/>
          <w:sz w:val="24"/>
          <w:szCs w:val="24"/>
          <w:lang w:val="en-US"/>
        </w:rPr>
        <w:t xml:space="preserve"> &lt; .001. Durbin-Watson </w:t>
      </w:r>
      <w:proofErr w:type="gramStart"/>
      <w:r w:rsidR="009120BA">
        <w:rPr>
          <w:rFonts w:ascii="Times New Roman" w:hAnsi="Times New Roman"/>
          <w:sz w:val="24"/>
          <w:szCs w:val="24"/>
          <w:lang w:val="en-US"/>
        </w:rPr>
        <w:t>statistic</w:t>
      </w:r>
      <w:proofErr w:type="gramEnd"/>
      <w:r w:rsidR="009120BA">
        <w:rPr>
          <w:rFonts w:ascii="Times New Roman" w:hAnsi="Times New Roman"/>
          <w:sz w:val="24"/>
          <w:szCs w:val="24"/>
          <w:lang w:val="en-US"/>
        </w:rPr>
        <w:t xml:space="preserve"> of 1.801 indicates no substantial autocorrelation issues. Overall, the findings suggest that adaptive lead</w:t>
      </w:r>
      <w:r w:rsidR="009E676C">
        <w:rPr>
          <w:rFonts w:ascii="Times New Roman" w:hAnsi="Times New Roman"/>
          <w:sz w:val="24"/>
          <w:szCs w:val="24"/>
          <w:lang w:val="en-US"/>
        </w:rPr>
        <w:t>ing</w:t>
      </w:r>
      <w:r w:rsidR="009120BA">
        <w:rPr>
          <w:rFonts w:ascii="Times New Roman" w:hAnsi="Times New Roman"/>
          <w:sz w:val="24"/>
          <w:szCs w:val="24"/>
          <w:lang w:val="en-US"/>
        </w:rPr>
        <w:t xml:space="preserve"> plays an important role in strengthening organizational </w:t>
      </w:r>
      <w:r w:rsidR="002F6128">
        <w:rPr>
          <w:rFonts w:ascii="Times New Roman" w:hAnsi="Times New Roman"/>
          <w:sz w:val="24"/>
          <w:szCs w:val="24"/>
          <w:lang w:val="en-US"/>
        </w:rPr>
        <w:t>strength</w:t>
      </w:r>
      <w:r w:rsidR="009120BA">
        <w:rPr>
          <w:rFonts w:ascii="Times New Roman" w:hAnsi="Times New Roman"/>
          <w:sz w:val="24"/>
          <w:szCs w:val="24"/>
          <w:lang w:val="en-US"/>
        </w:rPr>
        <w:t xml:space="preserve"> under conditions of geopolitical supply uncertainty.</w:t>
      </w:r>
    </w:p>
    <w:p w14:paraId="317E42B5"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48" w:name="_Toc232013543"/>
      <w:r>
        <w:rPr>
          <w:rFonts w:ascii="Times New Roman" w:eastAsia="Times New Roman" w:hAnsi="Times New Roman"/>
          <w:b/>
          <w:bCs/>
          <w:sz w:val="24"/>
          <w:szCs w:val="24"/>
          <w:lang w:val="en-US"/>
        </w:rPr>
        <w:t>4.8. Effect of organizational resilience on supply chain performance.</w:t>
      </w:r>
      <w:bookmarkEnd w:id="48"/>
    </w:p>
    <w:p w14:paraId="53D1E1FC" w14:textId="46D4592C"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fifth </w:t>
      </w:r>
      <w:r w:rsidR="00CB48DB">
        <w:rPr>
          <w:rFonts w:ascii="Times New Roman" w:hAnsi="Times New Roman"/>
          <w:sz w:val="24"/>
          <w:szCs w:val="24"/>
          <w:lang w:val="en-US"/>
        </w:rPr>
        <w:t>purpose</w:t>
      </w:r>
      <w:r>
        <w:rPr>
          <w:rFonts w:ascii="Times New Roman" w:hAnsi="Times New Roman"/>
          <w:sz w:val="24"/>
          <w:szCs w:val="24"/>
          <w:lang w:val="en-US"/>
        </w:rPr>
        <w:t xml:space="preserve"> of this study relates to examining the effect of organizational resilience on supply chain performance. </w:t>
      </w:r>
    </w:p>
    <w:p w14:paraId="35D75E48" w14:textId="0DBCE70A" w:rsidR="009120BA" w:rsidRDefault="009120BA" w:rsidP="009120BA">
      <w:pPr>
        <w:spacing w:line="360" w:lineRule="auto"/>
        <w:jc w:val="both"/>
      </w:pPr>
      <w:r>
        <w:rPr>
          <w:rFonts w:ascii="Times New Roman" w:hAnsi="Times New Roman"/>
          <w:b/>
          <w:bCs/>
          <w:sz w:val="24"/>
          <w:szCs w:val="24"/>
          <w:lang w:val="en-US"/>
        </w:rPr>
        <w:t xml:space="preserve">Table </w:t>
      </w:r>
      <w:r w:rsidR="007B0245">
        <w:rPr>
          <w:rFonts w:ascii="Times New Roman" w:hAnsi="Times New Roman"/>
          <w:b/>
          <w:bCs/>
          <w:sz w:val="24"/>
          <w:szCs w:val="24"/>
          <w:lang w:val="en-US"/>
        </w:rPr>
        <w:t>8</w:t>
      </w:r>
      <w:r>
        <w:rPr>
          <w:rFonts w:ascii="Times New Roman" w:hAnsi="Times New Roman"/>
          <w:b/>
          <w:bCs/>
          <w:sz w:val="24"/>
          <w:szCs w:val="24"/>
          <w:lang w:val="en-US"/>
        </w:rPr>
        <w:t>.</w:t>
      </w:r>
      <w:r>
        <w:rPr>
          <w:rFonts w:ascii="Times New Roman" w:hAnsi="Times New Roman"/>
          <w:sz w:val="24"/>
          <w:szCs w:val="24"/>
          <w:lang w:val="en-US"/>
        </w:rPr>
        <w:t xml:space="preserve"> </w:t>
      </w:r>
      <w:r>
        <w:rPr>
          <w:rFonts w:ascii="Times New Roman" w:hAnsi="Times New Roman"/>
          <w:b/>
          <w:bCs/>
          <w:sz w:val="24"/>
          <w:szCs w:val="24"/>
          <w:lang w:val="en-US"/>
        </w:rPr>
        <w:t>OLS regression results for effect of organizational resilience on supply chain performance</w:t>
      </w:r>
    </w:p>
    <w:tbl>
      <w:tblPr>
        <w:tblW w:w="7739" w:type="dxa"/>
        <w:tblCellMar>
          <w:left w:w="10" w:type="dxa"/>
          <w:right w:w="10" w:type="dxa"/>
        </w:tblCellMar>
        <w:tblLook w:val="04A0" w:firstRow="1" w:lastRow="0" w:firstColumn="1" w:lastColumn="0" w:noHBand="0" w:noVBand="1"/>
      </w:tblPr>
      <w:tblGrid>
        <w:gridCol w:w="2685"/>
        <w:gridCol w:w="1336"/>
        <w:gridCol w:w="1279"/>
        <w:gridCol w:w="1203"/>
        <w:gridCol w:w="1236"/>
      </w:tblGrid>
      <w:tr w:rsidR="009120BA" w14:paraId="40F433D1"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D2EA"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01DEB"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8A213"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EADB5"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AEDDE"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51BA3BE2"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4AE6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4226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3.2104</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79F1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0.4622</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FADA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6.9460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514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6E1EA9AE"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8346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Organizational Resilience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025F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0.4015</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C819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0.0873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36A8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4.5990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B52A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1E319844"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07053"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Model Fit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1DA38"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Value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D8DC7"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4F9D0"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07768" w14:textId="77777777" w:rsidR="009120BA" w:rsidRDefault="009120BA" w:rsidP="006A77E8">
            <w:pPr>
              <w:spacing w:after="0" w:line="240" w:lineRule="auto"/>
              <w:rPr>
                <w:kern w:val="0"/>
                <w:sz w:val="20"/>
                <w:szCs w:val="20"/>
                <w:lang w:eastAsia="en-GB"/>
              </w:rPr>
            </w:pPr>
          </w:p>
        </w:tc>
      </w:tr>
      <w:tr w:rsidR="009120BA" w14:paraId="070CFC02"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B271E"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88F8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0.184</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60708"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87619"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7A620" w14:textId="77777777" w:rsidR="009120BA" w:rsidRDefault="009120BA" w:rsidP="006A77E8">
            <w:pPr>
              <w:spacing w:after="0" w:line="240" w:lineRule="auto"/>
              <w:rPr>
                <w:kern w:val="0"/>
                <w:sz w:val="20"/>
                <w:szCs w:val="20"/>
                <w:lang w:eastAsia="en-GB"/>
              </w:rPr>
            </w:pPr>
          </w:p>
        </w:tc>
      </w:tr>
      <w:tr w:rsidR="009120BA" w14:paraId="056A88C7"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C9F29"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Adjusted 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2B7D9"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0.175</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3AC0A"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BDBEB"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0A082" w14:textId="77777777" w:rsidR="009120BA" w:rsidRDefault="009120BA" w:rsidP="006A77E8">
            <w:pPr>
              <w:spacing w:after="0" w:line="240" w:lineRule="auto"/>
              <w:rPr>
                <w:kern w:val="0"/>
                <w:sz w:val="20"/>
                <w:szCs w:val="20"/>
                <w:lang w:eastAsia="en-GB"/>
              </w:rPr>
            </w:pPr>
          </w:p>
        </w:tc>
      </w:tr>
      <w:tr w:rsidR="009120BA" w14:paraId="027CAF9B"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DDCD5"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DCD78"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21.1500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03242"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4FA9F"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F8E23" w14:textId="77777777" w:rsidR="009120BA" w:rsidRDefault="009120BA" w:rsidP="006A77E8">
            <w:pPr>
              <w:spacing w:after="0" w:line="240" w:lineRule="auto"/>
              <w:rPr>
                <w:kern w:val="0"/>
                <w:sz w:val="20"/>
                <w:szCs w:val="20"/>
                <w:lang w:eastAsia="en-GB"/>
              </w:rPr>
            </w:pPr>
          </w:p>
        </w:tc>
      </w:tr>
      <w:tr w:rsidR="009120BA" w14:paraId="457C412D"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98D74"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Prob (F-statistic)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43AD6"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0.0000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20E36"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7D615"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C9A68" w14:textId="77777777" w:rsidR="009120BA" w:rsidRDefault="009120BA" w:rsidP="006A77E8">
            <w:pPr>
              <w:spacing w:after="0" w:line="240" w:lineRule="auto"/>
              <w:rPr>
                <w:kern w:val="0"/>
                <w:sz w:val="20"/>
                <w:szCs w:val="20"/>
                <w:lang w:eastAsia="en-GB"/>
              </w:rPr>
            </w:pPr>
          </w:p>
        </w:tc>
      </w:tr>
      <w:tr w:rsidR="009120BA" w14:paraId="41CBBDE5"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D3A6E"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Durbin-Watson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77B0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1.7640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8B3E9"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AB3BC"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DEEB7" w14:textId="77777777" w:rsidR="009120BA" w:rsidRDefault="009120BA" w:rsidP="006A77E8">
            <w:pPr>
              <w:spacing w:after="0" w:line="240" w:lineRule="auto"/>
              <w:rPr>
                <w:kern w:val="0"/>
                <w:sz w:val="20"/>
                <w:szCs w:val="20"/>
                <w:lang w:eastAsia="en-GB"/>
              </w:rPr>
            </w:pPr>
          </w:p>
        </w:tc>
      </w:tr>
      <w:tr w:rsidR="009120BA" w14:paraId="6908CF7F" w14:textId="77777777" w:rsidTr="006A77E8">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0C4B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S.E. of regression</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8A2F7"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0.438</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08D76"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FB664"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501F5" w14:textId="77777777" w:rsidR="009120BA" w:rsidRDefault="009120BA" w:rsidP="006A77E8">
            <w:pPr>
              <w:spacing w:after="0" w:line="240" w:lineRule="auto"/>
              <w:rPr>
                <w:kern w:val="0"/>
                <w:sz w:val="20"/>
                <w:szCs w:val="20"/>
                <w:lang w:eastAsia="en-GB"/>
              </w:rPr>
            </w:pPr>
          </w:p>
        </w:tc>
      </w:tr>
    </w:tbl>
    <w:p w14:paraId="120D1D85" w14:textId="77777777" w:rsidR="009120BA" w:rsidRDefault="009120BA" w:rsidP="009120BA">
      <w:pPr>
        <w:spacing w:line="360" w:lineRule="auto"/>
        <w:jc w:val="both"/>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1C323DC0" w14:textId="4C35BBCC"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Table 8 presents OLS regression results examining </w:t>
      </w:r>
      <w:r w:rsidR="002E1151">
        <w:rPr>
          <w:rFonts w:ascii="Times New Roman" w:hAnsi="Times New Roman"/>
          <w:sz w:val="24"/>
          <w:szCs w:val="24"/>
          <w:lang w:val="en-US"/>
        </w:rPr>
        <w:t>output</w:t>
      </w:r>
      <w:r w:rsidR="00BC4639">
        <w:rPr>
          <w:rFonts w:ascii="Times New Roman" w:hAnsi="Times New Roman"/>
          <w:sz w:val="24"/>
          <w:szCs w:val="24"/>
          <w:lang w:val="en-US"/>
        </w:rPr>
        <w:t>s</w:t>
      </w:r>
      <w:r>
        <w:rPr>
          <w:rFonts w:ascii="Times New Roman" w:hAnsi="Times New Roman"/>
          <w:sz w:val="24"/>
          <w:szCs w:val="24"/>
          <w:lang w:val="en-US"/>
        </w:rPr>
        <w:t xml:space="preserve"> of organizational resilience on supply chain performance. The findings indicate that organizational resilience has </w:t>
      </w:r>
      <w:r w:rsidR="00721FC5">
        <w:rPr>
          <w:rFonts w:ascii="Times New Roman" w:hAnsi="Times New Roman"/>
          <w:sz w:val="24"/>
          <w:szCs w:val="24"/>
          <w:lang w:val="en-US"/>
        </w:rPr>
        <w:t>definite</w:t>
      </w:r>
      <w:r>
        <w:rPr>
          <w:rFonts w:ascii="Times New Roman" w:hAnsi="Times New Roman"/>
          <w:sz w:val="24"/>
          <w:szCs w:val="24"/>
          <w:lang w:val="en-US"/>
        </w:rPr>
        <w:t xml:space="preserve"> and </w:t>
      </w:r>
      <w:r>
        <w:rPr>
          <w:rFonts w:ascii="Times New Roman" w:hAnsi="Times New Roman"/>
          <w:sz w:val="24"/>
          <w:szCs w:val="24"/>
          <w:lang w:val="en-US"/>
        </w:rPr>
        <w:lastRenderedPageBreak/>
        <w:t xml:space="preserve">statistically significant effect on supply chain performance (β = 0.402, SE = 0.087, t = 4.599, p &lt; .001). This suggests that one-unit increase in organizational resilience is </w:t>
      </w:r>
      <w:r w:rsidR="007975EF">
        <w:rPr>
          <w:rFonts w:ascii="Times New Roman" w:hAnsi="Times New Roman"/>
          <w:sz w:val="24"/>
          <w:szCs w:val="24"/>
          <w:lang w:val="en-US"/>
        </w:rPr>
        <w:t>aligned</w:t>
      </w:r>
      <w:r>
        <w:rPr>
          <w:rFonts w:ascii="Times New Roman" w:hAnsi="Times New Roman"/>
          <w:sz w:val="24"/>
          <w:szCs w:val="24"/>
          <w:lang w:val="en-US"/>
        </w:rPr>
        <w:t xml:space="preserve"> with</w:t>
      </w:r>
      <w:r w:rsidR="007975EF">
        <w:rPr>
          <w:rFonts w:ascii="Times New Roman" w:hAnsi="Times New Roman"/>
          <w:sz w:val="24"/>
          <w:szCs w:val="24"/>
          <w:lang w:val="en-US"/>
        </w:rPr>
        <w:t xml:space="preserve"> </w:t>
      </w:r>
      <w:r>
        <w:rPr>
          <w:rFonts w:ascii="Times New Roman" w:hAnsi="Times New Roman"/>
          <w:sz w:val="24"/>
          <w:szCs w:val="24"/>
          <w:lang w:val="en-US"/>
        </w:rPr>
        <w:t>0.402-unit increas</w:t>
      </w:r>
      <w:r w:rsidR="007975EF">
        <w:rPr>
          <w:rFonts w:ascii="Times New Roman" w:hAnsi="Times New Roman"/>
          <w:sz w:val="24"/>
          <w:szCs w:val="24"/>
          <w:lang w:val="en-US"/>
        </w:rPr>
        <w:t>e</w:t>
      </w:r>
      <w:r>
        <w:rPr>
          <w:rFonts w:ascii="Times New Roman" w:hAnsi="Times New Roman"/>
          <w:sz w:val="24"/>
          <w:szCs w:val="24"/>
          <w:lang w:val="en-US"/>
        </w:rPr>
        <w:t xml:space="preserve"> supply chain performance. The model is statistically significant overall, as evidenced by the F-statistic, </w:t>
      </w:r>
      <w:proofErr w:type="gramStart"/>
      <w:r>
        <w:rPr>
          <w:rFonts w:ascii="Times New Roman" w:hAnsi="Times New Roman"/>
          <w:sz w:val="24"/>
          <w:szCs w:val="24"/>
          <w:lang w:val="en-US"/>
        </w:rPr>
        <w:t>F(</w:t>
      </w:r>
      <w:proofErr w:type="gramEnd"/>
      <w:r>
        <w:rPr>
          <w:rFonts w:ascii="Times New Roman" w:hAnsi="Times New Roman"/>
          <w:sz w:val="24"/>
          <w:szCs w:val="24"/>
          <w:lang w:val="en-US"/>
        </w:rPr>
        <w:t xml:space="preserve">1, 88) = 21.15, p &lt; .001. Furthermore, the model explains 18.4% of the variation in supply chain performance (R² = .184; Adjusted R² = .175). Durbin–Watson statistic of 1.764 </w:t>
      </w:r>
      <w:r w:rsidR="005E5F6D">
        <w:rPr>
          <w:rFonts w:ascii="Times New Roman" w:hAnsi="Times New Roman"/>
          <w:sz w:val="24"/>
          <w:szCs w:val="24"/>
          <w:lang w:val="en-US"/>
        </w:rPr>
        <w:t>shows</w:t>
      </w:r>
      <w:r>
        <w:rPr>
          <w:rFonts w:ascii="Times New Roman" w:hAnsi="Times New Roman"/>
          <w:sz w:val="24"/>
          <w:szCs w:val="24"/>
          <w:lang w:val="en-US"/>
        </w:rPr>
        <w:t xml:space="preserve"> n</w:t>
      </w:r>
      <w:r w:rsidR="00C92FEC">
        <w:rPr>
          <w:rFonts w:ascii="Times New Roman" w:hAnsi="Times New Roman"/>
          <w:sz w:val="24"/>
          <w:szCs w:val="24"/>
          <w:lang w:val="en-US"/>
        </w:rPr>
        <w:t>il</w:t>
      </w:r>
      <w:r>
        <w:rPr>
          <w:rFonts w:ascii="Times New Roman" w:hAnsi="Times New Roman"/>
          <w:sz w:val="24"/>
          <w:szCs w:val="24"/>
          <w:lang w:val="en-US"/>
        </w:rPr>
        <w:t xml:space="preserve"> serious autocorrelation concerns, supporting the reliability of the regression estimates. Overall, the results </w:t>
      </w:r>
      <w:proofErr w:type="gramStart"/>
      <w:r>
        <w:rPr>
          <w:rFonts w:ascii="Times New Roman" w:hAnsi="Times New Roman"/>
          <w:sz w:val="24"/>
          <w:szCs w:val="24"/>
          <w:lang w:val="en-US"/>
        </w:rPr>
        <w:t>demonstrate that</w:t>
      </w:r>
      <w:proofErr w:type="gramEnd"/>
      <w:r>
        <w:rPr>
          <w:rFonts w:ascii="Times New Roman" w:hAnsi="Times New Roman"/>
          <w:sz w:val="24"/>
          <w:szCs w:val="24"/>
          <w:lang w:val="en-US"/>
        </w:rPr>
        <w:t xml:space="preserve"> organizational resilience</w:t>
      </w:r>
    </w:p>
    <w:p w14:paraId="4E77BEB3" w14:textId="77777777" w:rsidR="009120BA" w:rsidRDefault="009120BA" w:rsidP="009120BA">
      <w:pPr>
        <w:keepNext/>
        <w:keepLines/>
        <w:spacing w:before="160" w:after="80" w:line="276" w:lineRule="auto"/>
        <w:jc w:val="both"/>
        <w:outlineLvl w:val="1"/>
        <w:rPr>
          <w:rFonts w:ascii="Times New Roman" w:eastAsia="Times New Roman" w:hAnsi="Times New Roman"/>
          <w:b/>
          <w:bCs/>
          <w:sz w:val="24"/>
          <w:szCs w:val="24"/>
          <w:lang w:val="en-US"/>
        </w:rPr>
      </w:pPr>
      <w:bookmarkStart w:id="49" w:name="_Toc232013544"/>
      <w:r>
        <w:rPr>
          <w:rFonts w:ascii="Times New Roman" w:eastAsia="Times New Roman" w:hAnsi="Times New Roman"/>
          <w:b/>
          <w:bCs/>
          <w:sz w:val="24"/>
          <w:szCs w:val="24"/>
          <w:lang w:val="en-US"/>
        </w:rPr>
        <w:t>4.9. Combined influence of geopolitical risk and leadership styles on organizational resilience.</w:t>
      </w:r>
      <w:bookmarkEnd w:id="49"/>
    </w:p>
    <w:p w14:paraId="62DBAB99" w14:textId="6DD8C12E" w:rsidR="009120BA" w:rsidRDefault="009120BA" w:rsidP="009120BA">
      <w:pPr>
        <w:spacing w:line="360" w:lineRule="auto"/>
        <w:jc w:val="both"/>
      </w:pPr>
      <w:r>
        <w:rPr>
          <w:rFonts w:ascii="Times New Roman" w:hAnsi="Times New Roman"/>
          <w:sz w:val="24"/>
          <w:szCs w:val="24"/>
          <w:lang w:val="en-US"/>
        </w:rPr>
        <w:t xml:space="preserve">The sixth </w:t>
      </w:r>
      <w:r w:rsidR="00363F0F">
        <w:rPr>
          <w:rFonts w:ascii="Times New Roman" w:hAnsi="Times New Roman"/>
          <w:sz w:val="24"/>
          <w:szCs w:val="24"/>
          <w:lang w:val="en-US"/>
        </w:rPr>
        <w:t>reason</w:t>
      </w:r>
      <w:r>
        <w:rPr>
          <w:rFonts w:ascii="Times New Roman" w:hAnsi="Times New Roman"/>
          <w:sz w:val="24"/>
          <w:szCs w:val="24"/>
          <w:lang w:val="en-US"/>
        </w:rPr>
        <w:t xml:space="preserve"> </w:t>
      </w:r>
      <w:r w:rsidR="005B6317">
        <w:rPr>
          <w:rFonts w:ascii="Times New Roman" w:hAnsi="Times New Roman"/>
          <w:sz w:val="24"/>
          <w:szCs w:val="24"/>
          <w:lang w:val="en-US"/>
        </w:rPr>
        <w:t xml:space="preserve">for </w:t>
      </w:r>
      <w:r>
        <w:rPr>
          <w:rFonts w:ascii="Times New Roman" w:hAnsi="Times New Roman"/>
          <w:sz w:val="24"/>
          <w:szCs w:val="24"/>
          <w:lang w:val="en-US"/>
        </w:rPr>
        <w:t xml:space="preserve">this study relates to examining the combined influence of geopolitical risk and leadership styles on organizational resilience. </w:t>
      </w:r>
      <w:r w:rsidR="005B6317">
        <w:rPr>
          <w:rFonts w:ascii="Times New Roman" w:hAnsi="Times New Roman"/>
          <w:sz w:val="24"/>
          <w:szCs w:val="24"/>
          <w:lang w:val="en-US"/>
        </w:rPr>
        <w:t>Stat</w:t>
      </w:r>
      <w:r w:rsidR="001B4070">
        <w:rPr>
          <w:rFonts w:ascii="Times New Roman" w:hAnsi="Times New Roman"/>
          <w:sz w:val="24"/>
          <w:szCs w:val="24"/>
          <w:lang w:val="en-US"/>
        </w:rPr>
        <w:t>istical</w:t>
      </w:r>
      <w:r>
        <w:rPr>
          <w:rFonts w:ascii="Times New Roman" w:hAnsi="Times New Roman"/>
          <w:sz w:val="24"/>
          <w:szCs w:val="24"/>
          <w:lang w:val="en-US"/>
        </w:rPr>
        <w:t xml:space="preserve"> results </w:t>
      </w:r>
      <w:r w:rsidR="001E6A28">
        <w:rPr>
          <w:rFonts w:ascii="Times New Roman" w:hAnsi="Times New Roman"/>
          <w:sz w:val="24"/>
          <w:szCs w:val="24"/>
          <w:lang w:val="en-US"/>
        </w:rPr>
        <w:t>formed</w:t>
      </w:r>
      <w:r>
        <w:rPr>
          <w:rFonts w:ascii="Times New Roman" w:hAnsi="Times New Roman"/>
          <w:sz w:val="24"/>
          <w:szCs w:val="24"/>
          <w:lang w:val="en-US"/>
        </w:rPr>
        <w:t xml:space="preserve"> from estimation of field data are </w:t>
      </w:r>
      <w:r w:rsidR="00897453">
        <w:rPr>
          <w:rFonts w:ascii="Times New Roman" w:hAnsi="Times New Roman"/>
          <w:sz w:val="24"/>
          <w:szCs w:val="24"/>
          <w:lang w:val="en-US"/>
        </w:rPr>
        <w:t xml:space="preserve">displayed </w:t>
      </w:r>
      <w:r>
        <w:rPr>
          <w:rFonts w:ascii="Times New Roman" w:hAnsi="Times New Roman"/>
          <w:sz w:val="24"/>
          <w:szCs w:val="24"/>
          <w:lang w:val="en-US"/>
        </w:rPr>
        <w:t>in table 9.</w:t>
      </w:r>
    </w:p>
    <w:p w14:paraId="2052ECDE" w14:textId="77777777" w:rsidR="009120BA" w:rsidRDefault="009120BA" w:rsidP="009120BA">
      <w:pPr>
        <w:spacing w:line="360" w:lineRule="auto"/>
        <w:jc w:val="both"/>
        <w:rPr>
          <w:rFonts w:ascii="Times New Roman" w:hAnsi="Times New Roman"/>
          <w:b/>
          <w:bCs/>
          <w:sz w:val="24"/>
          <w:szCs w:val="24"/>
          <w:lang w:val="en-US"/>
        </w:rPr>
      </w:pPr>
      <w:r>
        <w:rPr>
          <w:rFonts w:ascii="Times New Roman" w:hAnsi="Times New Roman"/>
          <w:b/>
          <w:bCs/>
          <w:sz w:val="24"/>
          <w:szCs w:val="24"/>
          <w:lang w:val="en-US"/>
        </w:rPr>
        <w:t>Table 9. OLS regression results for geopolitical risk and Directive Leadership Style and Adaptive Leadership Style</w:t>
      </w:r>
    </w:p>
    <w:tbl>
      <w:tblPr>
        <w:tblW w:w="7923" w:type="dxa"/>
        <w:tblCellMar>
          <w:left w:w="10" w:type="dxa"/>
          <w:right w:w="10" w:type="dxa"/>
        </w:tblCellMar>
        <w:tblLook w:val="04A0" w:firstRow="1" w:lastRow="0" w:firstColumn="1" w:lastColumn="0" w:noHBand="0" w:noVBand="1"/>
      </w:tblPr>
      <w:tblGrid>
        <w:gridCol w:w="2869"/>
        <w:gridCol w:w="1336"/>
        <w:gridCol w:w="1279"/>
        <w:gridCol w:w="1203"/>
        <w:gridCol w:w="1236"/>
      </w:tblGrid>
      <w:tr w:rsidR="009120BA" w14:paraId="2AC4A9DC"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5C3C9"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4C644"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70D26"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03AC1"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AD0B0"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54D7AAE1"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5200E"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BAFB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2.0056</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02E1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0.5610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5B7F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3.5740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F901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0.0007***</w:t>
            </w:r>
          </w:p>
        </w:tc>
      </w:tr>
      <w:tr w:rsidR="009120BA" w14:paraId="60F3579A"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3627C"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Geopolitical Risk Exposure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62CB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-0.1184</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DC06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0.0892</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AB5B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-1.3270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9EAD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0.1870</w:t>
            </w:r>
          </w:p>
        </w:tc>
      </w:tr>
      <w:tr w:rsidR="009120BA" w14:paraId="183D73BE"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A7F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Directive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C22E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0.2447</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36A5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0.0841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4039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2.9100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BB57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0.0046***</w:t>
            </w:r>
          </w:p>
        </w:tc>
      </w:tr>
      <w:tr w:rsidR="009120BA" w14:paraId="15346193"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E0DE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Adaptive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719A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0.3562</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FD5E4"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0.0815</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447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4.3710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8BC1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65815487"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0061E"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Model Fit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76BD6" w14:textId="77777777" w:rsidR="009120BA" w:rsidRDefault="009120BA" w:rsidP="006A77E8">
            <w:pPr>
              <w:spacing w:after="0" w:line="24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Value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0E0C3"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B6186"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90C80" w14:textId="77777777" w:rsidR="009120BA" w:rsidRDefault="009120BA" w:rsidP="006A77E8">
            <w:pPr>
              <w:spacing w:after="0" w:line="240" w:lineRule="auto"/>
              <w:rPr>
                <w:kern w:val="0"/>
                <w:sz w:val="20"/>
                <w:szCs w:val="20"/>
                <w:lang w:eastAsia="en-GB"/>
              </w:rPr>
            </w:pPr>
          </w:p>
        </w:tc>
      </w:tr>
      <w:tr w:rsidR="009120BA" w14:paraId="3A15243A"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4AA9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0494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0.301</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70E83"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4B7DD"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E9849" w14:textId="77777777" w:rsidR="009120BA" w:rsidRDefault="009120BA" w:rsidP="006A77E8">
            <w:pPr>
              <w:spacing w:after="0" w:line="240" w:lineRule="auto"/>
              <w:rPr>
                <w:kern w:val="0"/>
                <w:sz w:val="20"/>
                <w:szCs w:val="20"/>
                <w:lang w:eastAsia="en-GB"/>
              </w:rPr>
            </w:pPr>
          </w:p>
        </w:tc>
      </w:tr>
      <w:tr w:rsidR="009120BA" w14:paraId="0CA08BF4"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B9AB6"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Adjusted 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B298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0.278</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62CF0"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6D2CC"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1AD41" w14:textId="77777777" w:rsidR="009120BA" w:rsidRDefault="009120BA" w:rsidP="006A77E8">
            <w:pPr>
              <w:spacing w:after="0" w:line="240" w:lineRule="auto"/>
              <w:rPr>
                <w:kern w:val="0"/>
                <w:sz w:val="20"/>
                <w:szCs w:val="20"/>
                <w:lang w:eastAsia="en-GB"/>
              </w:rPr>
            </w:pPr>
          </w:p>
        </w:tc>
      </w:tr>
      <w:tr w:rsidR="009120BA" w14:paraId="00262628"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5D45B"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049D3"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13.4200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D0848"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389E6"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E0AEF" w14:textId="77777777" w:rsidR="009120BA" w:rsidRDefault="009120BA" w:rsidP="006A77E8">
            <w:pPr>
              <w:spacing w:after="0" w:line="240" w:lineRule="auto"/>
              <w:rPr>
                <w:kern w:val="0"/>
                <w:sz w:val="20"/>
                <w:szCs w:val="20"/>
                <w:lang w:eastAsia="en-GB"/>
              </w:rPr>
            </w:pPr>
          </w:p>
        </w:tc>
      </w:tr>
      <w:tr w:rsidR="009120BA" w14:paraId="73BEFC62"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269E7"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Prob (F-statistic)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5A48D"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0.0000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69116"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8C6FE"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6DB7C" w14:textId="77777777" w:rsidR="009120BA" w:rsidRDefault="009120BA" w:rsidP="006A77E8">
            <w:pPr>
              <w:spacing w:after="0" w:line="240" w:lineRule="auto"/>
              <w:rPr>
                <w:kern w:val="0"/>
                <w:sz w:val="20"/>
                <w:szCs w:val="20"/>
                <w:lang w:eastAsia="en-GB"/>
              </w:rPr>
            </w:pPr>
          </w:p>
        </w:tc>
      </w:tr>
      <w:tr w:rsidR="009120BA" w14:paraId="38B28219"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541BA"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Durbin-Watson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73570"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1.8120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A04B8"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3F5F6"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FC697" w14:textId="77777777" w:rsidR="009120BA" w:rsidRDefault="009120BA" w:rsidP="006A77E8">
            <w:pPr>
              <w:spacing w:after="0" w:line="240" w:lineRule="auto"/>
              <w:rPr>
                <w:kern w:val="0"/>
                <w:sz w:val="20"/>
                <w:szCs w:val="20"/>
                <w:lang w:eastAsia="en-GB"/>
              </w:rPr>
            </w:pPr>
          </w:p>
        </w:tc>
      </w:tr>
      <w:tr w:rsidR="009120BA" w14:paraId="634455FD" w14:textId="77777777" w:rsidTr="006A77E8">
        <w:tc>
          <w:tcPr>
            <w:tcW w:w="2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5BA7F"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S.E. of regression</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06391" w14:textId="77777777" w:rsidR="009120BA" w:rsidRDefault="009120BA" w:rsidP="006A77E8">
            <w:pPr>
              <w:spacing w:after="0" w:line="24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0.421</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88BD0"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8981C"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03314" w14:textId="77777777" w:rsidR="009120BA" w:rsidRDefault="009120BA" w:rsidP="006A77E8">
            <w:pPr>
              <w:spacing w:after="0" w:line="240" w:lineRule="auto"/>
              <w:rPr>
                <w:kern w:val="0"/>
                <w:sz w:val="20"/>
                <w:szCs w:val="20"/>
                <w:lang w:eastAsia="en-GB"/>
              </w:rPr>
            </w:pPr>
          </w:p>
        </w:tc>
      </w:tr>
    </w:tbl>
    <w:p w14:paraId="4FA3AEF0" w14:textId="77777777" w:rsidR="009120BA" w:rsidRDefault="009120BA" w:rsidP="009120BA">
      <w:pPr>
        <w:spacing w:line="360" w:lineRule="auto"/>
        <w:jc w:val="both"/>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557B19D5" w14:textId="621321FF"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regression results in Table 9 indicate that the model is statistically </w:t>
      </w:r>
      <w:r w:rsidR="004124B9">
        <w:rPr>
          <w:rFonts w:ascii="Times New Roman" w:hAnsi="Times New Roman"/>
          <w:sz w:val="24"/>
          <w:szCs w:val="24"/>
          <w:lang w:val="en-US"/>
        </w:rPr>
        <w:t>vital</w:t>
      </w:r>
      <w:r>
        <w:rPr>
          <w:rFonts w:ascii="Times New Roman" w:hAnsi="Times New Roman"/>
          <w:sz w:val="24"/>
          <w:szCs w:val="24"/>
          <w:lang w:val="en-US"/>
        </w:rPr>
        <w:t xml:space="preserve">, </w:t>
      </w:r>
      <w:proofErr w:type="gramStart"/>
      <w:r>
        <w:rPr>
          <w:rFonts w:ascii="Times New Roman" w:hAnsi="Times New Roman"/>
          <w:sz w:val="24"/>
          <w:szCs w:val="24"/>
          <w:lang w:val="en-US"/>
        </w:rPr>
        <w:t>F(</w:t>
      </w:r>
      <w:proofErr w:type="gramEnd"/>
      <w:r>
        <w:rPr>
          <w:rFonts w:ascii="Times New Roman" w:hAnsi="Times New Roman"/>
          <w:sz w:val="24"/>
          <w:szCs w:val="24"/>
          <w:lang w:val="en-US"/>
        </w:rPr>
        <w:t>3, 86) = 13.42, p &lt; .001, explaining 30.1% of the variance in organizational resilience (R² = .301; Adjusted R² = .278). Geopolitical risk exposure shows a negative but non-significant effect on organizational resilience (β = −0.118, p = .187). In contrast, directive leadership style (β = 0.245, p = .0046) and adaptive leadership style (β = 0.356, p &lt; .001) both have significant positive effects, with adaptive leadership exerting the strongest influence.</w:t>
      </w:r>
      <w:r w:rsidR="00B05F48">
        <w:rPr>
          <w:rFonts w:ascii="Times New Roman" w:hAnsi="Times New Roman"/>
          <w:sz w:val="24"/>
          <w:szCs w:val="24"/>
          <w:lang w:val="en-US"/>
        </w:rPr>
        <w:t xml:space="preserve"> </w:t>
      </w:r>
      <w:r>
        <w:rPr>
          <w:rFonts w:ascii="Times New Roman" w:hAnsi="Times New Roman"/>
          <w:sz w:val="24"/>
          <w:szCs w:val="24"/>
          <w:lang w:val="en-US"/>
        </w:rPr>
        <w:t>Durbin–Watson statistic of 1.812 suggests n</w:t>
      </w:r>
      <w:r w:rsidR="00CF30D1">
        <w:rPr>
          <w:rFonts w:ascii="Times New Roman" w:hAnsi="Times New Roman"/>
          <w:sz w:val="24"/>
          <w:szCs w:val="24"/>
          <w:lang w:val="en-US"/>
        </w:rPr>
        <w:t>il</w:t>
      </w:r>
      <w:r>
        <w:rPr>
          <w:rFonts w:ascii="Times New Roman" w:hAnsi="Times New Roman"/>
          <w:sz w:val="24"/>
          <w:szCs w:val="24"/>
          <w:lang w:val="en-US"/>
        </w:rPr>
        <w:t xml:space="preserve"> autocorrelation concerns. Overall, </w:t>
      </w:r>
      <w:r w:rsidR="00640B69">
        <w:rPr>
          <w:rFonts w:ascii="Times New Roman" w:hAnsi="Times New Roman"/>
          <w:sz w:val="24"/>
          <w:szCs w:val="24"/>
          <w:lang w:val="en-US"/>
        </w:rPr>
        <w:t>conclusions</w:t>
      </w:r>
      <w:r>
        <w:rPr>
          <w:rFonts w:ascii="Times New Roman" w:hAnsi="Times New Roman"/>
          <w:sz w:val="24"/>
          <w:szCs w:val="24"/>
          <w:lang w:val="en-US"/>
        </w:rPr>
        <w:t xml:space="preserve"> imply that </w:t>
      </w:r>
      <w:r>
        <w:rPr>
          <w:rFonts w:ascii="Times New Roman" w:hAnsi="Times New Roman"/>
          <w:sz w:val="24"/>
          <w:szCs w:val="24"/>
          <w:lang w:val="en-US"/>
        </w:rPr>
        <w:lastRenderedPageBreak/>
        <w:t>leadership styles significantly enhance organizational resilience, while geopolitical risk alone does not exert a statistically significant direct effect.</w:t>
      </w:r>
    </w:p>
    <w:p w14:paraId="6E9AE8C0"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50" w:name="_Toc232013545"/>
      <w:r>
        <w:rPr>
          <w:rFonts w:ascii="Times New Roman" w:eastAsia="Times New Roman" w:hAnsi="Times New Roman"/>
          <w:b/>
          <w:bCs/>
          <w:sz w:val="24"/>
          <w:szCs w:val="24"/>
          <w:lang w:val="en-US"/>
        </w:rPr>
        <w:t>4.10. Mediation effect of organizational resilience on the relationship between leadership styles and supply chain performance.</w:t>
      </w:r>
      <w:bookmarkEnd w:id="50"/>
    </w:p>
    <w:p w14:paraId="47E00EED" w14:textId="7357082A"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The seventh objective of this study relates to the mediation effect of organizational resilience </w:t>
      </w:r>
      <w:proofErr w:type="gramStart"/>
      <w:r w:rsidR="00B2102B">
        <w:rPr>
          <w:rFonts w:ascii="Times New Roman" w:hAnsi="Times New Roman"/>
          <w:sz w:val="24"/>
          <w:szCs w:val="24"/>
          <w:lang w:val="en-US"/>
        </w:rPr>
        <w:t>pertaining</w:t>
      </w:r>
      <w:proofErr w:type="gramEnd"/>
      <w:r>
        <w:rPr>
          <w:rFonts w:ascii="Times New Roman" w:hAnsi="Times New Roman"/>
          <w:sz w:val="24"/>
          <w:szCs w:val="24"/>
          <w:lang w:val="en-US"/>
        </w:rPr>
        <w:t xml:space="preserve"> the relationship between leadership styles a</w:t>
      </w:r>
      <w:r w:rsidR="00FF01F0">
        <w:rPr>
          <w:rFonts w:ascii="Times New Roman" w:hAnsi="Times New Roman"/>
          <w:sz w:val="24"/>
          <w:szCs w:val="24"/>
          <w:lang w:val="en-US"/>
        </w:rPr>
        <w:t>s well as</w:t>
      </w:r>
      <w:r>
        <w:rPr>
          <w:rFonts w:ascii="Times New Roman" w:hAnsi="Times New Roman"/>
          <w:sz w:val="24"/>
          <w:szCs w:val="24"/>
          <w:lang w:val="en-US"/>
        </w:rPr>
        <w:t xml:space="preserve"> supply chain performance.</w:t>
      </w:r>
      <w:r w:rsidR="001E0C20">
        <w:rPr>
          <w:rFonts w:ascii="Times New Roman" w:hAnsi="Times New Roman"/>
          <w:sz w:val="24"/>
          <w:szCs w:val="24"/>
          <w:lang w:val="en-US"/>
        </w:rPr>
        <w:t xml:space="preserve"> S</w:t>
      </w:r>
      <w:r>
        <w:rPr>
          <w:rFonts w:ascii="Times New Roman" w:hAnsi="Times New Roman"/>
          <w:sz w:val="24"/>
          <w:szCs w:val="24"/>
          <w:lang w:val="en-US"/>
        </w:rPr>
        <w:t xml:space="preserve">tatistical results </w:t>
      </w:r>
      <w:r w:rsidR="001E0C20">
        <w:rPr>
          <w:rFonts w:ascii="Times New Roman" w:hAnsi="Times New Roman"/>
          <w:sz w:val="24"/>
          <w:szCs w:val="24"/>
          <w:lang w:val="en-US"/>
        </w:rPr>
        <w:t>derived</w:t>
      </w:r>
      <w:r>
        <w:rPr>
          <w:rFonts w:ascii="Times New Roman" w:hAnsi="Times New Roman"/>
          <w:sz w:val="24"/>
          <w:szCs w:val="24"/>
          <w:lang w:val="en-US"/>
        </w:rPr>
        <w:t xml:space="preserve"> from estimation of field data are </w:t>
      </w:r>
      <w:r w:rsidR="00A560EA">
        <w:rPr>
          <w:rFonts w:ascii="Times New Roman" w:hAnsi="Times New Roman"/>
          <w:sz w:val="24"/>
          <w:szCs w:val="24"/>
          <w:lang w:val="en-US"/>
        </w:rPr>
        <w:t>highlighted</w:t>
      </w:r>
      <w:r>
        <w:rPr>
          <w:rFonts w:ascii="Times New Roman" w:hAnsi="Times New Roman"/>
          <w:sz w:val="24"/>
          <w:szCs w:val="24"/>
          <w:lang w:val="en-US"/>
        </w:rPr>
        <w:t xml:space="preserve"> in table 10.</w:t>
      </w:r>
    </w:p>
    <w:p w14:paraId="79A979A1" w14:textId="77777777" w:rsidR="009120BA" w:rsidRDefault="009120BA" w:rsidP="009120BA">
      <w:pPr>
        <w:spacing w:line="360" w:lineRule="auto"/>
        <w:jc w:val="both"/>
        <w:rPr>
          <w:rFonts w:ascii="Times New Roman" w:hAnsi="Times New Roman"/>
          <w:b/>
          <w:bCs/>
          <w:sz w:val="24"/>
          <w:szCs w:val="24"/>
          <w:lang w:val="en-US"/>
        </w:rPr>
      </w:pPr>
      <w:r>
        <w:rPr>
          <w:rFonts w:ascii="Times New Roman" w:hAnsi="Times New Roman"/>
          <w:b/>
          <w:bCs/>
          <w:sz w:val="24"/>
          <w:szCs w:val="24"/>
          <w:lang w:val="en-US"/>
        </w:rPr>
        <w:t>Table 10. Mediation Regression Results</w:t>
      </w:r>
    </w:p>
    <w:tbl>
      <w:tblPr>
        <w:tblW w:w="7843" w:type="dxa"/>
        <w:tblCellMar>
          <w:left w:w="10" w:type="dxa"/>
          <w:right w:w="10" w:type="dxa"/>
        </w:tblCellMar>
        <w:tblLook w:val="04A0" w:firstRow="1" w:lastRow="0" w:firstColumn="1" w:lastColumn="0" w:noHBand="0" w:noVBand="1"/>
      </w:tblPr>
      <w:tblGrid>
        <w:gridCol w:w="2789"/>
        <w:gridCol w:w="1336"/>
        <w:gridCol w:w="1279"/>
        <w:gridCol w:w="1203"/>
        <w:gridCol w:w="1236"/>
      </w:tblGrid>
      <w:tr w:rsidR="009120BA" w14:paraId="51F96570"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C0607"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Variable constructs</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03426"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Coefficient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D8E83"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Std. Error</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12954"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t-Statistic</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B7161" w14:textId="77777777" w:rsidR="009120BA" w:rsidRDefault="009120BA" w:rsidP="006A77E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Prob.</w:t>
            </w:r>
          </w:p>
        </w:tc>
      </w:tr>
      <w:tr w:rsidR="009120BA" w14:paraId="3D20A444"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5534D"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C (Constant)</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9941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2.8451</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38F3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0.5180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964A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5.4930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64AC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63EFC6E9"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A9FF8"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Directive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7A9B6"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0.1312</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682EF"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0.0814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9E02B"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1.6120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9A731"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0.1100</w:t>
            </w:r>
          </w:p>
        </w:tc>
      </w:tr>
      <w:tr w:rsidR="009120BA" w14:paraId="1D52308F"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EB6C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Adaptive Leadership Style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5E959"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0.1765</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5D000"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0.0796</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97F0A"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2.2170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BAA5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0.0290**</w:t>
            </w:r>
          </w:p>
        </w:tc>
      </w:tr>
      <w:tr w:rsidR="009120BA" w14:paraId="78652FA0"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DA1D5"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Organizational Resilience</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657F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0.3897</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8CA97"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0.0748</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0B702"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5.2100</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98B63" w14:textId="77777777" w:rsidR="009120BA" w:rsidRDefault="009120BA" w:rsidP="006A77E8">
            <w:pPr>
              <w:spacing w:after="0" w:line="360" w:lineRule="auto"/>
              <w:jc w:val="both"/>
              <w:rPr>
                <w:rFonts w:ascii="Times New Roman" w:hAnsi="Times New Roman"/>
                <w:sz w:val="24"/>
                <w:szCs w:val="24"/>
                <w:lang w:val="en-US"/>
              </w:rPr>
            </w:pPr>
            <w:r>
              <w:rPr>
                <w:rFonts w:ascii="Times New Roman" w:hAnsi="Times New Roman"/>
                <w:sz w:val="24"/>
                <w:szCs w:val="24"/>
                <w:lang w:val="en-US"/>
              </w:rPr>
              <w:t>0.0000***</w:t>
            </w:r>
          </w:p>
        </w:tc>
      </w:tr>
      <w:tr w:rsidR="009120BA" w14:paraId="6D47136E"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10515" w14:textId="77777777" w:rsidR="009120BA" w:rsidRDefault="009120BA" w:rsidP="006A77E8">
            <w:pPr>
              <w:spacing w:after="0" w:line="36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Model Fit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CEF7D" w14:textId="77777777" w:rsidR="009120BA" w:rsidRDefault="009120BA" w:rsidP="006A77E8">
            <w:pPr>
              <w:spacing w:after="0" w:line="360" w:lineRule="auto"/>
              <w:jc w:val="center"/>
              <w:rPr>
                <w:rFonts w:ascii="Times New Roman" w:eastAsia="Times New Roman" w:hAnsi="Times New Roman"/>
                <w:b/>
                <w:bCs/>
                <w:kern w:val="0"/>
                <w:sz w:val="24"/>
                <w:szCs w:val="24"/>
                <w:lang w:val="en-US"/>
              </w:rPr>
            </w:pPr>
            <w:r>
              <w:rPr>
                <w:rFonts w:ascii="Times New Roman" w:eastAsia="Times New Roman" w:hAnsi="Times New Roman"/>
                <w:b/>
                <w:bCs/>
                <w:kern w:val="0"/>
                <w:sz w:val="24"/>
                <w:szCs w:val="24"/>
                <w:lang w:val="en-US"/>
              </w:rPr>
              <w:t>Value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C67BA"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411D3"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CC1E3" w14:textId="77777777" w:rsidR="009120BA" w:rsidRDefault="009120BA" w:rsidP="006A77E8">
            <w:pPr>
              <w:spacing w:after="0" w:line="240" w:lineRule="auto"/>
              <w:rPr>
                <w:kern w:val="0"/>
                <w:sz w:val="20"/>
                <w:szCs w:val="20"/>
                <w:lang w:eastAsia="en-GB"/>
              </w:rPr>
            </w:pPr>
          </w:p>
        </w:tc>
      </w:tr>
      <w:tr w:rsidR="009120BA" w14:paraId="0B90A49A"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1475D"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BA3E9"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0.336</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BF56A"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2C032"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40C17" w14:textId="77777777" w:rsidR="009120BA" w:rsidRDefault="009120BA" w:rsidP="006A77E8">
            <w:pPr>
              <w:spacing w:after="0" w:line="240" w:lineRule="auto"/>
              <w:rPr>
                <w:kern w:val="0"/>
                <w:sz w:val="20"/>
                <w:szCs w:val="20"/>
                <w:lang w:eastAsia="en-GB"/>
              </w:rPr>
            </w:pPr>
          </w:p>
        </w:tc>
      </w:tr>
      <w:tr w:rsidR="009120BA" w14:paraId="7D6F99AA"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75E0B"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Adjusted R-squared</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FAB62"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0.318</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E8AD7"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15BCE"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BE366" w14:textId="77777777" w:rsidR="009120BA" w:rsidRDefault="009120BA" w:rsidP="006A77E8">
            <w:pPr>
              <w:spacing w:after="0" w:line="240" w:lineRule="auto"/>
              <w:rPr>
                <w:kern w:val="0"/>
                <w:sz w:val="20"/>
                <w:szCs w:val="20"/>
                <w:lang w:eastAsia="en-GB"/>
              </w:rPr>
            </w:pPr>
          </w:p>
        </w:tc>
      </w:tr>
      <w:tr w:rsidR="009120BA" w14:paraId="1E1EB684"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71840"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A3514"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18.2400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31457"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FF970"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1217E" w14:textId="77777777" w:rsidR="009120BA" w:rsidRDefault="009120BA" w:rsidP="006A77E8">
            <w:pPr>
              <w:spacing w:after="0" w:line="240" w:lineRule="auto"/>
              <w:rPr>
                <w:kern w:val="0"/>
                <w:sz w:val="20"/>
                <w:szCs w:val="20"/>
                <w:lang w:eastAsia="en-GB"/>
              </w:rPr>
            </w:pPr>
          </w:p>
        </w:tc>
      </w:tr>
      <w:tr w:rsidR="009120BA" w14:paraId="221E9B68"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CB455"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Prob (F-statistic)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ED434"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0.0000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FB8FE"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8A38A"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6D8F9" w14:textId="77777777" w:rsidR="009120BA" w:rsidRDefault="009120BA" w:rsidP="006A77E8">
            <w:pPr>
              <w:spacing w:after="0" w:line="240" w:lineRule="auto"/>
              <w:rPr>
                <w:kern w:val="0"/>
                <w:sz w:val="20"/>
                <w:szCs w:val="20"/>
                <w:lang w:eastAsia="en-GB"/>
              </w:rPr>
            </w:pPr>
          </w:p>
        </w:tc>
      </w:tr>
      <w:tr w:rsidR="009120BA" w14:paraId="0AB5939C"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9B2F"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Durbin-Watson statistic</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A089B"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1.7900</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8F46F"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5FCCB"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FF9FA" w14:textId="77777777" w:rsidR="009120BA" w:rsidRDefault="009120BA" w:rsidP="006A77E8">
            <w:pPr>
              <w:spacing w:after="0" w:line="240" w:lineRule="auto"/>
              <w:rPr>
                <w:kern w:val="0"/>
                <w:sz w:val="20"/>
                <w:szCs w:val="20"/>
                <w:lang w:eastAsia="en-GB"/>
              </w:rPr>
            </w:pPr>
          </w:p>
        </w:tc>
      </w:tr>
      <w:tr w:rsidR="009120BA" w14:paraId="0C66F8AB" w14:textId="77777777" w:rsidTr="006A77E8">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C8C74"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S.E. of regression</w:t>
            </w:r>
          </w:p>
        </w:tc>
        <w:tc>
          <w:tcPr>
            <w:tcW w:w="1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53499" w14:textId="77777777" w:rsidR="009120BA" w:rsidRDefault="009120BA" w:rsidP="006A77E8">
            <w:pPr>
              <w:spacing w:after="0" w:line="360" w:lineRule="auto"/>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t>0.412</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FD887" w14:textId="77777777" w:rsidR="009120BA" w:rsidRDefault="009120BA" w:rsidP="006A77E8">
            <w:pPr>
              <w:spacing w:after="0" w:line="240" w:lineRule="auto"/>
              <w:rPr>
                <w:kern w:val="0"/>
                <w:sz w:val="20"/>
                <w:szCs w:val="20"/>
                <w:lang w:eastAsia="en-GB"/>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29221" w14:textId="77777777" w:rsidR="009120BA" w:rsidRDefault="009120BA" w:rsidP="006A77E8">
            <w:pPr>
              <w:spacing w:after="0" w:line="240" w:lineRule="auto"/>
              <w:rPr>
                <w:kern w:val="0"/>
                <w:sz w:val="20"/>
                <w:szCs w:val="20"/>
                <w:lang w:eastAsia="en-GB"/>
              </w:rPr>
            </w:pP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CC2B9" w14:textId="77777777" w:rsidR="009120BA" w:rsidRDefault="009120BA" w:rsidP="006A77E8">
            <w:pPr>
              <w:spacing w:after="0" w:line="240" w:lineRule="auto"/>
              <w:rPr>
                <w:kern w:val="0"/>
                <w:sz w:val="20"/>
                <w:szCs w:val="20"/>
                <w:lang w:eastAsia="en-GB"/>
              </w:rPr>
            </w:pPr>
          </w:p>
        </w:tc>
      </w:tr>
    </w:tbl>
    <w:p w14:paraId="655E7A35" w14:textId="77777777" w:rsidR="009120BA" w:rsidRDefault="009120BA" w:rsidP="009120BA">
      <w:pPr>
        <w:spacing w:line="360" w:lineRule="auto"/>
        <w:jc w:val="both"/>
        <w:rPr>
          <w:rFonts w:ascii="Times New Roman" w:hAnsi="Times New Roman"/>
          <w:i/>
          <w:iCs/>
          <w:sz w:val="24"/>
          <w:szCs w:val="24"/>
          <w:lang w:val="en-US"/>
        </w:rPr>
      </w:pPr>
      <w:r>
        <w:rPr>
          <w:rFonts w:ascii="Times New Roman" w:hAnsi="Times New Roman"/>
          <w:i/>
          <w:iCs/>
          <w:sz w:val="24"/>
          <w:szCs w:val="24"/>
          <w:lang w:val="en-US"/>
        </w:rPr>
        <w:t>Source: Field survey, 2021. Notes: ** for p ≤ 0.05</w:t>
      </w:r>
    </w:p>
    <w:p w14:paraId="74832508" w14:textId="08B5915B" w:rsidR="009120BA" w:rsidRDefault="009120BA" w:rsidP="009120BA">
      <w:pPr>
        <w:spacing w:line="360" w:lineRule="auto"/>
        <w:jc w:val="both"/>
        <w:rPr>
          <w:rFonts w:ascii="Times New Roman" w:hAnsi="Times New Roman"/>
          <w:sz w:val="24"/>
          <w:szCs w:val="24"/>
          <w:lang w:val="en-US"/>
        </w:rPr>
      </w:pPr>
      <w:r>
        <w:rPr>
          <w:rFonts w:ascii="Times New Roman" w:hAnsi="Times New Roman"/>
          <w:sz w:val="24"/>
          <w:szCs w:val="24"/>
          <w:lang w:val="en-US"/>
        </w:rPr>
        <w:t>The mediation analysis in Table 10 shows that the model is statistically</w:t>
      </w:r>
      <w:r w:rsidR="00485F91">
        <w:rPr>
          <w:rFonts w:ascii="Times New Roman" w:hAnsi="Times New Roman"/>
          <w:sz w:val="24"/>
          <w:szCs w:val="24"/>
          <w:lang w:val="en-US"/>
        </w:rPr>
        <w:t xml:space="preserve"> vit</w:t>
      </w:r>
      <w:r w:rsidR="0055481D">
        <w:rPr>
          <w:rFonts w:ascii="Times New Roman" w:hAnsi="Times New Roman"/>
          <w:sz w:val="24"/>
          <w:szCs w:val="24"/>
          <w:lang w:val="en-US"/>
        </w:rPr>
        <w:t>al</w:t>
      </w:r>
      <w:r>
        <w:rPr>
          <w:rFonts w:ascii="Times New Roman" w:hAnsi="Times New Roman"/>
          <w:sz w:val="24"/>
          <w:szCs w:val="24"/>
          <w:lang w:val="en-US"/>
        </w:rPr>
        <w:t xml:space="preserve">, </w:t>
      </w:r>
      <w:proofErr w:type="gramStart"/>
      <w:r>
        <w:rPr>
          <w:rFonts w:ascii="Times New Roman" w:hAnsi="Times New Roman"/>
          <w:sz w:val="24"/>
          <w:szCs w:val="24"/>
          <w:lang w:val="en-US"/>
        </w:rPr>
        <w:t>F(</w:t>
      </w:r>
      <w:proofErr w:type="gramEnd"/>
      <w:r>
        <w:rPr>
          <w:rFonts w:ascii="Times New Roman" w:hAnsi="Times New Roman"/>
          <w:sz w:val="24"/>
          <w:szCs w:val="24"/>
          <w:lang w:val="en-US"/>
        </w:rPr>
        <w:t xml:space="preserve">3, 86) = 18.24, p &lt; .001, explaining 33.6% of the variance in supply chain performance (R² = .336; Adjusted R² = .318). Organizational </w:t>
      </w:r>
      <w:proofErr w:type="gramStart"/>
      <w:r>
        <w:rPr>
          <w:rFonts w:ascii="Times New Roman" w:hAnsi="Times New Roman"/>
          <w:sz w:val="24"/>
          <w:szCs w:val="24"/>
          <w:lang w:val="en-US"/>
        </w:rPr>
        <w:t>resilience</w:t>
      </w:r>
      <w:proofErr w:type="gramEnd"/>
      <w:r>
        <w:rPr>
          <w:rFonts w:ascii="Times New Roman" w:hAnsi="Times New Roman"/>
          <w:sz w:val="24"/>
          <w:szCs w:val="24"/>
          <w:lang w:val="en-US"/>
        </w:rPr>
        <w:t xml:space="preserve"> strong positive and significant effect on supply chain performance (β = 0.390, p &lt; .001), confirming its mediating role. Adaptive </w:t>
      </w:r>
      <w:r w:rsidR="00B65CC8">
        <w:rPr>
          <w:rFonts w:ascii="Times New Roman" w:hAnsi="Times New Roman"/>
          <w:sz w:val="24"/>
          <w:szCs w:val="24"/>
          <w:lang w:val="en-US"/>
        </w:rPr>
        <w:t>headship</w:t>
      </w:r>
      <w:r>
        <w:rPr>
          <w:rFonts w:ascii="Times New Roman" w:hAnsi="Times New Roman"/>
          <w:sz w:val="24"/>
          <w:szCs w:val="24"/>
          <w:lang w:val="en-US"/>
        </w:rPr>
        <w:t xml:space="preserve"> also shows a significant positive effect (β = 0.177, p = .029), while directive leadership is not statistically significant (β = 0.131, p = .110). Durbin–Watson statistic of 1.790 indicates </w:t>
      </w:r>
      <w:r w:rsidR="00C85DD7">
        <w:rPr>
          <w:rFonts w:ascii="Times New Roman" w:hAnsi="Times New Roman"/>
          <w:sz w:val="24"/>
          <w:szCs w:val="24"/>
          <w:lang w:val="en-US"/>
        </w:rPr>
        <w:t>nil</w:t>
      </w:r>
      <w:r>
        <w:rPr>
          <w:rFonts w:ascii="Times New Roman" w:hAnsi="Times New Roman"/>
          <w:sz w:val="24"/>
          <w:szCs w:val="24"/>
          <w:lang w:val="en-US"/>
        </w:rPr>
        <w:t xml:space="preserve"> autocorrelation, supporting model reliability.</w:t>
      </w:r>
    </w:p>
    <w:p w14:paraId="6630A5AE"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51" w:name="_Toc232013546"/>
      <w:r>
        <w:rPr>
          <w:rFonts w:ascii="Times New Roman" w:eastAsia="Times New Roman" w:hAnsi="Times New Roman"/>
          <w:b/>
          <w:bCs/>
          <w:sz w:val="24"/>
          <w:szCs w:val="24"/>
          <w:lang w:val="en-US"/>
        </w:rPr>
        <w:t>4.11: Discussion of Findings</w:t>
      </w:r>
      <w:bookmarkEnd w:id="51"/>
    </w:p>
    <w:p w14:paraId="7350F520" w14:textId="79641A33"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This study concentrated on seven specific objective areas, </w:t>
      </w:r>
      <w:r w:rsidR="006E12F3">
        <w:rPr>
          <w:rFonts w:ascii="Times New Roman" w:hAnsi="Times New Roman"/>
          <w:sz w:val="24"/>
          <w:szCs w:val="24"/>
          <w:lang w:val="en-US"/>
        </w:rPr>
        <w:t>with</w:t>
      </w:r>
      <w:r>
        <w:rPr>
          <w:rFonts w:ascii="Times New Roman" w:hAnsi="Times New Roman"/>
          <w:sz w:val="24"/>
          <w:szCs w:val="24"/>
          <w:lang w:val="en-US"/>
        </w:rPr>
        <w:t xml:space="preserve"> the results are examined within the subsequent discussion. The primary objective analyzed impact of geopolitical risk on the resilience of organizations dependent on rare earth elements. The findings indicate a negative </w:t>
      </w:r>
      <w:r>
        <w:rPr>
          <w:rFonts w:ascii="Times New Roman" w:hAnsi="Times New Roman"/>
          <w:sz w:val="24"/>
          <w:szCs w:val="24"/>
          <w:lang w:val="en-US"/>
        </w:rPr>
        <w:lastRenderedPageBreak/>
        <w:t>but statistically insignificant relationship between geopolitical risk exposure and organizational resilience, suggesting that increased geopolitical uncertainty does not directly reduce resilience among REE-dependent organizations. Although the direction of the relationship indicates potential vulnerability, the weak effect suggests that resilience may be shaped more strongly by internal organizational capabilities, including leadership effectiveness, adaptive capacity, governance mechanisms, and strategic decision-making processes.</w:t>
      </w:r>
    </w:p>
    <w:p w14:paraId="03D8C291"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This finding aligns with Ferdous et al. (2023), who argue that organizational resilience is not determined solely by external disruptions such as geopolitical and economic shocks but is primarily influenced by internal governance structures, risk management systems, and strategic capabilities. Similarly, </w:t>
      </w:r>
      <w:proofErr w:type="spellStart"/>
      <w:r>
        <w:rPr>
          <w:rFonts w:ascii="Times New Roman" w:hAnsi="Times New Roman"/>
          <w:sz w:val="24"/>
          <w:szCs w:val="24"/>
          <w:lang w:val="en-US"/>
        </w:rPr>
        <w:t>AlQershi</w:t>
      </w:r>
      <w:proofErr w:type="spellEnd"/>
      <w:r>
        <w:rPr>
          <w:rFonts w:ascii="Times New Roman" w:hAnsi="Times New Roman"/>
          <w:sz w:val="24"/>
          <w:szCs w:val="24"/>
          <w:lang w:val="en-US"/>
        </w:rPr>
        <w:t xml:space="preserve"> et al. (2026) demonstrate that geopolitical shocks alone have limited influence on organizational resilience, as resilience is strengthened through internal adaptive capabilities, including AI-enabled systems, strategic responsiveness, and effective organizational decision-making frameworks. However, the finding does not completely dismiss the influence of geopolitical risk. Recent literature suggests that geopolitical pressures may indirectly enhance resilience by encouraging organizations to restructure supply chains, diversify suppliers, and develop stronger governance mechanisms. Therefore, geopolitical risk may function less as a direct determinant of resilience and more as a catalyst for resilience-building activities (Yadav et al., 2025).</w:t>
      </w:r>
    </w:p>
    <w:p w14:paraId="2DACE48E" w14:textId="50253F09" w:rsidR="009120BA" w:rsidRDefault="00E1254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I</w:t>
      </w:r>
      <w:r w:rsidR="009120BA">
        <w:rPr>
          <w:rFonts w:ascii="Times New Roman" w:hAnsi="Times New Roman"/>
          <w:sz w:val="24"/>
          <w:szCs w:val="24"/>
          <w:lang w:val="en-US"/>
        </w:rPr>
        <w:t>mpact of geopolitical risk on supply chain performance produced a significant inverse relationship, demonstrating that increased geopolitical uncertainty negatively affects supply chain effectiveness in REE-dependent organizations. This indicates that exposure to trade restrictions, export controls, political instability, and international tensions can reduce operational efficiency, increase delays, and weaken delivery reliability. Unlike the relationship with organizational resilience, geopolitical risk demonstrates a direct effect on supply chain outcomes, suggesting that operational activities are more immediately vulnerable to external disruptions than broader organizational capabilities.</w:t>
      </w:r>
    </w:p>
    <w:p w14:paraId="5CC8F80C"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finding supports previous studies showing that geopolitical instability negatively influences supply chain performance (Smyrnov et al., 2025). Monge et al. (2023) argue that geopolitical events, particularly armed conflicts and sanctions, disrupt global supply chains by forcing organizations to redesign sourcing strategies and identify alternative routes. Similarly, Zhu et al. (2025) demonstrate that geopolitical risks reduce supply chain stability by increasing inefficiencies, although organizations with stronger resilience capabilities and diversified resources can partially mitigate these effects. </w:t>
      </w:r>
      <w:proofErr w:type="spellStart"/>
      <w:r>
        <w:rPr>
          <w:rFonts w:ascii="Times New Roman" w:hAnsi="Times New Roman"/>
          <w:sz w:val="24"/>
          <w:szCs w:val="24"/>
          <w:lang w:val="en-US"/>
        </w:rPr>
        <w:t>Althaqafi</w:t>
      </w:r>
      <w:proofErr w:type="spellEnd"/>
      <w:r>
        <w:rPr>
          <w:rFonts w:ascii="Times New Roman" w:hAnsi="Times New Roman"/>
          <w:sz w:val="24"/>
          <w:szCs w:val="24"/>
          <w:lang w:val="en-US"/>
        </w:rPr>
        <w:t xml:space="preserve"> (2024) further confirms that geopolitical risks increase disruptions, delays, and operational inefficiencies, thereby reducing </w:t>
      </w:r>
      <w:r>
        <w:rPr>
          <w:rFonts w:ascii="Times New Roman" w:hAnsi="Times New Roman"/>
          <w:sz w:val="24"/>
          <w:szCs w:val="24"/>
          <w:lang w:val="en-US"/>
        </w:rPr>
        <w:lastRenderedPageBreak/>
        <w:t xml:space="preserve">productivity and logistics performance. In addition, Smyrnov et al. (2025) emphasize that geopolitical tensions and international conflicts increase costs, create delays, and may contribute to production interruptions, while </w:t>
      </w:r>
      <w:proofErr w:type="spellStart"/>
      <w:r>
        <w:rPr>
          <w:rFonts w:ascii="Times New Roman" w:hAnsi="Times New Roman"/>
          <w:sz w:val="24"/>
          <w:szCs w:val="24"/>
          <w:lang w:val="en-US"/>
        </w:rPr>
        <w:t>İncekara</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İncekara</w:t>
      </w:r>
      <w:proofErr w:type="spellEnd"/>
      <w:r>
        <w:rPr>
          <w:rFonts w:ascii="Times New Roman" w:hAnsi="Times New Roman"/>
          <w:sz w:val="24"/>
          <w:szCs w:val="24"/>
          <w:lang w:val="en-US"/>
        </w:rPr>
        <w:t xml:space="preserve"> (2024) highlight their negative influence on market access, supply continuity, and operational efficiency.</w:t>
      </w:r>
    </w:p>
    <w:p w14:paraId="24E0C3BF" w14:textId="48AD486D"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Nevertheless, th</w:t>
      </w:r>
      <w:r w:rsidR="00E02A58">
        <w:rPr>
          <w:rFonts w:ascii="Times New Roman" w:hAnsi="Times New Roman"/>
          <w:sz w:val="24"/>
          <w:szCs w:val="24"/>
          <w:lang w:val="en-US"/>
        </w:rPr>
        <w:t>is</w:t>
      </w:r>
      <w:r>
        <w:rPr>
          <w:rFonts w:ascii="Times New Roman" w:hAnsi="Times New Roman"/>
          <w:sz w:val="24"/>
          <w:szCs w:val="24"/>
          <w:lang w:val="en-US"/>
        </w:rPr>
        <w:t xml:space="preserve"> relationship between geopolitical risk and supply chain performance should not be viewed as universally deterministic. Tse et al. (2024) provide a more nuanced perspective, arguing that organizations can respond to geopolitical shocks through supplier restructuring, collaboration, and strategic modifications, which may generate positive outcomes in certain supply chain contexts. Similarly, Su et al. (2025) contend that the impact of geopolitical risk varies depending on organizational preparedness, diversification strategies, and adaptive supply chain mechanisms. Therefore, the current findings suggest that geopolitical risk remains a significant threat to REE supply chains, but its consequences depend on the strategic capabilities available to organizations.</w:t>
      </w:r>
    </w:p>
    <w:p w14:paraId="5DC232A1" w14:textId="33F519A5" w:rsidR="009120BA" w:rsidRDefault="000752D9"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F</w:t>
      </w:r>
      <w:r w:rsidR="009120BA">
        <w:rPr>
          <w:rFonts w:ascii="Times New Roman" w:hAnsi="Times New Roman"/>
          <w:sz w:val="24"/>
          <w:szCs w:val="24"/>
          <w:lang w:val="en-US"/>
        </w:rPr>
        <w:t xml:space="preserve">indings indicate that directive leadership has a </w:t>
      </w:r>
      <w:r w:rsidR="002D3B83">
        <w:rPr>
          <w:rFonts w:ascii="Times New Roman" w:hAnsi="Times New Roman"/>
          <w:sz w:val="24"/>
          <w:szCs w:val="24"/>
          <w:lang w:val="en-US"/>
        </w:rPr>
        <w:t xml:space="preserve">favorable </w:t>
      </w:r>
      <w:r w:rsidR="009120BA">
        <w:rPr>
          <w:rFonts w:ascii="Times New Roman" w:hAnsi="Times New Roman"/>
          <w:sz w:val="24"/>
          <w:szCs w:val="24"/>
          <w:lang w:val="en-US"/>
        </w:rPr>
        <w:t xml:space="preserve">relationship with organizational resilience. This supports </w:t>
      </w:r>
      <w:proofErr w:type="spellStart"/>
      <w:r w:rsidR="009120BA">
        <w:rPr>
          <w:rFonts w:ascii="Times New Roman" w:hAnsi="Times New Roman"/>
          <w:sz w:val="24"/>
          <w:szCs w:val="24"/>
          <w:lang w:val="en-US"/>
        </w:rPr>
        <w:t>Njaramba</w:t>
      </w:r>
      <w:proofErr w:type="spellEnd"/>
      <w:r w:rsidR="009120BA">
        <w:rPr>
          <w:rFonts w:ascii="Times New Roman" w:hAnsi="Times New Roman"/>
          <w:sz w:val="24"/>
          <w:szCs w:val="24"/>
          <w:lang w:val="en-US"/>
        </w:rPr>
        <w:t xml:space="preserve"> and </w:t>
      </w:r>
      <w:proofErr w:type="spellStart"/>
      <w:r w:rsidR="009120BA">
        <w:rPr>
          <w:rFonts w:ascii="Times New Roman" w:hAnsi="Times New Roman"/>
          <w:sz w:val="24"/>
          <w:szCs w:val="24"/>
          <w:lang w:val="en-US"/>
        </w:rPr>
        <w:t>Olukuru</w:t>
      </w:r>
      <w:proofErr w:type="spellEnd"/>
      <w:r w:rsidR="009120BA">
        <w:rPr>
          <w:rFonts w:ascii="Times New Roman" w:hAnsi="Times New Roman"/>
          <w:sz w:val="24"/>
          <w:szCs w:val="24"/>
          <w:lang w:val="en-US"/>
        </w:rPr>
        <w:t xml:space="preserve"> (2025), who </w:t>
      </w:r>
      <w:r w:rsidR="00F61870">
        <w:rPr>
          <w:rFonts w:ascii="Times New Roman" w:hAnsi="Times New Roman"/>
          <w:sz w:val="24"/>
          <w:szCs w:val="24"/>
          <w:lang w:val="en-US"/>
        </w:rPr>
        <w:t>stipulated</w:t>
      </w:r>
      <w:r w:rsidR="009120BA">
        <w:rPr>
          <w:rFonts w:ascii="Times New Roman" w:hAnsi="Times New Roman"/>
          <w:sz w:val="24"/>
          <w:szCs w:val="24"/>
          <w:lang w:val="en-US"/>
        </w:rPr>
        <w:t xml:space="preserve"> that directive leadership significantly predicts organizational resilience through employees’ psychological capital. The result also corresponds with Herrero and Hughes (2019) and Krause et al. (2024), who identify directive leadership as a useful crisis management approach because it facilitates coordination, clarity, and rapid decision-making during uncertain conditions. However, directive leadership may also create limitations when excessive centralization reduces organizational flexibility and employee autonomy. Herrero and Hughes (2019) highlight that overreliance on directive approaches can generate negative consequences where decision-making becomes overly concentrated and restricts adaptability.</w:t>
      </w:r>
    </w:p>
    <w:p w14:paraId="7E1D25D3"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Therefore, the contribution of directive leadership to resilience should be understood as </w:t>
      </w:r>
      <w:proofErr w:type="gramStart"/>
      <w:r>
        <w:rPr>
          <w:rFonts w:ascii="Times New Roman" w:hAnsi="Times New Roman"/>
          <w:sz w:val="24"/>
          <w:szCs w:val="24"/>
          <w:lang w:val="en-US"/>
        </w:rPr>
        <w:t>context-dependent</w:t>
      </w:r>
      <w:proofErr w:type="gramEnd"/>
      <w:r>
        <w:rPr>
          <w:rFonts w:ascii="Times New Roman" w:hAnsi="Times New Roman"/>
          <w:sz w:val="24"/>
          <w:szCs w:val="24"/>
          <w:lang w:val="en-US"/>
        </w:rPr>
        <w:t xml:space="preserve">. In highly uncertain environments such as REE-dependent industries, clear direction and coordinated responses may support short-term stability, but long-term resilience requires balancing control with flexibility. This supports the broader conceptualization of resilience as the ability not only to survive disruption but also to adapt and improve following uncertainty. Aziz (2025) argues that resilient organizations anticipate, prepare for, and adjust to both gradual changes and sudden disruptions. Similarly, Sauer and </w:t>
      </w:r>
      <w:proofErr w:type="spellStart"/>
      <w:r>
        <w:rPr>
          <w:rFonts w:ascii="Times New Roman" w:hAnsi="Times New Roman"/>
          <w:sz w:val="24"/>
          <w:szCs w:val="24"/>
          <w:lang w:val="en-US"/>
        </w:rPr>
        <w:t>Seuring</w:t>
      </w:r>
      <w:proofErr w:type="spellEnd"/>
      <w:r>
        <w:rPr>
          <w:rFonts w:ascii="Times New Roman" w:hAnsi="Times New Roman"/>
          <w:sz w:val="24"/>
          <w:szCs w:val="24"/>
          <w:lang w:val="en-US"/>
        </w:rPr>
        <w:t xml:space="preserve"> (2023) identify agile frameworks, digital infrastructure, real-time analytics, and empowered employees as important resilience enablers, while Öztürk et al. (2024) emphasize responsible technology utilization and sustainability-oriented strategies.</w:t>
      </w:r>
    </w:p>
    <w:p w14:paraId="3F40F99A" w14:textId="1F673343"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Adaptive leadership demonstrated </w:t>
      </w:r>
      <w:r w:rsidR="004D1033">
        <w:rPr>
          <w:rFonts w:ascii="Times New Roman" w:hAnsi="Times New Roman"/>
          <w:sz w:val="24"/>
          <w:szCs w:val="24"/>
          <w:lang w:val="en-US"/>
        </w:rPr>
        <w:t>quite</w:t>
      </w:r>
      <w:r>
        <w:rPr>
          <w:rFonts w:ascii="Times New Roman" w:hAnsi="Times New Roman"/>
          <w:sz w:val="24"/>
          <w:szCs w:val="24"/>
          <w:lang w:val="en-US"/>
        </w:rPr>
        <w:t xml:space="preserve"> positive and significant </w:t>
      </w:r>
      <w:r w:rsidR="00765D09">
        <w:rPr>
          <w:rFonts w:ascii="Times New Roman" w:hAnsi="Times New Roman"/>
          <w:sz w:val="24"/>
          <w:szCs w:val="24"/>
          <w:lang w:val="en-US"/>
        </w:rPr>
        <w:t>weight</w:t>
      </w:r>
      <w:r>
        <w:rPr>
          <w:rFonts w:ascii="Times New Roman" w:hAnsi="Times New Roman"/>
          <w:sz w:val="24"/>
          <w:szCs w:val="24"/>
          <w:lang w:val="en-US"/>
        </w:rPr>
        <w:t xml:space="preserve"> on organizational resilience, highlighting its importance in enabling organizations to respond effectively to complex and uncertain environments. This finding supports Dajani and Dajani (2022) and Juliana et al. (2024), who demonstrate that adaptive leadership enhances organizational capacity to manage crises and environmental instability. Mei et al. (2024) further argue that adaptive leadership encourages continuous learning and improved decision-making under uncertainty, while Ngai et al. (2026) and Khairy and </w:t>
      </w:r>
      <w:proofErr w:type="spellStart"/>
      <w:r>
        <w:rPr>
          <w:rFonts w:ascii="Times New Roman" w:hAnsi="Times New Roman"/>
          <w:sz w:val="24"/>
          <w:szCs w:val="24"/>
          <w:lang w:val="en-US"/>
        </w:rPr>
        <w:t>Badwy</w:t>
      </w:r>
      <w:proofErr w:type="spellEnd"/>
      <w:r>
        <w:rPr>
          <w:rFonts w:ascii="Times New Roman" w:hAnsi="Times New Roman"/>
          <w:sz w:val="24"/>
          <w:szCs w:val="24"/>
          <w:lang w:val="en-US"/>
        </w:rPr>
        <w:t xml:space="preserve"> (2026) highlight its role in promoting innovation and psychological resilience.</w:t>
      </w:r>
    </w:p>
    <w:p w14:paraId="3AB45CCA"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Theoretically, this finding reinforces Adaptive Leadership Theory, which proposes that leaders enhance organizational effectiveness by encouraging learning, collaboration, and problem-solving in dynamic environments. However, the findings also indicate that adaptive leadership alone is insufficient to guarantee resilience. Instead, it functions alongside complementary organizational capabilities, including digital transformation, change management, knowledge sharing, and strategic resource allocation. Thus, adaptive leadership should be viewed as an enabling capability that strengthens resilience rather than a standalone solution.</w:t>
      </w:r>
    </w:p>
    <w:p w14:paraId="3458950A" w14:textId="7D14203A"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positive relationship </w:t>
      </w:r>
      <w:r w:rsidR="0081078C">
        <w:rPr>
          <w:rFonts w:ascii="Times New Roman" w:hAnsi="Times New Roman"/>
          <w:sz w:val="24"/>
          <w:szCs w:val="24"/>
          <w:lang w:val="en-US"/>
        </w:rPr>
        <w:t>involving</w:t>
      </w:r>
      <w:r>
        <w:rPr>
          <w:rFonts w:ascii="Times New Roman" w:hAnsi="Times New Roman"/>
          <w:sz w:val="24"/>
          <w:szCs w:val="24"/>
          <w:lang w:val="en-US"/>
        </w:rPr>
        <w:t xml:space="preserve"> organizational resilience and supply chain performance demonstrates that resilience is a critical capability for maintaining operational continuity during disruption. The finding supports resilience literature, which suggests that resilience extends beyond recovery and represents strategic capability that enable organizations adapt, transform, and sustain performance in turbulent environments. Lin and Fan (2024) confirm that organizational resilience improves sustainable performance by enabling firms to respond to changes and integrate supply chain activities effectively. </w:t>
      </w:r>
      <w:r w:rsidR="00537BAC">
        <w:rPr>
          <w:rFonts w:ascii="Times New Roman" w:hAnsi="Times New Roman"/>
          <w:sz w:val="24"/>
          <w:szCs w:val="24"/>
          <w:lang w:val="en-US"/>
        </w:rPr>
        <w:t>Out of</w:t>
      </w:r>
      <w:r>
        <w:rPr>
          <w:rFonts w:ascii="Times New Roman" w:hAnsi="Times New Roman"/>
          <w:sz w:val="24"/>
          <w:szCs w:val="24"/>
          <w:lang w:val="en-US"/>
        </w:rPr>
        <w:t xml:space="preserve"> a theoretical perspective, support</w:t>
      </w:r>
      <w:r w:rsidR="006E5B13">
        <w:rPr>
          <w:rFonts w:ascii="Times New Roman" w:hAnsi="Times New Roman"/>
          <w:sz w:val="24"/>
          <w:szCs w:val="24"/>
          <w:lang w:val="en-US"/>
        </w:rPr>
        <w:t xml:space="preserve"> </w:t>
      </w:r>
      <w:r>
        <w:rPr>
          <w:rFonts w:ascii="Times New Roman" w:hAnsi="Times New Roman"/>
          <w:sz w:val="24"/>
          <w:szCs w:val="24"/>
          <w:lang w:val="en-US"/>
        </w:rPr>
        <w:t xml:space="preserve">resource-based view </w:t>
      </w:r>
      <w:proofErr w:type="gramStart"/>
      <w:r>
        <w:rPr>
          <w:rFonts w:ascii="Times New Roman" w:hAnsi="Times New Roman"/>
          <w:sz w:val="24"/>
          <w:szCs w:val="24"/>
          <w:lang w:val="en-US"/>
        </w:rPr>
        <w:t>demonstrating</w:t>
      </w:r>
      <w:proofErr w:type="gramEnd"/>
      <w:r>
        <w:rPr>
          <w:rFonts w:ascii="Times New Roman" w:hAnsi="Times New Roman"/>
          <w:sz w:val="24"/>
          <w:szCs w:val="24"/>
          <w:lang w:val="en-US"/>
        </w:rPr>
        <w:t xml:space="preserve"> that resilience represents a valuable organizational capability that contributes to competitive advantage.</w:t>
      </w:r>
    </w:p>
    <w:p w14:paraId="455A6A70" w14:textId="2A8E7F7F"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The sixth objective examined the combined effects of geopolitical risk exposure, directive leadership, and adaptive leadership on organizational resilience. The regression model explained 30.1% of variance in organizational resilience, indicating that resilience is influenced by a combination of external pressures and internal leadership capabilities. Although geopolitical risk produced a negative coefficient, its insignificant effect suggests that external uncertainty alone does not sufficiently explain differences in resilience levels among REE-dependent organizations. This implies that firms may develop internal mechanisms, including contingency planning and strategic adaptation, that reduce the direct influence of geopolitical pressures on resilience outcomes (</w:t>
      </w:r>
      <w:proofErr w:type="spellStart"/>
      <w:r>
        <w:rPr>
          <w:rFonts w:ascii="Times New Roman" w:hAnsi="Times New Roman"/>
          <w:sz w:val="24"/>
          <w:szCs w:val="24"/>
          <w:lang w:val="en-US"/>
        </w:rPr>
        <w:t>Pugu</w:t>
      </w:r>
      <w:proofErr w:type="spellEnd"/>
      <w:r>
        <w:rPr>
          <w:rFonts w:ascii="Times New Roman" w:hAnsi="Times New Roman"/>
          <w:sz w:val="24"/>
          <w:szCs w:val="24"/>
          <w:lang w:val="en-US"/>
        </w:rPr>
        <w:t xml:space="preserve"> and </w:t>
      </w:r>
      <w:proofErr w:type="spellStart"/>
      <w:r>
        <w:rPr>
          <w:rFonts w:ascii="Times New Roman" w:hAnsi="Times New Roman"/>
          <w:sz w:val="24"/>
          <w:szCs w:val="24"/>
          <w:lang w:val="en-US"/>
        </w:rPr>
        <w:t>Dzauharoh</w:t>
      </w:r>
      <w:proofErr w:type="spellEnd"/>
      <w:r>
        <w:rPr>
          <w:rFonts w:ascii="Times New Roman" w:hAnsi="Times New Roman"/>
          <w:sz w:val="24"/>
          <w:szCs w:val="24"/>
          <w:lang w:val="en-US"/>
        </w:rPr>
        <w:t>, 2025).</w:t>
      </w:r>
    </w:p>
    <w:p w14:paraId="38B2214E"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lastRenderedPageBreak/>
        <w:t>Both directive and adaptive leadership styles significantly contributed to organizational resilience, indicating that leadership capabilities are more influential predictors of resilience than geopolitical risk exposure. Directive leadership supports rapid coordination and structured responses during disruption, whereas adaptive leadership provides flexibility, innovation, and learning capabilities required for managing complex challenges. Among the predictors, adaptive leadership demonstrated the strongest influence, suggesting that organizations operating within uncertain supply environments benefit more from leaders who encourage adaptation and continuous improvement.</w:t>
      </w:r>
    </w:p>
    <w:p w14:paraId="24B48647" w14:textId="3B81CB12"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The seventh objective examined whether organizational resilience </w:t>
      </w:r>
      <w:r w:rsidR="00076CFA">
        <w:rPr>
          <w:rFonts w:ascii="Times New Roman" w:hAnsi="Times New Roman"/>
          <w:sz w:val="24"/>
          <w:szCs w:val="24"/>
          <w:lang w:val="en-US"/>
        </w:rPr>
        <w:t xml:space="preserve">arbitrates </w:t>
      </w:r>
      <w:r>
        <w:rPr>
          <w:rFonts w:ascii="Times New Roman" w:hAnsi="Times New Roman"/>
          <w:sz w:val="24"/>
          <w:szCs w:val="24"/>
          <w:lang w:val="en-US"/>
        </w:rPr>
        <w:t xml:space="preserve">the relationship between leadership styles </w:t>
      </w:r>
      <w:r w:rsidR="00B64789">
        <w:rPr>
          <w:rFonts w:ascii="Times New Roman" w:hAnsi="Times New Roman"/>
          <w:sz w:val="24"/>
          <w:szCs w:val="24"/>
          <w:lang w:val="en-US"/>
        </w:rPr>
        <w:t>with</w:t>
      </w:r>
      <w:r>
        <w:rPr>
          <w:rFonts w:ascii="Times New Roman" w:hAnsi="Times New Roman"/>
          <w:sz w:val="24"/>
          <w:szCs w:val="24"/>
          <w:lang w:val="en-US"/>
        </w:rPr>
        <w:t xml:space="preserve"> supply chain performance. The findings </w:t>
      </w:r>
      <w:r w:rsidR="00907AA0">
        <w:rPr>
          <w:rFonts w:ascii="Times New Roman" w:hAnsi="Times New Roman"/>
          <w:sz w:val="24"/>
          <w:szCs w:val="24"/>
          <w:lang w:val="en-US"/>
        </w:rPr>
        <w:t>indicate organizational</w:t>
      </w:r>
      <w:r>
        <w:rPr>
          <w:rFonts w:ascii="Times New Roman" w:hAnsi="Times New Roman"/>
          <w:sz w:val="24"/>
          <w:szCs w:val="24"/>
          <w:lang w:val="en-US"/>
        </w:rPr>
        <w:t xml:space="preserve"> resilience </w:t>
      </w:r>
      <w:r w:rsidR="006E4489">
        <w:rPr>
          <w:rFonts w:ascii="Times New Roman" w:hAnsi="Times New Roman"/>
          <w:sz w:val="24"/>
          <w:szCs w:val="24"/>
          <w:lang w:val="en-US"/>
        </w:rPr>
        <w:t>signifies</w:t>
      </w:r>
      <w:r>
        <w:rPr>
          <w:rFonts w:ascii="Times New Roman" w:hAnsi="Times New Roman"/>
          <w:sz w:val="24"/>
          <w:szCs w:val="24"/>
          <w:lang w:val="en-US"/>
        </w:rPr>
        <w:t xml:space="preserve"> important mechanism through which leadership influences operational outcomes. Resilient organizations are better positioned to maintain continuity, respond to disruption, and sustain supply chain efficiency. Adaptive leadership remained significant after including organizational resilience, indicating both direct </w:t>
      </w:r>
      <w:r w:rsidR="007D34EB">
        <w:rPr>
          <w:rFonts w:ascii="Times New Roman" w:hAnsi="Times New Roman"/>
          <w:sz w:val="24"/>
          <w:szCs w:val="24"/>
          <w:lang w:val="en-US"/>
        </w:rPr>
        <w:t>plus</w:t>
      </w:r>
      <w:r>
        <w:rPr>
          <w:rFonts w:ascii="Times New Roman" w:hAnsi="Times New Roman"/>
          <w:sz w:val="24"/>
          <w:szCs w:val="24"/>
          <w:lang w:val="en-US"/>
        </w:rPr>
        <w:t xml:space="preserve"> indirect effects on supply chain performance. Leaders who promote flexibility, innovation, and collaborative problem-solving strengthen resilience while also improving operational responsiveness.</w:t>
      </w:r>
    </w:p>
    <w:p w14:paraId="3C901C92" w14:textId="77777777"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Conversely, directive leadership became insignificant within the mediation model, suggesting that its influence on supply chain performance occurs primarily through organizational resilience rather than through a direct pathway. This indicates that directive leadership contributes to performance by establishing structures and coordination mechanisms that strengthen resilience capabilities. Therefore, organizational resilience functions as a critical pathway linking leadership approaches with supply chain outcomes, particularly in complex and disruption-prone REE-dependent industries.</w:t>
      </w:r>
    </w:p>
    <w:p w14:paraId="7FA4F184" w14:textId="77777777" w:rsidR="009120BA" w:rsidRDefault="009120BA" w:rsidP="009120BA">
      <w:pPr>
        <w:spacing w:after="0" w:line="360" w:lineRule="auto"/>
        <w:jc w:val="both"/>
        <w:rPr>
          <w:rFonts w:ascii="Times New Roman" w:hAnsi="Times New Roman"/>
          <w:sz w:val="24"/>
          <w:szCs w:val="24"/>
          <w:lang w:val="en-US"/>
        </w:rPr>
      </w:pPr>
    </w:p>
    <w:p w14:paraId="75D2450B" w14:textId="77777777" w:rsidR="009120BA" w:rsidRDefault="009120BA" w:rsidP="009120BA">
      <w:pPr>
        <w:spacing w:after="0" w:line="360" w:lineRule="auto"/>
        <w:jc w:val="both"/>
        <w:rPr>
          <w:rFonts w:ascii="Times New Roman" w:hAnsi="Times New Roman"/>
          <w:sz w:val="24"/>
          <w:szCs w:val="24"/>
          <w:lang w:val="en-US"/>
        </w:rPr>
      </w:pPr>
    </w:p>
    <w:p w14:paraId="1EAFAD03" w14:textId="77777777" w:rsidR="009120BA" w:rsidRDefault="009120BA" w:rsidP="009120BA">
      <w:pPr>
        <w:spacing w:after="0" w:line="360" w:lineRule="auto"/>
        <w:jc w:val="both"/>
        <w:rPr>
          <w:rFonts w:ascii="Times New Roman" w:hAnsi="Times New Roman"/>
          <w:sz w:val="24"/>
          <w:szCs w:val="24"/>
          <w:lang w:val="en-US"/>
        </w:rPr>
      </w:pPr>
    </w:p>
    <w:p w14:paraId="548D02DD" w14:textId="77777777" w:rsidR="009120BA" w:rsidRDefault="009120BA" w:rsidP="009120BA">
      <w:pPr>
        <w:spacing w:after="0" w:line="360" w:lineRule="auto"/>
        <w:jc w:val="both"/>
        <w:rPr>
          <w:rFonts w:ascii="Times New Roman" w:hAnsi="Times New Roman"/>
          <w:sz w:val="24"/>
          <w:szCs w:val="24"/>
          <w:lang w:val="en-US"/>
        </w:rPr>
      </w:pPr>
    </w:p>
    <w:p w14:paraId="40B3A9A8" w14:textId="77777777" w:rsidR="009120BA" w:rsidRDefault="009120BA" w:rsidP="009120BA">
      <w:pPr>
        <w:spacing w:after="0" w:line="360" w:lineRule="auto"/>
        <w:jc w:val="both"/>
        <w:rPr>
          <w:rFonts w:ascii="Times New Roman" w:hAnsi="Times New Roman"/>
          <w:sz w:val="24"/>
          <w:szCs w:val="24"/>
          <w:lang w:val="en-US"/>
        </w:rPr>
      </w:pPr>
    </w:p>
    <w:p w14:paraId="478075E9" w14:textId="77777777" w:rsidR="009120BA" w:rsidRDefault="009120BA" w:rsidP="009120BA">
      <w:pPr>
        <w:spacing w:after="0" w:line="360" w:lineRule="auto"/>
        <w:jc w:val="both"/>
        <w:rPr>
          <w:rFonts w:ascii="Times New Roman" w:hAnsi="Times New Roman"/>
          <w:sz w:val="24"/>
          <w:szCs w:val="24"/>
          <w:lang w:val="en-US"/>
        </w:rPr>
      </w:pPr>
    </w:p>
    <w:p w14:paraId="243CDF4A" w14:textId="77777777" w:rsidR="009120BA" w:rsidRDefault="009120BA" w:rsidP="009120BA">
      <w:pPr>
        <w:spacing w:after="0" w:line="360" w:lineRule="auto"/>
        <w:jc w:val="both"/>
        <w:rPr>
          <w:rFonts w:ascii="Times New Roman" w:hAnsi="Times New Roman"/>
          <w:sz w:val="24"/>
          <w:szCs w:val="24"/>
          <w:lang w:val="en-US"/>
        </w:rPr>
      </w:pPr>
    </w:p>
    <w:p w14:paraId="4E4EEE7A" w14:textId="77777777" w:rsidR="009120BA" w:rsidRDefault="009120BA" w:rsidP="009120BA">
      <w:pPr>
        <w:keepNext/>
        <w:keepLines/>
        <w:spacing w:before="360" w:after="80" w:line="276" w:lineRule="auto"/>
        <w:jc w:val="center"/>
        <w:outlineLvl w:val="0"/>
        <w:rPr>
          <w:rFonts w:ascii="Times New Roman" w:eastAsia="Times New Roman" w:hAnsi="Times New Roman"/>
          <w:b/>
          <w:bCs/>
          <w:sz w:val="24"/>
          <w:szCs w:val="24"/>
          <w:lang w:val="en-US"/>
        </w:rPr>
      </w:pPr>
      <w:bookmarkStart w:id="52" w:name="_Toc232013547"/>
      <w:r>
        <w:rPr>
          <w:rFonts w:ascii="Times New Roman" w:eastAsia="Times New Roman" w:hAnsi="Times New Roman"/>
          <w:b/>
          <w:bCs/>
          <w:sz w:val="24"/>
          <w:szCs w:val="24"/>
          <w:lang w:val="en-US"/>
        </w:rPr>
        <w:lastRenderedPageBreak/>
        <w:t>CHAPTER FIVE</w:t>
      </w:r>
      <w:bookmarkEnd w:id="52"/>
    </w:p>
    <w:p w14:paraId="451F9AEF" w14:textId="77777777" w:rsidR="009120BA" w:rsidRDefault="009120BA" w:rsidP="009120BA">
      <w:pPr>
        <w:keepNext/>
        <w:keepLines/>
        <w:spacing w:before="160" w:after="80" w:line="276" w:lineRule="auto"/>
        <w:jc w:val="center"/>
        <w:outlineLvl w:val="1"/>
        <w:rPr>
          <w:rFonts w:ascii="Times New Roman" w:eastAsia="Times New Roman" w:hAnsi="Times New Roman"/>
          <w:b/>
          <w:bCs/>
          <w:sz w:val="24"/>
          <w:szCs w:val="24"/>
          <w:lang w:val="en-US"/>
        </w:rPr>
      </w:pPr>
      <w:bookmarkStart w:id="53" w:name="_Toc232013548"/>
      <w:r>
        <w:rPr>
          <w:rFonts w:ascii="Times New Roman" w:eastAsia="Times New Roman" w:hAnsi="Times New Roman"/>
          <w:b/>
          <w:bCs/>
          <w:sz w:val="24"/>
          <w:szCs w:val="24"/>
          <w:lang w:val="en-US"/>
        </w:rPr>
        <w:t>SUMMARY, CONCLUSION AND RECOMMENDATIONS</w:t>
      </w:r>
      <w:bookmarkEnd w:id="53"/>
    </w:p>
    <w:p w14:paraId="688789C7" w14:textId="77777777" w:rsidR="009120BA" w:rsidRDefault="009120BA" w:rsidP="009120BA">
      <w:pPr>
        <w:keepNext/>
        <w:keepLines/>
        <w:spacing w:before="160" w:after="80" w:line="276" w:lineRule="auto"/>
        <w:outlineLvl w:val="1"/>
        <w:rPr>
          <w:rFonts w:ascii="Times New Roman" w:eastAsia="Times New Roman" w:hAnsi="Times New Roman"/>
          <w:b/>
          <w:bCs/>
          <w:sz w:val="24"/>
          <w:szCs w:val="24"/>
          <w:lang w:val="en-US"/>
        </w:rPr>
      </w:pPr>
      <w:bookmarkStart w:id="54" w:name="_Toc232013549"/>
      <w:r>
        <w:rPr>
          <w:rFonts w:ascii="Times New Roman" w:eastAsia="Times New Roman" w:hAnsi="Times New Roman"/>
          <w:b/>
          <w:bCs/>
          <w:sz w:val="24"/>
          <w:szCs w:val="24"/>
          <w:lang w:val="en-US"/>
        </w:rPr>
        <w:t>5.0. Summary of findings</w:t>
      </w:r>
      <w:bookmarkEnd w:id="54"/>
    </w:p>
    <w:p w14:paraId="32BD9805"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study achieved a 75% response rate, with 90 valid questionnaires analyzed. The chapter examined respondent characteristics, data quality, preliminary analyses, and hypothesis testing to address the research objectives.</w:t>
      </w:r>
    </w:p>
    <w:p w14:paraId="2E7DD3E8"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demographic findings indicate that most respondents were logistics and procurement managers working primarily in industrial manufacturing organizations. Most participants occupied middle-management positions and reported substantial organizational dependence on rare earth elements.</w:t>
      </w:r>
    </w:p>
    <w:p w14:paraId="2C3727D3" w14:textId="1817D91B"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Reliability analysis confirmed that all measurement scales </w:t>
      </w:r>
      <w:r w:rsidR="006C41C4">
        <w:rPr>
          <w:rFonts w:ascii="Times New Roman" w:hAnsi="Times New Roman"/>
          <w:sz w:val="24"/>
          <w:szCs w:val="24"/>
          <w:lang w:val="en-US"/>
        </w:rPr>
        <w:t>exhibited</w:t>
      </w:r>
      <w:r>
        <w:rPr>
          <w:rFonts w:ascii="Times New Roman" w:hAnsi="Times New Roman"/>
          <w:sz w:val="24"/>
          <w:szCs w:val="24"/>
          <w:lang w:val="en-US"/>
        </w:rPr>
        <w:t xml:space="preserve"> </w:t>
      </w:r>
      <w:r w:rsidR="00D703A2">
        <w:rPr>
          <w:rFonts w:ascii="Times New Roman" w:hAnsi="Times New Roman"/>
          <w:sz w:val="24"/>
          <w:szCs w:val="24"/>
          <w:lang w:val="en-US"/>
        </w:rPr>
        <w:t>sufficient</w:t>
      </w:r>
      <w:r>
        <w:rPr>
          <w:rFonts w:ascii="Times New Roman" w:hAnsi="Times New Roman"/>
          <w:sz w:val="24"/>
          <w:szCs w:val="24"/>
          <w:lang w:val="en-US"/>
        </w:rPr>
        <w:t xml:space="preserve"> internal consistency, with Cronbach’s alpha values ranging from 0.769 to 0.841. Consequently, all constructs were considered reliable for further statistical analysis.</w:t>
      </w:r>
    </w:p>
    <w:p w14:paraId="5AFF9A80"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Descriptive statistics revealed high mean scores across all study variables, indicating strong agreement among respondents. Adaptive leadership recorded the highest mean score, reflecting its widespread adoption in managing REE-related supply challenges.</w:t>
      </w:r>
    </w:p>
    <w:p w14:paraId="1AD6F9F8"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Correlation analysis showed significant positive relationships among all constructs. Adaptive leadership demonstrated the strongest associations with organizational resilience and leadership effectiveness, while multicollinearity was not evident among the variables.</w:t>
      </w:r>
    </w:p>
    <w:p w14:paraId="44404DED" w14:textId="751D181C"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normality assessment confirmed the residuals were normally distributed. The Jarque-Bera test was insignificant, while skewness and kurtosis values remained within acceptable limits for regression analysis.</w:t>
      </w:r>
    </w:p>
    <w:p w14:paraId="71FA44BA" w14:textId="0893EF78"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first objective found geopolitical risk exposure had negative but statistically insignificant effect on organizational resilience. The results suggest that resilience is influenced more by internal organizational capabilities than external geopolitical pressures.</w:t>
      </w:r>
    </w:p>
    <w:p w14:paraId="292B864A"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second objective revealed that geopolitical risk exposure significantly and negatively affected supply chain performance. This indicates that geopolitical uncertainty, trade restrictions, and supply disruptions adversely influence operational efficiency and performance.</w:t>
      </w:r>
    </w:p>
    <w:p w14:paraId="05CB7BF6"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The third objective established that directive leadership style positively and significantly influences organizational resilience. Structured decision-making, clear </w:t>
      </w:r>
      <w:r>
        <w:rPr>
          <w:rFonts w:ascii="Times New Roman" w:hAnsi="Times New Roman"/>
          <w:sz w:val="24"/>
          <w:szCs w:val="24"/>
          <w:lang w:val="en-US"/>
        </w:rPr>
        <w:lastRenderedPageBreak/>
        <w:t>communication, and coordinated responses were found to strengthen organizational preparedness and recovery capabilities.</w:t>
      </w:r>
    </w:p>
    <w:p w14:paraId="6A5F2CE2" w14:textId="77777777"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The fourth objective demonstrated that adaptive leadership significantly enhances organizational resilience. Flexible, innovative, and collaborative leadership approaches were identified as important drivers of organizational adaptability and resilience during disruptions.</w:t>
      </w:r>
    </w:p>
    <w:p w14:paraId="6049D3DC" w14:textId="2F1A85E4"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The fifth objective </w:t>
      </w:r>
      <w:r w:rsidR="00643C85">
        <w:rPr>
          <w:rFonts w:ascii="Times New Roman" w:hAnsi="Times New Roman"/>
          <w:sz w:val="24"/>
          <w:szCs w:val="24"/>
          <w:lang w:val="en-US"/>
        </w:rPr>
        <w:t>unveiled</w:t>
      </w:r>
      <w:r>
        <w:rPr>
          <w:rFonts w:ascii="Times New Roman" w:hAnsi="Times New Roman"/>
          <w:sz w:val="24"/>
          <w:szCs w:val="24"/>
          <w:lang w:val="en-US"/>
        </w:rPr>
        <w:t xml:space="preserve"> organizational resilience has a significant positive effect on supply chain performance. Organizations with stronger resilience capabilities were better able to maintain continuity and recover from disruptions effectively.</w:t>
      </w:r>
    </w:p>
    <w:p w14:paraId="0B517F22" w14:textId="141C1D74"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The sixth objective found that adaptive </w:t>
      </w:r>
      <w:r w:rsidR="002377E1">
        <w:rPr>
          <w:rFonts w:ascii="Times New Roman" w:hAnsi="Times New Roman"/>
          <w:sz w:val="24"/>
          <w:szCs w:val="24"/>
          <w:lang w:val="en-US"/>
        </w:rPr>
        <w:t>with</w:t>
      </w:r>
      <w:r>
        <w:rPr>
          <w:rFonts w:ascii="Times New Roman" w:hAnsi="Times New Roman"/>
          <w:sz w:val="24"/>
          <w:szCs w:val="24"/>
          <w:lang w:val="en-US"/>
        </w:rPr>
        <w:t xml:space="preserve"> directive leadership style significantly improve organizational resilience, while geopolitical risk exposure remained insignificant. Adaptive leadership </w:t>
      </w:r>
      <w:r w:rsidR="00B41F06">
        <w:rPr>
          <w:rFonts w:ascii="Times New Roman" w:hAnsi="Times New Roman"/>
          <w:sz w:val="24"/>
          <w:szCs w:val="24"/>
          <w:lang w:val="en-US"/>
        </w:rPr>
        <w:t>arose</w:t>
      </w:r>
      <w:r>
        <w:rPr>
          <w:rFonts w:ascii="Times New Roman" w:hAnsi="Times New Roman"/>
          <w:sz w:val="24"/>
          <w:szCs w:val="24"/>
          <w:lang w:val="en-US"/>
        </w:rPr>
        <w:t xml:space="preserve"> a</w:t>
      </w:r>
      <w:r w:rsidR="00147A29">
        <w:rPr>
          <w:rFonts w:ascii="Times New Roman" w:hAnsi="Times New Roman"/>
          <w:sz w:val="24"/>
          <w:szCs w:val="24"/>
          <w:lang w:val="en-US"/>
        </w:rPr>
        <w:t>s</w:t>
      </w:r>
      <w:r>
        <w:rPr>
          <w:rFonts w:ascii="Times New Roman" w:hAnsi="Times New Roman"/>
          <w:sz w:val="24"/>
          <w:szCs w:val="24"/>
          <w:lang w:val="en-US"/>
        </w:rPr>
        <w:t xml:space="preserve"> strongest predictor of organizational resilience.</w:t>
      </w:r>
    </w:p>
    <w:p w14:paraId="5086F785" w14:textId="556276B0" w:rsidR="009120BA" w:rsidRDefault="009120BA" w:rsidP="009120BA">
      <w:pPr>
        <w:numPr>
          <w:ilvl w:val="0"/>
          <w:numId w:val="4"/>
        </w:numPr>
        <w:spacing w:line="360" w:lineRule="auto"/>
        <w:contextualSpacing/>
        <w:jc w:val="both"/>
        <w:rPr>
          <w:rFonts w:ascii="Times New Roman" w:hAnsi="Times New Roman"/>
          <w:sz w:val="24"/>
          <w:szCs w:val="24"/>
          <w:lang w:val="en-US"/>
        </w:rPr>
      </w:pPr>
      <w:r>
        <w:rPr>
          <w:rFonts w:ascii="Times New Roman" w:hAnsi="Times New Roman"/>
          <w:sz w:val="24"/>
          <w:szCs w:val="24"/>
          <w:lang w:val="en-US"/>
        </w:rPr>
        <w:t xml:space="preserve">The seventh objective confirmed that organizational resilience </w:t>
      </w:r>
      <w:proofErr w:type="gramStart"/>
      <w:r w:rsidR="00884C29">
        <w:rPr>
          <w:rFonts w:ascii="Times New Roman" w:hAnsi="Times New Roman"/>
          <w:sz w:val="24"/>
          <w:szCs w:val="24"/>
          <w:lang w:val="en-US"/>
        </w:rPr>
        <w:t>intercede</w:t>
      </w:r>
      <w:proofErr w:type="gramEnd"/>
      <w:r>
        <w:rPr>
          <w:rFonts w:ascii="Times New Roman" w:hAnsi="Times New Roman"/>
          <w:sz w:val="24"/>
          <w:szCs w:val="24"/>
          <w:lang w:val="en-US"/>
        </w:rPr>
        <w:t xml:space="preserve"> the relationship </w:t>
      </w:r>
      <w:r w:rsidR="008A0082">
        <w:rPr>
          <w:rFonts w:ascii="Times New Roman" w:hAnsi="Times New Roman"/>
          <w:sz w:val="24"/>
          <w:szCs w:val="24"/>
          <w:lang w:val="en-US"/>
        </w:rPr>
        <w:t>amid</w:t>
      </w:r>
      <w:r>
        <w:rPr>
          <w:rFonts w:ascii="Times New Roman" w:hAnsi="Times New Roman"/>
          <w:sz w:val="24"/>
          <w:szCs w:val="24"/>
          <w:lang w:val="en-US"/>
        </w:rPr>
        <w:t xml:space="preserve"> leadership styles and supply chain performance. Adaptive leadership maintained a direct effect, whereas directive leadership influenced performance primarily through resilience.</w:t>
      </w:r>
      <w:bookmarkStart w:id="55" w:name="_Toc232013550"/>
    </w:p>
    <w:p w14:paraId="64D27DAF" w14:textId="77777777" w:rsidR="009120BA" w:rsidRDefault="009120BA" w:rsidP="009120BA">
      <w:pPr>
        <w:spacing w:after="0" w:line="360" w:lineRule="auto"/>
        <w:ind w:left="720"/>
        <w:contextualSpacing/>
        <w:jc w:val="both"/>
        <w:rPr>
          <w:rFonts w:ascii="Times New Roman" w:hAnsi="Times New Roman"/>
          <w:b/>
          <w:bCs/>
          <w:sz w:val="24"/>
          <w:szCs w:val="24"/>
          <w:lang w:val="en-US"/>
        </w:rPr>
      </w:pPr>
    </w:p>
    <w:p w14:paraId="7A2C90A4" w14:textId="77777777" w:rsidR="009120BA" w:rsidRDefault="009120BA" w:rsidP="009120BA">
      <w:pPr>
        <w:spacing w:after="0" w:line="360" w:lineRule="auto"/>
        <w:ind w:left="720"/>
        <w:contextualSpacing/>
        <w:jc w:val="both"/>
        <w:rPr>
          <w:rFonts w:ascii="Times New Roman" w:hAnsi="Times New Roman"/>
          <w:b/>
          <w:bCs/>
          <w:sz w:val="24"/>
          <w:szCs w:val="24"/>
          <w:lang w:val="en-US"/>
        </w:rPr>
      </w:pPr>
      <w:r>
        <w:rPr>
          <w:rFonts w:ascii="Times New Roman" w:hAnsi="Times New Roman"/>
          <w:b/>
          <w:bCs/>
          <w:sz w:val="24"/>
          <w:szCs w:val="24"/>
          <w:lang w:val="en-US"/>
        </w:rPr>
        <w:t>5.1. Conclusion</w:t>
      </w:r>
      <w:bookmarkStart w:id="56" w:name="_Toc232013551"/>
      <w:bookmarkEnd w:id="55"/>
    </w:p>
    <w:p w14:paraId="1AB5DD44" w14:textId="14E0304C" w:rsidR="009120BA" w:rsidRDefault="009120BA" w:rsidP="009120BA">
      <w:pPr>
        <w:spacing w:after="0" w:line="360" w:lineRule="auto"/>
        <w:ind w:left="720"/>
        <w:contextualSpacing/>
        <w:jc w:val="both"/>
        <w:rPr>
          <w:rFonts w:ascii="Times New Roman" w:hAnsi="Times New Roman"/>
          <w:sz w:val="24"/>
          <w:szCs w:val="24"/>
          <w:lang w:val="en-US"/>
        </w:rPr>
      </w:pPr>
      <w:r>
        <w:rPr>
          <w:rFonts w:ascii="Times New Roman" w:hAnsi="Times New Roman"/>
          <w:sz w:val="24"/>
          <w:szCs w:val="24"/>
          <w:lang w:val="en-US"/>
        </w:rPr>
        <w:t xml:space="preserve">This study examined the moderating role of directive and adaptive leadership styles in addressing geopolitical supply risks </w:t>
      </w:r>
      <w:r w:rsidR="00610A7C">
        <w:rPr>
          <w:rFonts w:ascii="Times New Roman" w:hAnsi="Times New Roman"/>
          <w:sz w:val="24"/>
          <w:szCs w:val="24"/>
          <w:lang w:val="en-US"/>
        </w:rPr>
        <w:t>allied</w:t>
      </w:r>
      <w:r>
        <w:rPr>
          <w:rFonts w:ascii="Times New Roman" w:hAnsi="Times New Roman"/>
          <w:sz w:val="24"/>
          <w:szCs w:val="24"/>
          <w:lang w:val="en-US"/>
        </w:rPr>
        <w:t xml:space="preserve"> with rare earth elements (REEs) and their implications for organizational resilience and supply chain performance. Given the increasing strategic importance of REEs and the growing vulnerability of global supply networks to geopolitical disruptions, the study investigated how leadership approaches enable organizations to develop resilience and sustain supply chain effectiveness. Using quantitative data obtained from 90 respondents across REE-dependent organizations, the study </w:t>
      </w:r>
      <w:r w:rsidR="009D3A9A">
        <w:rPr>
          <w:rFonts w:ascii="Times New Roman" w:hAnsi="Times New Roman"/>
          <w:sz w:val="24"/>
          <w:szCs w:val="24"/>
          <w:lang w:val="en-US"/>
        </w:rPr>
        <w:t>harnessed</w:t>
      </w:r>
      <w:r>
        <w:rPr>
          <w:rFonts w:ascii="Times New Roman" w:hAnsi="Times New Roman"/>
          <w:sz w:val="24"/>
          <w:szCs w:val="24"/>
          <w:lang w:val="en-US"/>
        </w:rPr>
        <w:t xml:space="preserve"> descriptive, correlation, and regression analyses to examine the </w:t>
      </w:r>
      <w:r w:rsidR="00E5699A">
        <w:rPr>
          <w:rFonts w:ascii="Times New Roman" w:hAnsi="Times New Roman"/>
          <w:sz w:val="24"/>
          <w:szCs w:val="24"/>
          <w:lang w:val="en-US"/>
        </w:rPr>
        <w:t>alliance</w:t>
      </w:r>
      <w:r>
        <w:rPr>
          <w:rFonts w:ascii="Times New Roman" w:hAnsi="Times New Roman"/>
          <w:sz w:val="24"/>
          <w:szCs w:val="24"/>
          <w:lang w:val="en-US"/>
        </w:rPr>
        <w:t xml:space="preserve"> between geopolitical risk exposure, leadership styles, organizational resilience, and supply chain performance.</w:t>
      </w:r>
    </w:p>
    <w:p w14:paraId="4DF62C94" w14:textId="2F28B0E8"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lastRenderedPageBreak/>
        <w:t>The</w:t>
      </w:r>
      <w:r w:rsidR="00CD6DD8">
        <w:rPr>
          <w:rFonts w:ascii="Times New Roman" w:hAnsi="Times New Roman"/>
          <w:sz w:val="24"/>
          <w:szCs w:val="24"/>
          <w:lang w:val="en-US"/>
        </w:rPr>
        <w:t>se</w:t>
      </w:r>
      <w:r>
        <w:rPr>
          <w:rFonts w:ascii="Times New Roman" w:hAnsi="Times New Roman"/>
          <w:sz w:val="24"/>
          <w:szCs w:val="24"/>
          <w:lang w:val="en-US"/>
        </w:rPr>
        <w:t xml:space="preserve"> </w:t>
      </w:r>
      <w:proofErr w:type="gramStart"/>
      <w:r>
        <w:rPr>
          <w:rFonts w:ascii="Times New Roman" w:hAnsi="Times New Roman"/>
          <w:sz w:val="24"/>
          <w:szCs w:val="24"/>
          <w:lang w:val="en-US"/>
        </w:rPr>
        <w:t>finding</w:t>
      </w:r>
      <w:proofErr w:type="gramEnd"/>
      <w:r>
        <w:rPr>
          <w:rFonts w:ascii="Times New Roman" w:hAnsi="Times New Roman"/>
          <w:sz w:val="24"/>
          <w:szCs w:val="24"/>
          <w:lang w:val="en-US"/>
        </w:rPr>
        <w:t xml:space="preserve"> demonstrate that geopolitical risk exposure does not significantly influence organizational resilience directly, suggesting that resilience is not solely determined by exposure to external threats but is shaped by internal organizational capabilities. This finding contributes to the Resource-Based View (RBV) by demonstrating that organizations can develop valuable strategic capabilities that reduce vulnerability to environmental uncertainty. Rather than viewing geopolitical risk as an unavoidable determinant of organizational outcomes, the study highlights that governance structures, leadership capabilities, strategic planning, and adaptive capacity influence how organizations respond to disruption. However, geopolitical risk exposure was found to significantly reduce supply chain performance, confirming that REE-dependent organizations remain operationally vulnerable to trade restrictions, export controls, political instability, and resource supply disruptions. This indicates that while internal capabilities may protect organizational resilience, they may not </w:t>
      </w:r>
      <w:proofErr w:type="gramStart"/>
      <w:r>
        <w:rPr>
          <w:rFonts w:ascii="Times New Roman" w:hAnsi="Times New Roman"/>
          <w:sz w:val="24"/>
          <w:szCs w:val="24"/>
          <w:lang w:val="en-US"/>
        </w:rPr>
        <w:t>completely eliminate</w:t>
      </w:r>
      <w:proofErr w:type="gramEnd"/>
      <w:r>
        <w:rPr>
          <w:rFonts w:ascii="Times New Roman" w:hAnsi="Times New Roman"/>
          <w:sz w:val="24"/>
          <w:szCs w:val="24"/>
          <w:lang w:val="en-US"/>
        </w:rPr>
        <w:t xml:space="preserve"> the immediate operational consequences of geopolitical uncertainty.</w:t>
      </w:r>
    </w:p>
    <w:p w14:paraId="7819106A" w14:textId="7CA31FF2"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t xml:space="preserve">The study further establishes that both directive and adaptive leadership styles positively contribute to organizational resilience, although adaptive leadership emerged as the stronger predictor. This finding extends Adaptive Leadership Theory by demonstrating its relevance within resource-constrained and geopolitically uncertain supply environments. Adaptive leadership </w:t>
      </w:r>
      <w:proofErr w:type="gramStart"/>
      <w:r w:rsidR="007D2937">
        <w:rPr>
          <w:rFonts w:ascii="Times New Roman" w:hAnsi="Times New Roman"/>
          <w:sz w:val="24"/>
          <w:szCs w:val="24"/>
          <w:lang w:val="en-US"/>
        </w:rPr>
        <w:t>empower</w:t>
      </w:r>
      <w:proofErr w:type="gramEnd"/>
      <w:r>
        <w:rPr>
          <w:rFonts w:ascii="Times New Roman" w:hAnsi="Times New Roman"/>
          <w:sz w:val="24"/>
          <w:szCs w:val="24"/>
          <w:lang w:val="en-US"/>
        </w:rPr>
        <w:t xml:space="preserve"> organizations to respond effectively to complexity </w:t>
      </w:r>
      <w:proofErr w:type="spellStart"/>
      <w:r w:rsidR="00D25E42">
        <w:rPr>
          <w:rFonts w:ascii="Times New Roman" w:hAnsi="Times New Roman"/>
          <w:sz w:val="24"/>
          <w:szCs w:val="24"/>
          <w:lang w:val="en-US"/>
        </w:rPr>
        <w:t>accross</w:t>
      </w:r>
      <w:proofErr w:type="spellEnd"/>
      <w:r>
        <w:rPr>
          <w:rFonts w:ascii="Times New Roman" w:hAnsi="Times New Roman"/>
          <w:sz w:val="24"/>
          <w:szCs w:val="24"/>
          <w:lang w:val="en-US"/>
        </w:rPr>
        <w:t xml:space="preserve"> learning, innovation, collaboration, and strategic flexibility. Although directive leadership also strengthens resilience by supporting coordination, rapid decision-making, and crisis response, its effectiveness appears more dependent on its ability to support resilience-building processes rather than directly improving supply chain outcomes. Therefore, the findings suggest that effective leadership in uncertain environments requires a balance between structured control and adaptive flexibility.</w:t>
      </w:r>
    </w:p>
    <w:p w14:paraId="7497ACDD" w14:textId="1A045227" w:rsidR="009120BA" w:rsidRDefault="009120BA" w:rsidP="009120BA">
      <w:pPr>
        <w:keepNext/>
        <w:keepLines/>
        <w:spacing w:before="160" w:after="80" w:line="360" w:lineRule="auto"/>
        <w:jc w:val="both"/>
        <w:outlineLvl w:val="1"/>
        <w:rPr>
          <w:rFonts w:ascii="Times New Roman" w:hAnsi="Times New Roman"/>
          <w:sz w:val="24"/>
          <w:szCs w:val="24"/>
          <w:lang w:val="en-US"/>
        </w:rPr>
      </w:pPr>
      <w:r>
        <w:rPr>
          <w:rFonts w:ascii="Times New Roman" w:hAnsi="Times New Roman"/>
          <w:sz w:val="24"/>
          <w:szCs w:val="24"/>
          <w:lang w:val="en-US"/>
        </w:rPr>
        <w:t xml:space="preserve">            Furthermore, organizational resilience was found to significantly improve supply chain performance, confirming that resilience represents a strategic organizational capability rather than simply a reactive response to disruption. This finding reinforces the Dynamic Capabilities perspective by demonstrating that organizations achieve sustained performance advantages through their ability to sense threats, adapt resources, and transform operations </w:t>
      </w:r>
      <w:r w:rsidR="000F0379">
        <w:rPr>
          <w:rFonts w:ascii="Times New Roman" w:hAnsi="Times New Roman"/>
          <w:sz w:val="24"/>
          <w:szCs w:val="24"/>
          <w:lang w:val="en-US"/>
        </w:rPr>
        <w:t>reaction</w:t>
      </w:r>
      <w:r>
        <w:rPr>
          <w:rFonts w:ascii="Times New Roman" w:hAnsi="Times New Roman"/>
          <w:sz w:val="24"/>
          <w:szCs w:val="24"/>
          <w:lang w:val="en-US"/>
        </w:rPr>
        <w:t xml:space="preserve"> to changing conditions. </w:t>
      </w:r>
      <w:r w:rsidR="000F0379">
        <w:rPr>
          <w:rFonts w:ascii="Times New Roman" w:hAnsi="Times New Roman"/>
          <w:sz w:val="24"/>
          <w:szCs w:val="24"/>
          <w:lang w:val="en-US"/>
        </w:rPr>
        <w:t>With</w:t>
      </w:r>
      <w:r>
        <w:rPr>
          <w:rFonts w:ascii="Times New Roman" w:hAnsi="Times New Roman"/>
          <w:sz w:val="24"/>
          <w:szCs w:val="24"/>
          <w:lang w:val="en-US"/>
        </w:rPr>
        <w:t xml:space="preserve"> the context of REE-dependent organizations, resilience enables firms to maintain supply continuity, manage uncertainty, and improve operational effectiveness despite geopolitical challenges.</w:t>
      </w:r>
    </w:p>
    <w:p w14:paraId="79CF8BF3" w14:textId="2925FC20"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lastRenderedPageBreak/>
        <w:t>The mediation analysis provides an additional theoretical contribution</w:t>
      </w:r>
      <w:r w:rsidR="006563F7">
        <w:rPr>
          <w:rFonts w:ascii="Times New Roman" w:hAnsi="Times New Roman"/>
          <w:sz w:val="24"/>
          <w:szCs w:val="24"/>
          <w:lang w:val="en-US"/>
        </w:rPr>
        <w:t xml:space="preserve">, </w:t>
      </w:r>
      <w:r>
        <w:rPr>
          <w:rFonts w:ascii="Times New Roman" w:hAnsi="Times New Roman"/>
          <w:sz w:val="24"/>
          <w:szCs w:val="24"/>
          <w:lang w:val="en-US"/>
        </w:rPr>
        <w:t xml:space="preserve">demonstrating that organizational resilience acts as critical mechanism </w:t>
      </w:r>
      <w:r w:rsidR="009F3C38">
        <w:rPr>
          <w:rFonts w:ascii="Times New Roman" w:hAnsi="Times New Roman"/>
          <w:sz w:val="24"/>
          <w:szCs w:val="24"/>
          <w:lang w:val="en-US"/>
        </w:rPr>
        <w:t>joining</w:t>
      </w:r>
      <w:r>
        <w:rPr>
          <w:rFonts w:ascii="Times New Roman" w:hAnsi="Times New Roman"/>
          <w:sz w:val="24"/>
          <w:szCs w:val="24"/>
          <w:lang w:val="en-US"/>
        </w:rPr>
        <w:t xml:space="preserve"> leadership styles with supply chain performance. The finding that adaptive leadership influences performance both directly and indirectly through resilience highlights the importance of leadership-driven capability development. Conversely, the loss of significance of directive leadership after introducing organizational resilience suggests that directive approaches primarily create value by strengthening internal resilience mechanisms rather than directly improving supply chain outcomes. This provides a more nuanced understanding of leadership effectiveness by showing that different leadership styles contribute to performance through different pathways.</w:t>
      </w:r>
    </w:p>
    <w:p w14:paraId="2A38D83F" w14:textId="77777777"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t>From a theoretical perspective, this study integrates insights from RBV, Dynamic Capabilities Theory, and Adaptive Leadership Theory by demonstrating that organizational resilience emerges from the interaction between external pressures and internal capabilities. The study challenges purely risk-focused perspectives that assume geopolitical uncertainty automatically reduces organizational effectiveness. Instead, it demonstrates that organizations can reduce vulnerability by developing leadership capabilities, adaptive systems, and resilience-oriented strategies. This contributes to the existing literature by positioning resilience as a bridge between leadership practices and supply chain performance within geopolitically exposed industries.</w:t>
      </w:r>
    </w:p>
    <w:p w14:paraId="61CCC32C" w14:textId="77777777"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t>Practically, the study recommends that organizations dependent on REEs should priorities the development of adaptive leadership capabilities, as these provide greater support for managing uncertainty and maintaining supply chain effectiveness. Organizations should also strengthen resilience through supply chain diversification, alternative sourcing strategies, digital risk monitoring systems, contingency planning, and strategic partnerships. While geopolitical risks cannot be fully eliminated, organizations can reduce their impact by developing proactive capabilities that enhance flexibility and responsiveness.</w:t>
      </w:r>
    </w:p>
    <w:p w14:paraId="4BC93E42" w14:textId="77777777" w:rsidR="009120BA" w:rsidRDefault="009120BA" w:rsidP="009120BA">
      <w:pPr>
        <w:keepNext/>
        <w:keepLines/>
        <w:spacing w:before="160" w:after="80" w:line="360" w:lineRule="auto"/>
        <w:jc w:val="both"/>
        <w:outlineLvl w:val="1"/>
        <w:rPr>
          <w:rFonts w:ascii="Times New Roman" w:hAnsi="Times New Roman"/>
          <w:sz w:val="24"/>
          <w:szCs w:val="24"/>
          <w:lang w:val="en-US"/>
        </w:rPr>
      </w:pPr>
      <w:r w:rsidRPr="009B11B3">
        <w:rPr>
          <w:rFonts w:ascii="Times New Roman" w:hAnsi="Times New Roman"/>
          <w:b/>
          <w:bCs/>
          <w:sz w:val="24"/>
          <w:szCs w:val="24"/>
          <w:lang w:val="en-US"/>
        </w:rPr>
        <w:lastRenderedPageBreak/>
        <w:t>Future research</w:t>
      </w:r>
      <w:r>
        <w:rPr>
          <w:rFonts w:ascii="Times New Roman" w:hAnsi="Times New Roman"/>
          <w:sz w:val="24"/>
          <w:szCs w:val="24"/>
          <w:lang w:val="en-US"/>
        </w:rPr>
        <w:t xml:space="preserve"> should extend this study by examining additional mechanisms through which geopolitical risks influence organizational outcomes. For example, future studies could investigate the mediating roles of supply chain agility, digital transformation, innovation capability, or risk management maturity. Longitudinal studies would also provide deeper insights into how organizations develop resilience over time in response to prolonged geopolitical uncertainty. Furthermore, comparative studies across different industries, geographical regions, and REE-dependent sectors could determine whether the relationships identified in this study vary according to institutional environments, regulatory conditions, or supply chain structures. Future research could also incorporate qualitative approaches to explore how leaders practically balance directive and adaptive behaviors during geopolitical disruptions.</w:t>
      </w:r>
    </w:p>
    <w:p w14:paraId="02663A74" w14:textId="77777777" w:rsidR="009120BA" w:rsidRDefault="009120BA" w:rsidP="009120BA">
      <w:pPr>
        <w:keepNext/>
        <w:keepLines/>
        <w:spacing w:before="160" w:after="80" w:line="360" w:lineRule="auto"/>
        <w:ind w:firstLine="720"/>
        <w:jc w:val="both"/>
        <w:outlineLvl w:val="1"/>
        <w:rPr>
          <w:rFonts w:ascii="Times New Roman" w:hAnsi="Times New Roman"/>
          <w:sz w:val="24"/>
          <w:szCs w:val="24"/>
          <w:lang w:val="en-US"/>
        </w:rPr>
      </w:pPr>
      <w:r>
        <w:rPr>
          <w:rFonts w:ascii="Times New Roman" w:hAnsi="Times New Roman"/>
          <w:sz w:val="24"/>
          <w:szCs w:val="24"/>
          <w:lang w:val="en-US"/>
        </w:rPr>
        <w:t>Overall, this study concludes that leadership capabilities and organizational resilience are critical determinants of supply chain performance in REE-dependent organizations. While geopolitical risks create significant operational challenges, their effects can be reduced through effective leadership, strategic adaptation, and resilience development. Organizations that combine adaptive leadership with strong resilience capabilities are better positioned to navigate geopolitical uncertainty, maintain supply continuity, and achieve long-term competitiveness in increasingly volatile global markets.</w:t>
      </w:r>
    </w:p>
    <w:p w14:paraId="26DD2AC4" w14:textId="77777777" w:rsidR="009120BA" w:rsidRDefault="009120BA" w:rsidP="009120BA">
      <w:pPr>
        <w:keepNext/>
        <w:keepLines/>
        <w:spacing w:before="160" w:after="80" w:line="276" w:lineRule="auto"/>
        <w:outlineLvl w:val="1"/>
        <w:rPr>
          <w:rFonts w:ascii="Times New Roman" w:hAnsi="Times New Roman"/>
          <w:b/>
          <w:bCs/>
          <w:sz w:val="24"/>
          <w:szCs w:val="24"/>
          <w:lang w:val="en-US"/>
        </w:rPr>
      </w:pPr>
      <w:r>
        <w:rPr>
          <w:rFonts w:ascii="Times New Roman" w:hAnsi="Times New Roman"/>
          <w:b/>
          <w:bCs/>
          <w:sz w:val="24"/>
          <w:szCs w:val="24"/>
          <w:lang w:val="en-US"/>
        </w:rPr>
        <w:t>5.2.  Recommendation</w:t>
      </w:r>
    </w:p>
    <w:p w14:paraId="0DBE64A5" w14:textId="28E33D8E" w:rsidR="009120BA" w:rsidRDefault="000465EF"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Judging</w:t>
      </w:r>
      <w:r w:rsidR="009120BA">
        <w:rPr>
          <w:rFonts w:ascii="Times New Roman" w:hAnsi="Times New Roman"/>
          <w:sz w:val="24"/>
          <w:szCs w:val="24"/>
          <w:lang w:val="en-US"/>
        </w:rPr>
        <w:t xml:space="preserve"> the results of the current study, </w:t>
      </w:r>
      <w:proofErr w:type="gramStart"/>
      <w:r w:rsidR="009120BA">
        <w:rPr>
          <w:rFonts w:ascii="Times New Roman" w:hAnsi="Times New Roman"/>
          <w:sz w:val="24"/>
          <w:szCs w:val="24"/>
          <w:lang w:val="en-US"/>
        </w:rPr>
        <w:t>a number of</w:t>
      </w:r>
      <w:proofErr w:type="gramEnd"/>
      <w:r w:rsidR="009120BA">
        <w:rPr>
          <w:rFonts w:ascii="Times New Roman" w:hAnsi="Times New Roman"/>
          <w:sz w:val="24"/>
          <w:szCs w:val="24"/>
          <w:lang w:val="en-US"/>
        </w:rPr>
        <w:t xml:space="preserve"> recommendations are made to policymakers and industry stakeholders engaged in sectors that rely on rare earth elements. Recommendations are made with respect to building supply chain resilience, increasing leadership capability, decreasing geopolitical risks, and developing strategic capability that would help to deal with uncertainties.</w:t>
      </w:r>
    </w:p>
    <w:p w14:paraId="5C27C457" w14:textId="4C32110A"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The first policy recommendation for the UK government is to enhance their national critical minerals strategy by limiting reliance on a small number of REE supplier countries. As </w:t>
      </w:r>
      <w:r w:rsidR="00BA1ED8">
        <w:rPr>
          <w:rFonts w:ascii="Times New Roman" w:hAnsi="Times New Roman"/>
          <w:sz w:val="24"/>
          <w:szCs w:val="24"/>
          <w:lang w:val="en-US"/>
        </w:rPr>
        <w:t xml:space="preserve">the </w:t>
      </w:r>
      <w:r w:rsidR="001E5AEA">
        <w:rPr>
          <w:rFonts w:ascii="Times New Roman" w:hAnsi="Times New Roman"/>
          <w:sz w:val="24"/>
          <w:szCs w:val="24"/>
          <w:lang w:val="en-US"/>
        </w:rPr>
        <w:t>result</w:t>
      </w:r>
      <w:r>
        <w:rPr>
          <w:rFonts w:ascii="Times New Roman" w:hAnsi="Times New Roman"/>
          <w:sz w:val="24"/>
          <w:szCs w:val="24"/>
          <w:lang w:val="en-US"/>
        </w:rPr>
        <w:t xml:space="preserve"> have shown, geopolitical risk adversely impacts performance of the supply chain network. In other words, geopolitical risk makes the supply chains vulnerable because of the concentration of supply chains. Even though geopolitical risk did not impact organizational resilience significantly, the adverse impact of the same risk on the supply chain performance shows that there may be difficulties in dealing with the disruption caused by external factors. </w:t>
      </w:r>
      <w:r>
        <w:rPr>
          <w:rFonts w:ascii="Times New Roman" w:hAnsi="Times New Roman"/>
          <w:sz w:val="24"/>
          <w:szCs w:val="24"/>
          <w:lang w:val="en-US"/>
        </w:rPr>
        <w:lastRenderedPageBreak/>
        <w:t xml:space="preserve">For this reason, policymakers should focus on diversification of supplies by </w:t>
      </w:r>
      <w:proofErr w:type="gramStart"/>
      <w:r>
        <w:rPr>
          <w:rFonts w:ascii="Times New Roman" w:hAnsi="Times New Roman"/>
          <w:sz w:val="24"/>
          <w:szCs w:val="24"/>
          <w:lang w:val="en-US"/>
        </w:rPr>
        <w:t>entering into</w:t>
      </w:r>
      <w:proofErr w:type="gramEnd"/>
      <w:r>
        <w:rPr>
          <w:rFonts w:ascii="Times New Roman" w:hAnsi="Times New Roman"/>
          <w:sz w:val="24"/>
          <w:szCs w:val="24"/>
          <w:lang w:val="en-US"/>
        </w:rPr>
        <w:t xml:space="preserve"> strategic relationships with stable and reliable supplier countries.</w:t>
      </w:r>
    </w:p>
    <w:p w14:paraId="7CA4127F" w14:textId="1A1A2968"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Secondly, organizations within the United Kingdom operating in industries that rely on REE should strive towards developing organizational resilience capabilities. The results reveal that organizational resilience </w:t>
      </w:r>
      <w:proofErr w:type="gramStart"/>
      <w:r w:rsidR="00D83EA7">
        <w:rPr>
          <w:rFonts w:ascii="Times New Roman" w:hAnsi="Times New Roman"/>
          <w:sz w:val="24"/>
          <w:szCs w:val="24"/>
          <w:lang w:val="en-US"/>
        </w:rPr>
        <w:t>accomplishes</w:t>
      </w:r>
      <w:proofErr w:type="gramEnd"/>
      <w:r w:rsidR="00D83EA7">
        <w:rPr>
          <w:rFonts w:ascii="Times New Roman" w:hAnsi="Times New Roman"/>
          <w:sz w:val="24"/>
          <w:szCs w:val="24"/>
          <w:lang w:val="en-US"/>
        </w:rPr>
        <w:t xml:space="preserve"> </w:t>
      </w:r>
      <w:r>
        <w:rPr>
          <w:rFonts w:ascii="Times New Roman" w:hAnsi="Times New Roman"/>
          <w:sz w:val="24"/>
          <w:szCs w:val="24"/>
          <w:lang w:val="en-US"/>
        </w:rPr>
        <w:t xml:space="preserve">an important role in enhancing the </w:t>
      </w:r>
      <w:r w:rsidR="00091BF3">
        <w:rPr>
          <w:rFonts w:ascii="Times New Roman" w:hAnsi="Times New Roman"/>
          <w:sz w:val="24"/>
          <w:szCs w:val="24"/>
          <w:lang w:val="en-US"/>
        </w:rPr>
        <w:t>execution</w:t>
      </w:r>
      <w:r>
        <w:rPr>
          <w:rFonts w:ascii="Times New Roman" w:hAnsi="Times New Roman"/>
          <w:sz w:val="24"/>
          <w:szCs w:val="24"/>
          <w:lang w:val="en-US"/>
        </w:rPr>
        <w:t xml:space="preserve"> of supply chains. Resilience thus can be said to be a vital capability when it comes to ensuring continuity of operations in times of disruption. Consequently, organizations need to move from reactive risk management approach to a more proactive resilience strategy. Firms will need to engage in contingency planning, diversifying their suppliers, managing inventories strategically, arranging alternative sourcing and business continuity planning. This will ensure that organizations are able to cope with disruption and sustain their performance amid geopolitical uncertainties.</w:t>
      </w:r>
    </w:p>
    <w:p w14:paraId="3D668A9F" w14:textId="77777777"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Third, the organization should consider investing in leadership development programs that enhance adaptive leadership skills. From the results, </w:t>
      </w:r>
      <w:proofErr w:type="gramStart"/>
      <w:r>
        <w:rPr>
          <w:rFonts w:ascii="Times New Roman" w:hAnsi="Times New Roman"/>
          <w:sz w:val="24"/>
          <w:szCs w:val="24"/>
          <w:lang w:val="en-US"/>
        </w:rPr>
        <w:t>it is clear that adaptive</w:t>
      </w:r>
      <w:proofErr w:type="gramEnd"/>
      <w:r>
        <w:rPr>
          <w:rFonts w:ascii="Times New Roman" w:hAnsi="Times New Roman"/>
          <w:sz w:val="24"/>
          <w:szCs w:val="24"/>
          <w:lang w:val="en-US"/>
        </w:rPr>
        <w:t xml:space="preserve"> leadership is the most powerful factor influencing organizational resilience when compared to directive leadership. As such, it is apparent that organizations operating in unstable geopolitical environments should have leaders that can foster innovation, cooperation, flexibility, and continuous learning. In this respect, leadership development program should be designed in such a way that it develops the capacity of managers to understand complex situations, make decisions in uncertain circumstances, engage employees and develop strategies that suit the changing external environment. Directive leadership will always be important in providing a structured and coordinated effort during crisis situations. However, adaptive leadership is necessary for resilience since it makes organizations capable of turning adversity into opportunities.</w:t>
      </w:r>
    </w:p>
    <w:p w14:paraId="21E0D29A" w14:textId="77777777"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Fourthly, government agencies need to promote investments in domestic REE recycling and recovery processes and research on substitute materials. It is difficult for the UK to mitigate its vulnerability associated with its dependency on foreign sources of critical minerals solely through diversifying suppliers. Development of domestic capacities for REE recycling and recovery will help the country to become less dependent on extracting new sources of REEs. Such an investment in a circular economy will ensure that valuable materials are recycled from e-waste and renewable energy technologies and other industrial products, thereby reducing </w:t>
      </w:r>
      <w:r>
        <w:rPr>
          <w:rFonts w:ascii="Times New Roman" w:hAnsi="Times New Roman"/>
          <w:sz w:val="24"/>
          <w:szCs w:val="24"/>
          <w:lang w:val="en-US"/>
        </w:rPr>
        <w:lastRenderedPageBreak/>
        <w:t>risks related to disruptions in supply chains from international sources. In addition, such research in substitute materials will help to lessen the country's dependency on certain REEs.</w:t>
      </w:r>
    </w:p>
    <w:p w14:paraId="48FC1372" w14:textId="77777777"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Fifth, organizations should implement integrated geopolitical risk-monitoring systems to detect threats impacting the REEs' supply chains. The presence of the substantial negative correlation between geopolitical risk and supply chain performance highlights the need for such practices. Organizations should implement monitoring systems to constantly track global trade policies, diplomatic events, export constraints, regulations, and concentration risk from the suppliers. Technologies such as artificial intelligence and predictive analytics as well as platforms that monitor supply chains in real time might facilitate early warnings about the upcoming disruptions by predicting them prior to their occurrence.</w:t>
      </w:r>
    </w:p>
    <w:p w14:paraId="0982CA6B" w14:textId="77777777"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Sixth, greater collaboration among government, industry, universities, and research organizations should be promoted </w:t>
      </w:r>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increase innovation related to critical mineral management. Geopolitical supply risks are </w:t>
      </w:r>
      <w:proofErr w:type="gramStart"/>
      <w:r>
        <w:rPr>
          <w:rFonts w:ascii="Times New Roman" w:hAnsi="Times New Roman"/>
          <w:sz w:val="24"/>
          <w:szCs w:val="24"/>
          <w:lang w:val="en-US"/>
        </w:rPr>
        <w:t>complicated, and</w:t>
      </w:r>
      <w:proofErr w:type="gramEnd"/>
      <w:r>
        <w:rPr>
          <w:rFonts w:ascii="Times New Roman" w:hAnsi="Times New Roman"/>
          <w:sz w:val="24"/>
          <w:szCs w:val="24"/>
          <w:lang w:val="en-US"/>
        </w:rPr>
        <w:t xml:space="preserve"> therefore require collaborative effort rather than an individual approach of </w:t>
      </w:r>
      <w:proofErr w:type="gramStart"/>
      <w:r>
        <w:rPr>
          <w:rFonts w:ascii="Times New Roman" w:hAnsi="Times New Roman"/>
          <w:sz w:val="24"/>
          <w:szCs w:val="24"/>
          <w:lang w:val="en-US"/>
        </w:rPr>
        <w:t>particular organizations</w:t>
      </w:r>
      <w:proofErr w:type="gramEnd"/>
      <w:r>
        <w:rPr>
          <w:rFonts w:ascii="Times New Roman" w:hAnsi="Times New Roman"/>
          <w:sz w:val="24"/>
          <w:szCs w:val="24"/>
          <w:lang w:val="en-US"/>
        </w:rPr>
        <w:t>. Collaborative partnership would help with knowledge exchange, technology development, workforce education, and exploration of alternative supply solutions. Universities and research organizations could use their skills and experience in innovation of material science, recycling technologies, supply chain modeling, and risk assessment methodologies, while the representatives from industry would have the opportunity to share insights on practical aspects. This would enhance national capacity and develop the resilient supply system of rare earth elements.</w:t>
      </w:r>
    </w:p>
    <w:p w14:paraId="799C21B7" w14:textId="77777777" w:rsidR="009120BA" w:rsidRDefault="009120BA" w:rsidP="009120BA">
      <w:pPr>
        <w:spacing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Seventh, policymakers should promote certain incentives for organizations to implement practices that would help to build up resilience. Since the development of resilience usually involves considerable financial resources, then the introduction of government support would significantly speed up the process of adoption of strategic risk management approaches. The types of incentives could be tax benefits, innovation grants, research financing, and financial aid </w:t>
      </w:r>
      <w:proofErr w:type="gramStart"/>
      <w:r>
        <w:rPr>
          <w:rFonts w:ascii="Times New Roman" w:hAnsi="Times New Roman"/>
          <w:sz w:val="24"/>
          <w:szCs w:val="24"/>
          <w:lang w:val="en-US"/>
        </w:rPr>
        <w:t>in order to</w:t>
      </w:r>
      <w:proofErr w:type="gramEnd"/>
      <w:r>
        <w:rPr>
          <w:rFonts w:ascii="Times New Roman" w:hAnsi="Times New Roman"/>
          <w:sz w:val="24"/>
          <w:szCs w:val="24"/>
          <w:lang w:val="en-US"/>
        </w:rPr>
        <w:t xml:space="preserve"> implement supply diversification strategies. </w:t>
      </w:r>
    </w:p>
    <w:bookmarkEnd w:id="56"/>
    <w:p w14:paraId="75C6682E" w14:textId="3D2B928D" w:rsidR="009120BA" w:rsidRDefault="009120BA" w:rsidP="009120BA">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Finally, organizations need to embrace leadership styles that incorporate both directive and adaptive behaviors. As much as adaptive leadership had the most significant impact on resilience, it is evident from the results that directive leadership does have a positive impact on building organizational capability. Hence, organizations should not see leadership styles as </w:t>
      </w:r>
      <w:proofErr w:type="gramStart"/>
      <w:r>
        <w:rPr>
          <w:rFonts w:ascii="Times New Roman" w:hAnsi="Times New Roman"/>
          <w:sz w:val="24"/>
          <w:szCs w:val="24"/>
          <w:lang w:val="en-US"/>
        </w:rPr>
        <w:t>either or</w:t>
      </w:r>
      <w:proofErr w:type="gramEnd"/>
      <w:r>
        <w:rPr>
          <w:rFonts w:ascii="Times New Roman" w:hAnsi="Times New Roman"/>
          <w:sz w:val="24"/>
          <w:szCs w:val="24"/>
          <w:lang w:val="en-US"/>
        </w:rPr>
        <w:t xml:space="preserve"> choices. While directive leadership might offer some clarity and fast decisions during times of disruption, adaptive leadership is crucial in fostering innovation and strategic changes </w:t>
      </w:r>
      <w:r>
        <w:rPr>
          <w:rFonts w:ascii="Times New Roman" w:hAnsi="Times New Roman"/>
          <w:sz w:val="24"/>
          <w:szCs w:val="24"/>
          <w:lang w:val="en-US"/>
        </w:rPr>
        <w:lastRenderedPageBreak/>
        <w:t>when the situation continues for a while. Having leaders who can move between such leadership styles will improve resilience and increase supply chain performance. In conclusion, the recommendations provided above indicate that the mitigation of geopolitical risks in REE industries require a combination of both policies that address external issues and development of internal capabilities within the organizations. Not only do the governments have to build strategies and policies on critical minerals, diversify sources and foster innovations but also organizations need to build resilience via effective leadership, risk management, and adaptability</w:t>
      </w:r>
      <w:r w:rsidR="00CA0EC3">
        <w:rPr>
          <w:rFonts w:ascii="Times New Roman" w:hAnsi="Times New Roman"/>
          <w:sz w:val="24"/>
          <w:szCs w:val="24"/>
          <w:lang w:val="en-US"/>
        </w:rPr>
        <w:t>.</w:t>
      </w:r>
    </w:p>
    <w:p w14:paraId="5797B2E8" w14:textId="77777777" w:rsidR="009120BA" w:rsidRDefault="009120BA" w:rsidP="009120BA">
      <w:pPr>
        <w:spacing w:after="0" w:line="360" w:lineRule="auto"/>
        <w:jc w:val="both"/>
        <w:rPr>
          <w:rFonts w:ascii="Times New Roman" w:hAnsi="Times New Roman"/>
          <w:sz w:val="24"/>
          <w:szCs w:val="24"/>
          <w:lang w:val="en-US"/>
        </w:rPr>
      </w:pPr>
    </w:p>
    <w:p w14:paraId="31BAD8CC" w14:textId="77777777" w:rsidR="003A4C28" w:rsidRDefault="003A4C28" w:rsidP="009120BA">
      <w:pPr>
        <w:spacing w:after="0" w:line="360" w:lineRule="auto"/>
        <w:jc w:val="both"/>
        <w:rPr>
          <w:rFonts w:ascii="Times New Roman" w:hAnsi="Times New Roman"/>
          <w:sz w:val="24"/>
          <w:szCs w:val="24"/>
          <w:lang w:val="en-US"/>
        </w:rPr>
      </w:pPr>
    </w:p>
    <w:p w14:paraId="0CA3A564" w14:textId="77777777" w:rsidR="003A4C28" w:rsidRDefault="003A4C28" w:rsidP="009120BA">
      <w:pPr>
        <w:spacing w:after="0" w:line="360" w:lineRule="auto"/>
        <w:jc w:val="both"/>
        <w:rPr>
          <w:rFonts w:ascii="Times New Roman" w:hAnsi="Times New Roman"/>
          <w:sz w:val="24"/>
          <w:szCs w:val="24"/>
          <w:lang w:val="en-US"/>
        </w:rPr>
      </w:pPr>
    </w:p>
    <w:p w14:paraId="67D55844" w14:textId="77777777" w:rsidR="003A4C28" w:rsidRDefault="003A4C28" w:rsidP="009120BA">
      <w:pPr>
        <w:spacing w:after="0" w:line="360" w:lineRule="auto"/>
        <w:jc w:val="both"/>
        <w:rPr>
          <w:rFonts w:ascii="Times New Roman" w:hAnsi="Times New Roman"/>
          <w:sz w:val="24"/>
          <w:szCs w:val="24"/>
          <w:lang w:val="en-US"/>
        </w:rPr>
      </w:pPr>
    </w:p>
    <w:p w14:paraId="10FA4334" w14:textId="77777777" w:rsidR="003A4C28" w:rsidRDefault="003A4C28" w:rsidP="009120BA">
      <w:pPr>
        <w:spacing w:after="0" w:line="360" w:lineRule="auto"/>
        <w:jc w:val="both"/>
        <w:rPr>
          <w:rFonts w:ascii="Times New Roman" w:hAnsi="Times New Roman"/>
          <w:sz w:val="24"/>
          <w:szCs w:val="24"/>
          <w:lang w:val="en-US"/>
        </w:rPr>
      </w:pPr>
    </w:p>
    <w:p w14:paraId="10CECD7B" w14:textId="77777777" w:rsidR="003A4C28" w:rsidRDefault="003A4C28" w:rsidP="009120BA">
      <w:pPr>
        <w:spacing w:after="0" w:line="360" w:lineRule="auto"/>
        <w:jc w:val="both"/>
        <w:rPr>
          <w:rFonts w:ascii="Times New Roman" w:hAnsi="Times New Roman"/>
          <w:sz w:val="24"/>
          <w:szCs w:val="24"/>
          <w:lang w:val="en-US"/>
        </w:rPr>
      </w:pPr>
    </w:p>
    <w:p w14:paraId="66574EE0" w14:textId="77777777" w:rsidR="003A4C28" w:rsidRDefault="003A4C28" w:rsidP="009120BA">
      <w:pPr>
        <w:spacing w:after="0" w:line="360" w:lineRule="auto"/>
        <w:jc w:val="both"/>
        <w:rPr>
          <w:rFonts w:ascii="Times New Roman" w:hAnsi="Times New Roman"/>
          <w:sz w:val="24"/>
          <w:szCs w:val="24"/>
          <w:lang w:val="en-US"/>
        </w:rPr>
      </w:pPr>
    </w:p>
    <w:p w14:paraId="641DBCCD" w14:textId="77777777" w:rsidR="003A4C28" w:rsidRDefault="003A4C28" w:rsidP="009120BA">
      <w:pPr>
        <w:spacing w:after="0" w:line="360" w:lineRule="auto"/>
        <w:jc w:val="both"/>
        <w:rPr>
          <w:rFonts w:ascii="Times New Roman" w:hAnsi="Times New Roman"/>
          <w:sz w:val="24"/>
          <w:szCs w:val="24"/>
          <w:lang w:val="en-US"/>
        </w:rPr>
      </w:pPr>
    </w:p>
    <w:p w14:paraId="4621E4B3" w14:textId="77777777" w:rsidR="003A4C28" w:rsidRDefault="003A4C28" w:rsidP="009120BA">
      <w:pPr>
        <w:spacing w:after="0" w:line="360" w:lineRule="auto"/>
        <w:jc w:val="both"/>
        <w:rPr>
          <w:rFonts w:ascii="Times New Roman" w:hAnsi="Times New Roman"/>
          <w:sz w:val="24"/>
          <w:szCs w:val="24"/>
          <w:lang w:val="en-US"/>
        </w:rPr>
      </w:pPr>
    </w:p>
    <w:p w14:paraId="0C26EC4F" w14:textId="77777777" w:rsidR="003A4C28" w:rsidRDefault="003A4C28" w:rsidP="009120BA">
      <w:pPr>
        <w:spacing w:after="0" w:line="360" w:lineRule="auto"/>
        <w:jc w:val="both"/>
        <w:rPr>
          <w:rFonts w:ascii="Times New Roman" w:hAnsi="Times New Roman"/>
          <w:sz w:val="24"/>
          <w:szCs w:val="24"/>
          <w:lang w:val="en-US"/>
        </w:rPr>
      </w:pPr>
    </w:p>
    <w:p w14:paraId="73B4ED77" w14:textId="77777777" w:rsidR="003A4C28" w:rsidRDefault="003A4C28" w:rsidP="009120BA">
      <w:pPr>
        <w:spacing w:after="0" w:line="360" w:lineRule="auto"/>
        <w:jc w:val="both"/>
        <w:rPr>
          <w:rFonts w:ascii="Times New Roman" w:hAnsi="Times New Roman"/>
          <w:sz w:val="24"/>
          <w:szCs w:val="24"/>
          <w:lang w:val="en-US"/>
        </w:rPr>
      </w:pPr>
    </w:p>
    <w:p w14:paraId="4394DC82" w14:textId="77777777" w:rsidR="003A4C28" w:rsidRDefault="003A4C28" w:rsidP="009120BA">
      <w:pPr>
        <w:spacing w:after="0" w:line="360" w:lineRule="auto"/>
        <w:jc w:val="both"/>
        <w:rPr>
          <w:rFonts w:ascii="Times New Roman" w:hAnsi="Times New Roman"/>
          <w:sz w:val="24"/>
          <w:szCs w:val="24"/>
          <w:lang w:val="en-US"/>
        </w:rPr>
      </w:pPr>
    </w:p>
    <w:p w14:paraId="5D1AB673" w14:textId="77777777" w:rsidR="003A4C28" w:rsidRDefault="003A4C28" w:rsidP="009120BA">
      <w:pPr>
        <w:spacing w:after="0" w:line="360" w:lineRule="auto"/>
        <w:jc w:val="both"/>
        <w:rPr>
          <w:rFonts w:ascii="Times New Roman" w:hAnsi="Times New Roman"/>
          <w:sz w:val="24"/>
          <w:szCs w:val="24"/>
          <w:lang w:val="en-US"/>
        </w:rPr>
      </w:pPr>
    </w:p>
    <w:p w14:paraId="0A756FD4" w14:textId="77777777" w:rsidR="003A4C28" w:rsidRDefault="003A4C28" w:rsidP="009120BA">
      <w:pPr>
        <w:spacing w:after="0" w:line="360" w:lineRule="auto"/>
        <w:jc w:val="both"/>
        <w:rPr>
          <w:rFonts w:ascii="Times New Roman" w:hAnsi="Times New Roman"/>
          <w:sz w:val="24"/>
          <w:szCs w:val="24"/>
          <w:lang w:val="en-US"/>
        </w:rPr>
      </w:pPr>
    </w:p>
    <w:p w14:paraId="512F9090" w14:textId="77777777" w:rsidR="003A4C28" w:rsidRDefault="003A4C28" w:rsidP="009120BA">
      <w:pPr>
        <w:spacing w:after="0" w:line="360" w:lineRule="auto"/>
        <w:jc w:val="both"/>
        <w:rPr>
          <w:rFonts w:ascii="Times New Roman" w:hAnsi="Times New Roman"/>
          <w:sz w:val="24"/>
          <w:szCs w:val="24"/>
          <w:lang w:val="en-US"/>
        </w:rPr>
      </w:pPr>
    </w:p>
    <w:p w14:paraId="5DAABA2F" w14:textId="77777777" w:rsidR="003A4C28" w:rsidRDefault="003A4C28" w:rsidP="009120BA">
      <w:pPr>
        <w:spacing w:after="0" w:line="360" w:lineRule="auto"/>
        <w:jc w:val="both"/>
        <w:rPr>
          <w:rFonts w:ascii="Times New Roman" w:hAnsi="Times New Roman"/>
          <w:sz w:val="24"/>
          <w:szCs w:val="24"/>
          <w:lang w:val="en-US"/>
        </w:rPr>
      </w:pPr>
    </w:p>
    <w:p w14:paraId="71B75468" w14:textId="77777777" w:rsidR="009120BA" w:rsidRDefault="009120BA" w:rsidP="009120BA">
      <w:pPr>
        <w:spacing w:after="0" w:line="360" w:lineRule="auto"/>
        <w:jc w:val="both"/>
        <w:rPr>
          <w:rFonts w:ascii="Times New Roman" w:hAnsi="Times New Roman"/>
          <w:sz w:val="24"/>
          <w:szCs w:val="24"/>
          <w:lang w:val="en-US"/>
        </w:rPr>
      </w:pPr>
    </w:p>
    <w:p w14:paraId="212E09BA" w14:textId="77777777" w:rsidR="009120BA" w:rsidRDefault="009120BA" w:rsidP="009120BA">
      <w:pPr>
        <w:spacing w:after="0" w:line="360" w:lineRule="auto"/>
        <w:jc w:val="both"/>
        <w:rPr>
          <w:rFonts w:ascii="Times New Roman" w:hAnsi="Times New Roman"/>
          <w:sz w:val="24"/>
          <w:szCs w:val="24"/>
          <w:lang w:val="en-US"/>
        </w:rPr>
      </w:pPr>
    </w:p>
    <w:p w14:paraId="7E37E66E" w14:textId="77777777" w:rsidR="009120BA" w:rsidRDefault="009120BA" w:rsidP="009120BA">
      <w:pPr>
        <w:spacing w:after="0" w:line="360" w:lineRule="auto"/>
        <w:jc w:val="both"/>
        <w:rPr>
          <w:rFonts w:ascii="Times New Roman" w:hAnsi="Times New Roman"/>
          <w:sz w:val="24"/>
          <w:szCs w:val="24"/>
          <w:lang w:val="en-US"/>
        </w:rPr>
      </w:pPr>
    </w:p>
    <w:p w14:paraId="418FFD33" w14:textId="77777777" w:rsidR="009120BA" w:rsidRDefault="009120BA" w:rsidP="009120BA">
      <w:pPr>
        <w:spacing w:after="0" w:line="360" w:lineRule="auto"/>
        <w:jc w:val="both"/>
        <w:rPr>
          <w:rFonts w:ascii="Times New Roman" w:hAnsi="Times New Roman"/>
          <w:sz w:val="24"/>
          <w:szCs w:val="24"/>
          <w:lang w:val="en-US"/>
        </w:rPr>
      </w:pPr>
    </w:p>
    <w:p w14:paraId="4BF17574" w14:textId="77777777" w:rsidR="009120BA" w:rsidRDefault="009120BA" w:rsidP="009120BA">
      <w:pPr>
        <w:spacing w:after="0" w:line="360" w:lineRule="auto"/>
        <w:jc w:val="both"/>
        <w:rPr>
          <w:rFonts w:ascii="Times New Roman" w:hAnsi="Times New Roman"/>
          <w:sz w:val="24"/>
          <w:szCs w:val="24"/>
          <w:lang w:val="en-US"/>
        </w:rPr>
      </w:pPr>
    </w:p>
    <w:p w14:paraId="0933BA83" w14:textId="77777777" w:rsidR="009120BA" w:rsidRDefault="009120BA" w:rsidP="009120BA">
      <w:pPr>
        <w:spacing w:after="0" w:line="360" w:lineRule="auto"/>
        <w:jc w:val="both"/>
        <w:rPr>
          <w:rFonts w:ascii="Times New Roman" w:hAnsi="Times New Roman"/>
          <w:sz w:val="24"/>
          <w:szCs w:val="24"/>
          <w:lang w:val="en-US"/>
        </w:rPr>
      </w:pPr>
    </w:p>
    <w:p w14:paraId="2086DF20" w14:textId="77777777" w:rsidR="009120BA" w:rsidRDefault="009120BA" w:rsidP="009120BA">
      <w:pPr>
        <w:spacing w:after="0" w:line="360" w:lineRule="auto"/>
        <w:jc w:val="both"/>
        <w:rPr>
          <w:rFonts w:ascii="Times New Roman" w:hAnsi="Times New Roman"/>
          <w:sz w:val="24"/>
          <w:szCs w:val="24"/>
          <w:lang w:val="en-US"/>
        </w:rPr>
      </w:pPr>
    </w:p>
    <w:p w14:paraId="712A968E" w14:textId="77777777" w:rsidR="009120BA" w:rsidRDefault="009120BA" w:rsidP="009120BA">
      <w:pPr>
        <w:spacing w:after="0" w:line="360" w:lineRule="auto"/>
        <w:jc w:val="both"/>
        <w:rPr>
          <w:rFonts w:ascii="Times New Roman" w:hAnsi="Times New Roman"/>
          <w:sz w:val="24"/>
          <w:szCs w:val="24"/>
          <w:lang w:val="en-US"/>
        </w:rPr>
      </w:pPr>
    </w:p>
    <w:p w14:paraId="09DEADD1" w14:textId="77777777" w:rsidR="009120BA" w:rsidRDefault="009120BA" w:rsidP="009120BA">
      <w:pPr>
        <w:spacing w:after="0" w:line="360" w:lineRule="auto"/>
        <w:jc w:val="both"/>
        <w:rPr>
          <w:rFonts w:ascii="Times New Roman" w:hAnsi="Times New Roman"/>
          <w:sz w:val="24"/>
          <w:szCs w:val="24"/>
          <w:lang w:val="en-US"/>
        </w:rPr>
      </w:pPr>
    </w:p>
    <w:p w14:paraId="3EBED184" w14:textId="77777777" w:rsidR="009120BA" w:rsidRDefault="009120BA" w:rsidP="009120BA">
      <w:pPr>
        <w:spacing w:after="0" w:line="360" w:lineRule="auto"/>
        <w:jc w:val="both"/>
        <w:rPr>
          <w:rFonts w:ascii="Times New Roman" w:hAnsi="Times New Roman"/>
          <w:sz w:val="24"/>
          <w:szCs w:val="24"/>
          <w:lang w:val="en-US"/>
        </w:rPr>
      </w:pPr>
    </w:p>
    <w:p w14:paraId="79B58D3D" w14:textId="77777777" w:rsidR="003A4C28" w:rsidRDefault="003A4C28" w:rsidP="003A4C28">
      <w:pPr>
        <w:pStyle w:val="Heading2"/>
        <w:rPr>
          <w:rFonts w:ascii="Times New Roman" w:hAnsi="Times New Roman"/>
          <w:b/>
          <w:bCs/>
          <w:color w:val="auto"/>
          <w:sz w:val="24"/>
          <w:szCs w:val="24"/>
        </w:rPr>
      </w:pPr>
      <w:bookmarkStart w:id="57" w:name="_Toc232013552"/>
      <w:r>
        <w:rPr>
          <w:rFonts w:ascii="Times New Roman" w:hAnsi="Times New Roman"/>
          <w:b/>
          <w:bCs/>
          <w:color w:val="auto"/>
          <w:sz w:val="24"/>
          <w:szCs w:val="24"/>
        </w:rPr>
        <w:lastRenderedPageBreak/>
        <w:t>References</w:t>
      </w:r>
      <w:bookmarkEnd w:id="57"/>
      <w:r>
        <w:rPr>
          <w:rFonts w:ascii="Times New Roman" w:hAnsi="Times New Roman"/>
          <w:b/>
          <w:bCs/>
          <w:color w:val="auto"/>
          <w:sz w:val="24"/>
          <w:szCs w:val="24"/>
        </w:rPr>
        <w:t xml:space="preserve"> </w:t>
      </w:r>
    </w:p>
    <w:p w14:paraId="44F85A24" w14:textId="77777777" w:rsidR="003A4C28" w:rsidRDefault="003A4C28" w:rsidP="003A4C28">
      <w:pPr>
        <w:spacing w:after="0" w:line="240" w:lineRule="auto"/>
        <w:jc w:val="both"/>
        <w:rPr>
          <w:rFonts w:ascii="Times New Roman" w:hAnsi="Times New Roman"/>
        </w:rPr>
      </w:pPr>
      <w:r>
        <w:rPr>
          <w:rFonts w:ascii="Times New Roman" w:hAnsi="Times New Roman"/>
        </w:rPr>
        <w:t>Acharya, A. S., Prakash, A., Saxena, P and Nigam, A. (2013). Sampling: Why and how of it. Indian Journal of Medical Specialties, 4(2), 330-333</w:t>
      </w:r>
    </w:p>
    <w:p w14:paraId="06A6F006" w14:textId="77777777" w:rsidR="003A4C28" w:rsidRDefault="003A4C28" w:rsidP="003A4C28">
      <w:pPr>
        <w:spacing w:after="0" w:line="240" w:lineRule="auto"/>
        <w:jc w:val="both"/>
        <w:rPr>
          <w:rFonts w:ascii="Times New Roman" w:hAnsi="Times New Roman"/>
        </w:rPr>
      </w:pPr>
    </w:p>
    <w:p w14:paraId="4D52BA98" w14:textId="77777777" w:rsidR="003A4C28" w:rsidRDefault="003A4C28" w:rsidP="003A4C28">
      <w:pPr>
        <w:spacing w:after="0" w:line="240" w:lineRule="auto"/>
        <w:jc w:val="both"/>
      </w:pPr>
      <w:r>
        <w:rPr>
          <w:rFonts w:ascii="Times New Roman" w:hAnsi="Times New Roman"/>
        </w:rPr>
        <w:t xml:space="preserve">Ahmed, F., Naqshbandi, M.M., Kaur, S. and Ng, B.K. (2018) ‘Roles of leadership styles and relationship-based employee governance in open service innovation: Evidence from Malaysian service sector’, </w:t>
      </w:r>
      <w:r>
        <w:rPr>
          <w:rFonts w:ascii="Times New Roman" w:hAnsi="Times New Roman"/>
          <w:i/>
          <w:iCs/>
        </w:rPr>
        <w:t>Leadership &amp; Organization Development Journal</w:t>
      </w:r>
      <w:r>
        <w:rPr>
          <w:rFonts w:ascii="Times New Roman" w:hAnsi="Times New Roman"/>
        </w:rPr>
        <w:t xml:space="preserve">, 39(3), pp. 353–374. </w:t>
      </w:r>
      <w:hyperlink r:id="rId71" w:history="1">
        <w:r>
          <w:rPr>
            <w:rStyle w:val="Hyperlink"/>
            <w:rFonts w:ascii="Times New Roman" w:hAnsi="Times New Roman"/>
          </w:rPr>
          <w:t>https://doi.org/10.1108/LODJ-08-2017-0225</w:t>
        </w:r>
      </w:hyperlink>
    </w:p>
    <w:p w14:paraId="79CD3DB2" w14:textId="77777777" w:rsidR="003A4C28" w:rsidRDefault="003A4C28" w:rsidP="003A4C28">
      <w:pPr>
        <w:spacing w:after="0" w:line="240" w:lineRule="auto"/>
        <w:jc w:val="both"/>
        <w:rPr>
          <w:rFonts w:ascii="Times New Roman" w:hAnsi="Times New Roman"/>
        </w:rPr>
      </w:pPr>
    </w:p>
    <w:p w14:paraId="51C4C5C2" w14:textId="77777777" w:rsidR="003A4C28" w:rsidRDefault="003A4C28" w:rsidP="003A4C28">
      <w:pPr>
        <w:spacing w:after="0" w:line="240" w:lineRule="auto"/>
        <w:jc w:val="both"/>
      </w:pPr>
      <w:r>
        <w:rPr>
          <w:rFonts w:ascii="Times New Roman" w:hAnsi="Times New Roman"/>
        </w:rPr>
        <w:t>Ahmed, M.A., Naqi, S.M.A. and Cheema, S.M. (2023). Leadership styles and their influence on project team performance. </w:t>
      </w:r>
      <w:proofErr w:type="spellStart"/>
      <w:r>
        <w:rPr>
          <w:rFonts w:ascii="Times New Roman" w:hAnsi="Times New Roman"/>
          <w:i/>
          <w:iCs/>
        </w:rPr>
        <w:t>sjesr</w:t>
      </w:r>
      <w:proofErr w:type="spellEnd"/>
      <w:r>
        <w:rPr>
          <w:rFonts w:ascii="Times New Roman" w:hAnsi="Times New Roman"/>
        </w:rPr>
        <w:t>, </w:t>
      </w:r>
      <w:r>
        <w:rPr>
          <w:rFonts w:ascii="Times New Roman" w:hAnsi="Times New Roman"/>
          <w:i/>
          <w:iCs/>
        </w:rPr>
        <w:t>6</w:t>
      </w:r>
      <w:r>
        <w:rPr>
          <w:rFonts w:ascii="Times New Roman" w:hAnsi="Times New Roman"/>
        </w:rPr>
        <w:t>(2), pp.153-159.</w:t>
      </w:r>
    </w:p>
    <w:p w14:paraId="04E37321" w14:textId="77777777" w:rsidR="003A4C28" w:rsidRDefault="003A4C28" w:rsidP="003A4C28">
      <w:pPr>
        <w:spacing w:after="0"/>
        <w:jc w:val="both"/>
      </w:pPr>
      <w:r>
        <w:rPr>
          <w:rFonts w:ascii="Times New Roman" w:hAnsi="Times New Roman"/>
        </w:rPr>
        <w:t>Alavi, S.B. and McCormick, J. (2016). Implications of proxy efficacy for studies of team leadership in organizational settings. </w:t>
      </w:r>
      <w:r>
        <w:rPr>
          <w:rFonts w:ascii="Times New Roman" w:hAnsi="Times New Roman"/>
          <w:i/>
          <w:iCs/>
        </w:rPr>
        <w:t>European Psychologist</w:t>
      </w:r>
      <w:r>
        <w:rPr>
          <w:rFonts w:ascii="Times New Roman" w:hAnsi="Times New Roman"/>
        </w:rPr>
        <w:t>.</w:t>
      </w:r>
    </w:p>
    <w:p w14:paraId="24C46FB0" w14:textId="77777777" w:rsidR="003A4C28" w:rsidRDefault="003A4C28" w:rsidP="003A4C28">
      <w:pPr>
        <w:spacing w:after="0"/>
        <w:jc w:val="both"/>
        <w:rPr>
          <w:rFonts w:ascii="Times New Roman" w:hAnsi="Times New Roman"/>
        </w:rPr>
      </w:pPr>
    </w:p>
    <w:p w14:paraId="1EFD7D58" w14:textId="77777777" w:rsidR="003A4C28" w:rsidRPr="00A17648" w:rsidRDefault="003A4C28" w:rsidP="003A4C28">
      <w:pPr>
        <w:spacing w:after="0"/>
        <w:jc w:val="both"/>
      </w:pPr>
      <w:proofErr w:type="spellStart"/>
      <w:r>
        <w:rPr>
          <w:rFonts w:ascii="Times New Roman" w:hAnsi="Times New Roman"/>
        </w:rPr>
        <w:t>Alblooshi</w:t>
      </w:r>
      <w:proofErr w:type="spellEnd"/>
      <w:r>
        <w:rPr>
          <w:rFonts w:ascii="Times New Roman" w:hAnsi="Times New Roman"/>
        </w:rPr>
        <w:t xml:space="preserve">, M., </w:t>
      </w:r>
      <w:proofErr w:type="spellStart"/>
      <w:r>
        <w:rPr>
          <w:rFonts w:ascii="Times New Roman" w:hAnsi="Times New Roman"/>
        </w:rPr>
        <w:t>Shamsuzzaman</w:t>
      </w:r>
      <w:proofErr w:type="spellEnd"/>
      <w:r>
        <w:rPr>
          <w:rFonts w:ascii="Times New Roman" w:hAnsi="Times New Roman"/>
        </w:rPr>
        <w:t xml:space="preserve">, M. and </w:t>
      </w:r>
      <w:proofErr w:type="spellStart"/>
      <w:r>
        <w:rPr>
          <w:rFonts w:ascii="Times New Roman" w:hAnsi="Times New Roman"/>
        </w:rPr>
        <w:t>Haridy</w:t>
      </w:r>
      <w:proofErr w:type="spellEnd"/>
      <w:r>
        <w:rPr>
          <w:rFonts w:ascii="Times New Roman" w:hAnsi="Times New Roman"/>
        </w:rPr>
        <w:t xml:space="preserve">, S. (2021) ‘The relationship between leadership styles and organisational innovation: A systematic literature review and narrative synthesis’, </w:t>
      </w:r>
      <w:r>
        <w:rPr>
          <w:rFonts w:ascii="Times New Roman" w:hAnsi="Times New Roman"/>
          <w:i/>
          <w:iCs/>
        </w:rPr>
        <w:t>European Journal of Innovation Management</w:t>
      </w:r>
      <w:r>
        <w:rPr>
          <w:rFonts w:ascii="Times New Roman" w:hAnsi="Times New Roman"/>
        </w:rPr>
        <w:t>, 24(2), pp. 338–370.</w:t>
      </w:r>
    </w:p>
    <w:p w14:paraId="7DBE5A9A" w14:textId="77777777" w:rsidR="003A4C28" w:rsidRPr="00A17648" w:rsidRDefault="003A4C28" w:rsidP="003A4C28">
      <w:pPr>
        <w:jc w:val="both"/>
        <w:rPr>
          <w:rFonts w:ascii="Times New Roman" w:hAnsi="Times New Roman"/>
          <w:sz w:val="4"/>
          <w:szCs w:val="4"/>
        </w:rPr>
      </w:pPr>
    </w:p>
    <w:p w14:paraId="0AA6CAA6" w14:textId="77777777" w:rsidR="003A4C28" w:rsidRDefault="003A4C28" w:rsidP="003A4C28">
      <w:pPr>
        <w:jc w:val="both"/>
      </w:pPr>
      <w:r>
        <w:rPr>
          <w:rFonts w:ascii="Times New Roman" w:hAnsi="Times New Roman"/>
        </w:rPr>
        <w:t xml:space="preserve">Ali, I., Gligor, D., Balta, M. and Papadopoulos, T. (2025) ‘Leadership style’s role in fostering supply chain agility amid geopolitical shocks’, </w:t>
      </w:r>
      <w:r>
        <w:rPr>
          <w:rFonts w:ascii="Times New Roman" w:hAnsi="Times New Roman"/>
          <w:i/>
          <w:iCs/>
        </w:rPr>
        <w:t>Industrial Marketing Management</w:t>
      </w:r>
      <w:r>
        <w:rPr>
          <w:rFonts w:ascii="Times New Roman" w:hAnsi="Times New Roman"/>
        </w:rPr>
        <w:t xml:space="preserve">, 124, pp. 212–223. </w:t>
      </w:r>
      <w:hyperlink r:id="rId72" w:history="1">
        <w:r>
          <w:rPr>
            <w:rStyle w:val="Hyperlink"/>
            <w:rFonts w:ascii="Times New Roman" w:hAnsi="Times New Roman"/>
          </w:rPr>
          <w:t>https://doi.org/10.1016/j.indmarman.2024.11.015</w:t>
        </w:r>
      </w:hyperlink>
    </w:p>
    <w:p w14:paraId="3BB8E9CB" w14:textId="77777777" w:rsidR="003A4C28" w:rsidRDefault="003A4C28" w:rsidP="003A4C28">
      <w:pPr>
        <w:jc w:val="both"/>
      </w:pPr>
      <w:r>
        <w:rPr>
          <w:rFonts w:ascii="Times New Roman" w:hAnsi="Times New Roman"/>
        </w:rPr>
        <w:t xml:space="preserve">Ali, I., Gligor, D., Balta, M., Bozkurt, S. and Papadopoulos, T. (2024) ‘From disruption to innovation: The importance of the supply chain leadership style for driving logistics innovation in the face of geopolitical disruptions’, </w:t>
      </w:r>
      <w:r>
        <w:rPr>
          <w:rFonts w:ascii="Times New Roman" w:hAnsi="Times New Roman"/>
          <w:i/>
          <w:iCs/>
        </w:rPr>
        <w:t>Transportation Research Part E: Logistics and Transportation Review</w:t>
      </w:r>
      <w:r>
        <w:rPr>
          <w:rFonts w:ascii="Times New Roman" w:hAnsi="Times New Roman"/>
        </w:rPr>
        <w:t xml:space="preserve">, 187, 103583. </w:t>
      </w:r>
      <w:hyperlink r:id="rId73" w:history="1">
        <w:r>
          <w:rPr>
            <w:rStyle w:val="Hyperlink"/>
            <w:rFonts w:ascii="Times New Roman" w:hAnsi="Times New Roman"/>
          </w:rPr>
          <w:t>https://doi.org/10.1016/j.tre.2024.103583</w:t>
        </w:r>
      </w:hyperlink>
    </w:p>
    <w:p w14:paraId="3FEDE005" w14:textId="77777777" w:rsidR="003A4C28" w:rsidRDefault="003A4C28" w:rsidP="003A4C28">
      <w:pPr>
        <w:jc w:val="both"/>
      </w:pPr>
      <w:r>
        <w:rPr>
          <w:rFonts w:ascii="Times New Roman" w:hAnsi="Times New Roman"/>
        </w:rPr>
        <w:t xml:space="preserve">Ali, I.M. (2024) ‘A guide for positivist research paradigm: From philosophy to methodology’, </w:t>
      </w:r>
      <w:proofErr w:type="spellStart"/>
      <w:r>
        <w:rPr>
          <w:rFonts w:ascii="Times New Roman" w:hAnsi="Times New Roman"/>
          <w:i/>
          <w:iCs/>
        </w:rPr>
        <w:t>Idealogy</w:t>
      </w:r>
      <w:proofErr w:type="spellEnd"/>
      <w:r>
        <w:rPr>
          <w:rFonts w:ascii="Times New Roman" w:hAnsi="Times New Roman"/>
          <w:i/>
          <w:iCs/>
        </w:rPr>
        <w:t xml:space="preserve"> Journal</w:t>
      </w:r>
      <w:r>
        <w:rPr>
          <w:rFonts w:ascii="Times New Roman" w:hAnsi="Times New Roman"/>
        </w:rPr>
        <w:t>, 9(2), pp. 187–196. doi:10.24191/</w:t>
      </w:r>
      <w:proofErr w:type="gramStart"/>
      <w:r>
        <w:rPr>
          <w:rFonts w:ascii="Times New Roman" w:hAnsi="Times New Roman"/>
        </w:rPr>
        <w:t>idealogy.v</w:t>
      </w:r>
      <w:proofErr w:type="gramEnd"/>
      <w:r>
        <w:rPr>
          <w:rFonts w:ascii="Times New Roman" w:hAnsi="Times New Roman"/>
        </w:rPr>
        <w:t>9i2.596.</w:t>
      </w:r>
    </w:p>
    <w:p w14:paraId="23B80067" w14:textId="77777777" w:rsidR="003A4C28" w:rsidRDefault="003A4C28" w:rsidP="003A4C28">
      <w:pPr>
        <w:spacing w:after="0"/>
        <w:jc w:val="both"/>
      </w:pPr>
      <w:proofErr w:type="spellStart"/>
      <w:r>
        <w:rPr>
          <w:rFonts w:ascii="Times New Roman" w:hAnsi="Times New Roman"/>
        </w:rPr>
        <w:t>Alsarrani</w:t>
      </w:r>
      <w:proofErr w:type="spellEnd"/>
      <w:r>
        <w:rPr>
          <w:rFonts w:ascii="Times New Roman" w:hAnsi="Times New Roman"/>
        </w:rPr>
        <w:t xml:space="preserve">, W.I., Jusoh, A., </w:t>
      </w:r>
      <w:proofErr w:type="spellStart"/>
      <w:r>
        <w:rPr>
          <w:rFonts w:ascii="Times New Roman" w:hAnsi="Times New Roman"/>
        </w:rPr>
        <w:t>Alhaseri</w:t>
      </w:r>
      <w:proofErr w:type="spellEnd"/>
      <w:r>
        <w:rPr>
          <w:rFonts w:ascii="Times New Roman" w:hAnsi="Times New Roman"/>
        </w:rPr>
        <w:t xml:space="preserve">, A.A. and </w:t>
      </w:r>
      <w:proofErr w:type="spellStart"/>
      <w:r>
        <w:rPr>
          <w:rFonts w:ascii="Times New Roman" w:hAnsi="Times New Roman"/>
        </w:rPr>
        <w:t>Almeharish</w:t>
      </w:r>
      <w:proofErr w:type="spellEnd"/>
      <w:r>
        <w:rPr>
          <w:rFonts w:ascii="Times New Roman" w:hAnsi="Times New Roman"/>
        </w:rPr>
        <w:t>, A. (2021). A literature review study of the relationship between leadership style, leadership behaviour, and leadership traits. </w:t>
      </w:r>
      <w:r>
        <w:rPr>
          <w:rFonts w:ascii="Times New Roman" w:hAnsi="Times New Roman"/>
          <w:i/>
          <w:iCs/>
        </w:rPr>
        <w:t>Humanities &amp; Social Sciences Reviews</w:t>
      </w:r>
      <w:r>
        <w:rPr>
          <w:rFonts w:ascii="Times New Roman" w:hAnsi="Times New Roman"/>
        </w:rPr>
        <w:t>, </w:t>
      </w:r>
      <w:r>
        <w:rPr>
          <w:rFonts w:ascii="Times New Roman" w:hAnsi="Times New Roman"/>
          <w:i/>
          <w:iCs/>
        </w:rPr>
        <w:t>9</w:t>
      </w:r>
      <w:r>
        <w:rPr>
          <w:rFonts w:ascii="Times New Roman" w:hAnsi="Times New Roman"/>
        </w:rPr>
        <w:t>(4), pp.152-159.</w:t>
      </w:r>
    </w:p>
    <w:p w14:paraId="64F42810" w14:textId="77777777" w:rsidR="003A4C28" w:rsidRPr="00A17648" w:rsidRDefault="003A4C28" w:rsidP="003A4C28">
      <w:pPr>
        <w:spacing w:after="0"/>
        <w:jc w:val="both"/>
        <w:rPr>
          <w:rFonts w:ascii="Times New Roman" w:hAnsi="Times New Roman"/>
          <w:sz w:val="14"/>
          <w:szCs w:val="14"/>
        </w:rPr>
      </w:pPr>
    </w:p>
    <w:p w14:paraId="05B1D3F2" w14:textId="77777777" w:rsidR="003A4C28" w:rsidRDefault="003A4C28" w:rsidP="003A4C28">
      <w:pPr>
        <w:spacing w:after="0"/>
        <w:jc w:val="both"/>
      </w:pPr>
      <w:r>
        <w:rPr>
          <w:rFonts w:ascii="Times New Roman" w:hAnsi="Times New Roman"/>
        </w:rPr>
        <w:t xml:space="preserve">Althaqafi, T. (2024). Assessing the evolving role of geopolitical risks in supply chain logistics: An empirical analysis of risk management strategies. </w:t>
      </w:r>
      <w:r>
        <w:rPr>
          <w:rFonts w:ascii="Times New Roman" w:hAnsi="Times New Roman"/>
          <w:i/>
          <w:iCs/>
        </w:rPr>
        <w:t>International Journal of Computing and Digital Systems, 17</w:t>
      </w:r>
      <w:r>
        <w:rPr>
          <w:rFonts w:ascii="Times New Roman" w:hAnsi="Times New Roman"/>
        </w:rPr>
        <w:t xml:space="preserve">(1), 1–? </w:t>
      </w:r>
      <w:hyperlink r:id="rId74" w:history="1">
        <w:r>
          <w:rPr>
            <w:rStyle w:val="Hyperlink"/>
            <w:rFonts w:ascii="Times New Roman" w:hAnsi="Times New Roman"/>
          </w:rPr>
          <w:t>https://doi.org/10.12785/ijcds/1571007558</w:t>
        </w:r>
      </w:hyperlink>
    </w:p>
    <w:p w14:paraId="121C8E22" w14:textId="77777777" w:rsidR="003A4C28" w:rsidRPr="00A17648" w:rsidRDefault="003A4C28" w:rsidP="003A4C28">
      <w:pPr>
        <w:spacing w:after="0"/>
        <w:jc w:val="both"/>
        <w:rPr>
          <w:rFonts w:ascii="Times New Roman" w:hAnsi="Times New Roman"/>
          <w:sz w:val="10"/>
          <w:szCs w:val="10"/>
        </w:rPr>
      </w:pPr>
    </w:p>
    <w:p w14:paraId="6C857010" w14:textId="77777777" w:rsidR="003A4C28" w:rsidRDefault="003A4C28" w:rsidP="003A4C28">
      <w:pPr>
        <w:spacing w:after="0"/>
        <w:jc w:val="both"/>
        <w:rPr>
          <w:rFonts w:ascii="Times New Roman" w:hAnsi="Times New Roman"/>
        </w:rPr>
      </w:pPr>
      <w:proofErr w:type="spellStart"/>
      <w:r>
        <w:rPr>
          <w:rFonts w:ascii="Times New Roman" w:hAnsi="Times New Roman"/>
        </w:rPr>
        <w:t>Atitumpong</w:t>
      </w:r>
      <w:proofErr w:type="spellEnd"/>
      <w:r>
        <w:rPr>
          <w:rFonts w:ascii="Times New Roman" w:hAnsi="Times New Roman"/>
        </w:rPr>
        <w:t xml:space="preserve">, A and Badir, Y. F. (2018). Leader-member exchange, learning orientation and innovative work </w:t>
      </w:r>
      <w:proofErr w:type="spellStart"/>
      <w:r>
        <w:rPr>
          <w:rFonts w:ascii="Times New Roman" w:hAnsi="Times New Roman"/>
        </w:rPr>
        <w:t>behavior</w:t>
      </w:r>
      <w:proofErr w:type="spellEnd"/>
      <w:r>
        <w:rPr>
          <w:rFonts w:ascii="Times New Roman" w:hAnsi="Times New Roman"/>
        </w:rPr>
        <w:t>. Journal of Workplace Learning, 30(1), 32–47.</w:t>
      </w:r>
    </w:p>
    <w:p w14:paraId="5628FB1D" w14:textId="77777777" w:rsidR="003A4C28" w:rsidRDefault="003A4C28" w:rsidP="003A4C28">
      <w:pPr>
        <w:jc w:val="both"/>
      </w:pPr>
      <w:r>
        <w:rPr>
          <w:rFonts w:ascii="Times New Roman" w:hAnsi="Times New Roman"/>
        </w:rPr>
        <w:t xml:space="preserve">Ayeni, O. (2025) ‘Resilient project leadership: Mitigating uncertainty, regulatory constraints, and global supply chain disruptions’, </w:t>
      </w:r>
      <w:r>
        <w:rPr>
          <w:rFonts w:ascii="Times New Roman" w:hAnsi="Times New Roman"/>
          <w:i/>
          <w:iCs/>
        </w:rPr>
        <w:t>International Research Journal of Modernization in Engineering Technology and Science</w:t>
      </w:r>
      <w:r>
        <w:rPr>
          <w:rFonts w:ascii="Times New Roman" w:hAnsi="Times New Roman"/>
        </w:rPr>
        <w:t xml:space="preserve">, 7(3), pp. 216–225. </w:t>
      </w:r>
      <w:hyperlink r:id="rId75" w:history="1">
        <w:r>
          <w:rPr>
            <w:rStyle w:val="Hyperlink"/>
            <w:rFonts w:ascii="Times New Roman" w:hAnsi="Times New Roman"/>
          </w:rPr>
          <w:t>https://doi.org/10.56726/IRJMETS68556</w:t>
        </w:r>
      </w:hyperlink>
    </w:p>
    <w:p w14:paraId="7D36778D" w14:textId="77777777" w:rsidR="003A4C28" w:rsidRDefault="003A4C28" w:rsidP="003A4C28">
      <w:pPr>
        <w:jc w:val="both"/>
      </w:pPr>
      <w:proofErr w:type="spellStart"/>
      <w:r>
        <w:rPr>
          <w:rFonts w:ascii="Times New Roman" w:hAnsi="Times New Roman"/>
        </w:rPr>
        <w:t>Azadegan</w:t>
      </w:r>
      <w:proofErr w:type="spellEnd"/>
      <w:r>
        <w:rPr>
          <w:rFonts w:ascii="Times New Roman" w:hAnsi="Times New Roman"/>
        </w:rPr>
        <w:t xml:space="preserve">, A., Shaheen, I., Linderman, K. and </w:t>
      </w:r>
      <w:proofErr w:type="spellStart"/>
      <w:r>
        <w:rPr>
          <w:rFonts w:ascii="Times New Roman" w:hAnsi="Times New Roman"/>
        </w:rPr>
        <w:t>Fereidooni</w:t>
      </w:r>
      <w:proofErr w:type="spellEnd"/>
      <w:r>
        <w:rPr>
          <w:rFonts w:ascii="Times New Roman" w:hAnsi="Times New Roman"/>
        </w:rPr>
        <w:t>, A., 2021. Leadership styles in supply chain disruptions: a multimethod evaluation based on practitioner insights. </w:t>
      </w:r>
      <w:r>
        <w:rPr>
          <w:rFonts w:ascii="Times New Roman" w:hAnsi="Times New Roman"/>
          <w:i/>
          <w:iCs/>
        </w:rPr>
        <w:t>International Journal of Operations &amp; Production Management</w:t>
      </w:r>
      <w:r>
        <w:rPr>
          <w:rFonts w:ascii="Times New Roman" w:hAnsi="Times New Roman"/>
        </w:rPr>
        <w:t>, </w:t>
      </w:r>
      <w:r>
        <w:rPr>
          <w:rFonts w:ascii="Times New Roman" w:hAnsi="Times New Roman"/>
          <w:i/>
          <w:iCs/>
        </w:rPr>
        <w:t>41</w:t>
      </w:r>
      <w:r>
        <w:rPr>
          <w:rFonts w:ascii="Times New Roman" w:hAnsi="Times New Roman"/>
        </w:rPr>
        <w:t>(10), pp.1615-1632.</w:t>
      </w:r>
    </w:p>
    <w:p w14:paraId="2D954B45" w14:textId="77777777" w:rsidR="003A4C28" w:rsidRDefault="003A4C28" w:rsidP="003A4C28">
      <w:pPr>
        <w:spacing w:after="0"/>
        <w:jc w:val="both"/>
      </w:pPr>
      <w:r>
        <w:rPr>
          <w:rFonts w:ascii="Times New Roman" w:hAnsi="Times New Roman"/>
        </w:rPr>
        <w:t>Bednarski, L., Subramanian, N., Roscoe, S. and Blome, C. (2026). Geopolitical disruptions and global supply chains: laying theoretical foundations and building conceptual framework. </w:t>
      </w:r>
      <w:r>
        <w:rPr>
          <w:rFonts w:ascii="Times New Roman" w:hAnsi="Times New Roman"/>
          <w:i/>
          <w:iCs/>
        </w:rPr>
        <w:t>International Journal of Operations &amp; Production Management</w:t>
      </w:r>
      <w:r>
        <w:rPr>
          <w:rFonts w:ascii="Times New Roman" w:hAnsi="Times New Roman"/>
        </w:rPr>
        <w:t>, </w:t>
      </w:r>
      <w:r>
        <w:rPr>
          <w:rFonts w:ascii="Times New Roman" w:hAnsi="Times New Roman"/>
          <w:i/>
          <w:iCs/>
        </w:rPr>
        <w:t>46</w:t>
      </w:r>
      <w:r>
        <w:rPr>
          <w:rFonts w:ascii="Times New Roman" w:hAnsi="Times New Roman"/>
        </w:rPr>
        <w:t>(13), pp.129-160.</w:t>
      </w:r>
    </w:p>
    <w:p w14:paraId="53755109" w14:textId="77777777" w:rsidR="003A4C28" w:rsidRDefault="003A4C28" w:rsidP="003A4C28">
      <w:pPr>
        <w:spacing w:after="0"/>
        <w:jc w:val="both"/>
      </w:pPr>
      <w:r>
        <w:rPr>
          <w:rFonts w:ascii="Times New Roman" w:hAnsi="Times New Roman"/>
        </w:rPr>
        <w:t xml:space="preserve">Bekkers, E. and Schroeter, S. (2020) </w:t>
      </w:r>
      <w:r>
        <w:rPr>
          <w:rFonts w:ascii="Times New Roman" w:hAnsi="Times New Roman"/>
          <w:i/>
          <w:iCs/>
        </w:rPr>
        <w:t>An economic analysis of the US-China trade conflict</w:t>
      </w:r>
      <w:r>
        <w:rPr>
          <w:rFonts w:ascii="Times New Roman" w:hAnsi="Times New Roman"/>
        </w:rPr>
        <w:t xml:space="preserve"> (ERSD-2020-04). WTO Staff Working Paper.</w:t>
      </w:r>
    </w:p>
    <w:p w14:paraId="56B29E3C" w14:textId="77777777" w:rsidR="003A4C28" w:rsidRPr="00A17648" w:rsidRDefault="003A4C28" w:rsidP="003A4C28">
      <w:pPr>
        <w:jc w:val="both"/>
        <w:rPr>
          <w:rFonts w:ascii="Times New Roman" w:hAnsi="Times New Roman"/>
          <w:sz w:val="6"/>
          <w:szCs w:val="6"/>
        </w:rPr>
      </w:pPr>
    </w:p>
    <w:p w14:paraId="1D6D4714" w14:textId="77777777" w:rsidR="003A4C28" w:rsidRDefault="003A4C28" w:rsidP="003A4C28">
      <w:pPr>
        <w:jc w:val="both"/>
        <w:rPr>
          <w:rFonts w:ascii="Times New Roman" w:hAnsi="Times New Roman"/>
        </w:rPr>
      </w:pPr>
      <w:r>
        <w:rPr>
          <w:rFonts w:ascii="Times New Roman" w:hAnsi="Times New Roman"/>
        </w:rPr>
        <w:t>Berndt, A. E. (2020). Sampling methods. Journal of Human Lactation, 36(2), 224-226.</w:t>
      </w:r>
    </w:p>
    <w:p w14:paraId="044C9798" w14:textId="77777777" w:rsidR="003A4C28" w:rsidRDefault="003A4C28" w:rsidP="003A4C28">
      <w:pPr>
        <w:spacing w:after="0"/>
        <w:jc w:val="both"/>
      </w:pPr>
      <w:r>
        <w:rPr>
          <w:rFonts w:ascii="Times New Roman" w:hAnsi="Times New Roman"/>
        </w:rPr>
        <w:lastRenderedPageBreak/>
        <w:t xml:space="preserve">Bhamra, R., Small, A., Hicks, C. and Pilch, O. (2024). Impact pathways: geopolitics, risk and ethics in critical minerals supply chains. International Journal of Operations &amp; Production Management. </w:t>
      </w:r>
      <w:hyperlink r:id="rId76" w:history="1">
        <w:r>
          <w:rPr>
            <w:rStyle w:val="Hyperlink"/>
            <w:rFonts w:ascii="Times New Roman" w:hAnsi="Times New Roman"/>
          </w:rPr>
          <w:t>https://doi.org/10.1108/IJOPM-03-2024-0228</w:t>
        </w:r>
      </w:hyperlink>
    </w:p>
    <w:p w14:paraId="09606715" w14:textId="77777777" w:rsidR="003A4C28" w:rsidRDefault="003A4C28" w:rsidP="003A4C28">
      <w:pPr>
        <w:spacing w:after="0"/>
        <w:jc w:val="both"/>
        <w:rPr>
          <w:rFonts w:ascii="Times New Roman" w:hAnsi="Times New Roman"/>
        </w:rPr>
      </w:pPr>
    </w:p>
    <w:p w14:paraId="525F4155" w14:textId="77777777" w:rsidR="003A4C28" w:rsidRDefault="003A4C28" w:rsidP="003A4C28">
      <w:pPr>
        <w:spacing w:after="0"/>
        <w:jc w:val="both"/>
      </w:pPr>
      <w:r>
        <w:rPr>
          <w:rFonts w:ascii="Times New Roman" w:hAnsi="Times New Roman"/>
        </w:rPr>
        <w:t xml:space="preserve">Blackwill, R.D. and Harris, J.M. (2016) </w:t>
      </w:r>
      <w:r>
        <w:rPr>
          <w:rFonts w:ascii="Times New Roman" w:hAnsi="Times New Roman"/>
          <w:i/>
          <w:iCs/>
        </w:rPr>
        <w:t>War by other means: Geoeconomics and statecraft</w:t>
      </w:r>
      <w:r>
        <w:rPr>
          <w:rFonts w:ascii="Times New Roman" w:hAnsi="Times New Roman"/>
        </w:rPr>
        <w:t>. Cambridge, MA: Harvard University Press.</w:t>
      </w:r>
    </w:p>
    <w:p w14:paraId="2B5A3644" w14:textId="77777777" w:rsidR="003A4C28" w:rsidRDefault="003A4C28" w:rsidP="003A4C28">
      <w:pPr>
        <w:spacing w:after="0"/>
        <w:jc w:val="both"/>
        <w:rPr>
          <w:rFonts w:ascii="Times New Roman" w:hAnsi="Times New Roman"/>
        </w:rPr>
      </w:pPr>
    </w:p>
    <w:p w14:paraId="3EE0A71E" w14:textId="77777777" w:rsidR="003A4C28" w:rsidRDefault="003A4C28" w:rsidP="003A4C28">
      <w:pPr>
        <w:spacing w:after="0"/>
        <w:jc w:val="both"/>
      </w:pPr>
      <w:r>
        <w:rPr>
          <w:rFonts w:ascii="Times New Roman" w:hAnsi="Times New Roman"/>
        </w:rPr>
        <w:t xml:space="preserve">Blanchard, B., Martina, M. and Daly, T. (2019) ‘China ready to hit back at US with rare earths’, </w:t>
      </w:r>
      <w:r>
        <w:rPr>
          <w:rFonts w:ascii="Times New Roman" w:hAnsi="Times New Roman"/>
          <w:i/>
          <w:iCs/>
        </w:rPr>
        <w:t>Reuters</w:t>
      </w:r>
      <w:r>
        <w:rPr>
          <w:rFonts w:ascii="Times New Roman" w:hAnsi="Times New Roman"/>
        </w:rPr>
        <w:t xml:space="preserve">. Available at: </w:t>
      </w:r>
      <w:hyperlink r:id="rId77" w:history="1">
        <w:r>
          <w:rPr>
            <w:rStyle w:val="Hyperlink"/>
            <w:rFonts w:ascii="Times New Roman" w:hAnsi="Times New Roman"/>
          </w:rPr>
          <w:t>https://reut.rs/2WsAlFE</w:t>
        </w:r>
      </w:hyperlink>
    </w:p>
    <w:p w14:paraId="4B7810A0" w14:textId="77777777" w:rsidR="003A4C28" w:rsidRDefault="003A4C28" w:rsidP="003A4C28">
      <w:pPr>
        <w:spacing w:after="0"/>
        <w:jc w:val="both"/>
        <w:rPr>
          <w:rFonts w:ascii="Times New Roman" w:hAnsi="Times New Roman"/>
        </w:rPr>
      </w:pPr>
    </w:p>
    <w:p w14:paraId="5822A516" w14:textId="77777777" w:rsidR="003A4C28" w:rsidRDefault="003A4C28" w:rsidP="003A4C28">
      <w:pPr>
        <w:spacing w:after="0"/>
        <w:jc w:val="both"/>
      </w:pPr>
      <w:r>
        <w:rPr>
          <w:rFonts w:ascii="Times New Roman" w:hAnsi="Times New Roman"/>
        </w:rPr>
        <w:t xml:space="preserve">Booth, K. (2005) </w:t>
      </w:r>
      <w:r>
        <w:rPr>
          <w:rFonts w:ascii="Times New Roman" w:hAnsi="Times New Roman"/>
          <w:i/>
          <w:iCs/>
        </w:rPr>
        <w:t>Critical security studies and world politics</w:t>
      </w:r>
      <w:r>
        <w:rPr>
          <w:rFonts w:ascii="Times New Roman" w:hAnsi="Times New Roman"/>
        </w:rPr>
        <w:t>. Boulder, CO: Lynne Rienner.</w:t>
      </w:r>
    </w:p>
    <w:p w14:paraId="44242A76" w14:textId="77777777" w:rsidR="003A4C28" w:rsidRDefault="003A4C28" w:rsidP="003A4C28">
      <w:pPr>
        <w:spacing w:after="0"/>
        <w:jc w:val="both"/>
        <w:rPr>
          <w:rFonts w:ascii="Times New Roman" w:hAnsi="Times New Roman"/>
        </w:rPr>
      </w:pPr>
    </w:p>
    <w:p w14:paraId="3A7DD92B" w14:textId="77777777" w:rsidR="003A4C28" w:rsidRDefault="003A4C28" w:rsidP="003A4C28">
      <w:pPr>
        <w:spacing w:after="0"/>
        <w:jc w:val="both"/>
      </w:pPr>
      <w:r>
        <w:rPr>
          <w:rFonts w:ascii="Times New Roman" w:hAnsi="Times New Roman"/>
        </w:rPr>
        <w:t>Borucka, A. and Kozłowski, E. (2025), March. of the Modern Geopolitical Situation. In </w:t>
      </w:r>
      <w:r>
        <w:rPr>
          <w:rFonts w:ascii="Times New Roman" w:hAnsi="Times New Roman"/>
          <w:i/>
          <w:iCs/>
        </w:rPr>
        <w:t>TRANSBALTICA XV: Transportation Science and Technology: Proceedings of the 15th International Conference TRANSBALTICA, September 19–20, 2024, Vilnius, Lithuania</w:t>
      </w:r>
      <w:r>
        <w:rPr>
          <w:rFonts w:ascii="Times New Roman" w:hAnsi="Times New Roman"/>
        </w:rPr>
        <w:t> (p. 220). Springer Nature.</w:t>
      </w:r>
    </w:p>
    <w:p w14:paraId="09011A78" w14:textId="77777777" w:rsidR="003A4C28" w:rsidRDefault="003A4C28" w:rsidP="003A4C28">
      <w:pPr>
        <w:jc w:val="both"/>
      </w:pPr>
      <w:r>
        <w:rPr>
          <w:rFonts w:ascii="Times New Roman" w:hAnsi="Times New Roman"/>
        </w:rPr>
        <w:t xml:space="preserve">Bourdieu, P. (1977) </w:t>
      </w:r>
      <w:r>
        <w:rPr>
          <w:rFonts w:ascii="Times New Roman" w:hAnsi="Times New Roman"/>
          <w:i/>
          <w:iCs/>
        </w:rPr>
        <w:t>Outline of a Theory of Practice</w:t>
      </w:r>
      <w:r>
        <w:rPr>
          <w:rFonts w:ascii="Times New Roman" w:hAnsi="Times New Roman"/>
        </w:rPr>
        <w:t>. Cambridge: Cambridge University Press.</w:t>
      </w:r>
    </w:p>
    <w:p w14:paraId="0A612AE4" w14:textId="77777777" w:rsidR="003A4C28" w:rsidRDefault="003A4C28" w:rsidP="003A4C28">
      <w:pPr>
        <w:jc w:val="both"/>
        <w:rPr>
          <w:rFonts w:ascii="Times New Roman" w:hAnsi="Times New Roman"/>
        </w:rPr>
      </w:pPr>
      <w:proofErr w:type="spellStart"/>
      <w:r>
        <w:rPr>
          <w:rFonts w:ascii="Times New Roman" w:hAnsi="Times New Roman"/>
        </w:rPr>
        <w:t>Bozonelos</w:t>
      </w:r>
      <w:proofErr w:type="spellEnd"/>
      <w:r>
        <w:rPr>
          <w:rFonts w:ascii="Times New Roman" w:hAnsi="Times New Roman"/>
        </w:rPr>
        <w:t xml:space="preserve">, D., &amp; </w:t>
      </w:r>
      <w:proofErr w:type="spellStart"/>
      <w:r>
        <w:rPr>
          <w:rFonts w:ascii="Times New Roman" w:hAnsi="Times New Roman"/>
        </w:rPr>
        <w:t>Tsagdis</w:t>
      </w:r>
      <w:proofErr w:type="spellEnd"/>
      <w:r>
        <w:rPr>
          <w:rFonts w:ascii="Times New Roman" w:hAnsi="Times New Roman"/>
        </w:rPr>
        <w:t>, D. (2023). From Fragmented Geopolitics to Geopolitical Resilience in International Business. AIB Insights, 23(2). https://doi.org/10.46697/ 001c.73803.</w:t>
      </w:r>
    </w:p>
    <w:p w14:paraId="4CB71045" w14:textId="77777777" w:rsidR="003A4C28" w:rsidRDefault="003A4C28" w:rsidP="003A4C28">
      <w:pPr>
        <w:spacing w:after="0"/>
        <w:jc w:val="both"/>
      </w:pPr>
      <w:r>
        <w:rPr>
          <w:rFonts w:ascii="Times New Roman" w:hAnsi="Times New Roman"/>
        </w:rPr>
        <w:t xml:space="preserve">Bradsher, K. (2010) ‘Amid tension, China blocks vital exports to Japan’, </w:t>
      </w:r>
      <w:r>
        <w:rPr>
          <w:rFonts w:ascii="Times New Roman" w:hAnsi="Times New Roman"/>
          <w:i/>
          <w:iCs/>
        </w:rPr>
        <w:t>The New York Times</w:t>
      </w:r>
      <w:r>
        <w:rPr>
          <w:rFonts w:ascii="Times New Roman" w:hAnsi="Times New Roman"/>
        </w:rPr>
        <w:t xml:space="preserve">, 22 September. Available at: </w:t>
      </w:r>
      <w:hyperlink r:id="rId78" w:history="1">
        <w:r>
          <w:rPr>
            <w:rStyle w:val="Hyperlink"/>
            <w:rFonts w:ascii="Times New Roman" w:hAnsi="Times New Roman"/>
          </w:rPr>
          <w:t>https://nyti.ms/2HOinnx</w:t>
        </w:r>
      </w:hyperlink>
    </w:p>
    <w:p w14:paraId="25F7FDAF" w14:textId="77777777" w:rsidR="003A4C28" w:rsidRPr="00A17648" w:rsidRDefault="003A4C28" w:rsidP="003A4C28">
      <w:pPr>
        <w:spacing w:after="0"/>
        <w:jc w:val="both"/>
        <w:rPr>
          <w:sz w:val="10"/>
          <w:szCs w:val="10"/>
        </w:rPr>
      </w:pPr>
    </w:p>
    <w:p w14:paraId="35CBFB84" w14:textId="77777777" w:rsidR="003A4C28" w:rsidRDefault="003A4C28" w:rsidP="003A4C28">
      <w:pPr>
        <w:jc w:val="both"/>
        <w:rPr>
          <w:rFonts w:ascii="Times New Roman" w:hAnsi="Times New Roman"/>
        </w:rPr>
      </w:pPr>
      <w:r>
        <w:rPr>
          <w:rFonts w:ascii="Times New Roman" w:hAnsi="Times New Roman"/>
        </w:rPr>
        <w:t>Bryman, A. (2016). Social Research Methods (5th ed.). Oxford University Press.</w:t>
      </w:r>
    </w:p>
    <w:p w14:paraId="6D7CC1BB" w14:textId="77777777" w:rsidR="003A4C28" w:rsidRDefault="003A4C28" w:rsidP="003A4C28">
      <w:pPr>
        <w:spacing w:after="0"/>
        <w:jc w:val="both"/>
      </w:pPr>
      <w:r>
        <w:rPr>
          <w:rFonts w:ascii="Times New Roman" w:hAnsi="Times New Roman"/>
        </w:rPr>
        <w:t xml:space="preserve">Buzan, B., Wæver, O. and de Wilde, J. (1998) </w:t>
      </w:r>
      <w:r>
        <w:rPr>
          <w:rFonts w:ascii="Times New Roman" w:hAnsi="Times New Roman"/>
          <w:i/>
          <w:iCs/>
        </w:rPr>
        <w:t>Security: A new framework for analysis</w:t>
      </w:r>
      <w:r>
        <w:rPr>
          <w:rFonts w:ascii="Times New Roman" w:hAnsi="Times New Roman"/>
        </w:rPr>
        <w:t>. Boulder, CO: Lynne Rienner.</w:t>
      </w:r>
    </w:p>
    <w:p w14:paraId="66210769" w14:textId="77777777" w:rsidR="003A4C28" w:rsidRDefault="003A4C28" w:rsidP="003A4C28">
      <w:pPr>
        <w:spacing w:after="0"/>
        <w:jc w:val="both"/>
      </w:pPr>
      <w:r>
        <w:rPr>
          <w:rFonts w:ascii="Times New Roman" w:hAnsi="Times New Roman"/>
        </w:rPr>
        <w:t xml:space="preserve">Caldara, D., Iacoviello, M. (2022). Measuring Geopolitical Risk. American Economic Review 112, 1194–1225. </w:t>
      </w:r>
      <w:hyperlink r:id="rId79" w:history="1">
        <w:r>
          <w:rPr>
            <w:rStyle w:val="Hyperlink"/>
            <w:rFonts w:ascii="Times New Roman" w:hAnsi="Times New Roman"/>
          </w:rPr>
          <w:t>https://doi.org/10.1257/aer.20191823</w:t>
        </w:r>
      </w:hyperlink>
    </w:p>
    <w:p w14:paraId="1C263751" w14:textId="77777777" w:rsidR="003A4C28" w:rsidRPr="00A17648" w:rsidRDefault="003A4C28" w:rsidP="003A4C28">
      <w:pPr>
        <w:jc w:val="both"/>
        <w:rPr>
          <w:rFonts w:ascii="Times New Roman" w:hAnsi="Times New Roman"/>
          <w:sz w:val="4"/>
          <w:szCs w:val="4"/>
        </w:rPr>
      </w:pPr>
    </w:p>
    <w:p w14:paraId="0124CEAF" w14:textId="77777777" w:rsidR="003A4C28" w:rsidRDefault="003A4C28" w:rsidP="003A4C28">
      <w:pPr>
        <w:jc w:val="both"/>
      </w:pPr>
      <w:proofErr w:type="spellStart"/>
      <w:r>
        <w:rPr>
          <w:rFonts w:ascii="Times New Roman" w:hAnsi="Times New Roman"/>
        </w:rPr>
        <w:t>Canciglieri</w:t>
      </w:r>
      <w:proofErr w:type="spellEnd"/>
      <w:r>
        <w:rPr>
          <w:rFonts w:ascii="Times New Roman" w:hAnsi="Times New Roman"/>
        </w:rPr>
        <w:t xml:space="preserve">, A.B., </w:t>
      </w:r>
      <w:proofErr w:type="spellStart"/>
      <w:r>
        <w:rPr>
          <w:rFonts w:ascii="Times New Roman" w:hAnsi="Times New Roman"/>
        </w:rPr>
        <w:t>Seelent</w:t>
      </w:r>
      <w:proofErr w:type="spellEnd"/>
      <w:r>
        <w:rPr>
          <w:rFonts w:ascii="Times New Roman" w:hAnsi="Times New Roman"/>
        </w:rPr>
        <w:t xml:space="preserve">, J.F.C., Kai, D.A., Franco, C.W. and Benitez, G.B. (2026) ‘Adaptive leadership in artificial intelligence solutions in operations and supply chain management projects: the Robert Bosch GmbH case’, </w:t>
      </w:r>
      <w:r>
        <w:rPr>
          <w:rFonts w:ascii="Times New Roman" w:hAnsi="Times New Roman"/>
          <w:i/>
          <w:iCs/>
        </w:rPr>
        <w:t>International Journal of Physical Distribution &amp; Logistics Management</w:t>
      </w:r>
      <w:r>
        <w:rPr>
          <w:rFonts w:ascii="Times New Roman" w:hAnsi="Times New Roman"/>
        </w:rPr>
        <w:t xml:space="preserve">, 56(4), pp. 390–411. </w:t>
      </w:r>
      <w:hyperlink r:id="rId80" w:history="1">
        <w:r>
          <w:rPr>
            <w:rStyle w:val="Hyperlink"/>
            <w:rFonts w:ascii="Times New Roman" w:hAnsi="Times New Roman"/>
          </w:rPr>
          <w:t>https://doi.org/10.1108/IJPDLM-12-2024-0497</w:t>
        </w:r>
      </w:hyperlink>
      <w:r>
        <w:rPr>
          <w:rFonts w:ascii="Times New Roman" w:hAnsi="Times New Roman"/>
        </w:rPr>
        <w:t>.</w:t>
      </w:r>
    </w:p>
    <w:p w14:paraId="7C19C226" w14:textId="77777777" w:rsidR="003A4C28" w:rsidRDefault="003A4C28" w:rsidP="003A4C28">
      <w:pPr>
        <w:spacing w:after="0"/>
        <w:jc w:val="both"/>
      </w:pPr>
      <w:r>
        <w:rPr>
          <w:rFonts w:ascii="Times New Roman" w:hAnsi="Times New Roman"/>
        </w:rPr>
        <w:t>Cebotari, S. and Budurina-Goreacii, C. (2021). Geostrategy: theoretical conceptual approaches. </w:t>
      </w:r>
      <w:proofErr w:type="spellStart"/>
      <w:r>
        <w:rPr>
          <w:rFonts w:ascii="Times New Roman" w:hAnsi="Times New Roman"/>
          <w:i/>
          <w:iCs/>
        </w:rPr>
        <w:t>Moldoscopie</w:t>
      </w:r>
      <w:proofErr w:type="spellEnd"/>
      <w:r>
        <w:rPr>
          <w:rFonts w:ascii="Times New Roman" w:hAnsi="Times New Roman"/>
        </w:rPr>
        <w:t>, </w:t>
      </w:r>
      <w:r>
        <w:rPr>
          <w:rFonts w:ascii="Times New Roman" w:hAnsi="Times New Roman"/>
          <w:i/>
          <w:iCs/>
        </w:rPr>
        <w:t>94</w:t>
      </w:r>
      <w:r>
        <w:rPr>
          <w:rFonts w:ascii="Times New Roman" w:hAnsi="Times New Roman"/>
        </w:rPr>
        <w:t>(3), pp.10-23.</w:t>
      </w:r>
    </w:p>
    <w:p w14:paraId="033A1CF4" w14:textId="77777777" w:rsidR="003A4C28" w:rsidRDefault="003A4C28" w:rsidP="003A4C28">
      <w:pPr>
        <w:spacing w:after="0"/>
        <w:jc w:val="both"/>
        <w:rPr>
          <w:rFonts w:ascii="Times New Roman" w:hAnsi="Times New Roman"/>
        </w:rPr>
      </w:pPr>
    </w:p>
    <w:p w14:paraId="67755FEE" w14:textId="77777777" w:rsidR="003A4C28" w:rsidRDefault="003A4C28" w:rsidP="003A4C28">
      <w:pPr>
        <w:spacing w:after="0"/>
        <w:jc w:val="both"/>
      </w:pPr>
      <w:proofErr w:type="spellStart"/>
      <w:r>
        <w:rPr>
          <w:rFonts w:ascii="Times New Roman" w:hAnsi="Times New Roman"/>
        </w:rPr>
        <w:t>Cevik</w:t>
      </w:r>
      <w:proofErr w:type="spellEnd"/>
      <w:r>
        <w:rPr>
          <w:rFonts w:ascii="Times New Roman" w:hAnsi="Times New Roman"/>
        </w:rPr>
        <w:t xml:space="preserve">, S. (2025) ‘Long live globalization: geopolitical shocks and international trade’, </w:t>
      </w:r>
      <w:r>
        <w:rPr>
          <w:rFonts w:ascii="Times New Roman" w:hAnsi="Times New Roman"/>
          <w:i/>
          <w:iCs/>
        </w:rPr>
        <w:t>International Economics and Economic Policy</w:t>
      </w:r>
      <w:r>
        <w:rPr>
          <w:rFonts w:ascii="Times New Roman" w:hAnsi="Times New Roman"/>
        </w:rPr>
        <w:t>, 22(2), p. 32.</w:t>
      </w:r>
    </w:p>
    <w:p w14:paraId="1CEE1C82" w14:textId="77777777" w:rsidR="003A4C28" w:rsidRPr="000F2856" w:rsidRDefault="003A4C28" w:rsidP="003A4C28">
      <w:pPr>
        <w:spacing w:after="0"/>
        <w:jc w:val="both"/>
        <w:rPr>
          <w:sz w:val="8"/>
          <w:szCs w:val="8"/>
        </w:rPr>
      </w:pPr>
    </w:p>
    <w:p w14:paraId="75C8790C" w14:textId="77777777" w:rsidR="003A4C28" w:rsidRDefault="003A4C28" w:rsidP="003A4C28">
      <w:pPr>
        <w:jc w:val="both"/>
      </w:pPr>
      <w:r>
        <w:rPr>
          <w:rFonts w:ascii="Times New Roman" w:hAnsi="Times New Roman"/>
        </w:rPr>
        <w:t xml:space="preserve">Creswell, J.W. and Plano Clark, V.L. (2018) </w:t>
      </w:r>
      <w:r>
        <w:rPr>
          <w:rFonts w:ascii="Times New Roman" w:hAnsi="Times New Roman"/>
          <w:i/>
          <w:iCs/>
        </w:rPr>
        <w:t>Designing and conducting mixed methods research</w:t>
      </w:r>
      <w:r>
        <w:rPr>
          <w:rFonts w:ascii="Times New Roman" w:hAnsi="Times New Roman"/>
        </w:rPr>
        <w:t xml:space="preserve">. 3rd </w:t>
      </w:r>
      <w:proofErr w:type="spellStart"/>
      <w:r>
        <w:rPr>
          <w:rFonts w:ascii="Times New Roman" w:hAnsi="Times New Roman"/>
        </w:rPr>
        <w:t>edn</w:t>
      </w:r>
      <w:proofErr w:type="spellEnd"/>
      <w:r>
        <w:rPr>
          <w:rFonts w:ascii="Times New Roman" w:hAnsi="Times New Roman"/>
        </w:rPr>
        <w:t>. Thousand Oaks, CA: SAGE Publications.</w:t>
      </w:r>
    </w:p>
    <w:p w14:paraId="26D8A8B0" w14:textId="77777777" w:rsidR="003A4C28" w:rsidRDefault="003A4C28" w:rsidP="003A4C28">
      <w:pPr>
        <w:spacing w:after="0"/>
        <w:jc w:val="both"/>
      </w:pPr>
      <w:r>
        <w:rPr>
          <w:rFonts w:ascii="Times New Roman" w:hAnsi="Times New Roman"/>
        </w:rPr>
        <w:t xml:space="preserve">Dajani, M. A. Z. and Dajani, D. M. A. Z. (2022). Adaptive leadership, organisational resilience and the mediating effect of change management amid Egyptian academia crises. </w:t>
      </w:r>
      <w:r>
        <w:rPr>
          <w:rFonts w:ascii="Times New Roman" w:hAnsi="Times New Roman"/>
          <w:i/>
          <w:iCs/>
        </w:rPr>
        <w:t>Business Administration Research Repository</w:t>
      </w:r>
      <w:r>
        <w:rPr>
          <w:rFonts w:ascii="Times New Roman" w:hAnsi="Times New Roman"/>
        </w:rPr>
        <w:t xml:space="preserve">. </w:t>
      </w:r>
      <w:hyperlink r:id="rId81" w:history="1">
        <w:r>
          <w:rPr>
            <w:rStyle w:val="Hyperlink"/>
            <w:rFonts w:ascii="Times New Roman" w:hAnsi="Times New Roman"/>
          </w:rPr>
          <w:t>https://buescholar.bue.edu.eg/bus_admin/171</w:t>
        </w:r>
      </w:hyperlink>
    </w:p>
    <w:p w14:paraId="60CC2DFE" w14:textId="77777777" w:rsidR="003A4C28" w:rsidRPr="000F2856" w:rsidRDefault="003A4C28" w:rsidP="003A4C28">
      <w:pPr>
        <w:spacing w:after="0"/>
        <w:jc w:val="both"/>
        <w:rPr>
          <w:rFonts w:ascii="Times New Roman" w:hAnsi="Times New Roman"/>
          <w:sz w:val="16"/>
          <w:szCs w:val="16"/>
        </w:rPr>
      </w:pPr>
    </w:p>
    <w:p w14:paraId="140D631C" w14:textId="77777777" w:rsidR="003A4C28" w:rsidRDefault="003A4C28" w:rsidP="003A4C28">
      <w:pPr>
        <w:spacing w:after="0"/>
        <w:jc w:val="both"/>
      </w:pPr>
      <w:r>
        <w:rPr>
          <w:rFonts w:ascii="Times New Roman" w:hAnsi="Times New Roman"/>
        </w:rPr>
        <w:t xml:space="preserve">Darley, J. (2025) ‘Why rare earth minerals are key to the UK’s sustainability’, </w:t>
      </w:r>
      <w:r>
        <w:rPr>
          <w:rFonts w:ascii="Times New Roman" w:hAnsi="Times New Roman"/>
          <w:i/>
          <w:iCs/>
        </w:rPr>
        <w:t>Sustainability Magazine</w:t>
      </w:r>
      <w:r>
        <w:rPr>
          <w:rFonts w:ascii="Times New Roman" w:hAnsi="Times New Roman"/>
        </w:rPr>
        <w:t xml:space="preserve">, 25 November. Available at: </w:t>
      </w:r>
      <w:hyperlink r:id="rId82" w:history="1">
        <w:r>
          <w:rPr>
            <w:rStyle w:val="Hyperlink"/>
            <w:rFonts w:ascii="Times New Roman" w:hAnsi="Times New Roman"/>
          </w:rPr>
          <w:t>https://sustainabilitymag.com/supply-chain-sustainability/why-rare-earth-minerals-are-key-to-the-uks-sustainability</w:t>
        </w:r>
      </w:hyperlink>
      <w:r>
        <w:rPr>
          <w:rFonts w:ascii="Times New Roman" w:hAnsi="Times New Roman"/>
        </w:rPr>
        <w:t xml:space="preserve"> </w:t>
      </w:r>
    </w:p>
    <w:p w14:paraId="609FE9FC" w14:textId="77777777" w:rsidR="003A4C28" w:rsidRPr="000F2856" w:rsidRDefault="003A4C28" w:rsidP="003A4C28">
      <w:pPr>
        <w:jc w:val="both"/>
        <w:rPr>
          <w:rFonts w:ascii="Times New Roman" w:hAnsi="Times New Roman"/>
          <w:sz w:val="6"/>
          <w:szCs w:val="6"/>
        </w:rPr>
      </w:pPr>
    </w:p>
    <w:p w14:paraId="71E046F4" w14:textId="77777777" w:rsidR="003A4C28" w:rsidRDefault="003A4C28" w:rsidP="003A4C28">
      <w:pPr>
        <w:jc w:val="both"/>
      </w:pPr>
      <w:r>
        <w:rPr>
          <w:rFonts w:ascii="Times New Roman" w:hAnsi="Times New Roman"/>
        </w:rPr>
        <w:t xml:space="preserve">Deady, E., Goodenough, K.M. and Currie, </w:t>
      </w:r>
      <w:proofErr w:type="gramStart"/>
      <w:r>
        <w:rPr>
          <w:rFonts w:ascii="Times New Roman" w:hAnsi="Times New Roman"/>
        </w:rPr>
        <w:t>D.(</w:t>
      </w:r>
      <w:proofErr w:type="gramEnd"/>
      <w:r>
        <w:rPr>
          <w:rFonts w:ascii="Times New Roman" w:hAnsi="Times New Roman"/>
        </w:rPr>
        <w:t xml:space="preserve">2023) ‘Potential for critical raw material prospectivity in the UK’, </w:t>
      </w:r>
      <w:r>
        <w:rPr>
          <w:rFonts w:ascii="Times New Roman" w:hAnsi="Times New Roman"/>
          <w:i/>
          <w:iCs/>
        </w:rPr>
        <w:t>British Geological Survey Report</w:t>
      </w:r>
      <w:r>
        <w:rPr>
          <w:rFonts w:ascii="Times New Roman" w:hAnsi="Times New Roman"/>
        </w:rPr>
        <w:t xml:space="preserve"> (CR/23/024N). Available at: </w:t>
      </w:r>
      <w:hyperlink r:id="rId83" w:history="1">
        <w:r>
          <w:rPr>
            <w:rStyle w:val="Hyperlink"/>
            <w:rFonts w:ascii="Times New Roman" w:hAnsi="Times New Roman"/>
          </w:rPr>
          <w:t>https://nora.nerc.ac.uk/id/eprint/535118</w:t>
        </w:r>
      </w:hyperlink>
      <w:r>
        <w:rPr>
          <w:rFonts w:ascii="Times New Roman" w:hAnsi="Times New Roman"/>
        </w:rPr>
        <w:t>.</w:t>
      </w:r>
    </w:p>
    <w:p w14:paraId="440EF9BF" w14:textId="77777777" w:rsidR="003A4C28" w:rsidRDefault="003A4C28" w:rsidP="003A4C28">
      <w:pPr>
        <w:jc w:val="both"/>
      </w:pPr>
      <w:proofErr w:type="spellStart"/>
      <w:r>
        <w:rPr>
          <w:rFonts w:ascii="Times New Roman" w:hAnsi="Times New Roman"/>
        </w:rPr>
        <w:lastRenderedPageBreak/>
        <w:t>Dehalwar</w:t>
      </w:r>
      <w:proofErr w:type="spellEnd"/>
      <w:r>
        <w:rPr>
          <w:rFonts w:ascii="Times New Roman" w:hAnsi="Times New Roman"/>
        </w:rPr>
        <w:t xml:space="preserve">, K. and Sharma, S.N. (2023) ‘Exploring the distinctions between quantitative and qualitative research methods’, </w:t>
      </w:r>
      <w:r>
        <w:rPr>
          <w:rFonts w:ascii="Times New Roman" w:hAnsi="Times New Roman"/>
          <w:i/>
          <w:iCs/>
        </w:rPr>
        <w:t>Think India Journal</w:t>
      </w:r>
      <w:r>
        <w:rPr>
          <w:rFonts w:ascii="Times New Roman" w:hAnsi="Times New Roman"/>
        </w:rPr>
        <w:t>, 27(1), pp. 7</w:t>
      </w:r>
    </w:p>
    <w:p w14:paraId="0D8FFF03" w14:textId="77777777" w:rsidR="003A4C28" w:rsidRDefault="003A4C28" w:rsidP="003A4C28">
      <w:pPr>
        <w:jc w:val="both"/>
        <w:rPr>
          <w:rFonts w:ascii="Times New Roman" w:hAnsi="Times New Roman"/>
        </w:rPr>
      </w:pPr>
      <w:r>
        <w:rPr>
          <w:rFonts w:ascii="Times New Roman" w:hAnsi="Times New Roman"/>
        </w:rPr>
        <w:t>Denzin, N. K., &amp; Lincoln, Y. S. (2018). Introduction: The discipline and practice of qualitative research. In N. K. Denzin &amp; Y. S. Lincoln (Eds.), The Sage handbook of qualitative research (5th ed., pp. 1-28). Sage Publications.</w:t>
      </w:r>
    </w:p>
    <w:p w14:paraId="6836DBC5" w14:textId="77777777" w:rsidR="003A4C28" w:rsidRDefault="003A4C28" w:rsidP="003A4C28">
      <w:pPr>
        <w:spacing w:after="0"/>
        <w:jc w:val="both"/>
      </w:pPr>
      <w:proofErr w:type="spellStart"/>
      <w:r>
        <w:rPr>
          <w:rFonts w:ascii="Times New Roman" w:hAnsi="Times New Roman"/>
        </w:rPr>
        <w:t>Depraiter</w:t>
      </w:r>
      <w:proofErr w:type="spellEnd"/>
      <w:r>
        <w:rPr>
          <w:rFonts w:ascii="Times New Roman" w:hAnsi="Times New Roman"/>
        </w:rPr>
        <w:t xml:space="preserve">, L. and Goutte, S. (2023) ‘The role and challenges of rare earths in the energy transition’, </w:t>
      </w:r>
      <w:r>
        <w:rPr>
          <w:rFonts w:ascii="Times New Roman" w:hAnsi="Times New Roman"/>
          <w:i/>
          <w:iCs/>
        </w:rPr>
        <w:t>HAL Open Science</w:t>
      </w:r>
      <w:r>
        <w:rPr>
          <w:rFonts w:ascii="Times New Roman" w:hAnsi="Times New Roman"/>
        </w:rPr>
        <w:t xml:space="preserve">. Available at: </w:t>
      </w:r>
      <w:hyperlink r:id="rId84" w:history="1">
        <w:r>
          <w:rPr>
            <w:rStyle w:val="Hyperlink"/>
            <w:rFonts w:ascii="Times New Roman" w:hAnsi="Times New Roman"/>
          </w:rPr>
          <w:t>https://shs.hal.science/halshs-04199796</w:t>
        </w:r>
      </w:hyperlink>
    </w:p>
    <w:p w14:paraId="1B9A11ED" w14:textId="77777777" w:rsidR="003A4C28" w:rsidRPr="000F2856" w:rsidRDefault="003A4C28" w:rsidP="003A4C28">
      <w:pPr>
        <w:spacing w:after="0"/>
        <w:rPr>
          <w:rFonts w:ascii="Times New Roman" w:hAnsi="Times New Roman"/>
          <w:sz w:val="10"/>
          <w:szCs w:val="10"/>
        </w:rPr>
      </w:pPr>
    </w:p>
    <w:p w14:paraId="00AE6028" w14:textId="77777777" w:rsidR="003A4C28" w:rsidRDefault="003A4C28" w:rsidP="003A4C28">
      <w:pPr>
        <w:spacing w:after="0"/>
      </w:pPr>
      <w:proofErr w:type="spellStart"/>
      <w:r>
        <w:rPr>
          <w:rFonts w:ascii="Times New Roman" w:hAnsi="Times New Roman"/>
        </w:rPr>
        <w:t>Depraiter</w:t>
      </w:r>
      <w:proofErr w:type="spellEnd"/>
      <w:r>
        <w:rPr>
          <w:rFonts w:ascii="Times New Roman" w:hAnsi="Times New Roman"/>
        </w:rPr>
        <w:t xml:space="preserve">, L., Goutte, S. and Porcher, T. (2025) ‘Geopolitical risk and the global supply of rare earth permanent magnets: Insights from China’s export trends’, </w:t>
      </w:r>
      <w:r>
        <w:rPr>
          <w:rFonts w:ascii="Times New Roman" w:hAnsi="Times New Roman"/>
          <w:i/>
          <w:iCs/>
        </w:rPr>
        <w:t>Energy Economics</w:t>
      </w:r>
      <w:r>
        <w:rPr>
          <w:rFonts w:ascii="Times New Roman" w:hAnsi="Times New Roman"/>
        </w:rPr>
        <w:t xml:space="preserve">, 146, p. 108496. </w:t>
      </w:r>
      <w:hyperlink r:id="rId85" w:history="1">
        <w:r>
          <w:rPr>
            <w:rStyle w:val="Hyperlink"/>
            <w:rFonts w:ascii="Times New Roman" w:hAnsi="Times New Roman"/>
          </w:rPr>
          <w:t>https://doi.org/10.1016/j.eneco.2025.108496</w:t>
        </w:r>
      </w:hyperlink>
    </w:p>
    <w:p w14:paraId="3CAB94B4" w14:textId="77777777" w:rsidR="003A4C28" w:rsidRPr="000F2856" w:rsidRDefault="003A4C28" w:rsidP="003A4C28">
      <w:pPr>
        <w:spacing w:after="0"/>
        <w:jc w:val="both"/>
        <w:rPr>
          <w:rFonts w:ascii="Times New Roman" w:hAnsi="Times New Roman"/>
          <w:sz w:val="10"/>
          <w:szCs w:val="10"/>
        </w:rPr>
      </w:pPr>
    </w:p>
    <w:p w14:paraId="1D74A3BF" w14:textId="77777777" w:rsidR="003A4C28" w:rsidRDefault="003A4C28" w:rsidP="003A4C28">
      <w:pPr>
        <w:spacing w:after="0"/>
        <w:jc w:val="both"/>
      </w:pPr>
      <w:r>
        <w:rPr>
          <w:rFonts w:ascii="Times New Roman" w:hAnsi="Times New Roman"/>
        </w:rPr>
        <w:t xml:space="preserve">Dubey, R. (2023a) ‘Unleashing the potential of digital technologies in emergency supply chain: The moderating effect of crisis leadership’, </w:t>
      </w:r>
      <w:r>
        <w:rPr>
          <w:rFonts w:ascii="Times New Roman" w:hAnsi="Times New Roman"/>
          <w:i/>
          <w:iCs/>
        </w:rPr>
        <w:t>Industrial Management &amp; Data Systems</w:t>
      </w:r>
      <w:r>
        <w:rPr>
          <w:rFonts w:ascii="Times New Roman" w:hAnsi="Times New Roman"/>
        </w:rPr>
        <w:t xml:space="preserve">, 123(1), pp. 112–132. </w:t>
      </w:r>
      <w:hyperlink r:id="rId86" w:history="1">
        <w:r>
          <w:rPr>
            <w:rStyle w:val="Hyperlink"/>
            <w:rFonts w:ascii="Times New Roman" w:hAnsi="Times New Roman"/>
          </w:rPr>
          <w:t>https://doi.org/10.1108/IMDS-XX-XXXX-XXXX</w:t>
        </w:r>
      </w:hyperlink>
    </w:p>
    <w:p w14:paraId="1EBA99F9" w14:textId="77777777" w:rsidR="003A4C28" w:rsidRPr="000F2856" w:rsidRDefault="003A4C28" w:rsidP="003A4C28">
      <w:pPr>
        <w:spacing w:after="0"/>
        <w:jc w:val="both"/>
        <w:rPr>
          <w:rFonts w:ascii="Times New Roman" w:hAnsi="Times New Roman"/>
          <w:sz w:val="12"/>
          <w:szCs w:val="12"/>
        </w:rPr>
      </w:pPr>
    </w:p>
    <w:p w14:paraId="77B1B926" w14:textId="77777777" w:rsidR="003A4C28" w:rsidRDefault="003A4C28" w:rsidP="003A4C28">
      <w:pPr>
        <w:spacing w:after="0"/>
        <w:jc w:val="both"/>
      </w:pPr>
      <w:r>
        <w:rPr>
          <w:rFonts w:ascii="Times New Roman" w:hAnsi="Times New Roman"/>
        </w:rPr>
        <w:t xml:space="preserve">Dubey, R. (2023b) ‘Unleashing the potential of digital technologies in emergency supply chain: The moderating effect of crisis leadership’, </w:t>
      </w:r>
      <w:r>
        <w:rPr>
          <w:rFonts w:ascii="Times New Roman" w:hAnsi="Times New Roman"/>
          <w:i/>
          <w:iCs/>
        </w:rPr>
        <w:t>Industrial Management &amp; Data Systems</w:t>
      </w:r>
      <w:r>
        <w:rPr>
          <w:rFonts w:ascii="Times New Roman" w:hAnsi="Times New Roman"/>
        </w:rPr>
        <w:t>, 123(1), pp. 112–132.</w:t>
      </w:r>
    </w:p>
    <w:p w14:paraId="7818E2E2" w14:textId="77777777" w:rsidR="003A4C28" w:rsidRDefault="003A4C28" w:rsidP="003A4C28">
      <w:pPr>
        <w:jc w:val="both"/>
      </w:pPr>
      <w:r>
        <w:rPr>
          <w:rFonts w:ascii="Times New Roman" w:hAnsi="Times New Roman"/>
        </w:rPr>
        <w:t xml:space="preserve">Duchek, S. (2020) ‘Organizational resilience: A capability-based conceptualization’, </w:t>
      </w:r>
      <w:r>
        <w:rPr>
          <w:rFonts w:ascii="Times New Roman" w:hAnsi="Times New Roman"/>
          <w:i/>
          <w:iCs/>
        </w:rPr>
        <w:t>Business Research</w:t>
      </w:r>
      <w:r>
        <w:rPr>
          <w:rFonts w:ascii="Times New Roman" w:hAnsi="Times New Roman"/>
        </w:rPr>
        <w:t xml:space="preserve">, 13(1), pp. 215–246. </w:t>
      </w:r>
      <w:hyperlink r:id="rId87" w:history="1">
        <w:r>
          <w:rPr>
            <w:rStyle w:val="Hyperlink"/>
            <w:rFonts w:ascii="Times New Roman" w:hAnsi="Times New Roman"/>
          </w:rPr>
          <w:t>https://doi.org/10.1007/s40685-019-0085-7</w:t>
        </w:r>
      </w:hyperlink>
    </w:p>
    <w:p w14:paraId="6DC4F082" w14:textId="77777777" w:rsidR="003A4C28" w:rsidRDefault="003A4C28" w:rsidP="003A4C28">
      <w:pPr>
        <w:jc w:val="both"/>
      </w:pPr>
      <w:proofErr w:type="spellStart"/>
      <w:r>
        <w:rPr>
          <w:rFonts w:ascii="Times New Roman" w:hAnsi="Times New Roman"/>
        </w:rPr>
        <w:t>Elfil</w:t>
      </w:r>
      <w:proofErr w:type="spellEnd"/>
      <w:r>
        <w:rPr>
          <w:rFonts w:ascii="Times New Roman" w:hAnsi="Times New Roman"/>
        </w:rPr>
        <w:t xml:space="preserve">, M. and </w:t>
      </w:r>
      <w:proofErr w:type="spellStart"/>
      <w:r>
        <w:rPr>
          <w:rFonts w:ascii="Times New Roman" w:hAnsi="Times New Roman"/>
        </w:rPr>
        <w:t>Negida</w:t>
      </w:r>
      <w:proofErr w:type="spellEnd"/>
      <w:r>
        <w:rPr>
          <w:rFonts w:ascii="Times New Roman" w:hAnsi="Times New Roman"/>
        </w:rPr>
        <w:t xml:space="preserve">, A. (2017). Sampling methods in clinical research; an educational review. </w:t>
      </w:r>
      <w:r>
        <w:rPr>
          <w:rFonts w:ascii="Times New Roman" w:hAnsi="Times New Roman"/>
          <w:i/>
          <w:iCs/>
        </w:rPr>
        <w:t>Emergenc</w:t>
      </w:r>
      <w:r>
        <w:rPr>
          <w:rFonts w:ascii="Times New Roman" w:hAnsi="Times New Roman"/>
        </w:rPr>
        <w:t>y, 5(1), 1-5</w:t>
      </w:r>
    </w:p>
    <w:p w14:paraId="374BA789" w14:textId="77777777" w:rsidR="003A4C28" w:rsidRDefault="003A4C28" w:rsidP="003A4C28">
      <w:pPr>
        <w:spacing w:after="0"/>
        <w:jc w:val="both"/>
      </w:pPr>
      <w:proofErr w:type="spellStart"/>
      <w:r>
        <w:rPr>
          <w:rFonts w:ascii="Times New Roman" w:hAnsi="Times New Roman"/>
        </w:rPr>
        <w:t>Eşsiz</w:t>
      </w:r>
      <w:proofErr w:type="spellEnd"/>
      <w:r>
        <w:rPr>
          <w:rFonts w:ascii="Times New Roman" w:hAnsi="Times New Roman"/>
        </w:rPr>
        <w:t xml:space="preserve">, F.P. (2025) 'Tariffs and trade wars: The rise of protectionism in the global economy', in </w:t>
      </w:r>
      <w:proofErr w:type="spellStart"/>
      <w:r>
        <w:rPr>
          <w:rFonts w:ascii="Times New Roman" w:hAnsi="Times New Roman"/>
        </w:rPr>
        <w:t>Kanbir</w:t>
      </w:r>
      <w:proofErr w:type="spellEnd"/>
      <w:r>
        <w:rPr>
          <w:rFonts w:ascii="Times New Roman" w:hAnsi="Times New Roman"/>
        </w:rPr>
        <w:t xml:space="preserve">, Ö. (ed.) </w:t>
      </w:r>
      <w:r>
        <w:rPr>
          <w:rFonts w:ascii="Times New Roman" w:hAnsi="Times New Roman"/>
          <w:i/>
          <w:iCs/>
        </w:rPr>
        <w:t>The Age of Economic Nationalism: The End of Globalization?</w:t>
      </w:r>
      <w:r>
        <w:rPr>
          <w:rFonts w:ascii="Times New Roman" w:hAnsi="Times New Roman"/>
        </w:rPr>
        <w:t xml:space="preserve"> Gaziantep: Özgür Publications, p. 53. </w:t>
      </w:r>
      <w:hyperlink r:id="rId88" w:history="1">
        <w:r>
          <w:rPr>
            <w:rStyle w:val="Hyperlink"/>
            <w:rFonts w:ascii="Times New Roman" w:hAnsi="Times New Roman"/>
          </w:rPr>
          <w:t>https://doi.org/10.58830/ozgur.pub911</w:t>
        </w:r>
      </w:hyperlink>
    </w:p>
    <w:p w14:paraId="6C66F36E" w14:textId="77777777" w:rsidR="003A4C28" w:rsidRDefault="003A4C28" w:rsidP="003A4C28">
      <w:pPr>
        <w:jc w:val="both"/>
      </w:pPr>
      <w:proofErr w:type="spellStart"/>
      <w:r>
        <w:rPr>
          <w:rFonts w:ascii="Times New Roman" w:hAnsi="Times New Roman"/>
        </w:rPr>
        <w:t>Faw</w:t>
      </w:r>
      <w:proofErr w:type="spellEnd"/>
      <w:r>
        <w:rPr>
          <w:rFonts w:ascii="Times New Roman" w:hAnsi="Times New Roman"/>
        </w:rPr>
        <w:t xml:space="preserve">, R. (2025) </w:t>
      </w:r>
      <w:r>
        <w:rPr>
          <w:rFonts w:ascii="Times New Roman" w:hAnsi="Times New Roman"/>
          <w:i/>
          <w:iCs/>
        </w:rPr>
        <w:t>Adapting Leadership Styles in Changing Environments</w:t>
      </w:r>
      <w:r>
        <w:rPr>
          <w:rFonts w:ascii="Times New Roman" w:hAnsi="Times New Roman"/>
        </w:rPr>
        <w:t xml:space="preserve">. PhD Thesis. Liberty University. Available at: </w:t>
      </w:r>
      <w:hyperlink r:id="rId89" w:history="1">
        <w:r>
          <w:rPr>
            <w:rStyle w:val="Hyperlink"/>
            <w:rFonts w:ascii="Times New Roman" w:hAnsi="Times New Roman"/>
          </w:rPr>
          <w:t>https://digitalcommons.liberty.edu/doctoral/6802</w:t>
        </w:r>
      </w:hyperlink>
    </w:p>
    <w:p w14:paraId="4495B9CC" w14:textId="77777777" w:rsidR="003A4C28" w:rsidRDefault="003A4C28" w:rsidP="003A4C28">
      <w:pPr>
        <w:spacing w:after="0"/>
      </w:pPr>
      <w:r>
        <w:rPr>
          <w:rFonts w:ascii="Times New Roman" w:hAnsi="Times New Roman"/>
        </w:rPr>
        <w:t xml:space="preserve">Feng, Y., Sabir, S.A., Quddus, A., Wang, J. and Abbas, S., (2024). Do the grey clouds of geopolitical risk and political globalization exacerbate environmental degradation? Evidence from resource-rich countries. 89, 104533. </w:t>
      </w:r>
      <w:hyperlink r:id="rId90" w:history="1">
        <w:r>
          <w:rPr>
            <w:rStyle w:val="Hyperlink"/>
            <w:rFonts w:ascii="Times New Roman" w:hAnsi="Times New Roman"/>
          </w:rPr>
          <w:t>https://doi.org/10.1016/j.resourpol.2023.104533</w:t>
        </w:r>
      </w:hyperlink>
    </w:p>
    <w:p w14:paraId="3F05A43F" w14:textId="77777777" w:rsidR="003A4C28" w:rsidRPr="000F2856" w:rsidRDefault="003A4C28" w:rsidP="003A4C28">
      <w:pPr>
        <w:spacing w:after="0"/>
        <w:jc w:val="both"/>
        <w:rPr>
          <w:rFonts w:ascii="Times New Roman" w:hAnsi="Times New Roman"/>
          <w:sz w:val="12"/>
          <w:szCs w:val="12"/>
        </w:rPr>
      </w:pPr>
    </w:p>
    <w:p w14:paraId="567AD642" w14:textId="77777777" w:rsidR="003A4C28" w:rsidRDefault="003A4C28" w:rsidP="003A4C28">
      <w:pPr>
        <w:spacing w:after="0"/>
        <w:jc w:val="both"/>
      </w:pPr>
      <w:r>
        <w:rPr>
          <w:rFonts w:ascii="Times New Roman" w:hAnsi="Times New Roman"/>
        </w:rPr>
        <w:t xml:space="preserve">Ferdous, Z., Zahura, K.F., Saha, S. and Roy, M. (2023) ‘The role of corporate governance in enhancing firm resilience during economic and geopolitical crises’, </w:t>
      </w:r>
      <w:r>
        <w:rPr>
          <w:rFonts w:ascii="Times New Roman" w:hAnsi="Times New Roman"/>
          <w:i/>
          <w:iCs/>
        </w:rPr>
        <w:t>IRE Journals</w:t>
      </w:r>
      <w:r>
        <w:rPr>
          <w:rFonts w:ascii="Times New Roman" w:hAnsi="Times New Roman"/>
        </w:rPr>
        <w:t xml:space="preserve">, 6(11), pp. 1050–1058. </w:t>
      </w:r>
      <w:hyperlink r:id="rId91" w:history="1">
        <w:r>
          <w:rPr>
            <w:rStyle w:val="Hyperlink"/>
            <w:rFonts w:ascii="Times New Roman" w:hAnsi="Times New Roman"/>
          </w:rPr>
          <w:t>https://doi.org/10.64388/IREV6I11-1714692</w:t>
        </w:r>
      </w:hyperlink>
    </w:p>
    <w:p w14:paraId="417A85DB" w14:textId="77777777" w:rsidR="003A4C28" w:rsidRDefault="003A4C28" w:rsidP="003A4C28">
      <w:pPr>
        <w:jc w:val="both"/>
        <w:rPr>
          <w:rFonts w:ascii="Times New Roman" w:hAnsi="Times New Roman"/>
        </w:rPr>
      </w:pPr>
      <w:r>
        <w:rPr>
          <w:rFonts w:ascii="Times New Roman" w:hAnsi="Times New Roman"/>
        </w:rPr>
        <w:t>Field, A. (2018). Discovering Statistics Using IBM SPSS Statistics (5th ed.). Sage Publications.</w:t>
      </w:r>
    </w:p>
    <w:p w14:paraId="146E0145" w14:textId="77777777" w:rsidR="003A4C28" w:rsidRDefault="003A4C28" w:rsidP="003A4C28">
      <w:pPr>
        <w:spacing w:after="0"/>
        <w:jc w:val="both"/>
      </w:pPr>
      <w:r>
        <w:rPr>
          <w:rFonts w:ascii="Times New Roman" w:hAnsi="Times New Roman"/>
        </w:rPr>
        <w:t xml:space="preserve">Fritch, E.J. (2020) ‘Supply chain costs, quality, and performance: An examination of transformational leadership traits’, </w:t>
      </w:r>
      <w:r>
        <w:rPr>
          <w:rFonts w:ascii="Times New Roman" w:hAnsi="Times New Roman"/>
          <w:i/>
          <w:iCs/>
        </w:rPr>
        <w:t>Journal of the International Academy for Case Studies</w:t>
      </w:r>
      <w:r>
        <w:rPr>
          <w:rFonts w:ascii="Times New Roman" w:hAnsi="Times New Roman"/>
        </w:rPr>
        <w:t>, 26(1), pp. 1–10.</w:t>
      </w:r>
    </w:p>
    <w:p w14:paraId="5B337E52" w14:textId="77777777" w:rsidR="003A4C28" w:rsidRDefault="003A4C28" w:rsidP="003A4C28">
      <w:pPr>
        <w:spacing w:after="0"/>
        <w:jc w:val="both"/>
      </w:pPr>
      <w:r>
        <w:rPr>
          <w:rFonts w:ascii="Times New Roman" w:hAnsi="Times New Roman"/>
        </w:rPr>
        <w:t>Geraghty, A. and Paterson-Brown, S., 2018. Leadership and working in teams. </w:t>
      </w:r>
      <w:r>
        <w:rPr>
          <w:rFonts w:ascii="Times New Roman" w:hAnsi="Times New Roman"/>
          <w:i/>
          <w:iCs/>
        </w:rPr>
        <w:t>Surgery (Oxford)</w:t>
      </w:r>
      <w:r>
        <w:rPr>
          <w:rFonts w:ascii="Times New Roman" w:hAnsi="Times New Roman"/>
        </w:rPr>
        <w:t>, </w:t>
      </w:r>
      <w:r>
        <w:rPr>
          <w:rFonts w:ascii="Times New Roman" w:hAnsi="Times New Roman"/>
          <w:i/>
          <w:iCs/>
        </w:rPr>
        <w:t>36</w:t>
      </w:r>
      <w:r>
        <w:rPr>
          <w:rFonts w:ascii="Times New Roman" w:hAnsi="Times New Roman"/>
        </w:rPr>
        <w:t>(9), pp.503-508.</w:t>
      </w:r>
    </w:p>
    <w:p w14:paraId="6181E9DA" w14:textId="77777777" w:rsidR="003A4C28" w:rsidRPr="000F2856" w:rsidRDefault="003A4C28" w:rsidP="003A4C28">
      <w:pPr>
        <w:spacing w:after="0"/>
        <w:jc w:val="both"/>
        <w:rPr>
          <w:rFonts w:ascii="Times New Roman" w:hAnsi="Times New Roman"/>
          <w:sz w:val="12"/>
          <w:szCs w:val="12"/>
        </w:rPr>
      </w:pPr>
    </w:p>
    <w:p w14:paraId="4FF536C6" w14:textId="77777777" w:rsidR="003A4C28" w:rsidRDefault="003A4C28" w:rsidP="003A4C28">
      <w:pPr>
        <w:spacing w:after="0"/>
        <w:jc w:val="both"/>
      </w:pPr>
      <w:r>
        <w:rPr>
          <w:rFonts w:ascii="Times New Roman" w:hAnsi="Times New Roman"/>
        </w:rPr>
        <w:t xml:space="preserve">Ghorbani, Y., </w:t>
      </w:r>
      <w:proofErr w:type="spellStart"/>
      <w:r>
        <w:rPr>
          <w:rFonts w:ascii="Times New Roman" w:hAnsi="Times New Roman"/>
        </w:rPr>
        <w:t>Ilankoon</w:t>
      </w:r>
      <w:proofErr w:type="spellEnd"/>
      <w:r>
        <w:rPr>
          <w:rFonts w:ascii="Times New Roman" w:hAnsi="Times New Roman"/>
        </w:rPr>
        <w:t xml:space="preserve">, I.M.S.K., </w:t>
      </w:r>
      <w:proofErr w:type="spellStart"/>
      <w:r>
        <w:rPr>
          <w:rFonts w:ascii="Times New Roman" w:hAnsi="Times New Roman"/>
        </w:rPr>
        <w:t>Dushyantha</w:t>
      </w:r>
      <w:proofErr w:type="spellEnd"/>
      <w:r>
        <w:rPr>
          <w:rFonts w:ascii="Times New Roman" w:hAnsi="Times New Roman"/>
        </w:rPr>
        <w:t xml:space="preserve">, N. and </w:t>
      </w:r>
      <w:proofErr w:type="spellStart"/>
      <w:r>
        <w:rPr>
          <w:rFonts w:ascii="Times New Roman" w:hAnsi="Times New Roman"/>
        </w:rPr>
        <w:t>Nwaila</w:t>
      </w:r>
      <w:proofErr w:type="spellEnd"/>
      <w:r>
        <w:rPr>
          <w:rFonts w:ascii="Times New Roman" w:hAnsi="Times New Roman"/>
        </w:rPr>
        <w:t xml:space="preserve">, G.T. (2025) ‘Rare earth permanent magnets for the green energy transition: Bottlenecks, current developments and cleaner production solutions’, </w:t>
      </w:r>
      <w:r>
        <w:rPr>
          <w:rFonts w:ascii="Times New Roman" w:hAnsi="Times New Roman"/>
          <w:i/>
          <w:iCs/>
        </w:rPr>
        <w:t>Resources, Conservation and Recycling</w:t>
      </w:r>
      <w:r>
        <w:rPr>
          <w:rFonts w:ascii="Times New Roman" w:hAnsi="Times New Roman"/>
        </w:rPr>
        <w:t xml:space="preserve">, 212, p. 107966. Available at: </w:t>
      </w:r>
      <w:hyperlink r:id="rId92" w:history="1">
        <w:r>
          <w:rPr>
            <w:rStyle w:val="Hyperlink"/>
            <w:rFonts w:ascii="Times New Roman" w:hAnsi="Times New Roman"/>
          </w:rPr>
          <w:t>https://doi.org/10.1016/j.resconrec.2024.107966</w:t>
        </w:r>
      </w:hyperlink>
    </w:p>
    <w:p w14:paraId="0D4316F6" w14:textId="77777777" w:rsidR="003A4C28" w:rsidRPr="000F2856" w:rsidRDefault="003A4C28" w:rsidP="003A4C28">
      <w:pPr>
        <w:jc w:val="both"/>
        <w:rPr>
          <w:rFonts w:ascii="Times New Roman" w:hAnsi="Times New Roman"/>
          <w:sz w:val="8"/>
          <w:szCs w:val="8"/>
        </w:rPr>
      </w:pPr>
    </w:p>
    <w:p w14:paraId="61D4845A" w14:textId="77777777" w:rsidR="003A4C28" w:rsidRDefault="003A4C28" w:rsidP="003A4C28">
      <w:pPr>
        <w:jc w:val="both"/>
        <w:rPr>
          <w:rFonts w:ascii="Times New Roman" w:hAnsi="Times New Roman"/>
        </w:rPr>
      </w:pPr>
      <w:r>
        <w:rPr>
          <w:rFonts w:ascii="Times New Roman" w:hAnsi="Times New Roman"/>
        </w:rPr>
        <w:t>Gill, S. L. (2020). Qualitative sampling methods. Journal of Human Lactation, 36(4), 579-581.</w:t>
      </w:r>
    </w:p>
    <w:p w14:paraId="30E6583F" w14:textId="77777777" w:rsidR="003A4C28" w:rsidRDefault="003A4C28" w:rsidP="003A4C28">
      <w:pPr>
        <w:jc w:val="both"/>
      </w:pPr>
      <w:r>
        <w:rPr>
          <w:rFonts w:ascii="Times New Roman" w:hAnsi="Times New Roman"/>
        </w:rPr>
        <w:t>Goodfellow, L.T., 2023. An overview of survey research. </w:t>
      </w:r>
      <w:r>
        <w:rPr>
          <w:rFonts w:ascii="Times New Roman" w:hAnsi="Times New Roman"/>
          <w:i/>
          <w:iCs/>
        </w:rPr>
        <w:t>Respiratory Care</w:t>
      </w:r>
      <w:r>
        <w:rPr>
          <w:rFonts w:ascii="Times New Roman" w:hAnsi="Times New Roman"/>
        </w:rPr>
        <w:t>, </w:t>
      </w:r>
      <w:r>
        <w:rPr>
          <w:rFonts w:ascii="Times New Roman" w:hAnsi="Times New Roman"/>
          <w:i/>
          <w:iCs/>
        </w:rPr>
        <w:t>68</w:t>
      </w:r>
      <w:r>
        <w:rPr>
          <w:rFonts w:ascii="Times New Roman" w:hAnsi="Times New Roman"/>
        </w:rPr>
        <w:t>(9), pp.1309-1313.</w:t>
      </w:r>
    </w:p>
    <w:p w14:paraId="0FD443C7" w14:textId="77777777" w:rsidR="003A4C28" w:rsidRDefault="003A4C28" w:rsidP="003A4C28">
      <w:pPr>
        <w:spacing w:after="0"/>
        <w:jc w:val="both"/>
      </w:pPr>
      <w:r>
        <w:rPr>
          <w:rFonts w:ascii="Times New Roman" w:hAnsi="Times New Roman"/>
        </w:rPr>
        <w:lastRenderedPageBreak/>
        <w:t xml:space="preserve">Gruchmann, T., Stadtfeld, G.M., </w:t>
      </w:r>
      <w:proofErr w:type="spellStart"/>
      <w:r>
        <w:rPr>
          <w:rFonts w:ascii="Times New Roman" w:hAnsi="Times New Roman"/>
        </w:rPr>
        <w:t>Thürer</w:t>
      </w:r>
      <w:proofErr w:type="spellEnd"/>
      <w:r>
        <w:rPr>
          <w:rFonts w:ascii="Times New Roman" w:hAnsi="Times New Roman"/>
        </w:rPr>
        <w:t xml:space="preserve">, M. and Ivanov, D. (2024). Supply chain resilience as a system quality: survey-based evidence from multiple industries. International Journal of Physical Distribution &amp; Logistics Management 54, 92–117. </w:t>
      </w:r>
      <w:hyperlink r:id="rId93" w:history="1">
        <w:r>
          <w:rPr>
            <w:rStyle w:val="Hyperlink"/>
            <w:rFonts w:ascii="Times New Roman" w:hAnsi="Times New Roman"/>
          </w:rPr>
          <w:t>https://doi.org/10.1108/IJPDLM-06-2023-0203</w:t>
        </w:r>
      </w:hyperlink>
    </w:p>
    <w:p w14:paraId="5D38E96E" w14:textId="77777777" w:rsidR="003A4C28" w:rsidRDefault="003A4C28" w:rsidP="003A4C28">
      <w:pPr>
        <w:spacing w:after="0"/>
        <w:jc w:val="both"/>
      </w:pPr>
      <w:proofErr w:type="spellStart"/>
      <w:r>
        <w:rPr>
          <w:rFonts w:ascii="Times New Roman" w:hAnsi="Times New Roman"/>
        </w:rPr>
        <w:t>Gurbuz</w:t>
      </w:r>
      <w:proofErr w:type="spellEnd"/>
      <w:r>
        <w:rPr>
          <w:rFonts w:ascii="Times New Roman" w:hAnsi="Times New Roman"/>
        </w:rPr>
        <w:t xml:space="preserve">, F.G. and </w:t>
      </w:r>
      <w:proofErr w:type="spellStart"/>
      <w:r>
        <w:rPr>
          <w:rFonts w:ascii="Times New Roman" w:hAnsi="Times New Roman"/>
        </w:rPr>
        <w:t>Gulec</w:t>
      </w:r>
      <w:proofErr w:type="spellEnd"/>
      <w:r>
        <w:rPr>
          <w:rFonts w:ascii="Times New Roman" w:hAnsi="Times New Roman"/>
        </w:rPr>
        <w:t xml:space="preserve">, B., 2022. How leadership style matters for innovative work </w:t>
      </w:r>
      <w:proofErr w:type="spellStart"/>
      <w:r>
        <w:rPr>
          <w:rFonts w:ascii="Times New Roman" w:hAnsi="Times New Roman"/>
        </w:rPr>
        <w:t>behavior</w:t>
      </w:r>
      <w:proofErr w:type="spellEnd"/>
      <w:r>
        <w:rPr>
          <w:rFonts w:ascii="Times New Roman" w:hAnsi="Times New Roman"/>
        </w:rPr>
        <w:t>. </w:t>
      </w:r>
      <w:r>
        <w:rPr>
          <w:rFonts w:ascii="Times New Roman" w:hAnsi="Times New Roman"/>
          <w:i/>
          <w:iCs/>
        </w:rPr>
        <w:t>Journal of Management Marketing and Logistics</w:t>
      </w:r>
      <w:r>
        <w:rPr>
          <w:rFonts w:ascii="Times New Roman" w:hAnsi="Times New Roman"/>
        </w:rPr>
        <w:t>, </w:t>
      </w:r>
      <w:r>
        <w:rPr>
          <w:rFonts w:ascii="Times New Roman" w:hAnsi="Times New Roman"/>
          <w:i/>
          <w:iCs/>
        </w:rPr>
        <w:t>9</w:t>
      </w:r>
      <w:r>
        <w:rPr>
          <w:rFonts w:ascii="Times New Roman" w:hAnsi="Times New Roman"/>
        </w:rPr>
        <w:t>(4), pp.136-146.</w:t>
      </w:r>
    </w:p>
    <w:p w14:paraId="6B600D61" w14:textId="77777777" w:rsidR="003A4C28" w:rsidRPr="000F2856" w:rsidRDefault="003A4C28" w:rsidP="003A4C28">
      <w:pPr>
        <w:spacing w:after="0"/>
        <w:jc w:val="both"/>
        <w:rPr>
          <w:rFonts w:ascii="Times New Roman" w:hAnsi="Times New Roman"/>
          <w:sz w:val="14"/>
          <w:szCs w:val="14"/>
        </w:rPr>
      </w:pPr>
    </w:p>
    <w:p w14:paraId="5EEE3C12" w14:textId="77777777" w:rsidR="003A4C28" w:rsidRDefault="003A4C28" w:rsidP="003A4C28">
      <w:pPr>
        <w:spacing w:after="0"/>
        <w:jc w:val="both"/>
      </w:pPr>
      <w:proofErr w:type="spellStart"/>
      <w:r>
        <w:rPr>
          <w:rFonts w:ascii="Times New Roman" w:hAnsi="Times New Roman"/>
        </w:rPr>
        <w:t>Gurtu</w:t>
      </w:r>
      <w:proofErr w:type="spellEnd"/>
      <w:r>
        <w:rPr>
          <w:rFonts w:ascii="Times New Roman" w:hAnsi="Times New Roman"/>
        </w:rPr>
        <w:t xml:space="preserve">, A., and Johny, J. (2021). Supply Chain Risk Management: Literature Review. Risks, 9(1), 16. </w:t>
      </w:r>
      <w:hyperlink r:id="rId94" w:history="1">
        <w:r>
          <w:rPr>
            <w:rStyle w:val="Hyperlink"/>
            <w:rFonts w:ascii="Times New Roman" w:hAnsi="Times New Roman"/>
          </w:rPr>
          <w:t>https://doi.org/10.3390/risks9010016</w:t>
        </w:r>
      </w:hyperlink>
    </w:p>
    <w:p w14:paraId="748365DD" w14:textId="77777777" w:rsidR="003A4C28" w:rsidRPr="000F2856" w:rsidRDefault="003A4C28" w:rsidP="003A4C28">
      <w:pPr>
        <w:spacing w:after="0"/>
        <w:jc w:val="both"/>
        <w:rPr>
          <w:rFonts w:ascii="Times New Roman" w:hAnsi="Times New Roman"/>
          <w:sz w:val="14"/>
          <w:szCs w:val="14"/>
        </w:rPr>
      </w:pPr>
    </w:p>
    <w:p w14:paraId="6FE7BBA1" w14:textId="77777777" w:rsidR="003A4C28" w:rsidRDefault="003A4C28" w:rsidP="003A4C28">
      <w:pPr>
        <w:spacing w:after="0"/>
        <w:jc w:val="both"/>
      </w:pPr>
      <w:r>
        <w:rPr>
          <w:rFonts w:ascii="Times New Roman" w:hAnsi="Times New Roman"/>
        </w:rPr>
        <w:t xml:space="preserve">Habib, K., Hamelin, L. &amp; Wenzel, H., (2016). A dynamic perspective of the geopolitical supply risk of metals. Journal of Cleaner Production 133, 850–858. </w:t>
      </w:r>
      <w:hyperlink r:id="rId95" w:history="1">
        <w:r>
          <w:rPr>
            <w:rStyle w:val="Hyperlink"/>
            <w:rFonts w:ascii="Times New Roman" w:hAnsi="Times New Roman"/>
          </w:rPr>
          <w:t>https://doi.org/10.1016/j.jclepro.2016.05.118</w:t>
        </w:r>
      </w:hyperlink>
    </w:p>
    <w:p w14:paraId="28160281" w14:textId="77777777" w:rsidR="003A4C28" w:rsidRPr="00BC7794" w:rsidRDefault="003A4C28" w:rsidP="003A4C28">
      <w:pPr>
        <w:jc w:val="both"/>
        <w:rPr>
          <w:rFonts w:ascii="Times New Roman" w:hAnsi="Times New Roman"/>
          <w:sz w:val="6"/>
          <w:szCs w:val="6"/>
        </w:rPr>
      </w:pPr>
    </w:p>
    <w:p w14:paraId="6F6AE1CE" w14:textId="77777777" w:rsidR="003A4C28" w:rsidRDefault="003A4C28" w:rsidP="003A4C28">
      <w:pPr>
        <w:jc w:val="both"/>
      </w:pPr>
      <w:r>
        <w:rPr>
          <w:rFonts w:ascii="Times New Roman" w:hAnsi="Times New Roman"/>
        </w:rPr>
        <w:t xml:space="preserve">Hajarath, K.R. and Chaitanya, K. (2025) ‘Geopolitical trade tensions and their strategic impact on global supply chains’, </w:t>
      </w:r>
      <w:r>
        <w:rPr>
          <w:rFonts w:ascii="Times New Roman" w:hAnsi="Times New Roman"/>
          <w:i/>
          <w:iCs/>
        </w:rPr>
        <w:t>International Journal of Global Innovations and Solutions</w:t>
      </w:r>
      <w:r>
        <w:rPr>
          <w:rFonts w:ascii="Times New Roman" w:hAnsi="Times New Roman"/>
        </w:rPr>
        <w:t>, 2(2).</w:t>
      </w:r>
    </w:p>
    <w:p w14:paraId="72659EF5" w14:textId="77777777" w:rsidR="003A4C28" w:rsidRDefault="003A4C28" w:rsidP="003A4C28">
      <w:pPr>
        <w:jc w:val="both"/>
      </w:pPr>
      <w:r>
        <w:rPr>
          <w:rFonts w:ascii="Times New Roman" w:hAnsi="Times New Roman"/>
        </w:rPr>
        <w:t xml:space="preserve">Han, X. and Marimuthu, A.L.A. (2025) ‘The role of leadership styles in project management: empirical assessment of leadership styles and risk management practices’, </w:t>
      </w:r>
      <w:r>
        <w:rPr>
          <w:rFonts w:ascii="Times New Roman" w:hAnsi="Times New Roman"/>
          <w:i/>
          <w:iCs/>
        </w:rPr>
        <w:t>International Journal of Applied Systemic Studies</w:t>
      </w:r>
      <w:r>
        <w:rPr>
          <w:rFonts w:ascii="Times New Roman" w:hAnsi="Times New Roman"/>
        </w:rPr>
        <w:t xml:space="preserve">, 12(3), pp. 286–300. </w:t>
      </w:r>
      <w:hyperlink r:id="rId96" w:history="1">
        <w:r>
          <w:rPr>
            <w:rStyle w:val="Hyperlink"/>
            <w:rFonts w:ascii="Times New Roman" w:hAnsi="Times New Roman"/>
          </w:rPr>
          <w:t>https://doi.org/10.1504/IJASS.2025.148190</w:t>
        </w:r>
      </w:hyperlink>
    </w:p>
    <w:p w14:paraId="3F901869" w14:textId="77777777" w:rsidR="003A4C28" w:rsidRDefault="003A4C28" w:rsidP="003A4C28">
      <w:pPr>
        <w:jc w:val="both"/>
      </w:pPr>
      <w:r>
        <w:rPr>
          <w:rFonts w:ascii="Times New Roman" w:hAnsi="Times New Roman"/>
        </w:rPr>
        <w:t>Haque, M.S., 2022. Inductive and/or deductive research designs. In </w:t>
      </w:r>
      <w:r>
        <w:rPr>
          <w:rFonts w:ascii="Times New Roman" w:hAnsi="Times New Roman"/>
          <w:i/>
          <w:iCs/>
        </w:rPr>
        <w:t>Principles of social research methodology</w:t>
      </w:r>
      <w:r>
        <w:rPr>
          <w:rFonts w:ascii="Times New Roman" w:hAnsi="Times New Roman"/>
        </w:rPr>
        <w:t> (pp. 59-71). Singapore: Springer Nature Singapore.</w:t>
      </w:r>
    </w:p>
    <w:p w14:paraId="16055448" w14:textId="77777777" w:rsidR="003A4C28" w:rsidRDefault="003A4C28" w:rsidP="003A4C28">
      <w:pPr>
        <w:spacing w:after="0"/>
        <w:jc w:val="both"/>
      </w:pPr>
      <w:r>
        <w:rPr>
          <w:rFonts w:ascii="Times New Roman" w:hAnsi="Times New Roman"/>
        </w:rPr>
        <w:t>Harrington, R.D., 2021. Natural disasters, terrorism, and civil unrest: crises that disrupt the tourism and travel industry-a brief overview. </w:t>
      </w:r>
      <w:r>
        <w:rPr>
          <w:rFonts w:ascii="Times New Roman" w:hAnsi="Times New Roman"/>
          <w:i/>
          <w:iCs/>
        </w:rPr>
        <w:t>Worldwide Hospitality and Tourism Themes</w:t>
      </w:r>
      <w:r>
        <w:rPr>
          <w:rFonts w:ascii="Times New Roman" w:hAnsi="Times New Roman"/>
        </w:rPr>
        <w:t>, </w:t>
      </w:r>
      <w:r>
        <w:rPr>
          <w:rFonts w:ascii="Times New Roman" w:hAnsi="Times New Roman"/>
          <w:i/>
          <w:iCs/>
        </w:rPr>
        <w:t>13</w:t>
      </w:r>
      <w:r>
        <w:rPr>
          <w:rFonts w:ascii="Times New Roman" w:hAnsi="Times New Roman"/>
        </w:rPr>
        <w:t>(3), pp.392-396.</w:t>
      </w:r>
    </w:p>
    <w:p w14:paraId="657F035A" w14:textId="77777777" w:rsidR="003A4C28" w:rsidRPr="00BC7794" w:rsidRDefault="003A4C28" w:rsidP="003A4C28">
      <w:pPr>
        <w:spacing w:after="0"/>
        <w:jc w:val="both"/>
        <w:rPr>
          <w:rFonts w:ascii="Times New Roman" w:hAnsi="Times New Roman"/>
          <w:sz w:val="14"/>
          <w:szCs w:val="14"/>
        </w:rPr>
      </w:pPr>
    </w:p>
    <w:p w14:paraId="54B0928C" w14:textId="77777777" w:rsidR="003A4C28" w:rsidRDefault="003A4C28" w:rsidP="003A4C28">
      <w:pPr>
        <w:spacing w:after="0"/>
        <w:jc w:val="both"/>
      </w:pPr>
      <w:r>
        <w:rPr>
          <w:rFonts w:ascii="Times New Roman" w:hAnsi="Times New Roman"/>
        </w:rPr>
        <w:t xml:space="preserve">Herrero, I., &amp; Hughes, M. (2019). When family social capital is too much of a good thing. </w:t>
      </w:r>
      <w:r>
        <w:rPr>
          <w:rFonts w:ascii="Times New Roman" w:hAnsi="Times New Roman"/>
          <w:i/>
          <w:iCs/>
        </w:rPr>
        <w:t>Journal of Family Business Strategy, 10</w:t>
      </w:r>
      <w:r>
        <w:rPr>
          <w:rFonts w:ascii="Times New Roman" w:hAnsi="Times New Roman"/>
        </w:rPr>
        <w:t xml:space="preserve">(3), 100271. </w:t>
      </w:r>
      <w:hyperlink r:id="rId97" w:history="1">
        <w:r>
          <w:rPr>
            <w:rStyle w:val="Hyperlink"/>
            <w:rFonts w:ascii="Times New Roman" w:hAnsi="Times New Roman"/>
          </w:rPr>
          <w:t>https://doi.org/10.1016/j.jfbs.2019.01.001</w:t>
        </w:r>
      </w:hyperlink>
    </w:p>
    <w:p w14:paraId="14F2F28F" w14:textId="77777777" w:rsidR="003A4C28" w:rsidRPr="00BC7794" w:rsidRDefault="003A4C28" w:rsidP="003A4C28">
      <w:pPr>
        <w:spacing w:after="0"/>
        <w:jc w:val="both"/>
        <w:rPr>
          <w:rFonts w:ascii="Times New Roman" w:hAnsi="Times New Roman"/>
          <w:sz w:val="12"/>
          <w:szCs w:val="12"/>
        </w:rPr>
      </w:pPr>
    </w:p>
    <w:p w14:paraId="4750086D" w14:textId="77777777" w:rsidR="003A4C28" w:rsidRDefault="003A4C28" w:rsidP="003A4C28">
      <w:pPr>
        <w:spacing w:after="0"/>
        <w:jc w:val="both"/>
      </w:pPr>
      <w:r>
        <w:rPr>
          <w:rFonts w:ascii="Times New Roman" w:hAnsi="Times New Roman"/>
        </w:rPr>
        <w:t xml:space="preserve">Hille, E. (2023). Europe’s energy crisis: Are geopolitical risks in source countries of fossil fuels accelerating the transition to renewable energy? Energy Economics 127, 107061. </w:t>
      </w:r>
      <w:hyperlink r:id="rId98" w:history="1">
        <w:r>
          <w:rPr>
            <w:rStyle w:val="Hyperlink"/>
            <w:rFonts w:ascii="Times New Roman" w:hAnsi="Times New Roman"/>
          </w:rPr>
          <w:t>https://doi.org/10.1016/j.eneco.2023.107061</w:t>
        </w:r>
      </w:hyperlink>
    </w:p>
    <w:p w14:paraId="64602B71" w14:textId="77777777" w:rsidR="003A4C28" w:rsidRPr="00BC7794" w:rsidRDefault="003A4C28" w:rsidP="003A4C28">
      <w:pPr>
        <w:jc w:val="both"/>
        <w:rPr>
          <w:rFonts w:ascii="Times New Roman" w:hAnsi="Times New Roman"/>
          <w:sz w:val="4"/>
          <w:szCs w:val="4"/>
        </w:rPr>
      </w:pPr>
    </w:p>
    <w:p w14:paraId="586F72D4" w14:textId="77777777" w:rsidR="003A4C28" w:rsidRDefault="003A4C28" w:rsidP="003A4C28">
      <w:pPr>
        <w:jc w:val="both"/>
      </w:pPr>
      <w:r>
        <w:rPr>
          <w:rFonts w:ascii="Times New Roman" w:hAnsi="Times New Roman"/>
        </w:rPr>
        <w:t xml:space="preserve">Hillmann, J. and Guenther, E. (2021) ‘Organizational resilience: A valuable construct for management research?’, </w:t>
      </w:r>
      <w:r>
        <w:rPr>
          <w:rFonts w:ascii="Times New Roman" w:hAnsi="Times New Roman"/>
          <w:i/>
          <w:iCs/>
        </w:rPr>
        <w:t>International Journal of Management Reviews</w:t>
      </w:r>
      <w:r>
        <w:rPr>
          <w:rFonts w:ascii="Times New Roman" w:hAnsi="Times New Roman"/>
        </w:rPr>
        <w:t xml:space="preserve">, 23(1), pp. 7–44. </w:t>
      </w:r>
      <w:hyperlink r:id="rId99" w:history="1">
        <w:r>
          <w:rPr>
            <w:rStyle w:val="Hyperlink"/>
            <w:rFonts w:ascii="Times New Roman" w:hAnsi="Times New Roman"/>
          </w:rPr>
          <w:t>https://doi.org/10.1111/ijmr.12239</w:t>
        </w:r>
      </w:hyperlink>
    </w:p>
    <w:p w14:paraId="4695149E" w14:textId="77777777" w:rsidR="003A4C28" w:rsidRDefault="003A4C28" w:rsidP="003A4C28">
      <w:pPr>
        <w:spacing w:after="0"/>
        <w:jc w:val="both"/>
      </w:pPr>
      <w:r>
        <w:rPr>
          <w:rFonts w:ascii="Times New Roman" w:hAnsi="Times New Roman"/>
        </w:rPr>
        <w:t xml:space="preserve">Hsu, W.-T., </w:t>
      </w:r>
      <w:proofErr w:type="spellStart"/>
      <w:r>
        <w:rPr>
          <w:rFonts w:ascii="Times New Roman" w:hAnsi="Times New Roman"/>
        </w:rPr>
        <w:t>Petavratzi</w:t>
      </w:r>
      <w:proofErr w:type="spellEnd"/>
      <w:r>
        <w:rPr>
          <w:rFonts w:ascii="Times New Roman" w:hAnsi="Times New Roman"/>
        </w:rPr>
        <w:t xml:space="preserve">, E., </w:t>
      </w:r>
      <w:proofErr w:type="spellStart"/>
      <w:r>
        <w:rPr>
          <w:rFonts w:ascii="Times New Roman" w:hAnsi="Times New Roman"/>
        </w:rPr>
        <w:t>Zils</w:t>
      </w:r>
      <w:proofErr w:type="spellEnd"/>
      <w:r>
        <w:rPr>
          <w:rFonts w:ascii="Times New Roman" w:hAnsi="Times New Roman"/>
        </w:rPr>
        <w:t xml:space="preserve">, M., Einarsson, S., </w:t>
      </w:r>
      <w:proofErr w:type="spellStart"/>
      <w:r>
        <w:rPr>
          <w:rFonts w:ascii="Times New Roman" w:hAnsi="Times New Roman"/>
        </w:rPr>
        <w:t>Khedmati</w:t>
      </w:r>
      <w:proofErr w:type="spellEnd"/>
      <w:r>
        <w:rPr>
          <w:rFonts w:ascii="Times New Roman" w:hAnsi="Times New Roman"/>
        </w:rPr>
        <w:t xml:space="preserve"> Morasae, E., Lysaght, O. and Hopkinson, P. (2024) ‘Mapping the flows and stocks of permanent magnets rare earth elements for powering a circular economy in the UK’, </w:t>
      </w:r>
      <w:r>
        <w:rPr>
          <w:rFonts w:ascii="Times New Roman" w:hAnsi="Times New Roman"/>
          <w:i/>
          <w:iCs/>
        </w:rPr>
        <w:t>Sustainable Production and Consumption</w:t>
      </w:r>
      <w:r>
        <w:rPr>
          <w:rFonts w:ascii="Times New Roman" w:hAnsi="Times New Roman"/>
        </w:rPr>
        <w:t xml:space="preserve">, 47, pp. 37–46. </w:t>
      </w:r>
      <w:hyperlink r:id="rId100" w:history="1">
        <w:r>
          <w:rPr>
            <w:rStyle w:val="Hyperlink"/>
            <w:rFonts w:ascii="Times New Roman" w:hAnsi="Times New Roman"/>
          </w:rPr>
          <w:t>https://doi.org/10.1016/j.spc.2024.03.XXX</w:t>
        </w:r>
      </w:hyperlink>
    </w:p>
    <w:p w14:paraId="6044D6ED" w14:textId="77777777" w:rsidR="003A4C28" w:rsidRPr="00BC7794" w:rsidRDefault="003A4C28" w:rsidP="003A4C28">
      <w:pPr>
        <w:spacing w:after="0"/>
        <w:jc w:val="both"/>
        <w:rPr>
          <w:rFonts w:ascii="Times New Roman" w:hAnsi="Times New Roman"/>
          <w:sz w:val="14"/>
          <w:szCs w:val="14"/>
        </w:rPr>
      </w:pPr>
    </w:p>
    <w:p w14:paraId="4BF620A8" w14:textId="77777777" w:rsidR="003A4C28" w:rsidRDefault="003A4C28" w:rsidP="003A4C28">
      <w:pPr>
        <w:spacing w:after="0"/>
        <w:jc w:val="both"/>
      </w:pPr>
      <w:r>
        <w:rPr>
          <w:rFonts w:ascii="Times New Roman" w:hAnsi="Times New Roman"/>
        </w:rPr>
        <w:t xml:space="preserve">Huddy, L., Del Ponte, A. and Davies, C. (2021) ‘Nationalism, patriotism, and support for the European Union’, </w:t>
      </w:r>
      <w:r>
        <w:rPr>
          <w:rFonts w:ascii="Times New Roman" w:hAnsi="Times New Roman"/>
          <w:i/>
          <w:iCs/>
        </w:rPr>
        <w:t>Political Psychology</w:t>
      </w:r>
      <w:r>
        <w:rPr>
          <w:rFonts w:ascii="Times New Roman" w:hAnsi="Times New Roman"/>
        </w:rPr>
        <w:t>, 42(6), pp. 995–1017.</w:t>
      </w:r>
    </w:p>
    <w:p w14:paraId="3C4FAFB6" w14:textId="77777777" w:rsidR="003A4C28" w:rsidRPr="00BC7794" w:rsidRDefault="003A4C28" w:rsidP="003A4C28">
      <w:pPr>
        <w:jc w:val="both"/>
        <w:rPr>
          <w:rFonts w:ascii="Times New Roman" w:hAnsi="Times New Roman"/>
          <w:sz w:val="2"/>
          <w:szCs w:val="2"/>
        </w:rPr>
      </w:pPr>
    </w:p>
    <w:p w14:paraId="5814BB6C" w14:textId="77777777" w:rsidR="003A4C28" w:rsidRDefault="003A4C28" w:rsidP="003A4C28">
      <w:pPr>
        <w:jc w:val="both"/>
      </w:pPr>
      <w:r>
        <w:rPr>
          <w:rFonts w:ascii="Times New Roman" w:hAnsi="Times New Roman"/>
        </w:rPr>
        <w:t>Huerta de Soto, J., 2024. Criticism of Positivism. In </w:t>
      </w:r>
      <w:r>
        <w:rPr>
          <w:rFonts w:ascii="Times New Roman" w:hAnsi="Times New Roman"/>
          <w:i/>
          <w:iCs/>
        </w:rPr>
        <w:t>Lectures in Austrian Economics, Volume I: Human Action, Competition Theory, Entrepreneurship, and Price Theory</w:t>
      </w:r>
      <w:r>
        <w:rPr>
          <w:rFonts w:ascii="Times New Roman" w:hAnsi="Times New Roman"/>
        </w:rPr>
        <w:t> (pp. 151-166). Cham: Springer Nature Switzerland.</w:t>
      </w:r>
    </w:p>
    <w:p w14:paraId="2E670410" w14:textId="77777777" w:rsidR="003A4C28" w:rsidRDefault="003A4C28" w:rsidP="003A4C28">
      <w:pPr>
        <w:jc w:val="both"/>
      </w:pPr>
      <w:proofErr w:type="spellStart"/>
      <w:r>
        <w:rPr>
          <w:rFonts w:ascii="Times New Roman" w:hAnsi="Times New Roman"/>
        </w:rPr>
        <w:t>Hyyryläinen</w:t>
      </w:r>
      <w:proofErr w:type="spellEnd"/>
      <w:r>
        <w:rPr>
          <w:rFonts w:ascii="Times New Roman" w:hAnsi="Times New Roman"/>
        </w:rPr>
        <w:t xml:space="preserve">, A. (2025) </w:t>
      </w:r>
      <w:r>
        <w:rPr>
          <w:rFonts w:ascii="Times New Roman" w:hAnsi="Times New Roman"/>
          <w:i/>
          <w:iCs/>
        </w:rPr>
        <w:t>Rare-earth metals as part of a global supply chain: A literature review and industry macro-risk analysis of global rare-earth supply chains</w:t>
      </w:r>
      <w:r>
        <w:rPr>
          <w:rFonts w:ascii="Times New Roman" w:hAnsi="Times New Roman"/>
        </w:rPr>
        <w:t xml:space="preserve">. Bachelor’s Thesis. School of Engineering Science, LUT University. Available at: </w:t>
      </w:r>
      <w:hyperlink r:id="rId101" w:history="1">
        <w:r>
          <w:rPr>
            <w:rStyle w:val="Hyperlink"/>
            <w:rFonts w:ascii="Times New Roman" w:hAnsi="Times New Roman"/>
          </w:rPr>
          <w:t>https://urn.fi/URN:NBN:fi-fe2025091195349</w:t>
        </w:r>
      </w:hyperlink>
      <w:r>
        <w:rPr>
          <w:rFonts w:ascii="Times New Roman" w:hAnsi="Times New Roman"/>
        </w:rPr>
        <w:t>.</w:t>
      </w:r>
    </w:p>
    <w:p w14:paraId="4113ADE2" w14:textId="77777777" w:rsidR="003A4C28" w:rsidRDefault="003A4C28" w:rsidP="003A4C28">
      <w:pPr>
        <w:spacing w:after="0"/>
        <w:jc w:val="both"/>
      </w:pPr>
      <w:r>
        <w:rPr>
          <w:rFonts w:ascii="Times New Roman" w:hAnsi="Times New Roman"/>
        </w:rPr>
        <w:t xml:space="preserve">IEA (2025) </w:t>
      </w:r>
      <w:r>
        <w:rPr>
          <w:rFonts w:ascii="Times New Roman" w:hAnsi="Times New Roman"/>
          <w:i/>
          <w:iCs/>
        </w:rPr>
        <w:t>Global critical minerals outlook 2025</w:t>
      </w:r>
      <w:r>
        <w:rPr>
          <w:rFonts w:ascii="Times New Roman" w:hAnsi="Times New Roman"/>
        </w:rPr>
        <w:t xml:space="preserve">. Available at: </w:t>
      </w:r>
      <w:hyperlink r:id="rId102" w:history="1">
        <w:r>
          <w:rPr>
            <w:rStyle w:val="Hyperlink"/>
            <w:rFonts w:ascii="Times New Roman" w:hAnsi="Times New Roman"/>
          </w:rPr>
          <w:t>https://www.iea.org/reports/global-critical-minerals-outlook-2025</w:t>
        </w:r>
      </w:hyperlink>
    </w:p>
    <w:p w14:paraId="2B02894D" w14:textId="77777777" w:rsidR="003A4C28" w:rsidRPr="00BC7794" w:rsidRDefault="003A4C28" w:rsidP="003A4C28">
      <w:pPr>
        <w:spacing w:after="0"/>
        <w:jc w:val="both"/>
        <w:rPr>
          <w:rFonts w:ascii="Times New Roman" w:hAnsi="Times New Roman"/>
          <w:sz w:val="12"/>
          <w:szCs w:val="12"/>
        </w:rPr>
      </w:pPr>
    </w:p>
    <w:p w14:paraId="1B5A0C6B" w14:textId="77777777" w:rsidR="003A4C28" w:rsidRDefault="003A4C28" w:rsidP="003A4C28">
      <w:pPr>
        <w:spacing w:after="0"/>
        <w:jc w:val="both"/>
      </w:pPr>
      <w:r>
        <w:rPr>
          <w:rFonts w:ascii="Times New Roman" w:hAnsi="Times New Roman"/>
        </w:rPr>
        <w:t xml:space="preserve">Iftikhar, A. and Vlachos, I. (2025) ‘Supply chain resilience in the face of geopolitical turmoil’, in </w:t>
      </w:r>
      <w:r>
        <w:rPr>
          <w:rFonts w:ascii="Times New Roman" w:hAnsi="Times New Roman"/>
          <w:i/>
          <w:iCs/>
        </w:rPr>
        <w:t>Global Value Chains and Geopolitical Uncertainty</w:t>
      </w:r>
      <w:r>
        <w:rPr>
          <w:rFonts w:ascii="Times New Roman" w:hAnsi="Times New Roman"/>
        </w:rPr>
        <w:t>, pp. 142–156. Routledge.</w:t>
      </w:r>
    </w:p>
    <w:p w14:paraId="689B163F" w14:textId="77777777" w:rsidR="003A4C28" w:rsidRPr="00BC7794" w:rsidRDefault="003A4C28" w:rsidP="003A4C28">
      <w:pPr>
        <w:spacing w:after="0"/>
        <w:jc w:val="both"/>
        <w:rPr>
          <w:rFonts w:ascii="Times New Roman" w:hAnsi="Times New Roman"/>
          <w:sz w:val="12"/>
          <w:szCs w:val="12"/>
        </w:rPr>
      </w:pPr>
    </w:p>
    <w:p w14:paraId="20B163A1" w14:textId="77777777" w:rsidR="003A4C28" w:rsidRDefault="003A4C28" w:rsidP="003A4C28">
      <w:pPr>
        <w:spacing w:after="0"/>
        <w:jc w:val="both"/>
      </w:pPr>
      <w:proofErr w:type="spellStart"/>
      <w:r>
        <w:rPr>
          <w:rFonts w:ascii="Times New Roman" w:hAnsi="Times New Roman"/>
        </w:rPr>
        <w:lastRenderedPageBreak/>
        <w:t>İncekara</w:t>
      </w:r>
      <w:proofErr w:type="spellEnd"/>
      <w:r>
        <w:rPr>
          <w:rFonts w:ascii="Times New Roman" w:hAnsi="Times New Roman"/>
        </w:rPr>
        <w:t xml:space="preserve">, R. and </w:t>
      </w:r>
      <w:proofErr w:type="spellStart"/>
      <w:r>
        <w:rPr>
          <w:rFonts w:ascii="Times New Roman" w:hAnsi="Times New Roman"/>
        </w:rPr>
        <w:t>İncekara</w:t>
      </w:r>
      <w:proofErr w:type="spellEnd"/>
      <w:r>
        <w:rPr>
          <w:rFonts w:ascii="Times New Roman" w:hAnsi="Times New Roman"/>
        </w:rPr>
        <w:t xml:space="preserve">, B. (2024). Effects of economic and geopolitical risks on the supply chain: An econometric analysis. </w:t>
      </w:r>
      <w:r>
        <w:rPr>
          <w:rFonts w:ascii="Times New Roman" w:hAnsi="Times New Roman"/>
          <w:i/>
          <w:iCs/>
        </w:rPr>
        <w:t>Journal of Management Marketing and Logistics, 11</w:t>
      </w:r>
      <w:r>
        <w:rPr>
          <w:rFonts w:ascii="Times New Roman" w:hAnsi="Times New Roman"/>
        </w:rPr>
        <w:t>(2), 131–141.</w:t>
      </w:r>
    </w:p>
    <w:p w14:paraId="5047CAD0" w14:textId="77777777" w:rsidR="003A4C28" w:rsidRDefault="003A4C28" w:rsidP="003A4C28">
      <w:pPr>
        <w:spacing w:after="0"/>
        <w:jc w:val="both"/>
      </w:pPr>
      <w:r>
        <w:rPr>
          <w:rFonts w:ascii="Times New Roman" w:hAnsi="Times New Roman"/>
        </w:rPr>
        <w:t xml:space="preserve">Innovate UK Business Connect (2025) </w:t>
      </w:r>
      <w:r>
        <w:rPr>
          <w:rFonts w:ascii="Times New Roman" w:hAnsi="Times New Roman"/>
          <w:i/>
          <w:iCs/>
        </w:rPr>
        <w:t>Innovation Landscape Report: Rare Earth Exploration, Extraction, Beneficiation and Concentration</w:t>
      </w:r>
      <w:r>
        <w:rPr>
          <w:rFonts w:ascii="Times New Roman" w:hAnsi="Times New Roman"/>
        </w:rPr>
        <w:t>. Edited by M. Reeves. UK Research and Innovation (UKRI), July 2025.</w:t>
      </w:r>
    </w:p>
    <w:p w14:paraId="6D3C77A9" w14:textId="77777777" w:rsidR="003A4C28" w:rsidRPr="007675C4" w:rsidRDefault="003A4C28" w:rsidP="003A4C28">
      <w:pPr>
        <w:spacing w:after="0"/>
        <w:jc w:val="both"/>
        <w:rPr>
          <w:rFonts w:ascii="Times New Roman" w:hAnsi="Times New Roman"/>
          <w:sz w:val="10"/>
          <w:szCs w:val="10"/>
        </w:rPr>
      </w:pPr>
    </w:p>
    <w:p w14:paraId="43C77007" w14:textId="77777777" w:rsidR="003A4C28" w:rsidRDefault="003A4C28" w:rsidP="003A4C28">
      <w:pPr>
        <w:spacing w:after="0"/>
        <w:jc w:val="both"/>
      </w:pPr>
      <w:r>
        <w:rPr>
          <w:rFonts w:ascii="Times New Roman" w:hAnsi="Times New Roman"/>
        </w:rPr>
        <w:t xml:space="preserve">International Energy Agency (2025) </w:t>
      </w:r>
      <w:r>
        <w:rPr>
          <w:rFonts w:ascii="Times New Roman" w:hAnsi="Times New Roman"/>
          <w:i/>
          <w:iCs/>
        </w:rPr>
        <w:t>Global critical minerals outlook 2025</w:t>
      </w:r>
      <w:r>
        <w:rPr>
          <w:rFonts w:ascii="Times New Roman" w:hAnsi="Times New Roman"/>
        </w:rPr>
        <w:t xml:space="preserve">. Available at: </w:t>
      </w:r>
      <w:hyperlink r:id="rId103" w:history="1">
        <w:r>
          <w:rPr>
            <w:rStyle w:val="Hyperlink"/>
            <w:rFonts w:ascii="Times New Roman" w:hAnsi="Times New Roman"/>
          </w:rPr>
          <w:t>https://www.iea.org/reports/global-critical-minerals-outlook-2025</w:t>
        </w:r>
      </w:hyperlink>
    </w:p>
    <w:p w14:paraId="55218A18" w14:textId="77777777" w:rsidR="003A4C28" w:rsidRPr="007675C4" w:rsidRDefault="003A4C28" w:rsidP="003A4C28">
      <w:pPr>
        <w:jc w:val="both"/>
        <w:rPr>
          <w:rFonts w:ascii="Times New Roman" w:hAnsi="Times New Roman"/>
          <w:sz w:val="6"/>
          <w:szCs w:val="6"/>
        </w:rPr>
      </w:pPr>
    </w:p>
    <w:p w14:paraId="02BB947D" w14:textId="77777777" w:rsidR="003A4C28" w:rsidRDefault="003A4C28" w:rsidP="003A4C28">
      <w:pPr>
        <w:jc w:val="both"/>
      </w:pPr>
      <w:r>
        <w:rPr>
          <w:rFonts w:ascii="Times New Roman" w:hAnsi="Times New Roman"/>
        </w:rPr>
        <w:t xml:space="preserve">Jaja, I.R., </w:t>
      </w:r>
      <w:proofErr w:type="spellStart"/>
      <w:r>
        <w:rPr>
          <w:rFonts w:ascii="Times New Roman" w:hAnsi="Times New Roman"/>
        </w:rPr>
        <w:t>Idoniboye</w:t>
      </w:r>
      <w:proofErr w:type="spellEnd"/>
      <w:r>
        <w:rPr>
          <w:rFonts w:ascii="Times New Roman" w:hAnsi="Times New Roman"/>
        </w:rPr>
        <w:t>, O. and Amadi, C.C., 2022. A critique of the positivist paradigm in human sciences. </w:t>
      </w:r>
      <w:r>
        <w:rPr>
          <w:rFonts w:ascii="Times New Roman" w:hAnsi="Times New Roman"/>
          <w:i/>
          <w:iCs/>
        </w:rPr>
        <w:t>International Journal of Research and Innovation in Social Science</w:t>
      </w:r>
      <w:r>
        <w:rPr>
          <w:rFonts w:ascii="Times New Roman" w:hAnsi="Times New Roman"/>
        </w:rPr>
        <w:t>, </w:t>
      </w:r>
      <w:r>
        <w:rPr>
          <w:rFonts w:ascii="Times New Roman" w:hAnsi="Times New Roman"/>
          <w:i/>
          <w:iCs/>
        </w:rPr>
        <w:t>6</w:t>
      </w:r>
      <w:r>
        <w:rPr>
          <w:rFonts w:ascii="Times New Roman" w:hAnsi="Times New Roman"/>
        </w:rPr>
        <w:t>(3), pp.224-229.</w:t>
      </w:r>
    </w:p>
    <w:p w14:paraId="713C23BF" w14:textId="77777777" w:rsidR="003A4C28" w:rsidRDefault="003A4C28" w:rsidP="003A4C28">
      <w:pPr>
        <w:jc w:val="both"/>
      </w:pPr>
      <w:r>
        <w:rPr>
          <w:rFonts w:ascii="Times New Roman" w:hAnsi="Times New Roman"/>
        </w:rPr>
        <w:t xml:space="preserve">Ji, S. (2026) </w:t>
      </w:r>
      <w:r>
        <w:rPr>
          <w:rFonts w:ascii="Times New Roman" w:hAnsi="Times New Roman"/>
          <w:i/>
          <w:iCs/>
        </w:rPr>
        <w:t>Operational and supply chain resilience during geopolitical disruptions: A multiple perspective analysis</w:t>
      </w:r>
      <w:r>
        <w:rPr>
          <w:rFonts w:ascii="Times New Roman" w:hAnsi="Times New Roman"/>
        </w:rPr>
        <w:t>. PhD thesis, Trinity Business School, Trinity College Dublin, University of Dublin.</w:t>
      </w:r>
    </w:p>
    <w:p w14:paraId="2B345A44" w14:textId="77777777" w:rsidR="003A4C28" w:rsidRDefault="003A4C28" w:rsidP="003A4C28">
      <w:pPr>
        <w:spacing w:after="0"/>
        <w:jc w:val="both"/>
      </w:pPr>
      <w:r>
        <w:rPr>
          <w:rFonts w:ascii="Times New Roman" w:hAnsi="Times New Roman"/>
        </w:rPr>
        <w:t xml:space="preserve">Johnson, R.B. (2017) ‘Dialectical pluralism: A metaparadigm whose time has come’, </w:t>
      </w:r>
      <w:r>
        <w:rPr>
          <w:rFonts w:ascii="Times New Roman" w:hAnsi="Times New Roman"/>
          <w:i/>
          <w:iCs/>
        </w:rPr>
        <w:t>Journal of Mixed Methods Research</w:t>
      </w:r>
      <w:r>
        <w:rPr>
          <w:rFonts w:ascii="Times New Roman" w:hAnsi="Times New Roman"/>
        </w:rPr>
        <w:t>, 11(2), pp. 156–173.</w:t>
      </w:r>
    </w:p>
    <w:p w14:paraId="1277A145" w14:textId="77777777" w:rsidR="003A4C28" w:rsidRPr="007675C4" w:rsidRDefault="003A4C28" w:rsidP="003A4C28">
      <w:pPr>
        <w:spacing w:after="0"/>
        <w:jc w:val="both"/>
        <w:rPr>
          <w:rFonts w:ascii="Times New Roman" w:hAnsi="Times New Roman"/>
          <w:sz w:val="10"/>
          <w:szCs w:val="10"/>
        </w:rPr>
      </w:pPr>
    </w:p>
    <w:p w14:paraId="1272A13F" w14:textId="77777777" w:rsidR="003A4C28" w:rsidRDefault="003A4C28" w:rsidP="003A4C28">
      <w:pPr>
        <w:spacing w:after="0"/>
        <w:jc w:val="both"/>
      </w:pPr>
      <w:r>
        <w:rPr>
          <w:rFonts w:ascii="Times New Roman" w:hAnsi="Times New Roman"/>
        </w:rPr>
        <w:t xml:space="preserve">Johnson, R.B. and Onwuegbuzie, A.J. (2004) ‘Mixed methods research: A research paradigm whose time has come’, </w:t>
      </w:r>
      <w:r>
        <w:rPr>
          <w:rFonts w:ascii="Times New Roman" w:hAnsi="Times New Roman"/>
          <w:i/>
          <w:iCs/>
        </w:rPr>
        <w:t>Educational Researcher</w:t>
      </w:r>
      <w:r>
        <w:rPr>
          <w:rFonts w:ascii="Times New Roman" w:hAnsi="Times New Roman"/>
        </w:rPr>
        <w:t>, 33(7), pp. 14–26.</w:t>
      </w:r>
    </w:p>
    <w:p w14:paraId="52A0A4CF" w14:textId="77777777" w:rsidR="003A4C28" w:rsidRPr="007675C4" w:rsidRDefault="003A4C28" w:rsidP="003A4C28">
      <w:pPr>
        <w:spacing w:after="0"/>
        <w:jc w:val="both"/>
        <w:rPr>
          <w:rFonts w:ascii="Times New Roman" w:hAnsi="Times New Roman"/>
          <w:sz w:val="10"/>
          <w:szCs w:val="10"/>
        </w:rPr>
      </w:pPr>
    </w:p>
    <w:p w14:paraId="77DF7881" w14:textId="77777777" w:rsidR="003A4C28" w:rsidRDefault="003A4C28" w:rsidP="003A4C28">
      <w:pPr>
        <w:spacing w:after="0"/>
        <w:jc w:val="both"/>
      </w:pPr>
      <w:r>
        <w:rPr>
          <w:rFonts w:ascii="Times New Roman" w:hAnsi="Times New Roman"/>
        </w:rPr>
        <w:t xml:space="preserve">Johnston, S.A. (2023) ‘Choose your target wisely: how the EU shapes nationalism in contemporary Europe’, </w:t>
      </w:r>
      <w:r>
        <w:rPr>
          <w:rFonts w:ascii="Times New Roman" w:hAnsi="Times New Roman"/>
          <w:i/>
          <w:iCs/>
        </w:rPr>
        <w:t>West European Politics</w:t>
      </w:r>
      <w:r>
        <w:rPr>
          <w:rFonts w:ascii="Times New Roman" w:hAnsi="Times New Roman"/>
        </w:rPr>
        <w:t>, 46(1), pp. 196–218.</w:t>
      </w:r>
    </w:p>
    <w:p w14:paraId="531EEEDD" w14:textId="77777777" w:rsidR="003A4C28" w:rsidRPr="007675C4" w:rsidRDefault="003A4C28" w:rsidP="003A4C28">
      <w:pPr>
        <w:spacing w:after="0"/>
        <w:jc w:val="both"/>
        <w:rPr>
          <w:rFonts w:ascii="Times New Roman" w:hAnsi="Times New Roman"/>
          <w:sz w:val="12"/>
          <w:szCs w:val="12"/>
        </w:rPr>
      </w:pPr>
    </w:p>
    <w:p w14:paraId="64BE73D1" w14:textId="77777777" w:rsidR="003A4C28" w:rsidRDefault="003A4C28" w:rsidP="003A4C28">
      <w:pPr>
        <w:spacing w:after="0"/>
        <w:jc w:val="both"/>
      </w:pPr>
      <w:r>
        <w:rPr>
          <w:rFonts w:ascii="Times New Roman" w:hAnsi="Times New Roman"/>
        </w:rPr>
        <w:t xml:space="preserve">Juliana, B. M., Prabowo, H., </w:t>
      </w:r>
      <w:proofErr w:type="spellStart"/>
      <w:r>
        <w:rPr>
          <w:rFonts w:ascii="Times New Roman" w:hAnsi="Times New Roman"/>
        </w:rPr>
        <w:t>Hamsal</w:t>
      </w:r>
      <w:proofErr w:type="spellEnd"/>
      <w:r>
        <w:rPr>
          <w:rFonts w:ascii="Times New Roman" w:hAnsi="Times New Roman"/>
        </w:rPr>
        <w:t xml:space="preserve">, M and </w:t>
      </w:r>
      <w:proofErr w:type="spellStart"/>
      <w:r>
        <w:rPr>
          <w:rFonts w:ascii="Times New Roman" w:hAnsi="Times New Roman"/>
        </w:rPr>
        <w:t>Alamsjah</w:t>
      </w:r>
      <w:proofErr w:type="spellEnd"/>
      <w:r>
        <w:rPr>
          <w:rFonts w:ascii="Times New Roman" w:hAnsi="Times New Roman"/>
        </w:rPr>
        <w:t xml:space="preserve">, F. (2024). The impact of digital adoption and adaptive leadership on organisational resilience: A case study of Indonesian banks. </w:t>
      </w:r>
      <w:r>
        <w:rPr>
          <w:rFonts w:ascii="Times New Roman" w:hAnsi="Times New Roman"/>
          <w:i/>
          <w:iCs/>
        </w:rPr>
        <w:t>International Journal of Business Forecasting and Marketing Intelligence, 9</w:t>
      </w:r>
      <w:r>
        <w:rPr>
          <w:rFonts w:ascii="Times New Roman" w:hAnsi="Times New Roman"/>
        </w:rPr>
        <w:t>(4), 434–449.</w:t>
      </w:r>
    </w:p>
    <w:p w14:paraId="796E0977" w14:textId="77777777" w:rsidR="003A4C28" w:rsidRDefault="003A4C28" w:rsidP="003A4C28">
      <w:pPr>
        <w:spacing w:after="0"/>
        <w:jc w:val="both"/>
      </w:pPr>
      <w:proofErr w:type="spellStart"/>
      <w:r>
        <w:rPr>
          <w:rFonts w:ascii="Times New Roman" w:hAnsi="Times New Roman"/>
        </w:rPr>
        <w:t>Kalantzakos</w:t>
      </w:r>
      <w:proofErr w:type="spellEnd"/>
      <w:r>
        <w:rPr>
          <w:rFonts w:ascii="Times New Roman" w:hAnsi="Times New Roman"/>
        </w:rPr>
        <w:t xml:space="preserve">, S. (2017) </w:t>
      </w:r>
      <w:r>
        <w:rPr>
          <w:rFonts w:ascii="Times New Roman" w:hAnsi="Times New Roman"/>
          <w:i/>
          <w:iCs/>
        </w:rPr>
        <w:t>China and the geopolitics of rare earths</w:t>
      </w:r>
      <w:r>
        <w:rPr>
          <w:rFonts w:ascii="Times New Roman" w:hAnsi="Times New Roman"/>
        </w:rPr>
        <w:t>. Oxford: Oxford University Press.</w:t>
      </w:r>
    </w:p>
    <w:p w14:paraId="0D6E13B1" w14:textId="77777777" w:rsidR="003A4C28" w:rsidRDefault="003A4C28" w:rsidP="003A4C28">
      <w:pPr>
        <w:spacing w:after="0"/>
        <w:jc w:val="both"/>
      </w:pPr>
      <w:proofErr w:type="spellStart"/>
      <w:r>
        <w:rPr>
          <w:rFonts w:ascii="Times New Roman" w:hAnsi="Times New Roman"/>
        </w:rPr>
        <w:t>Kalantzakos</w:t>
      </w:r>
      <w:proofErr w:type="spellEnd"/>
      <w:r>
        <w:rPr>
          <w:rFonts w:ascii="Times New Roman" w:hAnsi="Times New Roman"/>
        </w:rPr>
        <w:t xml:space="preserve">, S. (2019) ‘The geopolitics of critical minerals’, </w:t>
      </w:r>
      <w:r>
        <w:rPr>
          <w:rFonts w:ascii="Times New Roman" w:hAnsi="Times New Roman"/>
          <w:i/>
          <w:iCs/>
        </w:rPr>
        <w:t>IAI Papers</w:t>
      </w:r>
      <w:r>
        <w:rPr>
          <w:rFonts w:ascii="Times New Roman" w:hAnsi="Times New Roman"/>
        </w:rPr>
        <w:t>.</w:t>
      </w:r>
    </w:p>
    <w:p w14:paraId="52F631B6" w14:textId="77777777" w:rsidR="003A4C28" w:rsidRPr="007675C4" w:rsidRDefault="003A4C28" w:rsidP="003A4C28">
      <w:pPr>
        <w:spacing w:after="0"/>
        <w:jc w:val="both"/>
        <w:rPr>
          <w:rFonts w:ascii="Times New Roman" w:hAnsi="Times New Roman"/>
          <w:sz w:val="16"/>
          <w:szCs w:val="16"/>
        </w:rPr>
      </w:pPr>
    </w:p>
    <w:p w14:paraId="49DDE6BD" w14:textId="77777777" w:rsidR="003A4C28" w:rsidRDefault="003A4C28" w:rsidP="003A4C28">
      <w:pPr>
        <w:spacing w:after="0"/>
        <w:jc w:val="both"/>
      </w:pPr>
      <w:r>
        <w:rPr>
          <w:rFonts w:ascii="Times New Roman" w:hAnsi="Times New Roman"/>
        </w:rPr>
        <w:t xml:space="preserve">Khan, K., Khurshid, A. &amp; Cifuentes-Faura, J., (2023). Is geopolitics a new risk to environmental policy in the European union? </w:t>
      </w:r>
      <w:r>
        <w:rPr>
          <w:rFonts w:ascii="Times New Roman" w:hAnsi="Times New Roman"/>
          <w:i/>
          <w:iCs/>
        </w:rPr>
        <w:t>Journal of Environmental Management</w:t>
      </w:r>
      <w:r>
        <w:rPr>
          <w:rFonts w:ascii="Times New Roman" w:hAnsi="Times New Roman"/>
        </w:rPr>
        <w:t xml:space="preserve"> 345, 118868. </w:t>
      </w:r>
      <w:hyperlink r:id="rId104" w:history="1">
        <w:r>
          <w:rPr>
            <w:rStyle w:val="Hyperlink"/>
            <w:rFonts w:ascii="Times New Roman" w:hAnsi="Times New Roman"/>
          </w:rPr>
          <w:t>https://doi.org/10.1016/j.jenvman.2023.118868</w:t>
        </w:r>
      </w:hyperlink>
    </w:p>
    <w:p w14:paraId="60E9AF68" w14:textId="77777777" w:rsidR="003A4C28" w:rsidRPr="007675C4" w:rsidRDefault="003A4C28" w:rsidP="003A4C28">
      <w:pPr>
        <w:spacing w:after="0"/>
        <w:jc w:val="both"/>
        <w:rPr>
          <w:rFonts w:ascii="Times New Roman" w:hAnsi="Times New Roman"/>
          <w:sz w:val="16"/>
          <w:szCs w:val="16"/>
        </w:rPr>
      </w:pPr>
    </w:p>
    <w:p w14:paraId="7FFB254F" w14:textId="77777777" w:rsidR="003A4C28" w:rsidRDefault="003A4C28" w:rsidP="003A4C28">
      <w:pPr>
        <w:spacing w:after="0"/>
        <w:jc w:val="both"/>
      </w:pPr>
      <w:r>
        <w:rPr>
          <w:rFonts w:ascii="Times New Roman" w:hAnsi="Times New Roman"/>
        </w:rPr>
        <w:t xml:space="preserve">Khan, T. and Emon, M.M.H. (2025) ‘Preparing for the next disruption: lessons learned from past crises and building a playbook for future supply chain shocks’, in </w:t>
      </w:r>
      <w:r>
        <w:rPr>
          <w:rFonts w:ascii="Times New Roman" w:hAnsi="Times New Roman"/>
          <w:i/>
          <w:iCs/>
        </w:rPr>
        <w:t>Supply Chain Disruptions and Impact on Global Inflation</w:t>
      </w:r>
      <w:r>
        <w:rPr>
          <w:rFonts w:ascii="Times New Roman" w:hAnsi="Times New Roman"/>
        </w:rPr>
        <w:t>, pp. 253–286. IGI Global.</w:t>
      </w:r>
    </w:p>
    <w:p w14:paraId="60D3438E" w14:textId="77777777" w:rsidR="003A4C28" w:rsidRPr="007675C4" w:rsidRDefault="003A4C28" w:rsidP="003A4C28">
      <w:pPr>
        <w:jc w:val="both"/>
        <w:rPr>
          <w:rFonts w:ascii="Times New Roman" w:hAnsi="Times New Roman"/>
          <w:sz w:val="2"/>
          <w:szCs w:val="2"/>
        </w:rPr>
      </w:pPr>
    </w:p>
    <w:p w14:paraId="23D3822B" w14:textId="77777777" w:rsidR="003A4C28" w:rsidRDefault="003A4C28" w:rsidP="003A4C28">
      <w:pPr>
        <w:jc w:val="both"/>
      </w:pPr>
      <w:proofErr w:type="spellStart"/>
      <w:r>
        <w:rPr>
          <w:rFonts w:ascii="Times New Roman" w:hAnsi="Times New Roman"/>
        </w:rPr>
        <w:t>Khanday</w:t>
      </w:r>
      <w:proofErr w:type="spellEnd"/>
      <w:r>
        <w:rPr>
          <w:rFonts w:ascii="Times New Roman" w:hAnsi="Times New Roman"/>
        </w:rPr>
        <w:t>, S.A., Vali, K.M., Junaid, M. and Ahmad, M., 2024. Understanding positivism: A qualitative exploration of its principles and relevance today. </w:t>
      </w:r>
      <w:r>
        <w:rPr>
          <w:rFonts w:ascii="Times New Roman" w:hAnsi="Times New Roman"/>
          <w:i/>
          <w:iCs/>
        </w:rPr>
        <w:t>European Journal of Applied Sciences–Vol</w:t>
      </w:r>
      <w:r>
        <w:rPr>
          <w:rFonts w:ascii="Times New Roman" w:hAnsi="Times New Roman"/>
        </w:rPr>
        <w:t>, </w:t>
      </w:r>
      <w:r>
        <w:rPr>
          <w:rFonts w:ascii="Times New Roman" w:hAnsi="Times New Roman"/>
          <w:i/>
          <w:iCs/>
        </w:rPr>
        <w:t>12</w:t>
      </w:r>
      <w:r>
        <w:rPr>
          <w:rFonts w:ascii="Times New Roman" w:hAnsi="Times New Roman"/>
        </w:rPr>
        <w:t>(6).</w:t>
      </w:r>
    </w:p>
    <w:p w14:paraId="04356E76" w14:textId="77777777" w:rsidR="003A4C28" w:rsidRDefault="003A4C28" w:rsidP="003A4C28">
      <w:pPr>
        <w:spacing w:after="0"/>
        <w:jc w:val="both"/>
      </w:pPr>
      <w:r>
        <w:rPr>
          <w:rFonts w:ascii="Times New Roman" w:hAnsi="Times New Roman"/>
        </w:rPr>
        <w:t xml:space="preserve">Kobrin, S.J. (2022) </w:t>
      </w:r>
      <w:r>
        <w:rPr>
          <w:rFonts w:ascii="Times New Roman" w:hAnsi="Times New Roman"/>
          <w:i/>
          <w:iCs/>
        </w:rPr>
        <w:t>Managing political risk assessment: Strategic response to environmental change</w:t>
      </w:r>
      <w:r>
        <w:rPr>
          <w:rFonts w:ascii="Times New Roman" w:hAnsi="Times New Roman"/>
        </w:rPr>
        <w:t>. University of California Press.</w:t>
      </w:r>
    </w:p>
    <w:p w14:paraId="10DB593F" w14:textId="77777777" w:rsidR="003A4C28" w:rsidRDefault="003A4C28" w:rsidP="003A4C28">
      <w:pPr>
        <w:spacing w:after="0"/>
        <w:jc w:val="both"/>
        <w:rPr>
          <w:rFonts w:ascii="Times New Roman" w:hAnsi="Times New Roman"/>
        </w:rPr>
      </w:pPr>
    </w:p>
    <w:p w14:paraId="49FB7817" w14:textId="77777777" w:rsidR="003A4C28" w:rsidRDefault="003A4C28" w:rsidP="003A4C28">
      <w:pPr>
        <w:spacing w:after="0"/>
        <w:jc w:val="both"/>
      </w:pPr>
      <w:r>
        <w:rPr>
          <w:rFonts w:ascii="Times New Roman" w:hAnsi="Times New Roman"/>
        </w:rPr>
        <w:t xml:space="preserve">Kotarska, G. and Young, L. (2023) </w:t>
      </w:r>
      <w:r>
        <w:rPr>
          <w:rFonts w:ascii="Times New Roman" w:hAnsi="Times New Roman"/>
          <w:i/>
          <w:iCs/>
        </w:rPr>
        <w:t>Unearthing environmental and human security risks: Critical minerals in the UK’s energy transition</w:t>
      </w:r>
      <w:r>
        <w:rPr>
          <w:rFonts w:ascii="Times New Roman" w:hAnsi="Times New Roman"/>
        </w:rPr>
        <w:t xml:space="preserve">. Royal United Services Institute. Available at: </w:t>
      </w:r>
      <w:hyperlink r:id="rId105" w:history="1">
        <w:r>
          <w:rPr>
            <w:rStyle w:val="Hyperlink"/>
            <w:rFonts w:ascii="Times New Roman" w:hAnsi="Times New Roman"/>
          </w:rPr>
          <w:t>https://static.rusi.org/critical-minerals-energy-transition-occasional-paper-nov-23.pdf</w:t>
        </w:r>
      </w:hyperlink>
    </w:p>
    <w:p w14:paraId="4F3AD8A8" w14:textId="77777777" w:rsidR="003A4C28" w:rsidRDefault="003A4C28" w:rsidP="003A4C28">
      <w:pPr>
        <w:jc w:val="both"/>
        <w:rPr>
          <w:rFonts w:ascii="Times New Roman" w:hAnsi="Times New Roman"/>
        </w:rPr>
      </w:pPr>
      <w:r>
        <w:rPr>
          <w:rFonts w:ascii="Times New Roman" w:hAnsi="Times New Roman"/>
        </w:rPr>
        <w:t>Kothari CR. Research methodology: methods and techniques. 3rd ed. New Age International Publishers. 2018;95-117.</w:t>
      </w:r>
    </w:p>
    <w:p w14:paraId="1F9677C1" w14:textId="77777777" w:rsidR="003A4C28" w:rsidRDefault="003A4C28" w:rsidP="003A4C28">
      <w:pPr>
        <w:spacing w:after="0"/>
        <w:jc w:val="both"/>
        <w:rPr>
          <w:rFonts w:ascii="Times New Roman" w:hAnsi="Times New Roman"/>
        </w:rPr>
      </w:pPr>
      <w:r>
        <w:rPr>
          <w:rFonts w:ascii="Times New Roman" w:hAnsi="Times New Roman"/>
        </w:rPr>
        <w:t>Krantz, F. and Brusberg, J., 2024. Thriving Amidst Geopolitical Turmoil: Strategies for Trading Organizations to Sustain Competitiveness-</w:t>
      </w:r>
      <w:proofErr w:type="spellStart"/>
      <w:r>
        <w:rPr>
          <w:rFonts w:ascii="Times New Roman" w:hAnsi="Times New Roman"/>
        </w:rPr>
        <w:t>Aqualitative</w:t>
      </w:r>
      <w:proofErr w:type="spellEnd"/>
      <w:r>
        <w:rPr>
          <w:rFonts w:ascii="Times New Roman" w:hAnsi="Times New Roman"/>
        </w:rPr>
        <w:t xml:space="preserve"> study on how a trading company successfully adapts to the future and remains competitive in a changing market environment</w:t>
      </w:r>
    </w:p>
    <w:p w14:paraId="6A7CEEF8" w14:textId="77777777" w:rsidR="003A4C28" w:rsidRPr="007675C4" w:rsidRDefault="003A4C28" w:rsidP="003A4C28">
      <w:pPr>
        <w:jc w:val="both"/>
        <w:rPr>
          <w:rFonts w:ascii="Times New Roman" w:hAnsi="Times New Roman"/>
          <w:sz w:val="6"/>
          <w:szCs w:val="6"/>
        </w:rPr>
      </w:pPr>
    </w:p>
    <w:p w14:paraId="55E8815A" w14:textId="77777777" w:rsidR="003A4C28" w:rsidRDefault="003A4C28" w:rsidP="003A4C28">
      <w:pPr>
        <w:jc w:val="both"/>
      </w:pPr>
      <w:r>
        <w:rPr>
          <w:rFonts w:ascii="Times New Roman" w:hAnsi="Times New Roman"/>
        </w:rPr>
        <w:t xml:space="preserve">Krause, R., Withers, M.C. and Waller, M.J. (2022) ‘Leading the board in a crisis: Strategy and performance implications of board chair directive leadership’, </w:t>
      </w:r>
      <w:r>
        <w:rPr>
          <w:rFonts w:ascii="Times New Roman" w:hAnsi="Times New Roman"/>
          <w:i/>
          <w:iCs/>
        </w:rPr>
        <w:t>Journal of Management</w:t>
      </w:r>
      <w:r>
        <w:rPr>
          <w:rFonts w:ascii="Times New Roman" w:hAnsi="Times New Roman"/>
        </w:rPr>
        <w:t xml:space="preserve">, 50(2), pp. 546–575. </w:t>
      </w:r>
      <w:hyperlink r:id="rId106" w:history="1">
        <w:r>
          <w:rPr>
            <w:rStyle w:val="Hyperlink"/>
            <w:rFonts w:ascii="Times New Roman" w:hAnsi="Times New Roman"/>
          </w:rPr>
          <w:t>https://doi.org/10.1177/01492063221121584</w:t>
        </w:r>
      </w:hyperlink>
    </w:p>
    <w:p w14:paraId="53B72AB1" w14:textId="77777777" w:rsidR="003A4C28" w:rsidRDefault="003A4C28" w:rsidP="003A4C28">
      <w:pPr>
        <w:spacing w:after="0"/>
        <w:jc w:val="both"/>
      </w:pPr>
      <w:r>
        <w:rPr>
          <w:rFonts w:ascii="Times New Roman" w:hAnsi="Times New Roman"/>
        </w:rPr>
        <w:lastRenderedPageBreak/>
        <w:t>Krause, R., Withers, M.C. and Waller, M.J., 2024. Leading the board in a crisis: Strategy and performance implications of board chair directive leadership. </w:t>
      </w:r>
      <w:r>
        <w:rPr>
          <w:rFonts w:ascii="Times New Roman" w:hAnsi="Times New Roman"/>
          <w:i/>
          <w:iCs/>
        </w:rPr>
        <w:t>Journal of Management</w:t>
      </w:r>
      <w:r>
        <w:rPr>
          <w:rFonts w:ascii="Times New Roman" w:hAnsi="Times New Roman"/>
        </w:rPr>
        <w:t>, </w:t>
      </w:r>
      <w:r>
        <w:rPr>
          <w:rFonts w:ascii="Times New Roman" w:hAnsi="Times New Roman"/>
          <w:i/>
          <w:iCs/>
        </w:rPr>
        <w:t>50</w:t>
      </w:r>
      <w:r>
        <w:rPr>
          <w:rFonts w:ascii="Times New Roman" w:hAnsi="Times New Roman"/>
        </w:rPr>
        <w:t>(2), pp.654-684.</w:t>
      </w:r>
    </w:p>
    <w:p w14:paraId="34EDAFB4" w14:textId="77777777" w:rsidR="003A4C28" w:rsidRDefault="003A4C28" w:rsidP="003A4C28">
      <w:pPr>
        <w:jc w:val="both"/>
      </w:pPr>
      <w:r>
        <w:rPr>
          <w:rFonts w:ascii="Times New Roman" w:hAnsi="Times New Roman"/>
        </w:rPr>
        <w:t xml:space="preserve">Krishnan, S. (2025) ‘Strategic leadership and resilience in a disrupted world: Rethinking business practices in the age of AI, geopolitical tensions, and sustainability’, </w:t>
      </w:r>
      <w:r>
        <w:rPr>
          <w:rFonts w:ascii="Times New Roman" w:hAnsi="Times New Roman"/>
          <w:i/>
          <w:iCs/>
        </w:rPr>
        <w:t>Strategic Leadership and Resilience in a Disrupted World: Rethinking Business Practices in the Age of AI, Geopolitical Tensions, and Sustainability</w:t>
      </w:r>
      <w:r>
        <w:rPr>
          <w:rFonts w:ascii="Times New Roman" w:hAnsi="Times New Roman"/>
        </w:rPr>
        <w:t>, p. 5.</w:t>
      </w:r>
    </w:p>
    <w:p w14:paraId="1D7A5958" w14:textId="77777777" w:rsidR="003A4C28" w:rsidRDefault="003A4C28" w:rsidP="003A4C28">
      <w:pPr>
        <w:jc w:val="both"/>
        <w:rPr>
          <w:rFonts w:ascii="Times New Roman" w:hAnsi="Times New Roman"/>
        </w:rPr>
      </w:pPr>
      <w:r>
        <w:rPr>
          <w:rFonts w:ascii="Times New Roman" w:hAnsi="Times New Roman"/>
        </w:rPr>
        <w:t xml:space="preserve">Kumar R. Research methodology a </w:t>
      </w:r>
      <w:proofErr w:type="gramStart"/>
      <w:r>
        <w:rPr>
          <w:rFonts w:ascii="Times New Roman" w:hAnsi="Times New Roman"/>
        </w:rPr>
        <w:t>step by step</w:t>
      </w:r>
      <w:proofErr w:type="gramEnd"/>
      <w:r>
        <w:rPr>
          <w:rFonts w:ascii="Times New Roman" w:hAnsi="Times New Roman"/>
        </w:rPr>
        <w:t xml:space="preserve"> guide for beginners. 4th ed. SAGE Publications Pvt Ltd; 2014;167-95</w:t>
      </w:r>
    </w:p>
    <w:p w14:paraId="79C24D59" w14:textId="77777777" w:rsidR="003A4C28" w:rsidRDefault="003A4C28" w:rsidP="003A4C28">
      <w:pPr>
        <w:spacing w:after="0"/>
        <w:jc w:val="both"/>
      </w:pPr>
      <w:proofErr w:type="spellStart"/>
      <w:r>
        <w:rPr>
          <w:rFonts w:ascii="Times New Roman" w:hAnsi="Times New Roman"/>
        </w:rPr>
        <w:t>Kunkunrat</w:t>
      </w:r>
      <w:proofErr w:type="spellEnd"/>
      <w:r>
        <w:rPr>
          <w:rFonts w:ascii="Times New Roman" w:hAnsi="Times New Roman"/>
        </w:rPr>
        <w:t>, K., 2021. Global power dynamics: Geopolitical change in the 21st century. </w:t>
      </w:r>
      <w:proofErr w:type="spellStart"/>
      <w:r>
        <w:rPr>
          <w:rFonts w:ascii="Times New Roman" w:hAnsi="Times New Roman"/>
          <w:i/>
          <w:iCs/>
        </w:rPr>
        <w:t>Jurnal</w:t>
      </w:r>
      <w:proofErr w:type="spellEnd"/>
      <w:r>
        <w:rPr>
          <w:rFonts w:ascii="Times New Roman" w:hAnsi="Times New Roman"/>
          <w:i/>
          <w:iCs/>
        </w:rPr>
        <w:t xml:space="preserve"> Info Sains: </w:t>
      </w:r>
      <w:proofErr w:type="spellStart"/>
      <w:r>
        <w:rPr>
          <w:rFonts w:ascii="Times New Roman" w:hAnsi="Times New Roman"/>
          <w:i/>
          <w:iCs/>
        </w:rPr>
        <w:t>Informatika</w:t>
      </w:r>
      <w:proofErr w:type="spellEnd"/>
      <w:r>
        <w:rPr>
          <w:rFonts w:ascii="Times New Roman" w:hAnsi="Times New Roman"/>
          <w:i/>
          <w:iCs/>
        </w:rPr>
        <w:t xml:space="preserve"> dan Sains</w:t>
      </w:r>
      <w:r>
        <w:rPr>
          <w:rFonts w:ascii="Times New Roman" w:hAnsi="Times New Roman"/>
        </w:rPr>
        <w:t>, </w:t>
      </w:r>
      <w:r>
        <w:rPr>
          <w:rFonts w:ascii="Times New Roman" w:hAnsi="Times New Roman"/>
          <w:i/>
          <w:iCs/>
        </w:rPr>
        <w:t>11</w:t>
      </w:r>
      <w:r>
        <w:rPr>
          <w:rFonts w:ascii="Times New Roman" w:hAnsi="Times New Roman"/>
        </w:rPr>
        <w:t>(2), pp.18-23.</w:t>
      </w:r>
    </w:p>
    <w:p w14:paraId="2E1E3B01" w14:textId="77777777" w:rsidR="003A4C28" w:rsidRDefault="003A4C28" w:rsidP="003A4C28">
      <w:pPr>
        <w:jc w:val="both"/>
        <w:rPr>
          <w:rFonts w:ascii="Times New Roman" w:hAnsi="Times New Roman"/>
        </w:rPr>
      </w:pPr>
      <w:r>
        <w:rPr>
          <w:rFonts w:ascii="Times New Roman" w:hAnsi="Times New Roman"/>
        </w:rPr>
        <w:t xml:space="preserve">Latour B. Reassembling the social: An introduction to actor-network-theory. </w:t>
      </w:r>
      <w:proofErr w:type="spellStart"/>
      <w:r>
        <w:rPr>
          <w:rFonts w:ascii="Times New Roman" w:hAnsi="Times New Roman"/>
        </w:rPr>
        <w:t>Oup</w:t>
      </w:r>
      <w:proofErr w:type="spellEnd"/>
      <w:r>
        <w:rPr>
          <w:rFonts w:ascii="Times New Roman" w:hAnsi="Times New Roman"/>
        </w:rPr>
        <w:t xml:space="preserve"> Oxford. 2007. Disponible sur: https://books.google.com/books?hl=fr&amp;lr=&amp;id=BgJREAAAQBAJ</w:t>
      </w:r>
    </w:p>
    <w:p w14:paraId="58CA6FF3" w14:textId="77777777" w:rsidR="003A4C28" w:rsidRDefault="003A4C28" w:rsidP="003A4C28">
      <w:pPr>
        <w:jc w:val="both"/>
      </w:pPr>
      <w:proofErr w:type="spellStart"/>
      <w:r>
        <w:rPr>
          <w:rFonts w:ascii="Times New Roman" w:hAnsi="Times New Roman"/>
        </w:rPr>
        <w:t>Latukha</w:t>
      </w:r>
      <w:proofErr w:type="spellEnd"/>
      <w:r>
        <w:rPr>
          <w:rFonts w:ascii="Times New Roman" w:hAnsi="Times New Roman"/>
        </w:rPr>
        <w:t xml:space="preserve">, M., Yakovleva, P. and Yan, K. (2024) ‘Adaptive leadership for multilevel resilience in the context of disruptions’, </w:t>
      </w:r>
      <w:r>
        <w:rPr>
          <w:rFonts w:ascii="Times New Roman" w:hAnsi="Times New Roman"/>
          <w:i/>
          <w:iCs/>
        </w:rPr>
        <w:t>Thunderbird International Business Review</w:t>
      </w:r>
      <w:r>
        <w:rPr>
          <w:rFonts w:ascii="Times New Roman" w:hAnsi="Times New Roman"/>
        </w:rPr>
        <w:t xml:space="preserve">. Available at: </w:t>
      </w:r>
      <w:hyperlink r:id="rId107" w:history="1">
        <w:r>
          <w:rPr>
            <w:rStyle w:val="Hyperlink"/>
            <w:rFonts w:ascii="Times New Roman" w:hAnsi="Times New Roman"/>
          </w:rPr>
          <w:t>https://doi.org/10.1002/tie.22416</w:t>
        </w:r>
      </w:hyperlink>
      <w:r>
        <w:rPr>
          <w:rFonts w:ascii="Times New Roman" w:hAnsi="Times New Roman"/>
        </w:rPr>
        <w:t>.</w:t>
      </w:r>
    </w:p>
    <w:p w14:paraId="6935AE44" w14:textId="77777777" w:rsidR="003A4C28" w:rsidRDefault="003A4C28" w:rsidP="003A4C28">
      <w:pPr>
        <w:jc w:val="both"/>
      </w:pPr>
      <w:proofErr w:type="spellStart"/>
      <w:r>
        <w:rPr>
          <w:rFonts w:ascii="Times New Roman" w:hAnsi="Times New Roman"/>
        </w:rPr>
        <w:t>Lengnick</w:t>
      </w:r>
      <w:proofErr w:type="spellEnd"/>
      <w:r>
        <w:rPr>
          <w:rFonts w:ascii="Times New Roman" w:hAnsi="Times New Roman"/>
        </w:rPr>
        <w:t xml:space="preserve">-Hall, C.A., Beck, T.E. and </w:t>
      </w:r>
      <w:proofErr w:type="spellStart"/>
      <w:r>
        <w:rPr>
          <w:rFonts w:ascii="Times New Roman" w:hAnsi="Times New Roman"/>
        </w:rPr>
        <w:t>Lengnick</w:t>
      </w:r>
      <w:proofErr w:type="spellEnd"/>
      <w:r>
        <w:rPr>
          <w:rFonts w:ascii="Times New Roman" w:hAnsi="Times New Roman"/>
        </w:rPr>
        <w:t xml:space="preserve">-Hall, M.L. (2011) ‘Developing a capacity for organizational resilience through strategic human resource management’, </w:t>
      </w:r>
      <w:r>
        <w:rPr>
          <w:rFonts w:ascii="Times New Roman" w:hAnsi="Times New Roman"/>
          <w:i/>
          <w:iCs/>
        </w:rPr>
        <w:t>Human Resource Management Review</w:t>
      </w:r>
      <w:r>
        <w:rPr>
          <w:rFonts w:ascii="Times New Roman" w:hAnsi="Times New Roman"/>
        </w:rPr>
        <w:t xml:space="preserve">, 21(3), pp. 243–255. </w:t>
      </w:r>
      <w:hyperlink r:id="rId108" w:history="1">
        <w:r>
          <w:rPr>
            <w:rStyle w:val="Hyperlink"/>
            <w:rFonts w:ascii="Times New Roman" w:hAnsi="Times New Roman"/>
          </w:rPr>
          <w:t>https://doi.org/10.1016/j.hrmr.2010.07.001</w:t>
        </w:r>
      </w:hyperlink>
    </w:p>
    <w:p w14:paraId="4B6B639C" w14:textId="77777777" w:rsidR="003A4C28" w:rsidRDefault="003A4C28" w:rsidP="003A4C28">
      <w:pPr>
        <w:spacing w:after="0"/>
        <w:jc w:val="both"/>
      </w:pPr>
      <w:r>
        <w:rPr>
          <w:rFonts w:ascii="Times New Roman" w:hAnsi="Times New Roman"/>
        </w:rPr>
        <w:t xml:space="preserve">Li, L., Gong, Y., Wang, Z. and Liu, S. (2023) ‘Big data and big disaster: a mechanism of supply chain risk management in global logistics industry’, </w:t>
      </w:r>
      <w:r>
        <w:rPr>
          <w:rFonts w:ascii="Times New Roman" w:hAnsi="Times New Roman"/>
          <w:i/>
          <w:iCs/>
        </w:rPr>
        <w:t>International Journal of Operations &amp; Production Management</w:t>
      </w:r>
      <w:r>
        <w:rPr>
          <w:rFonts w:ascii="Times New Roman" w:hAnsi="Times New Roman"/>
        </w:rPr>
        <w:t>, 43(2), pp. 274–307.</w:t>
      </w:r>
    </w:p>
    <w:p w14:paraId="71D929A4" w14:textId="77777777" w:rsidR="003A4C28" w:rsidRPr="007675C4" w:rsidRDefault="003A4C28" w:rsidP="003A4C28">
      <w:pPr>
        <w:spacing w:after="0"/>
        <w:jc w:val="both"/>
        <w:rPr>
          <w:rFonts w:ascii="Times New Roman" w:hAnsi="Times New Roman"/>
          <w:sz w:val="12"/>
          <w:szCs w:val="12"/>
        </w:rPr>
      </w:pPr>
    </w:p>
    <w:p w14:paraId="331F6DD8" w14:textId="77777777" w:rsidR="003A4C28" w:rsidRDefault="003A4C28" w:rsidP="003A4C28">
      <w:pPr>
        <w:spacing w:after="0"/>
        <w:jc w:val="both"/>
      </w:pPr>
      <w:r>
        <w:rPr>
          <w:rFonts w:ascii="Times New Roman" w:hAnsi="Times New Roman"/>
        </w:rPr>
        <w:t xml:space="preserve">Lin, J. and Fan, Y. (2024). Seeking sustainable performance through organizational resilience: Examining the role of supply chain integration and digital technology usage. </w:t>
      </w:r>
      <w:r>
        <w:rPr>
          <w:rFonts w:ascii="Times New Roman" w:hAnsi="Times New Roman"/>
          <w:i/>
          <w:iCs/>
        </w:rPr>
        <w:t>Technological Forecasting and Social Change, 198</w:t>
      </w:r>
      <w:r>
        <w:rPr>
          <w:rFonts w:ascii="Times New Roman" w:hAnsi="Times New Roman"/>
        </w:rPr>
        <w:t xml:space="preserve">, 123026. </w:t>
      </w:r>
      <w:hyperlink r:id="rId109" w:history="1">
        <w:r>
          <w:rPr>
            <w:rStyle w:val="Hyperlink"/>
            <w:rFonts w:ascii="Times New Roman" w:hAnsi="Times New Roman"/>
          </w:rPr>
          <w:t>https://doi.org/10.1016/j.techfore.2023.123026</w:t>
        </w:r>
      </w:hyperlink>
    </w:p>
    <w:p w14:paraId="57C5B549" w14:textId="77777777" w:rsidR="003A4C28" w:rsidRPr="00384772" w:rsidRDefault="003A4C28" w:rsidP="003A4C28">
      <w:pPr>
        <w:spacing w:after="0"/>
        <w:jc w:val="both"/>
        <w:rPr>
          <w:rFonts w:ascii="Times New Roman" w:hAnsi="Times New Roman"/>
          <w:sz w:val="10"/>
          <w:szCs w:val="10"/>
        </w:rPr>
      </w:pPr>
    </w:p>
    <w:p w14:paraId="56C885BD" w14:textId="77777777" w:rsidR="003A4C28" w:rsidRDefault="003A4C28" w:rsidP="003A4C28">
      <w:pPr>
        <w:spacing w:after="0"/>
        <w:jc w:val="both"/>
      </w:pPr>
      <w:proofErr w:type="spellStart"/>
      <w:r>
        <w:rPr>
          <w:rFonts w:ascii="Times New Roman" w:hAnsi="Times New Roman"/>
        </w:rPr>
        <w:t>Lipkan</w:t>
      </w:r>
      <w:proofErr w:type="spellEnd"/>
      <w:r>
        <w:rPr>
          <w:rFonts w:ascii="Times New Roman" w:hAnsi="Times New Roman"/>
        </w:rPr>
        <w:t>, V., Kuznichenko, O. and Ivanov, A., 2023. Geoeconomics as a tool of modern geostrategy. </w:t>
      </w:r>
      <w:r>
        <w:rPr>
          <w:rFonts w:ascii="Times New Roman" w:hAnsi="Times New Roman"/>
          <w:i/>
          <w:iCs/>
        </w:rPr>
        <w:t>Baltic Journal of Economic Studies</w:t>
      </w:r>
      <w:r>
        <w:rPr>
          <w:rFonts w:ascii="Times New Roman" w:hAnsi="Times New Roman"/>
        </w:rPr>
        <w:t>, </w:t>
      </w:r>
      <w:r>
        <w:rPr>
          <w:rFonts w:ascii="Times New Roman" w:hAnsi="Times New Roman"/>
          <w:i/>
          <w:iCs/>
        </w:rPr>
        <w:t>9</w:t>
      </w:r>
      <w:r>
        <w:rPr>
          <w:rFonts w:ascii="Times New Roman" w:hAnsi="Times New Roman"/>
        </w:rPr>
        <w:t>(1), pp.113-123.</w:t>
      </w:r>
    </w:p>
    <w:p w14:paraId="65BF83CB" w14:textId="77777777" w:rsidR="003A4C28" w:rsidRDefault="003A4C28" w:rsidP="003A4C28">
      <w:pPr>
        <w:spacing w:after="0"/>
        <w:jc w:val="both"/>
      </w:pPr>
      <w:r>
        <w:rPr>
          <w:rFonts w:ascii="Times New Roman" w:hAnsi="Times New Roman"/>
        </w:rPr>
        <w:t xml:space="preserve">Lipschutz, R. (1995) </w:t>
      </w:r>
      <w:r>
        <w:rPr>
          <w:rFonts w:ascii="Times New Roman" w:hAnsi="Times New Roman"/>
          <w:i/>
          <w:iCs/>
        </w:rPr>
        <w:t>On security</w:t>
      </w:r>
      <w:r>
        <w:rPr>
          <w:rFonts w:ascii="Times New Roman" w:hAnsi="Times New Roman"/>
        </w:rPr>
        <w:t>. New York: Columbia University Press.</w:t>
      </w:r>
    </w:p>
    <w:p w14:paraId="7F2FDE4E" w14:textId="77777777" w:rsidR="003A4C28" w:rsidRPr="00384772" w:rsidRDefault="003A4C28" w:rsidP="003A4C28">
      <w:pPr>
        <w:spacing w:after="0"/>
        <w:jc w:val="both"/>
        <w:rPr>
          <w:rFonts w:ascii="Times New Roman" w:hAnsi="Times New Roman"/>
          <w:sz w:val="10"/>
          <w:szCs w:val="10"/>
        </w:rPr>
      </w:pPr>
    </w:p>
    <w:p w14:paraId="6A705530" w14:textId="77777777" w:rsidR="003A4C28" w:rsidRDefault="003A4C28" w:rsidP="003A4C28">
      <w:pPr>
        <w:spacing w:after="0"/>
        <w:jc w:val="both"/>
      </w:pPr>
      <w:r>
        <w:rPr>
          <w:rFonts w:ascii="Times New Roman" w:hAnsi="Times New Roman"/>
        </w:rPr>
        <w:t xml:space="preserve">Lorenc, A. and </w:t>
      </w:r>
      <w:proofErr w:type="spellStart"/>
      <w:r>
        <w:rPr>
          <w:rFonts w:ascii="Times New Roman" w:hAnsi="Times New Roman"/>
        </w:rPr>
        <w:t>Kuźnar</w:t>
      </w:r>
      <w:proofErr w:type="spellEnd"/>
      <w:r>
        <w:rPr>
          <w:rFonts w:ascii="Times New Roman" w:hAnsi="Times New Roman"/>
        </w:rPr>
        <w:t xml:space="preserve">, M. (2021) ‘The most common type of disruption in the supply chain – evaluation based on the method using artificial neural networks’, </w:t>
      </w:r>
      <w:r>
        <w:rPr>
          <w:rFonts w:ascii="Times New Roman" w:hAnsi="Times New Roman"/>
          <w:i/>
          <w:iCs/>
        </w:rPr>
        <w:t>International Journal of Shipping and Transport Logistics</w:t>
      </w:r>
      <w:r>
        <w:rPr>
          <w:rFonts w:ascii="Times New Roman" w:hAnsi="Times New Roman"/>
        </w:rPr>
        <w:t xml:space="preserve">, 13(1–2), pp. 1–24. </w:t>
      </w:r>
      <w:hyperlink r:id="rId110" w:history="1">
        <w:r>
          <w:rPr>
            <w:rStyle w:val="Hyperlink"/>
            <w:rFonts w:ascii="Times New Roman" w:hAnsi="Times New Roman"/>
          </w:rPr>
          <w:t>https://doi.org/10.1504/IJSTL.2021.112910</w:t>
        </w:r>
      </w:hyperlink>
    </w:p>
    <w:p w14:paraId="72810034" w14:textId="77777777" w:rsidR="003A4C28" w:rsidRPr="00D40B8B" w:rsidRDefault="003A4C28" w:rsidP="003A4C28">
      <w:pPr>
        <w:spacing w:after="0"/>
        <w:jc w:val="both"/>
        <w:rPr>
          <w:rFonts w:ascii="Times New Roman" w:hAnsi="Times New Roman"/>
          <w:sz w:val="14"/>
          <w:szCs w:val="14"/>
        </w:rPr>
      </w:pPr>
    </w:p>
    <w:p w14:paraId="59F1CF10" w14:textId="77777777" w:rsidR="003A4C28" w:rsidRDefault="003A4C28" w:rsidP="003A4C28">
      <w:pPr>
        <w:spacing w:after="0"/>
        <w:jc w:val="both"/>
      </w:pPr>
      <w:r>
        <w:rPr>
          <w:rFonts w:ascii="Times New Roman" w:hAnsi="Times New Roman"/>
        </w:rPr>
        <w:t xml:space="preserve">Lu, F. (2018) ‘China–US trade disputes in 2018: An overview’, </w:t>
      </w:r>
      <w:r>
        <w:rPr>
          <w:rFonts w:ascii="Times New Roman" w:hAnsi="Times New Roman"/>
          <w:i/>
          <w:iCs/>
        </w:rPr>
        <w:t>China &amp; World Economy</w:t>
      </w:r>
      <w:r>
        <w:rPr>
          <w:rFonts w:ascii="Times New Roman" w:hAnsi="Times New Roman"/>
        </w:rPr>
        <w:t>, 26(5), pp. 83–103.</w:t>
      </w:r>
    </w:p>
    <w:p w14:paraId="2CA1828A" w14:textId="77777777" w:rsidR="003A4C28" w:rsidRPr="00D40B8B" w:rsidRDefault="003A4C28" w:rsidP="003A4C28">
      <w:pPr>
        <w:spacing w:after="0"/>
        <w:jc w:val="both"/>
        <w:rPr>
          <w:rFonts w:ascii="Times New Roman" w:hAnsi="Times New Roman"/>
          <w:sz w:val="10"/>
          <w:szCs w:val="10"/>
        </w:rPr>
      </w:pPr>
    </w:p>
    <w:p w14:paraId="4B19A6EC" w14:textId="77777777" w:rsidR="003A4C28" w:rsidRDefault="003A4C28" w:rsidP="003A4C28">
      <w:pPr>
        <w:spacing w:after="0"/>
        <w:jc w:val="both"/>
      </w:pPr>
      <w:proofErr w:type="spellStart"/>
      <w:r>
        <w:rPr>
          <w:rFonts w:ascii="Times New Roman" w:hAnsi="Times New Roman"/>
        </w:rPr>
        <w:t>Luthia</w:t>
      </w:r>
      <w:proofErr w:type="spellEnd"/>
      <w:r>
        <w:rPr>
          <w:rFonts w:ascii="Times New Roman" w:hAnsi="Times New Roman"/>
        </w:rPr>
        <w:t>, M., 2023. Agile leadership in managing human capital in Industry 4.0. In </w:t>
      </w:r>
      <w:r>
        <w:rPr>
          <w:rFonts w:ascii="Times New Roman" w:hAnsi="Times New Roman"/>
          <w:i/>
          <w:iCs/>
        </w:rPr>
        <w:t>Agile Leadership for Industry 4.0</w:t>
      </w:r>
      <w:r>
        <w:rPr>
          <w:rFonts w:ascii="Times New Roman" w:hAnsi="Times New Roman"/>
        </w:rPr>
        <w:t> (pp. 79-95). Apple Academic Press.</w:t>
      </w:r>
    </w:p>
    <w:p w14:paraId="32258DD1" w14:textId="77777777" w:rsidR="003A4C28" w:rsidRPr="00D40B8B" w:rsidRDefault="003A4C28" w:rsidP="003A4C28">
      <w:pPr>
        <w:spacing w:after="0"/>
        <w:jc w:val="both"/>
        <w:rPr>
          <w:rFonts w:ascii="Times New Roman" w:hAnsi="Times New Roman"/>
          <w:sz w:val="12"/>
          <w:szCs w:val="12"/>
        </w:rPr>
      </w:pPr>
    </w:p>
    <w:p w14:paraId="65BE5BD9" w14:textId="77777777" w:rsidR="003A4C28" w:rsidRDefault="003A4C28" w:rsidP="003A4C28">
      <w:pPr>
        <w:spacing w:after="0"/>
        <w:jc w:val="both"/>
      </w:pPr>
      <w:proofErr w:type="spellStart"/>
      <w:r>
        <w:rPr>
          <w:rFonts w:ascii="Times New Roman" w:hAnsi="Times New Roman"/>
        </w:rPr>
        <w:t>Luttwak</w:t>
      </w:r>
      <w:proofErr w:type="spellEnd"/>
      <w:r>
        <w:rPr>
          <w:rFonts w:ascii="Times New Roman" w:hAnsi="Times New Roman"/>
        </w:rPr>
        <w:t xml:space="preserve">, E.N. (1990) ‘From geopolitics to geo-economics: logic of conflict, grammar of commerce’, </w:t>
      </w:r>
      <w:r>
        <w:rPr>
          <w:rFonts w:ascii="Times New Roman" w:hAnsi="Times New Roman"/>
          <w:i/>
          <w:iCs/>
        </w:rPr>
        <w:t>The National Interest</w:t>
      </w:r>
      <w:r>
        <w:rPr>
          <w:rFonts w:ascii="Times New Roman" w:hAnsi="Times New Roman"/>
        </w:rPr>
        <w:t>, (20), pp. 17–23.</w:t>
      </w:r>
    </w:p>
    <w:p w14:paraId="52D67444" w14:textId="77777777" w:rsidR="003A4C28" w:rsidRPr="00D40B8B" w:rsidRDefault="003A4C28" w:rsidP="003A4C28">
      <w:pPr>
        <w:spacing w:after="0"/>
        <w:jc w:val="both"/>
        <w:rPr>
          <w:rFonts w:ascii="Times New Roman" w:hAnsi="Times New Roman"/>
          <w:sz w:val="14"/>
          <w:szCs w:val="14"/>
        </w:rPr>
      </w:pPr>
    </w:p>
    <w:p w14:paraId="083725C7" w14:textId="77777777" w:rsidR="003A4C28" w:rsidRDefault="003A4C28" w:rsidP="003A4C28">
      <w:pPr>
        <w:spacing w:after="0"/>
        <w:jc w:val="both"/>
      </w:pPr>
      <w:r>
        <w:rPr>
          <w:rFonts w:ascii="Times New Roman" w:hAnsi="Times New Roman"/>
        </w:rPr>
        <w:t>Mahdzir, M.N. and Ghani, R.A., 2022. The impact of positive leadership styles on organisational innovative behaviour: A thematic review. </w:t>
      </w:r>
      <w:proofErr w:type="spellStart"/>
      <w:r>
        <w:rPr>
          <w:rFonts w:ascii="Times New Roman" w:hAnsi="Times New Roman"/>
          <w:i/>
          <w:iCs/>
        </w:rPr>
        <w:t>NeuroQuantology</w:t>
      </w:r>
      <w:proofErr w:type="spellEnd"/>
      <w:r>
        <w:rPr>
          <w:rFonts w:ascii="Times New Roman" w:hAnsi="Times New Roman"/>
        </w:rPr>
        <w:t>, </w:t>
      </w:r>
      <w:r>
        <w:rPr>
          <w:rFonts w:ascii="Times New Roman" w:hAnsi="Times New Roman"/>
          <w:i/>
          <w:iCs/>
        </w:rPr>
        <w:t>20</w:t>
      </w:r>
      <w:r>
        <w:rPr>
          <w:rFonts w:ascii="Times New Roman" w:hAnsi="Times New Roman"/>
        </w:rPr>
        <w:t>(8), pp.1320-1338.</w:t>
      </w:r>
    </w:p>
    <w:p w14:paraId="46B10B4D" w14:textId="77777777" w:rsidR="003A4C28" w:rsidRPr="00D40B8B" w:rsidRDefault="003A4C28" w:rsidP="003A4C28">
      <w:pPr>
        <w:spacing w:after="0"/>
        <w:jc w:val="both"/>
        <w:rPr>
          <w:rFonts w:ascii="Times New Roman" w:hAnsi="Times New Roman"/>
          <w:sz w:val="10"/>
          <w:szCs w:val="10"/>
        </w:rPr>
      </w:pPr>
    </w:p>
    <w:p w14:paraId="110B51CE" w14:textId="77777777" w:rsidR="003A4C28" w:rsidRDefault="003A4C28" w:rsidP="003A4C28">
      <w:pPr>
        <w:spacing w:after="0"/>
        <w:jc w:val="both"/>
      </w:pPr>
      <w:proofErr w:type="spellStart"/>
      <w:r>
        <w:rPr>
          <w:rFonts w:ascii="Times New Roman" w:hAnsi="Times New Roman"/>
        </w:rPr>
        <w:t>Maisaia</w:t>
      </w:r>
      <w:proofErr w:type="spellEnd"/>
      <w:r>
        <w:rPr>
          <w:rFonts w:ascii="Times New Roman" w:hAnsi="Times New Roman"/>
        </w:rPr>
        <w:t>, Vakhtang. "GRAND STRATEGY AND MILITARY IMPLICATIONS OF NEW RUSSIA’S MILITARY DOCTRINE IN 21ST CENTURY: GEOSTRATEGIC ASPECTS OF HYBRID WARFARE STRATEGY AGAINST GEORGIA AND UKRAINE." In </w:t>
      </w:r>
      <w:r>
        <w:rPr>
          <w:rFonts w:ascii="Times New Roman" w:hAnsi="Times New Roman"/>
          <w:i/>
          <w:iCs/>
        </w:rPr>
        <w:t>PROCEEDINGS OF THE INTERNATIONAL SCIENTIFIC CONFERENCE STRATEGIES XXI. VOLUME XVIII</w:t>
      </w:r>
      <w:r>
        <w:rPr>
          <w:rFonts w:ascii="Times New Roman" w:hAnsi="Times New Roman"/>
        </w:rPr>
        <w:t>, pp. 11-21. Carol I National Defence University Publishing House, 2022.</w:t>
      </w:r>
    </w:p>
    <w:p w14:paraId="7A4E1497" w14:textId="77777777" w:rsidR="003A4C28" w:rsidRPr="00D40B8B" w:rsidRDefault="003A4C28" w:rsidP="003A4C28">
      <w:pPr>
        <w:spacing w:after="0"/>
        <w:jc w:val="both"/>
        <w:rPr>
          <w:rFonts w:ascii="Times New Roman" w:hAnsi="Times New Roman"/>
          <w:sz w:val="14"/>
          <w:szCs w:val="14"/>
        </w:rPr>
      </w:pPr>
    </w:p>
    <w:p w14:paraId="2078CD02" w14:textId="77777777" w:rsidR="003A4C28" w:rsidRDefault="003A4C28" w:rsidP="003A4C28">
      <w:pPr>
        <w:spacing w:after="0"/>
        <w:jc w:val="both"/>
      </w:pPr>
      <w:proofErr w:type="spellStart"/>
      <w:r>
        <w:rPr>
          <w:rFonts w:ascii="Times New Roman" w:hAnsi="Times New Roman"/>
        </w:rPr>
        <w:lastRenderedPageBreak/>
        <w:t>Mancheri</w:t>
      </w:r>
      <w:proofErr w:type="spellEnd"/>
      <w:r>
        <w:rPr>
          <w:rFonts w:ascii="Times New Roman" w:hAnsi="Times New Roman"/>
        </w:rPr>
        <w:t xml:space="preserve">, N.A. (2015) ‘World trade in rare earths’, </w:t>
      </w:r>
      <w:r>
        <w:rPr>
          <w:rFonts w:ascii="Times New Roman" w:hAnsi="Times New Roman"/>
          <w:i/>
          <w:iCs/>
        </w:rPr>
        <w:t>Resources Policy</w:t>
      </w:r>
      <w:r>
        <w:rPr>
          <w:rFonts w:ascii="Times New Roman" w:hAnsi="Times New Roman"/>
        </w:rPr>
        <w:t>, 46, pp. 262–271.</w:t>
      </w:r>
    </w:p>
    <w:p w14:paraId="555D8BC9" w14:textId="77777777" w:rsidR="003A4C28" w:rsidRPr="00D40B8B" w:rsidRDefault="003A4C28" w:rsidP="003A4C28">
      <w:pPr>
        <w:spacing w:after="0"/>
        <w:jc w:val="both"/>
        <w:rPr>
          <w:rFonts w:ascii="Times New Roman" w:hAnsi="Times New Roman"/>
          <w:sz w:val="14"/>
          <w:szCs w:val="14"/>
        </w:rPr>
      </w:pPr>
    </w:p>
    <w:p w14:paraId="00C8717E" w14:textId="77777777" w:rsidR="003A4C28" w:rsidRDefault="003A4C28" w:rsidP="003A4C28">
      <w:pPr>
        <w:spacing w:after="0"/>
        <w:jc w:val="both"/>
      </w:pPr>
      <w:r>
        <w:rPr>
          <w:rFonts w:ascii="Times New Roman" w:hAnsi="Times New Roman"/>
        </w:rPr>
        <w:t xml:space="preserve">Matsumoto, K., Fazzini, B., Malcolm, H., Eldridge, J., </w:t>
      </w:r>
      <w:proofErr w:type="spellStart"/>
      <w:r>
        <w:rPr>
          <w:rFonts w:ascii="Times New Roman" w:hAnsi="Times New Roman"/>
        </w:rPr>
        <w:t>Puthucheary</w:t>
      </w:r>
      <w:proofErr w:type="spellEnd"/>
      <w:r>
        <w:rPr>
          <w:rFonts w:ascii="Times New Roman" w:hAnsi="Times New Roman"/>
        </w:rPr>
        <w:t xml:space="preserve">, Z., Osman, M. and Stephens, T.J. (2025) ‘Factors influencing multidisciplinary clinical decision-making in the critical care unit: a systematic review and mixed-methods meta-synthesis’, </w:t>
      </w:r>
      <w:r>
        <w:rPr>
          <w:rFonts w:ascii="Times New Roman" w:hAnsi="Times New Roman"/>
          <w:i/>
          <w:iCs/>
        </w:rPr>
        <w:t>BJA Open</w:t>
      </w:r>
      <w:r>
        <w:rPr>
          <w:rFonts w:ascii="Times New Roman" w:hAnsi="Times New Roman"/>
        </w:rPr>
        <w:t xml:space="preserve">, 16, p. 100488. </w:t>
      </w:r>
      <w:hyperlink r:id="rId111" w:history="1">
        <w:r>
          <w:rPr>
            <w:rStyle w:val="Hyperlink"/>
            <w:rFonts w:ascii="Times New Roman" w:hAnsi="Times New Roman"/>
          </w:rPr>
          <w:t>https://doi.org/10.1016/j.bjao.2025.100488</w:t>
        </w:r>
      </w:hyperlink>
    </w:p>
    <w:p w14:paraId="24B6AF97" w14:textId="77777777" w:rsidR="003A4C28" w:rsidRPr="00D40B8B" w:rsidRDefault="003A4C28" w:rsidP="003A4C28">
      <w:pPr>
        <w:jc w:val="both"/>
        <w:rPr>
          <w:rFonts w:ascii="Times New Roman" w:hAnsi="Times New Roman"/>
          <w:sz w:val="2"/>
          <w:szCs w:val="2"/>
        </w:rPr>
      </w:pPr>
    </w:p>
    <w:p w14:paraId="0F7AEBE8" w14:textId="77777777" w:rsidR="003A4C28" w:rsidRDefault="003A4C28" w:rsidP="003A4C28">
      <w:pPr>
        <w:jc w:val="both"/>
        <w:rPr>
          <w:rFonts w:ascii="Times New Roman" w:hAnsi="Times New Roman"/>
        </w:rPr>
      </w:pPr>
      <w:proofErr w:type="gramStart"/>
      <w:r>
        <w:rPr>
          <w:rFonts w:ascii="Times New Roman" w:hAnsi="Times New Roman"/>
        </w:rPr>
        <w:t>Maxwell,  J.</w:t>
      </w:r>
      <w:proofErr w:type="gramEnd"/>
      <w:r>
        <w:rPr>
          <w:rFonts w:ascii="Times New Roman" w:hAnsi="Times New Roman"/>
        </w:rPr>
        <w:t xml:space="preserve">  A.  (2013).  </w:t>
      </w:r>
      <w:proofErr w:type="gramStart"/>
      <w:r>
        <w:rPr>
          <w:rFonts w:ascii="Times New Roman" w:hAnsi="Times New Roman"/>
        </w:rPr>
        <w:t>Qualitative  Research</w:t>
      </w:r>
      <w:proofErr w:type="gramEnd"/>
      <w:r>
        <w:rPr>
          <w:rFonts w:ascii="Times New Roman" w:hAnsi="Times New Roman"/>
        </w:rPr>
        <w:t xml:space="preserve">  Design:  </w:t>
      </w:r>
      <w:proofErr w:type="gramStart"/>
      <w:r>
        <w:rPr>
          <w:rFonts w:ascii="Times New Roman" w:hAnsi="Times New Roman"/>
        </w:rPr>
        <w:t>An  Interactive</w:t>
      </w:r>
      <w:proofErr w:type="gramEnd"/>
      <w:r>
        <w:rPr>
          <w:rFonts w:ascii="Times New Roman" w:hAnsi="Times New Roman"/>
        </w:rPr>
        <w:t xml:space="preserve">  </w:t>
      </w:r>
      <w:proofErr w:type="gramStart"/>
      <w:r>
        <w:rPr>
          <w:rFonts w:ascii="Times New Roman" w:hAnsi="Times New Roman"/>
        </w:rPr>
        <w:t>Approach(</w:t>
      </w:r>
      <w:proofErr w:type="gramEnd"/>
      <w:r>
        <w:rPr>
          <w:rFonts w:ascii="Times New Roman" w:hAnsi="Times New Roman"/>
        </w:rPr>
        <w:t>3</w:t>
      </w:r>
      <w:proofErr w:type="gramStart"/>
      <w:r>
        <w:rPr>
          <w:rFonts w:ascii="Times New Roman" w:hAnsi="Times New Roman"/>
        </w:rPr>
        <w:t>rd  ed.</w:t>
      </w:r>
      <w:proofErr w:type="gramEnd"/>
      <w:r>
        <w:rPr>
          <w:rFonts w:ascii="Times New Roman" w:hAnsi="Times New Roman"/>
        </w:rPr>
        <w:t xml:space="preserve">).  </w:t>
      </w:r>
      <w:proofErr w:type="gramStart"/>
      <w:r>
        <w:rPr>
          <w:rFonts w:ascii="Times New Roman" w:hAnsi="Times New Roman"/>
        </w:rPr>
        <w:t>Sage  Publications</w:t>
      </w:r>
      <w:proofErr w:type="gramEnd"/>
      <w:r>
        <w:rPr>
          <w:rFonts w:ascii="Times New Roman" w:hAnsi="Times New Roman"/>
        </w:rPr>
        <w:t>.</w:t>
      </w:r>
    </w:p>
    <w:p w14:paraId="79B8DD29" w14:textId="77777777" w:rsidR="003A4C28" w:rsidRDefault="003A4C28" w:rsidP="003A4C28">
      <w:pPr>
        <w:jc w:val="both"/>
        <w:rPr>
          <w:rFonts w:ascii="Times New Roman" w:hAnsi="Times New Roman"/>
        </w:rPr>
      </w:pPr>
      <w:r>
        <w:rPr>
          <w:rFonts w:ascii="Times New Roman" w:hAnsi="Times New Roman"/>
        </w:rPr>
        <w:t xml:space="preserve">Mazhar SA, Anjum R, Anwar AI, Khan AA. Methods of Data Collection: A Fundamental Tool of Research. J </w:t>
      </w:r>
      <w:proofErr w:type="spellStart"/>
      <w:r>
        <w:rPr>
          <w:rFonts w:ascii="Times New Roman" w:hAnsi="Times New Roman"/>
        </w:rPr>
        <w:t>Integ</w:t>
      </w:r>
      <w:proofErr w:type="spellEnd"/>
      <w:r>
        <w:rPr>
          <w:rFonts w:ascii="Times New Roman" w:hAnsi="Times New Roman"/>
        </w:rPr>
        <w:t xml:space="preserve"> Comm Health. 2021;10(1):6- 10.</w:t>
      </w:r>
    </w:p>
    <w:p w14:paraId="44096717" w14:textId="77777777" w:rsidR="003A4C28" w:rsidRDefault="003A4C28" w:rsidP="003A4C28">
      <w:pPr>
        <w:spacing w:after="0"/>
        <w:jc w:val="both"/>
      </w:pPr>
      <w:r>
        <w:rPr>
          <w:rFonts w:ascii="Times New Roman" w:hAnsi="Times New Roman"/>
        </w:rPr>
        <w:t xml:space="preserve">Mei, J., Chen, K., &amp; Sun, W. (2024). Adaptive leadership in crisis: Strategies for managing uncertainty and enhancing organizational resilience. </w:t>
      </w:r>
      <w:r>
        <w:rPr>
          <w:rFonts w:ascii="Times New Roman" w:hAnsi="Times New Roman"/>
          <w:i/>
          <w:iCs/>
        </w:rPr>
        <w:t>EPRA International Journal of Economics, Business and Management Studies, 9</w:t>
      </w:r>
      <w:r>
        <w:rPr>
          <w:rFonts w:ascii="Times New Roman" w:hAnsi="Times New Roman"/>
        </w:rPr>
        <w:t>(9), 45–58.</w:t>
      </w:r>
    </w:p>
    <w:p w14:paraId="37C4C2E2" w14:textId="77777777" w:rsidR="003A4C28" w:rsidRPr="00805059" w:rsidRDefault="003A4C28" w:rsidP="003A4C28">
      <w:pPr>
        <w:jc w:val="both"/>
        <w:rPr>
          <w:rFonts w:ascii="Times New Roman" w:hAnsi="Times New Roman"/>
          <w:sz w:val="2"/>
          <w:szCs w:val="2"/>
        </w:rPr>
      </w:pPr>
    </w:p>
    <w:p w14:paraId="127536AA" w14:textId="77777777" w:rsidR="003A4C28" w:rsidRDefault="003A4C28" w:rsidP="003A4C28">
      <w:pPr>
        <w:jc w:val="both"/>
      </w:pPr>
      <w:r>
        <w:rPr>
          <w:rFonts w:ascii="Times New Roman" w:hAnsi="Times New Roman"/>
        </w:rPr>
        <w:t xml:space="preserve">Melo, Y.E., Rodrigues, N. and </w:t>
      </w:r>
      <w:proofErr w:type="spellStart"/>
      <w:r>
        <w:rPr>
          <w:rFonts w:ascii="Times New Roman" w:hAnsi="Times New Roman"/>
        </w:rPr>
        <w:t>Grottera</w:t>
      </w:r>
      <w:proofErr w:type="spellEnd"/>
      <w:r>
        <w:rPr>
          <w:rFonts w:ascii="Times New Roman" w:hAnsi="Times New Roman"/>
        </w:rPr>
        <w:t>, C., 2025. of a Deductive Hypothesis. </w:t>
      </w:r>
      <w:r>
        <w:rPr>
          <w:rFonts w:ascii="Times New Roman" w:hAnsi="Times New Roman"/>
          <w:i/>
          <w:iCs/>
        </w:rPr>
        <w:t xml:space="preserve">Energia </w:t>
      </w:r>
      <w:proofErr w:type="spellStart"/>
      <w:r>
        <w:rPr>
          <w:rFonts w:ascii="Times New Roman" w:hAnsi="Times New Roman"/>
          <w:i/>
          <w:iCs/>
        </w:rPr>
        <w:t>Progresiva</w:t>
      </w:r>
      <w:proofErr w:type="spellEnd"/>
      <w:r>
        <w:rPr>
          <w:rFonts w:ascii="Times New Roman" w:hAnsi="Times New Roman"/>
          <w:i/>
          <w:iCs/>
        </w:rPr>
        <w:t>: An Intertemporal Analysis of Latin America and the Caribbean's Energy Landscape in the Industrial Age</w:t>
      </w:r>
      <w:r>
        <w:rPr>
          <w:rFonts w:ascii="Times New Roman" w:hAnsi="Times New Roman"/>
        </w:rPr>
        <w:t>, p.299.</w:t>
      </w:r>
    </w:p>
    <w:p w14:paraId="35BED413" w14:textId="77777777" w:rsidR="003A4C28" w:rsidRDefault="003A4C28" w:rsidP="003A4C28">
      <w:pPr>
        <w:jc w:val="both"/>
      </w:pPr>
      <w:r>
        <w:rPr>
          <w:rFonts w:ascii="Times New Roman" w:hAnsi="Times New Roman"/>
        </w:rPr>
        <w:t xml:space="preserve">Monge, M., Romero Rojo, M.F. and Gil-Alana, L.A. (2023) ‘The impact of geopolitical risk on the </w:t>
      </w:r>
      <w:proofErr w:type="spellStart"/>
      <w:r>
        <w:rPr>
          <w:rFonts w:ascii="Times New Roman" w:hAnsi="Times New Roman"/>
        </w:rPr>
        <w:t>behavior</w:t>
      </w:r>
      <w:proofErr w:type="spellEnd"/>
      <w:r>
        <w:rPr>
          <w:rFonts w:ascii="Times New Roman" w:hAnsi="Times New Roman"/>
        </w:rPr>
        <w:t xml:space="preserve"> of oil prices and freight rates’, </w:t>
      </w:r>
      <w:r>
        <w:rPr>
          <w:rFonts w:ascii="Times New Roman" w:hAnsi="Times New Roman"/>
          <w:i/>
          <w:iCs/>
        </w:rPr>
        <w:t>Energy</w:t>
      </w:r>
      <w:r>
        <w:rPr>
          <w:rFonts w:ascii="Times New Roman" w:hAnsi="Times New Roman"/>
        </w:rPr>
        <w:t xml:space="preserve">, 269, Article 126779. </w:t>
      </w:r>
      <w:hyperlink r:id="rId112" w:history="1">
        <w:r>
          <w:rPr>
            <w:rStyle w:val="Hyperlink"/>
            <w:rFonts w:ascii="Times New Roman" w:hAnsi="Times New Roman"/>
          </w:rPr>
          <w:t>https://doi.org/10.1016/j.energy.2023.126779</w:t>
        </w:r>
      </w:hyperlink>
    </w:p>
    <w:p w14:paraId="74DABF35" w14:textId="77777777" w:rsidR="003A4C28" w:rsidRDefault="003A4C28" w:rsidP="003A4C28">
      <w:pPr>
        <w:spacing w:after="0"/>
        <w:jc w:val="both"/>
      </w:pPr>
      <w:r>
        <w:rPr>
          <w:rFonts w:ascii="Times New Roman" w:hAnsi="Times New Roman"/>
        </w:rPr>
        <w:t xml:space="preserve">Moradlou, H., </w:t>
      </w:r>
      <w:proofErr w:type="spellStart"/>
      <w:r>
        <w:rPr>
          <w:rFonts w:ascii="Times New Roman" w:hAnsi="Times New Roman"/>
        </w:rPr>
        <w:t>Reefke</w:t>
      </w:r>
      <w:proofErr w:type="spellEnd"/>
      <w:r>
        <w:rPr>
          <w:rFonts w:ascii="Times New Roman" w:hAnsi="Times New Roman"/>
        </w:rPr>
        <w:t xml:space="preserve">, H., Skipworth, H. and Roscoe, S. (2021) ‘Geopolitical disruptions and the manufacturing location decision in multinational company supply chains: a Delphi study on Brexit’, </w:t>
      </w:r>
      <w:r>
        <w:rPr>
          <w:rFonts w:ascii="Times New Roman" w:hAnsi="Times New Roman"/>
          <w:i/>
          <w:iCs/>
        </w:rPr>
        <w:t>International Journal of Operations &amp; Production Management</w:t>
      </w:r>
      <w:r>
        <w:rPr>
          <w:rFonts w:ascii="Times New Roman" w:hAnsi="Times New Roman"/>
        </w:rPr>
        <w:t>, 41(2), pp. 102–130.</w:t>
      </w:r>
    </w:p>
    <w:p w14:paraId="06E63A16" w14:textId="77777777" w:rsidR="003A4C28" w:rsidRDefault="003A4C28" w:rsidP="003A4C28">
      <w:pPr>
        <w:spacing w:after="0"/>
        <w:jc w:val="both"/>
      </w:pPr>
      <w:r>
        <w:rPr>
          <w:rFonts w:ascii="Times New Roman" w:hAnsi="Times New Roman"/>
        </w:rPr>
        <w:t xml:space="preserve">Ngai, S. S. Y., Cheung, C. K., Ng, Y. H., Wong, L. M., Guo, H., Ngai, H. L., &amp; Wang, X. (2026). Strengthening adaptive leadership for organizational resilience in Hong Kong. </w:t>
      </w:r>
      <w:r>
        <w:rPr>
          <w:rFonts w:ascii="Times New Roman" w:hAnsi="Times New Roman"/>
          <w:i/>
          <w:iCs/>
        </w:rPr>
        <w:t>Research on Social Work Practice</w:t>
      </w:r>
      <w:r>
        <w:rPr>
          <w:rFonts w:ascii="Times New Roman" w:hAnsi="Times New Roman"/>
        </w:rPr>
        <w:t xml:space="preserve">, 10497315251413524. </w:t>
      </w:r>
      <w:hyperlink r:id="rId113" w:history="1">
        <w:r>
          <w:rPr>
            <w:rStyle w:val="Hyperlink"/>
            <w:rFonts w:ascii="Times New Roman" w:hAnsi="Times New Roman"/>
          </w:rPr>
          <w:t>https://doi.org/10.1177/10497315251413524</w:t>
        </w:r>
      </w:hyperlink>
    </w:p>
    <w:p w14:paraId="494F0BC6" w14:textId="77777777" w:rsidR="003A4C28" w:rsidRPr="00805059" w:rsidRDefault="003A4C28" w:rsidP="003A4C28">
      <w:pPr>
        <w:spacing w:after="0"/>
        <w:jc w:val="both"/>
        <w:rPr>
          <w:rFonts w:ascii="Times New Roman" w:hAnsi="Times New Roman"/>
          <w:sz w:val="10"/>
          <w:szCs w:val="10"/>
        </w:rPr>
      </w:pPr>
    </w:p>
    <w:p w14:paraId="78838417" w14:textId="77777777" w:rsidR="003A4C28" w:rsidRDefault="003A4C28" w:rsidP="003A4C28">
      <w:pPr>
        <w:spacing w:after="0"/>
        <w:jc w:val="both"/>
      </w:pPr>
      <w:proofErr w:type="spellStart"/>
      <w:r>
        <w:rPr>
          <w:rFonts w:ascii="Times New Roman" w:hAnsi="Times New Roman"/>
        </w:rPr>
        <w:t>Njaramba</w:t>
      </w:r>
      <w:proofErr w:type="spellEnd"/>
      <w:r>
        <w:rPr>
          <w:rFonts w:ascii="Times New Roman" w:hAnsi="Times New Roman"/>
        </w:rPr>
        <w:t xml:space="preserve">, F. and </w:t>
      </w:r>
      <w:proofErr w:type="spellStart"/>
      <w:r>
        <w:rPr>
          <w:rFonts w:ascii="Times New Roman" w:hAnsi="Times New Roman"/>
        </w:rPr>
        <w:t>Olukuru</w:t>
      </w:r>
      <w:proofErr w:type="spellEnd"/>
      <w:r>
        <w:rPr>
          <w:rFonts w:ascii="Times New Roman" w:hAnsi="Times New Roman"/>
        </w:rPr>
        <w:t>, J., 2025. Surviving a crisis: A multilevel model of leadership styles, employees’ psychological capital and organizational resilience. </w:t>
      </w:r>
      <w:proofErr w:type="spellStart"/>
      <w:r>
        <w:rPr>
          <w:rFonts w:ascii="Times New Roman" w:hAnsi="Times New Roman"/>
          <w:i/>
          <w:iCs/>
        </w:rPr>
        <w:t>Plos</w:t>
      </w:r>
      <w:proofErr w:type="spellEnd"/>
      <w:r>
        <w:rPr>
          <w:rFonts w:ascii="Times New Roman" w:hAnsi="Times New Roman"/>
          <w:i/>
          <w:iCs/>
        </w:rPr>
        <w:t xml:space="preserve"> one</w:t>
      </w:r>
      <w:r>
        <w:rPr>
          <w:rFonts w:ascii="Times New Roman" w:hAnsi="Times New Roman"/>
        </w:rPr>
        <w:t>, </w:t>
      </w:r>
      <w:r>
        <w:rPr>
          <w:rFonts w:ascii="Times New Roman" w:hAnsi="Times New Roman"/>
          <w:i/>
          <w:iCs/>
        </w:rPr>
        <w:t>20</w:t>
      </w:r>
      <w:r>
        <w:rPr>
          <w:rFonts w:ascii="Times New Roman" w:hAnsi="Times New Roman"/>
        </w:rPr>
        <w:t>(2), p.e0318515.</w:t>
      </w:r>
    </w:p>
    <w:p w14:paraId="686F6C66" w14:textId="77777777" w:rsidR="003A4C28" w:rsidRDefault="003A4C28" w:rsidP="003A4C28">
      <w:pPr>
        <w:jc w:val="both"/>
      </w:pPr>
      <w:r>
        <w:rPr>
          <w:rFonts w:ascii="Times New Roman" w:hAnsi="Times New Roman"/>
        </w:rPr>
        <w:t xml:space="preserve">NORC at the University of Chicago. General social survey data explorer. 2022. Disponible sur: </w:t>
      </w:r>
      <w:hyperlink r:id="rId114" w:history="1">
        <w:r>
          <w:rPr>
            <w:rStyle w:val="Hyperlink"/>
            <w:rFonts w:ascii="Times New Roman" w:hAnsi="Times New Roman"/>
          </w:rPr>
          <w:t>https://gss.norc.org/</w:t>
        </w:r>
      </w:hyperlink>
    </w:p>
    <w:p w14:paraId="159E839D" w14:textId="77777777" w:rsidR="003A4C28" w:rsidRDefault="003A4C28" w:rsidP="003A4C28">
      <w:pPr>
        <w:jc w:val="both"/>
      </w:pPr>
      <w:r>
        <w:rPr>
          <w:rFonts w:ascii="Times New Roman" w:hAnsi="Times New Roman"/>
        </w:rPr>
        <w:t xml:space="preserve">Ochieng, L. A., Koshal, </w:t>
      </w:r>
      <w:proofErr w:type="gramStart"/>
      <w:r>
        <w:rPr>
          <w:rFonts w:ascii="Times New Roman" w:hAnsi="Times New Roman"/>
        </w:rPr>
        <w:t>J. .</w:t>
      </w:r>
      <w:proofErr w:type="gramEnd"/>
      <w:r>
        <w:rPr>
          <w:rFonts w:ascii="Times New Roman" w:hAnsi="Times New Roman"/>
        </w:rPr>
        <w:t xml:space="preserve">, &amp; Bellows, </w:t>
      </w:r>
      <w:proofErr w:type="gramStart"/>
      <w:r>
        <w:rPr>
          <w:rFonts w:ascii="Times New Roman" w:hAnsi="Times New Roman"/>
        </w:rPr>
        <w:t>S. .</w:t>
      </w:r>
      <w:proofErr w:type="gramEnd"/>
      <w:r>
        <w:rPr>
          <w:rFonts w:ascii="Times New Roman" w:hAnsi="Times New Roman"/>
        </w:rPr>
        <w:t xml:space="preserve"> (2023). Directive Leadership Style and Performance of Manufacturing Small and Medium Enterprises (SMES) in Nairobi County, Kenya. </w:t>
      </w:r>
      <w:r>
        <w:rPr>
          <w:rFonts w:ascii="Times New Roman" w:hAnsi="Times New Roman"/>
          <w:i/>
          <w:iCs/>
        </w:rPr>
        <w:t>The University Journal</w:t>
      </w:r>
      <w:r>
        <w:rPr>
          <w:rFonts w:ascii="Times New Roman" w:hAnsi="Times New Roman"/>
        </w:rPr>
        <w:t>, </w:t>
      </w:r>
      <w:r>
        <w:rPr>
          <w:rFonts w:ascii="Times New Roman" w:hAnsi="Times New Roman"/>
          <w:i/>
          <w:iCs/>
        </w:rPr>
        <w:t>5</w:t>
      </w:r>
      <w:r>
        <w:rPr>
          <w:rFonts w:ascii="Times New Roman" w:hAnsi="Times New Roman"/>
        </w:rPr>
        <w:t xml:space="preserve">(2), 23–39. </w:t>
      </w:r>
      <w:hyperlink r:id="rId115" w:history="1">
        <w:r>
          <w:rPr>
            <w:rStyle w:val="Hyperlink"/>
            <w:rFonts w:ascii="Times New Roman" w:hAnsi="Times New Roman"/>
          </w:rPr>
          <w:t>https://doi.org/10.59952/tuj.v5i2.191</w:t>
        </w:r>
      </w:hyperlink>
    </w:p>
    <w:p w14:paraId="7D2BC97D" w14:textId="77777777" w:rsidR="003A4C28" w:rsidRDefault="003A4C28" w:rsidP="003A4C28">
      <w:pPr>
        <w:jc w:val="both"/>
      </w:pPr>
      <w:r>
        <w:rPr>
          <w:rFonts w:ascii="Times New Roman" w:hAnsi="Times New Roman"/>
        </w:rPr>
        <w:t>Ojanji, N. B., Paul, S. N., &amp; Bwire, F. J. (2025). Directive Leadership and Organizational Performance: Evidence from International Non-Governmental Organizations in South Sudan. </w:t>
      </w:r>
      <w:r>
        <w:rPr>
          <w:rFonts w:ascii="Times New Roman" w:hAnsi="Times New Roman"/>
          <w:i/>
          <w:iCs/>
        </w:rPr>
        <w:t>European Journal of Management, Economics and Business</w:t>
      </w:r>
      <w:r>
        <w:rPr>
          <w:rFonts w:ascii="Times New Roman" w:hAnsi="Times New Roman"/>
        </w:rPr>
        <w:t>, </w:t>
      </w:r>
      <w:r>
        <w:rPr>
          <w:rFonts w:ascii="Times New Roman" w:hAnsi="Times New Roman"/>
          <w:i/>
          <w:iCs/>
        </w:rPr>
        <w:t>2</w:t>
      </w:r>
      <w:r>
        <w:rPr>
          <w:rFonts w:ascii="Times New Roman" w:hAnsi="Times New Roman"/>
        </w:rPr>
        <w:t>(4), 113-126. https://doi.org/10.59324/ejmeb.2025.2(4).09</w:t>
      </w:r>
    </w:p>
    <w:p w14:paraId="13DDCE1A" w14:textId="77777777" w:rsidR="003A4C28" w:rsidRDefault="003A4C28" w:rsidP="003A4C28">
      <w:pPr>
        <w:jc w:val="both"/>
      </w:pPr>
      <w:r>
        <w:rPr>
          <w:rFonts w:ascii="Times New Roman" w:hAnsi="Times New Roman"/>
        </w:rPr>
        <w:t>Okoli, C., 2023. Inductive, abductive and deductive theorising. </w:t>
      </w:r>
      <w:r>
        <w:rPr>
          <w:rFonts w:ascii="Times New Roman" w:hAnsi="Times New Roman"/>
          <w:i/>
          <w:iCs/>
        </w:rPr>
        <w:t>International Journal of Management Concepts and Philosophy</w:t>
      </w:r>
      <w:r>
        <w:rPr>
          <w:rFonts w:ascii="Times New Roman" w:hAnsi="Times New Roman"/>
        </w:rPr>
        <w:t>, </w:t>
      </w:r>
      <w:r>
        <w:rPr>
          <w:rFonts w:ascii="Times New Roman" w:hAnsi="Times New Roman"/>
          <w:i/>
          <w:iCs/>
        </w:rPr>
        <w:t>16</w:t>
      </w:r>
      <w:r>
        <w:rPr>
          <w:rFonts w:ascii="Times New Roman" w:hAnsi="Times New Roman"/>
        </w:rPr>
        <w:t>(3), pp.302-316.</w:t>
      </w:r>
    </w:p>
    <w:p w14:paraId="3F388181" w14:textId="77777777" w:rsidR="003A4C28" w:rsidRDefault="003A4C28" w:rsidP="003A4C28">
      <w:pPr>
        <w:spacing w:after="0"/>
        <w:jc w:val="both"/>
      </w:pPr>
      <w:proofErr w:type="spellStart"/>
      <w:r>
        <w:rPr>
          <w:rFonts w:ascii="Times New Roman" w:hAnsi="Times New Roman"/>
        </w:rPr>
        <w:t>Oualaalou</w:t>
      </w:r>
      <w:proofErr w:type="spellEnd"/>
      <w:r>
        <w:rPr>
          <w:rFonts w:ascii="Times New Roman" w:hAnsi="Times New Roman"/>
        </w:rPr>
        <w:t>, D., 2021. </w:t>
      </w:r>
      <w:r>
        <w:rPr>
          <w:rFonts w:ascii="Times New Roman" w:hAnsi="Times New Roman"/>
          <w:i/>
          <w:iCs/>
        </w:rPr>
        <w:t>The Dynamics of Russia's Geopolitics</w:t>
      </w:r>
      <w:r>
        <w:rPr>
          <w:rFonts w:ascii="Times New Roman" w:hAnsi="Times New Roman"/>
        </w:rPr>
        <w:t>. Springer International Publishing.</w:t>
      </w:r>
    </w:p>
    <w:p w14:paraId="75CD0555" w14:textId="77777777" w:rsidR="003A4C28" w:rsidRDefault="003A4C28" w:rsidP="003A4C28">
      <w:pPr>
        <w:spacing w:after="0"/>
        <w:jc w:val="both"/>
      </w:pPr>
      <w:r>
        <w:rPr>
          <w:rFonts w:ascii="Times New Roman" w:hAnsi="Times New Roman"/>
        </w:rPr>
        <w:t>Ozdemir, D., Sharma, M., Dhir, A. and Daim, T., 2022. Supply chain resilience during the COVID-19 pandemic. </w:t>
      </w:r>
      <w:r>
        <w:rPr>
          <w:rFonts w:ascii="Times New Roman" w:hAnsi="Times New Roman"/>
          <w:i/>
          <w:iCs/>
        </w:rPr>
        <w:t>Technology in society</w:t>
      </w:r>
      <w:r>
        <w:rPr>
          <w:rFonts w:ascii="Times New Roman" w:hAnsi="Times New Roman"/>
        </w:rPr>
        <w:t>, </w:t>
      </w:r>
      <w:r>
        <w:rPr>
          <w:rFonts w:ascii="Times New Roman" w:hAnsi="Times New Roman"/>
          <w:i/>
          <w:iCs/>
        </w:rPr>
        <w:t>68</w:t>
      </w:r>
      <w:r>
        <w:rPr>
          <w:rFonts w:ascii="Times New Roman" w:hAnsi="Times New Roman"/>
        </w:rPr>
        <w:t>, p.101847.</w:t>
      </w:r>
    </w:p>
    <w:p w14:paraId="5552750E" w14:textId="77777777" w:rsidR="003A4C28" w:rsidRPr="00805059" w:rsidRDefault="003A4C28" w:rsidP="003A4C28">
      <w:pPr>
        <w:jc w:val="both"/>
        <w:rPr>
          <w:rFonts w:ascii="Times New Roman" w:hAnsi="Times New Roman"/>
          <w:sz w:val="2"/>
          <w:szCs w:val="2"/>
        </w:rPr>
      </w:pPr>
    </w:p>
    <w:p w14:paraId="57617892" w14:textId="77777777" w:rsidR="003A4C28" w:rsidRDefault="003A4C28" w:rsidP="003A4C28">
      <w:pPr>
        <w:jc w:val="both"/>
        <w:rPr>
          <w:rFonts w:ascii="Times New Roman" w:hAnsi="Times New Roman"/>
        </w:rPr>
      </w:pPr>
      <w:r>
        <w:rPr>
          <w:rFonts w:ascii="Times New Roman" w:hAnsi="Times New Roman"/>
        </w:rPr>
        <w:t xml:space="preserve">Pallant, J. (2020). SPSS Survival Manual: A </w:t>
      </w:r>
      <w:proofErr w:type="gramStart"/>
      <w:r>
        <w:rPr>
          <w:rFonts w:ascii="Times New Roman" w:hAnsi="Times New Roman"/>
        </w:rPr>
        <w:t>Step by Step</w:t>
      </w:r>
      <w:proofErr w:type="gramEnd"/>
      <w:r>
        <w:rPr>
          <w:rFonts w:ascii="Times New Roman" w:hAnsi="Times New Roman"/>
        </w:rPr>
        <w:t xml:space="preserve"> Guide to Data Analysis Using IBM SPSS (7th ed.). McGraw-Hill Education.</w:t>
      </w:r>
    </w:p>
    <w:p w14:paraId="515B54C0" w14:textId="77777777" w:rsidR="003A4C28" w:rsidRDefault="003A4C28" w:rsidP="003A4C28">
      <w:pPr>
        <w:jc w:val="both"/>
      </w:pPr>
      <w:r>
        <w:rPr>
          <w:rFonts w:ascii="Times New Roman" w:hAnsi="Times New Roman"/>
        </w:rPr>
        <w:lastRenderedPageBreak/>
        <w:t xml:space="preserve">Paré, G., Wagner, G., Tate, M., </w:t>
      </w:r>
      <w:proofErr w:type="spellStart"/>
      <w:r>
        <w:rPr>
          <w:rFonts w:ascii="Times New Roman" w:hAnsi="Times New Roman"/>
        </w:rPr>
        <w:t>Schryen</w:t>
      </w:r>
      <w:proofErr w:type="spellEnd"/>
      <w:r>
        <w:rPr>
          <w:rFonts w:ascii="Times New Roman" w:hAnsi="Times New Roman"/>
        </w:rPr>
        <w:t xml:space="preserve">, G. and </w:t>
      </w:r>
      <w:proofErr w:type="spellStart"/>
      <w:r>
        <w:rPr>
          <w:rFonts w:ascii="Times New Roman" w:hAnsi="Times New Roman"/>
        </w:rPr>
        <w:t>Templier</w:t>
      </w:r>
      <w:proofErr w:type="spellEnd"/>
      <w:r>
        <w:rPr>
          <w:rFonts w:ascii="Times New Roman" w:hAnsi="Times New Roman"/>
        </w:rPr>
        <w:t xml:space="preserve">, M. (2026) ‘Theorising forward: positioning deductive elaboration in the Information Systems research repertoire’, </w:t>
      </w:r>
      <w:r>
        <w:rPr>
          <w:rFonts w:ascii="Times New Roman" w:hAnsi="Times New Roman"/>
          <w:i/>
          <w:iCs/>
        </w:rPr>
        <w:t>European Journal of Information Systems</w:t>
      </w:r>
      <w:r>
        <w:rPr>
          <w:rFonts w:ascii="Times New Roman" w:hAnsi="Times New Roman"/>
        </w:rPr>
        <w:t>, 35(3), pp. 555–579. doi:10.1080/0960085X.2025.2550403.</w:t>
      </w:r>
    </w:p>
    <w:p w14:paraId="37CF302E" w14:textId="77777777" w:rsidR="003A4C28" w:rsidRDefault="003A4C28" w:rsidP="003A4C28">
      <w:pPr>
        <w:jc w:val="both"/>
      </w:pPr>
      <w:r>
        <w:rPr>
          <w:rFonts w:ascii="Times New Roman" w:hAnsi="Times New Roman"/>
        </w:rPr>
        <w:t xml:space="preserve">Park, Y.S., Konge, L. and Artino, A.R. (2020) ‘The positivism paradigm of research’, </w:t>
      </w:r>
      <w:r>
        <w:rPr>
          <w:rFonts w:ascii="Times New Roman" w:hAnsi="Times New Roman"/>
          <w:i/>
          <w:iCs/>
        </w:rPr>
        <w:t>Academic Medicine</w:t>
      </w:r>
      <w:r>
        <w:rPr>
          <w:rFonts w:ascii="Times New Roman" w:hAnsi="Times New Roman"/>
        </w:rPr>
        <w:t xml:space="preserve">, 95(5), pp. 690–694. Available at: </w:t>
      </w:r>
      <w:hyperlink r:id="rId116" w:history="1">
        <w:r>
          <w:rPr>
            <w:rStyle w:val="Hyperlink"/>
            <w:rFonts w:ascii="Times New Roman" w:hAnsi="Times New Roman"/>
          </w:rPr>
          <w:t>https://doi.org/10.1097/ACM.0000000000003093</w:t>
        </w:r>
      </w:hyperlink>
    </w:p>
    <w:p w14:paraId="227813CD" w14:textId="77777777" w:rsidR="003A4C28" w:rsidRDefault="003A4C28" w:rsidP="003A4C28">
      <w:pPr>
        <w:spacing w:after="0"/>
        <w:jc w:val="both"/>
      </w:pPr>
      <w:r>
        <w:rPr>
          <w:rFonts w:ascii="Times New Roman" w:hAnsi="Times New Roman"/>
        </w:rPr>
        <w:t xml:space="preserve">Post, C., De Smet, H., </w:t>
      </w:r>
      <w:proofErr w:type="spellStart"/>
      <w:r>
        <w:rPr>
          <w:rFonts w:ascii="Times New Roman" w:hAnsi="Times New Roman"/>
        </w:rPr>
        <w:t>Uitdewilligen</w:t>
      </w:r>
      <w:proofErr w:type="spellEnd"/>
      <w:r>
        <w:rPr>
          <w:rFonts w:ascii="Times New Roman" w:hAnsi="Times New Roman"/>
        </w:rPr>
        <w:t xml:space="preserve">, S., Schreurs, B., &amp; Leysen, J. (2022). Participative or Directive Leadership </w:t>
      </w:r>
      <w:proofErr w:type="spellStart"/>
      <w:r>
        <w:rPr>
          <w:rFonts w:ascii="Times New Roman" w:hAnsi="Times New Roman"/>
        </w:rPr>
        <w:t>Behaviors</w:t>
      </w:r>
      <w:proofErr w:type="spellEnd"/>
      <w:r>
        <w:rPr>
          <w:rFonts w:ascii="Times New Roman" w:hAnsi="Times New Roman"/>
        </w:rPr>
        <w:t xml:space="preserve"> for Decision-Making in Crisis Management Teams? Small Group Research, 53(5), 692-724. </w:t>
      </w:r>
      <w:hyperlink r:id="rId117" w:history="1">
        <w:r>
          <w:rPr>
            <w:rStyle w:val="Hyperlink"/>
            <w:rFonts w:ascii="Times New Roman" w:hAnsi="Times New Roman"/>
          </w:rPr>
          <w:t>https://doi.org/10.1177/1046496422108795</w:t>
        </w:r>
      </w:hyperlink>
    </w:p>
    <w:p w14:paraId="739C7710" w14:textId="77777777" w:rsidR="003A4C28" w:rsidRPr="00884805" w:rsidRDefault="003A4C28" w:rsidP="003A4C28">
      <w:pPr>
        <w:spacing w:after="0"/>
        <w:jc w:val="both"/>
        <w:rPr>
          <w:rFonts w:ascii="Times New Roman" w:hAnsi="Times New Roman"/>
          <w:sz w:val="16"/>
          <w:szCs w:val="16"/>
        </w:rPr>
      </w:pPr>
    </w:p>
    <w:p w14:paraId="5490879D" w14:textId="77777777" w:rsidR="003A4C28" w:rsidRDefault="003A4C28" w:rsidP="003A4C28">
      <w:pPr>
        <w:spacing w:after="0"/>
        <w:jc w:val="both"/>
        <w:rPr>
          <w:rFonts w:ascii="Times New Roman" w:hAnsi="Times New Roman"/>
        </w:rPr>
      </w:pPr>
      <w:r>
        <w:rPr>
          <w:rFonts w:ascii="Times New Roman" w:hAnsi="Times New Roman"/>
        </w:rPr>
        <w:t xml:space="preserve">Prabhu, H.M. and Srivastava, A.K. (2023a) ‘CEO transformational leadership, supply chain agility and firm performance: A TISM modelling among SMEs’, </w:t>
      </w:r>
      <w:r>
        <w:rPr>
          <w:rFonts w:ascii="Times New Roman" w:hAnsi="Times New Roman"/>
          <w:i/>
          <w:iCs/>
        </w:rPr>
        <w:t>Global Journal of Flexible Systems Management</w:t>
      </w:r>
      <w:r>
        <w:rPr>
          <w:rFonts w:ascii="Times New Roman" w:hAnsi="Times New Roman"/>
        </w:rPr>
        <w:t>, 24(1), pp. 51–65.</w:t>
      </w:r>
    </w:p>
    <w:p w14:paraId="47AF73F7" w14:textId="77777777" w:rsidR="003A4C28" w:rsidRDefault="003A4C28" w:rsidP="003A4C28">
      <w:pPr>
        <w:spacing w:after="0"/>
        <w:jc w:val="both"/>
      </w:pPr>
    </w:p>
    <w:p w14:paraId="3100B415" w14:textId="77777777" w:rsidR="003A4C28" w:rsidRDefault="003A4C28" w:rsidP="003A4C28">
      <w:pPr>
        <w:spacing w:after="0"/>
        <w:jc w:val="both"/>
      </w:pPr>
      <w:proofErr w:type="spellStart"/>
      <w:r>
        <w:rPr>
          <w:rFonts w:ascii="Times New Roman" w:hAnsi="Times New Roman"/>
        </w:rPr>
        <w:t>Pugu</w:t>
      </w:r>
      <w:proofErr w:type="spellEnd"/>
      <w:r>
        <w:rPr>
          <w:rFonts w:ascii="Times New Roman" w:hAnsi="Times New Roman"/>
        </w:rPr>
        <w:t>, M.R. and Dzauharoh, S., 2025. The impact of geopolitical uncertainty on global supply chain resilience. </w:t>
      </w:r>
      <w:r>
        <w:rPr>
          <w:rFonts w:ascii="Times New Roman" w:hAnsi="Times New Roman"/>
          <w:i/>
          <w:iCs/>
        </w:rPr>
        <w:t>International Journal of Society Reviews</w:t>
      </w:r>
      <w:r>
        <w:rPr>
          <w:rFonts w:ascii="Times New Roman" w:hAnsi="Times New Roman"/>
        </w:rPr>
        <w:t>, </w:t>
      </w:r>
      <w:r>
        <w:rPr>
          <w:rFonts w:ascii="Times New Roman" w:hAnsi="Times New Roman"/>
          <w:i/>
          <w:iCs/>
        </w:rPr>
        <w:t>3</w:t>
      </w:r>
      <w:r>
        <w:rPr>
          <w:rFonts w:ascii="Times New Roman" w:hAnsi="Times New Roman"/>
        </w:rPr>
        <w:t>(2), pp.360-366.</w:t>
      </w:r>
    </w:p>
    <w:p w14:paraId="03094BF2" w14:textId="77777777" w:rsidR="003A4C28" w:rsidRPr="00884805" w:rsidRDefault="003A4C28" w:rsidP="003A4C28">
      <w:pPr>
        <w:spacing w:after="0"/>
        <w:jc w:val="both"/>
        <w:rPr>
          <w:sz w:val="12"/>
          <w:szCs w:val="12"/>
        </w:rPr>
      </w:pPr>
    </w:p>
    <w:p w14:paraId="16B32CE0" w14:textId="77777777" w:rsidR="003A4C28" w:rsidRDefault="003A4C28" w:rsidP="003A4C28">
      <w:pPr>
        <w:jc w:val="both"/>
      </w:pPr>
      <w:r>
        <w:rPr>
          <w:rFonts w:ascii="Times New Roman" w:hAnsi="Times New Roman"/>
        </w:rPr>
        <w:t xml:space="preserve">Rahim, R., Husni, T., Rasyid, R., </w:t>
      </w:r>
      <w:proofErr w:type="spellStart"/>
      <w:r>
        <w:rPr>
          <w:rFonts w:ascii="Times New Roman" w:hAnsi="Times New Roman"/>
        </w:rPr>
        <w:t>Dwipananda</w:t>
      </w:r>
      <w:proofErr w:type="spellEnd"/>
      <w:r>
        <w:rPr>
          <w:rFonts w:ascii="Times New Roman" w:hAnsi="Times New Roman"/>
        </w:rPr>
        <w:t xml:space="preserve">, R.F. and Mardiani, S. (2025) ‘Leadership under pressure: CEO traits, geopolitical risk, and corporate financial strategy in ASEAN’, </w:t>
      </w:r>
      <w:r>
        <w:rPr>
          <w:rFonts w:ascii="Times New Roman" w:hAnsi="Times New Roman"/>
          <w:i/>
          <w:iCs/>
        </w:rPr>
        <w:t>Journal of Cultural Analysis and Social Change</w:t>
      </w:r>
      <w:r>
        <w:rPr>
          <w:rFonts w:ascii="Times New Roman" w:hAnsi="Times New Roman"/>
        </w:rPr>
        <w:t xml:space="preserve">, 10(3), pp. 3329–3343. </w:t>
      </w:r>
      <w:hyperlink r:id="rId118" w:history="1">
        <w:r>
          <w:rPr>
            <w:rStyle w:val="Hyperlink"/>
            <w:rFonts w:ascii="Times New Roman" w:hAnsi="Times New Roman"/>
          </w:rPr>
          <w:t>https://doi.org/10.64753/jcasc.v11i1.4149</w:t>
        </w:r>
      </w:hyperlink>
    </w:p>
    <w:p w14:paraId="72CD5C6D" w14:textId="77777777" w:rsidR="003A4C28" w:rsidRDefault="003A4C28" w:rsidP="003A4C28">
      <w:pPr>
        <w:jc w:val="both"/>
        <w:rPr>
          <w:rFonts w:ascii="Times New Roman" w:hAnsi="Times New Roman"/>
        </w:rPr>
      </w:pPr>
      <w:r>
        <w:rPr>
          <w:rFonts w:ascii="Times New Roman" w:hAnsi="Times New Roman"/>
        </w:rPr>
        <w:t xml:space="preserve">Rahman, M. M., Tabash, M. I., </w:t>
      </w:r>
      <w:proofErr w:type="spellStart"/>
      <w:r>
        <w:rPr>
          <w:rFonts w:ascii="Times New Roman" w:hAnsi="Times New Roman"/>
        </w:rPr>
        <w:t>Salamzadeh</w:t>
      </w:r>
      <w:proofErr w:type="spellEnd"/>
      <w:r>
        <w:rPr>
          <w:rFonts w:ascii="Times New Roman" w:hAnsi="Times New Roman"/>
        </w:rPr>
        <w:t xml:space="preserve">, A., Abduli, S., &amp; Rahaman, M. S. (2022). Sampling techniques (probability) for quantitative social science researchers: a conceptual guideline with examples. </w:t>
      </w:r>
      <w:proofErr w:type="spellStart"/>
      <w:r>
        <w:rPr>
          <w:rFonts w:ascii="Times New Roman" w:hAnsi="Times New Roman"/>
        </w:rPr>
        <w:t>Seeu</w:t>
      </w:r>
      <w:proofErr w:type="spellEnd"/>
      <w:r>
        <w:rPr>
          <w:rFonts w:ascii="Times New Roman" w:hAnsi="Times New Roman"/>
        </w:rPr>
        <w:t xml:space="preserve"> Review, 17(1), 42-51. 28. </w:t>
      </w:r>
    </w:p>
    <w:p w14:paraId="4B5FA447" w14:textId="77777777" w:rsidR="003A4C28" w:rsidRDefault="003A4C28" w:rsidP="003A4C28">
      <w:pPr>
        <w:jc w:val="both"/>
      </w:pPr>
      <w:r>
        <w:rPr>
          <w:rFonts w:ascii="Times New Roman" w:hAnsi="Times New Roman"/>
        </w:rPr>
        <w:t>Raj, A.V., 2023. Positivism: A comprehensive critical review. </w:t>
      </w:r>
      <w:r>
        <w:rPr>
          <w:rFonts w:ascii="Times New Roman" w:hAnsi="Times New Roman"/>
          <w:i/>
          <w:iCs/>
        </w:rPr>
        <w:t>International Journal of Research and Analytical Reviews (IJRAR)</w:t>
      </w:r>
      <w:r>
        <w:rPr>
          <w:rFonts w:ascii="Times New Roman" w:hAnsi="Times New Roman"/>
        </w:rPr>
        <w:t>, </w:t>
      </w:r>
      <w:r>
        <w:rPr>
          <w:rFonts w:ascii="Times New Roman" w:hAnsi="Times New Roman"/>
          <w:i/>
          <w:iCs/>
        </w:rPr>
        <w:t>10</w:t>
      </w:r>
      <w:r>
        <w:rPr>
          <w:rFonts w:ascii="Times New Roman" w:hAnsi="Times New Roman"/>
        </w:rPr>
        <w:t>(4).</w:t>
      </w:r>
    </w:p>
    <w:p w14:paraId="2F2E1A2D" w14:textId="77777777" w:rsidR="003A4C28" w:rsidRDefault="003A4C28" w:rsidP="003A4C28">
      <w:pPr>
        <w:spacing w:after="0"/>
        <w:jc w:val="both"/>
      </w:pPr>
      <w:r>
        <w:rPr>
          <w:rFonts w:ascii="Times New Roman" w:hAnsi="Times New Roman"/>
        </w:rPr>
        <w:t xml:space="preserve">Rare Earth Exchanges (2025) ‘UK rare earth supply chain exposed: New study finds fragmentation, stockpiling, and missed circular economy opportunities’, </w:t>
      </w:r>
      <w:proofErr w:type="spellStart"/>
      <w:r>
        <w:rPr>
          <w:rFonts w:ascii="Times New Roman" w:hAnsi="Times New Roman"/>
        </w:rPr>
        <w:t>REEx</w:t>
      </w:r>
      <w:proofErr w:type="spellEnd"/>
      <w:r>
        <w:rPr>
          <w:rFonts w:ascii="Times New Roman" w:hAnsi="Times New Roman"/>
        </w:rPr>
        <w:t xml:space="preserve"> Insights, 18 April. Available at: </w:t>
      </w:r>
      <w:hyperlink r:id="rId119" w:history="1">
        <w:r>
          <w:rPr>
            <w:rStyle w:val="Hyperlink"/>
            <w:rFonts w:ascii="Times New Roman" w:hAnsi="Times New Roman"/>
          </w:rPr>
          <w:t>https://rareearthexchanges.com</w:t>
        </w:r>
      </w:hyperlink>
      <w:r>
        <w:rPr>
          <w:rFonts w:ascii="Times New Roman" w:hAnsi="Times New Roman"/>
        </w:rPr>
        <w:t xml:space="preserve"> </w:t>
      </w:r>
    </w:p>
    <w:p w14:paraId="16AEF6C8" w14:textId="77777777" w:rsidR="003A4C28" w:rsidRPr="00884805" w:rsidRDefault="003A4C28" w:rsidP="003A4C28">
      <w:pPr>
        <w:spacing w:after="0"/>
        <w:jc w:val="both"/>
        <w:rPr>
          <w:rFonts w:ascii="Times New Roman" w:hAnsi="Times New Roman"/>
          <w:sz w:val="12"/>
          <w:szCs w:val="12"/>
        </w:rPr>
      </w:pPr>
    </w:p>
    <w:p w14:paraId="513E269B" w14:textId="77777777" w:rsidR="003A4C28" w:rsidRDefault="003A4C28" w:rsidP="003A4C28">
      <w:pPr>
        <w:spacing w:after="0"/>
        <w:jc w:val="both"/>
      </w:pPr>
      <w:r>
        <w:rPr>
          <w:rFonts w:ascii="Times New Roman" w:hAnsi="Times New Roman"/>
        </w:rPr>
        <w:t xml:space="preserve">Rathi, A. (2018) ‘One Chinese company now controls most of the metal needed for batteries’, Available at: </w:t>
      </w:r>
      <w:hyperlink r:id="rId120" w:history="1">
        <w:r>
          <w:rPr>
            <w:rStyle w:val="Hyperlink"/>
            <w:rFonts w:ascii="Times New Roman" w:hAnsi="Times New Roman"/>
          </w:rPr>
          <w:t>https://qz.com/1292202</w:t>
        </w:r>
      </w:hyperlink>
    </w:p>
    <w:p w14:paraId="585BDAE1" w14:textId="77777777" w:rsidR="003A4C28" w:rsidRPr="00884805" w:rsidRDefault="003A4C28" w:rsidP="003A4C28">
      <w:pPr>
        <w:spacing w:after="0"/>
        <w:jc w:val="both"/>
        <w:rPr>
          <w:rFonts w:ascii="Times New Roman" w:hAnsi="Times New Roman"/>
          <w:sz w:val="10"/>
          <w:szCs w:val="10"/>
        </w:rPr>
      </w:pPr>
    </w:p>
    <w:p w14:paraId="56E8CA05" w14:textId="77777777" w:rsidR="003A4C28" w:rsidRDefault="003A4C28" w:rsidP="003A4C28">
      <w:pPr>
        <w:spacing w:after="0"/>
        <w:jc w:val="both"/>
        <w:rPr>
          <w:rFonts w:ascii="Times New Roman" w:hAnsi="Times New Roman"/>
        </w:rPr>
      </w:pPr>
      <w:r>
        <w:rPr>
          <w:rFonts w:ascii="Times New Roman" w:hAnsi="Times New Roman"/>
        </w:rPr>
        <w:t>Remko, van H. (2020). Research opportunities for a more resilient post-COVID-19 supply chain – closing the gap between research findings and industry practice. International Journal of Operations and Production Management, 40(4), 341–355</w:t>
      </w:r>
    </w:p>
    <w:p w14:paraId="3B9B0B51" w14:textId="77777777" w:rsidR="003A4C28" w:rsidRPr="00884805" w:rsidRDefault="003A4C28" w:rsidP="003A4C28">
      <w:pPr>
        <w:spacing w:after="0"/>
        <w:jc w:val="both"/>
        <w:rPr>
          <w:rFonts w:ascii="Times New Roman" w:hAnsi="Times New Roman"/>
          <w:sz w:val="12"/>
          <w:szCs w:val="12"/>
        </w:rPr>
      </w:pPr>
    </w:p>
    <w:p w14:paraId="460DF2AD" w14:textId="77777777" w:rsidR="003A4C28" w:rsidRDefault="003A4C28" w:rsidP="003A4C28">
      <w:pPr>
        <w:spacing w:after="0"/>
        <w:jc w:val="both"/>
      </w:pPr>
      <w:r>
        <w:rPr>
          <w:rFonts w:ascii="Times New Roman" w:hAnsi="Times New Roman"/>
        </w:rPr>
        <w:t>Ren, X., Wang, S. and Jin, Y., 2026. Navigating systemic risk: a dynamic analysis of multilayer interdependencies in the energy industrial chain. </w:t>
      </w:r>
      <w:r>
        <w:rPr>
          <w:rFonts w:ascii="Times New Roman" w:hAnsi="Times New Roman"/>
          <w:i/>
          <w:iCs/>
        </w:rPr>
        <w:t>International Journal of Energy Sector Management</w:t>
      </w:r>
      <w:r>
        <w:rPr>
          <w:rFonts w:ascii="Times New Roman" w:hAnsi="Times New Roman"/>
        </w:rPr>
        <w:t>, pp.1-31.</w:t>
      </w:r>
    </w:p>
    <w:p w14:paraId="20239EEE" w14:textId="77777777" w:rsidR="003A4C28" w:rsidRPr="00884805" w:rsidRDefault="003A4C28" w:rsidP="003A4C28">
      <w:pPr>
        <w:spacing w:after="0"/>
        <w:jc w:val="both"/>
        <w:rPr>
          <w:rFonts w:ascii="Times New Roman" w:hAnsi="Times New Roman"/>
          <w:sz w:val="12"/>
          <w:szCs w:val="12"/>
        </w:rPr>
      </w:pPr>
    </w:p>
    <w:p w14:paraId="1194E043" w14:textId="77777777" w:rsidR="003A4C28" w:rsidRDefault="003A4C28" w:rsidP="003A4C28">
      <w:pPr>
        <w:spacing w:after="0"/>
        <w:jc w:val="both"/>
      </w:pPr>
      <w:r>
        <w:rPr>
          <w:rFonts w:ascii="Times New Roman" w:hAnsi="Times New Roman"/>
        </w:rPr>
        <w:t xml:space="preserve">Reuters (2025) ‘China expands rare earths restrictions, targets </w:t>
      </w:r>
      <w:proofErr w:type="spellStart"/>
      <w:r>
        <w:rPr>
          <w:rFonts w:ascii="Times New Roman" w:hAnsi="Times New Roman"/>
        </w:rPr>
        <w:t>defense</w:t>
      </w:r>
      <w:proofErr w:type="spellEnd"/>
      <w:r>
        <w:rPr>
          <w:rFonts w:ascii="Times New Roman" w:hAnsi="Times New Roman"/>
        </w:rPr>
        <w:t xml:space="preserve"> and chips users’, </w:t>
      </w:r>
      <w:r>
        <w:rPr>
          <w:rFonts w:ascii="Times New Roman" w:hAnsi="Times New Roman"/>
          <w:i/>
          <w:iCs/>
        </w:rPr>
        <w:t>Reuters</w:t>
      </w:r>
      <w:r>
        <w:rPr>
          <w:rFonts w:ascii="Times New Roman" w:hAnsi="Times New Roman"/>
        </w:rPr>
        <w:t xml:space="preserve">, 10 October. Available at: </w:t>
      </w:r>
      <w:hyperlink r:id="rId121" w:history="1">
        <w:r>
          <w:rPr>
            <w:rStyle w:val="Hyperlink"/>
            <w:rFonts w:ascii="Times New Roman" w:hAnsi="Times New Roman"/>
          </w:rPr>
          <w:t>https://www.reuters.com</w:t>
        </w:r>
      </w:hyperlink>
    </w:p>
    <w:p w14:paraId="176C2EFA" w14:textId="77777777" w:rsidR="003A4C28" w:rsidRPr="00884805" w:rsidRDefault="003A4C28" w:rsidP="003A4C28">
      <w:pPr>
        <w:spacing w:after="0"/>
        <w:jc w:val="both"/>
        <w:rPr>
          <w:rFonts w:ascii="Times New Roman" w:hAnsi="Times New Roman"/>
          <w:sz w:val="14"/>
          <w:szCs w:val="14"/>
        </w:rPr>
      </w:pPr>
    </w:p>
    <w:p w14:paraId="2C52EEFC" w14:textId="77777777" w:rsidR="003A4C28" w:rsidRDefault="003A4C28" w:rsidP="003A4C28">
      <w:pPr>
        <w:spacing w:after="0"/>
        <w:jc w:val="both"/>
      </w:pPr>
      <w:r>
        <w:rPr>
          <w:rFonts w:ascii="Times New Roman" w:hAnsi="Times New Roman"/>
        </w:rPr>
        <w:t>Roscoe, S., Aktas, E., Petersen, K.J., Skipworth, H.D., Handfield, R.B. and Habib, F., 2022. Redesigning global supply chains during compounding geopolitical disruptions: the role of supply chain logics. </w:t>
      </w:r>
      <w:r>
        <w:rPr>
          <w:rFonts w:ascii="Times New Roman" w:hAnsi="Times New Roman"/>
          <w:i/>
          <w:iCs/>
        </w:rPr>
        <w:t>International Journal of Operations &amp; Production Management</w:t>
      </w:r>
      <w:r>
        <w:rPr>
          <w:rFonts w:ascii="Times New Roman" w:hAnsi="Times New Roman"/>
        </w:rPr>
        <w:t>, </w:t>
      </w:r>
      <w:r>
        <w:rPr>
          <w:rFonts w:ascii="Times New Roman" w:hAnsi="Times New Roman"/>
          <w:i/>
          <w:iCs/>
        </w:rPr>
        <w:t>42</w:t>
      </w:r>
      <w:r>
        <w:rPr>
          <w:rFonts w:ascii="Times New Roman" w:hAnsi="Times New Roman"/>
        </w:rPr>
        <w:t>(9), pp.1407-1434.</w:t>
      </w:r>
    </w:p>
    <w:p w14:paraId="04A6FBF0" w14:textId="77777777" w:rsidR="003A4C28" w:rsidRDefault="003A4C28" w:rsidP="003A4C28">
      <w:pPr>
        <w:spacing w:after="0"/>
        <w:jc w:val="both"/>
      </w:pPr>
      <w:r>
        <w:rPr>
          <w:rFonts w:ascii="Times New Roman" w:hAnsi="Times New Roman"/>
        </w:rPr>
        <w:t>Sager, M. and Wiche, O., 2024. Rare earth elements (REE): Origins, dispersion, and environmental implications—A comprehensive review. </w:t>
      </w:r>
      <w:r>
        <w:rPr>
          <w:rFonts w:ascii="Times New Roman" w:hAnsi="Times New Roman"/>
          <w:i/>
          <w:iCs/>
        </w:rPr>
        <w:t>Environments</w:t>
      </w:r>
      <w:r>
        <w:rPr>
          <w:rFonts w:ascii="Times New Roman" w:hAnsi="Times New Roman"/>
        </w:rPr>
        <w:t>, </w:t>
      </w:r>
      <w:r>
        <w:rPr>
          <w:rFonts w:ascii="Times New Roman" w:hAnsi="Times New Roman"/>
          <w:i/>
          <w:iCs/>
        </w:rPr>
        <w:t>11</w:t>
      </w:r>
      <w:r>
        <w:rPr>
          <w:rFonts w:ascii="Times New Roman" w:hAnsi="Times New Roman"/>
        </w:rPr>
        <w:t>(2), p.24.</w:t>
      </w:r>
    </w:p>
    <w:p w14:paraId="151BD71E" w14:textId="77777777" w:rsidR="003A4C28" w:rsidRPr="002F5C1A" w:rsidRDefault="003A4C28" w:rsidP="003A4C28">
      <w:pPr>
        <w:jc w:val="both"/>
        <w:rPr>
          <w:rFonts w:ascii="Times New Roman" w:hAnsi="Times New Roman"/>
          <w:sz w:val="4"/>
          <w:szCs w:val="4"/>
        </w:rPr>
      </w:pPr>
    </w:p>
    <w:p w14:paraId="681864D3" w14:textId="77777777" w:rsidR="003A4C28" w:rsidRDefault="003A4C28" w:rsidP="003A4C28">
      <w:pPr>
        <w:jc w:val="both"/>
      </w:pPr>
      <w:proofErr w:type="spellStart"/>
      <w:r>
        <w:rPr>
          <w:rFonts w:ascii="Times New Roman" w:hAnsi="Times New Roman"/>
        </w:rPr>
        <w:t>Sanglier</w:t>
      </w:r>
      <w:proofErr w:type="spellEnd"/>
      <w:r>
        <w:rPr>
          <w:rFonts w:ascii="Times New Roman" w:hAnsi="Times New Roman"/>
        </w:rPr>
        <w:t>-Contreras, G., Iglesias-Sanz, C.M., Gonzalez-Lezcano, R.A. </w:t>
      </w:r>
      <w:r>
        <w:rPr>
          <w:rFonts w:ascii="Times New Roman" w:hAnsi="Times New Roman"/>
          <w:i/>
          <w:iCs/>
        </w:rPr>
        <w:t>et al.</w:t>
      </w:r>
      <w:r>
        <w:rPr>
          <w:rFonts w:ascii="Times New Roman" w:hAnsi="Times New Roman"/>
        </w:rPr>
        <w:t> </w:t>
      </w:r>
      <w:proofErr w:type="gramStart"/>
      <w:r>
        <w:rPr>
          <w:rFonts w:ascii="Times New Roman" w:hAnsi="Times New Roman"/>
        </w:rPr>
        <w:t>Rare</w:t>
      </w:r>
      <w:proofErr w:type="gramEnd"/>
      <w:r>
        <w:rPr>
          <w:rFonts w:ascii="Times New Roman" w:hAnsi="Times New Roman"/>
        </w:rPr>
        <w:t xml:space="preserve"> earths and international politics: the impact of the war in Ukraine on the global trade of critical minerals. </w:t>
      </w:r>
      <w:r>
        <w:rPr>
          <w:rFonts w:ascii="Times New Roman" w:hAnsi="Times New Roman"/>
          <w:i/>
          <w:iCs/>
        </w:rPr>
        <w:t>Miner Econ</w:t>
      </w:r>
      <w:r>
        <w:rPr>
          <w:rFonts w:ascii="Times New Roman" w:hAnsi="Times New Roman"/>
        </w:rPr>
        <w:t> </w:t>
      </w:r>
      <w:r>
        <w:rPr>
          <w:rFonts w:ascii="Times New Roman" w:hAnsi="Times New Roman"/>
          <w:b/>
          <w:bCs/>
        </w:rPr>
        <w:t>39</w:t>
      </w:r>
      <w:r>
        <w:rPr>
          <w:rFonts w:ascii="Times New Roman" w:hAnsi="Times New Roman"/>
        </w:rPr>
        <w:t>, 261–271 (2026). https://doi.org/10.1007/s13563-025-00566-y</w:t>
      </w:r>
    </w:p>
    <w:p w14:paraId="0AE0E512" w14:textId="77777777" w:rsidR="003A4C28" w:rsidRDefault="003A4C28" w:rsidP="003A4C28">
      <w:pPr>
        <w:spacing w:after="0"/>
        <w:jc w:val="both"/>
      </w:pPr>
      <w:proofErr w:type="spellStart"/>
      <w:r>
        <w:rPr>
          <w:rFonts w:ascii="Times New Roman" w:hAnsi="Times New Roman"/>
        </w:rPr>
        <w:lastRenderedPageBreak/>
        <w:t>Saragih</w:t>
      </w:r>
      <w:proofErr w:type="spellEnd"/>
      <w:r>
        <w:rPr>
          <w:rFonts w:ascii="Times New Roman" w:hAnsi="Times New Roman"/>
        </w:rPr>
        <w:t xml:space="preserve">, J., </w:t>
      </w:r>
      <w:proofErr w:type="spellStart"/>
      <w:r>
        <w:rPr>
          <w:rFonts w:ascii="Times New Roman" w:hAnsi="Times New Roman"/>
        </w:rPr>
        <w:t>Tarigan</w:t>
      </w:r>
      <w:proofErr w:type="spellEnd"/>
      <w:r>
        <w:rPr>
          <w:rFonts w:ascii="Times New Roman" w:hAnsi="Times New Roman"/>
        </w:rPr>
        <w:t xml:space="preserve">, A., </w:t>
      </w:r>
      <w:proofErr w:type="spellStart"/>
      <w:r>
        <w:rPr>
          <w:rFonts w:ascii="Times New Roman" w:hAnsi="Times New Roman"/>
        </w:rPr>
        <w:t>Silalahi</w:t>
      </w:r>
      <w:proofErr w:type="spellEnd"/>
      <w:r>
        <w:rPr>
          <w:rFonts w:ascii="Times New Roman" w:hAnsi="Times New Roman"/>
        </w:rPr>
        <w:t xml:space="preserve">, E.F., </w:t>
      </w:r>
      <w:proofErr w:type="spellStart"/>
      <w:r>
        <w:rPr>
          <w:rFonts w:ascii="Times New Roman" w:hAnsi="Times New Roman"/>
        </w:rPr>
        <w:t>Wardati</w:t>
      </w:r>
      <w:proofErr w:type="spellEnd"/>
      <w:r>
        <w:rPr>
          <w:rFonts w:ascii="Times New Roman" w:hAnsi="Times New Roman"/>
        </w:rPr>
        <w:t xml:space="preserve">, J. and Pratama, I. (2020) ‘Supply chain operational capability and supply chain operational performance: Does the supply chain management and supply chain integration matter?’, </w:t>
      </w:r>
      <w:r>
        <w:rPr>
          <w:rFonts w:ascii="Times New Roman" w:hAnsi="Times New Roman"/>
          <w:i/>
          <w:iCs/>
        </w:rPr>
        <w:t>International Journal of Supply Chain Management</w:t>
      </w:r>
      <w:r>
        <w:rPr>
          <w:rFonts w:ascii="Times New Roman" w:hAnsi="Times New Roman"/>
        </w:rPr>
        <w:t>, 9(4), pp. 1222–1230.</w:t>
      </w:r>
    </w:p>
    <w:p w14:paraId="70C0A506" w14:textId="77777777" w:rsidR="003A4C28" w:rsidRDefault="003A4C28" w:rsidP="003A4C28">
      <w:pPr>
        <w:spacing w:after="0"/>
        <w:jc w:val="both"/>
      </w:pPr>
      <w:r>
        <w:rPr>
          <w:rFonts w:ascii="Times New Roman" w:hAnsi="Times New Roman"/>
        </w:rPr>
        <w:t xml:space="preserve">Saunders, M., Lewis, P. and Thornhill, A. (2019) </w:t>
      </w:r>
      <w:r>
        <w:rPr>
          <w:rFonts w:ascii="Times New Roman" w:hAnsi="Times New Roman"/>
          <w:i/>
          <w:iCs/>
        </w:rPr>
        <w:t>Research Methods for Business Students</w:t>
      </w:r>
      <w:r>
        <w:rPr>
          <w:rFonts w:ascii="Times New Roman" w:hAnsi="Times New Roman"/>
        </w:rPr>
        <w:t xml:space="preserve">. 8th </w:t>
      </w:r>
      <w:proofErr w:type="spellStart"/>
      <w:r>
        <w:rPr>
          <w:rFonts w:ascii="Times New Roman" w:hAnsi="Times New Roman"/>
        </w:rPr>
        <w:t>edn</w:t>
      </w:r>
      <w:proofErr w:type="spellEnd"/>
      <w:r>
        <w:rPr>
          <w:rFonts w:ascii="Times New Roman" w:hAnsi="Times New Roman"/>
        </w:rPr>
        <w:t>. Harlow: Pearson.</w:t>
      </w:r>
    </w:p>
    <w:p w14:paraId="2987CDF1" w14:textId="77777777" w:rsidR="003A4C28" w:rsidRPr="002F5C1A" w:rsidRDefault="003A4C28" w:rsidP="003A4C28">
      <w:pPr>
        <w:spacing w:after="0"/>
        <w:jc w:val="both"/>
        <w:rPr>
          <w:rFonts w:ascii="Times New Roman" w:hAnsi="Times New Roman"/>
          <w:sz w:val="12"/>
          <w:szCs w:val="12"/>
        </w:rPr>
      </w:pPr>
    </w:p>
    <w:p w14:paraId="59F46CA4" w14:textId="77777777" w:rsidR="003A4C28" w:rsidRDefault="003A4C28" w:rsidP="003A4C28">
      <w:pPr>
        <w:spacing w:after="0"/>
        <w:jc w:val="both"/>
      </w:pPr>
      <w:proofErr w:type="spellStart"/>
      <w:r>
        <w:rPr>
          <w:rFonts w:ascii="Times New Roman" w:hAnsi="Times New Roman"/>
        </w:rPr>
        <w:t>Sawik</w:t>
      </w:r>
      <w:proofErr w:type="spellEnd"/>
      <w:r>
        <w:rPr>
          <w:rFonts w:ascii="Times New Roman" w:hAnsi="Times New Roman"/>
        </w:rPr>
        <w:t>, T., 2020. </w:t>
      </w:r>
      <w:r>
        <w:rPr>
          <w:rFonts w:ascii="Times New Roman" w:hAnsi="Times New Roman"/>
          <w:i/>
          <w:iCs/>
        </w:rPr>
        <w:t>Supply chain disruption management</w:t>
      </w:r>
      <w:r>
        <w:rPr>
          <w:rFonts w:ascii="Times New Roman" w:hAnsi="Times New Roman"/>
        </w:rPr>
        <w:t>. Springer International Publishing.</w:t>
      </w:r>
    </w:p>
    <w:p w14:paraId="10F8C478" w14:textId="77777777" w:rsidR="003A4C28" w:rsidRDefault="003A4C28" w:rsidP="003A4C28">
      <w:pPr>
        <w:spacing w:after="0"/>
        <w:jc w:val="both"/>
        <w:rPr>
          <w:rFonts w:ascii="Times New Roman" w:hAnsi="Times New Roman"/>
        </w:rPr>
      </w:pPr>
      <w:r>
        <w:rPr>
          <w:rFonts w:ascii="Times New Roman" w:hAnsi="Times New Roman"/>
        </w:rPr>
        <w:t xml:space="preserve">Sawyerr, E., &amp; Harrison, C. (2020). Developing resilient supply chains: lessons from </w:t>
      </w:r>
      <w:proofErr w:type="spellStart"/>
      <w:r>
        <w:rPr>
          <w:rFonts w:ascii="Times New Roman" w:hAnsi="Times New Roman"/>
        </w:rPr>
        <w:t>highreliability</w:t>
      </w:r>
      <w:proofErr w:type="spellEnd"/>
      <w:r>
        <w:rPr>
          <w:rFonts w:ascii="Times New Roman" w:hAnsi="Times New Roman"/>
        </w:rPr>
        <w:t xml:space="preserve"> organisations. Supply Chain Management, 25(1), 77–100.</w:t>
      </w:r>
    </w:p>
    <w:p w14:paraId="3295F0DC" w14:textId="77777777" w:rsidR="003A4C28" w:rsidRPr="002F5C1A" w:rsidRDefault="003A4C28" w:rsidP="003A4C28">
      <w:pPr>
        <w:spacing w:after="0"/>
        <w:jc w:val="both"/>
        <w:rPr>
          <w:rFonts w:ascii="Times New Roman" w:hAnsi="Times New Roman"/>
          <w:sz w:val="12"/>
          <w:szCs w:val="12"/>
        </w:rPr>
      </w:pPr>
    </w:p>
    <w:p w14:paraId="3D45E36A" w14:textId="77777777" w:rsidR="003A4C28" w:rsidRDefault="003A4C28" w:rsidP="003A4C28">
      <w:pPr>
        <w:spacing w:after="0"/>
        <w:jc w:val="both"/>
        <w:rPr>
          <w:rFonts w:ascii="Times New Roman" w:hAnsi="Times New Roman"/>
        </w:rPr>
      </w:pPr>
      <w:r>
        <w:rPr>
          <w:rFonts w:ascii="Times New Roman" w:hAnsi="Times New Roman"/>
        </w:rPr>
        <w:t>Scholten, K., Schilder, S., Kirstin Scholten, &amp; Sanne Schilder. (2015). The role of collaboration in supply chain resilience. Supply Chain Management: An International Journal, 14(3), 189–200.</w:t>
      </w:r>
    </w:p>
    <w:p w14:paraId="3D323BE4" w14:textId="77777777" w:rsidR="003A4C28" w:rsidRDefault="003A4C28" w:rsidP="003A4C28">
      <w:pPr>
        <w:spacing w:after="0"/>
        <w:jc w:val="both"/>
      </w:pPr>
      <w:r>
        <w:rPr>
          <w:rFonts w:ascii="Times New Roman" w:hAnsi="Times New Roman"/>
        </w:rPr>
        <w:t xml:space="preserve">SFA (Oxford) (2025) ‘China’s latest rare earth export controls: Critical minerals, policy, and the energy transition’, </w:t>
      </w:r>
      <w:r>
        <w:rPr>
          <w:rFonts w:ascii="Times New Roman" w:hAnsi="Times New Roman"/>
          <w:i/>
          <w:iCs/>
        </w:rPr>
        <w:t>Insights</w:t>
      </w:r>
      <w:r>
        <w:rPr>
          <w:rFonts w:ascii="Times New Roman" w:hAnsi="Times New Roman"/>
        </w:rPr>
        <w:t xml:space="preserve">, 10 October. Available at: </w:t>
      </w:r>
      <w:hyperlink r:id="rId122" w:history="1">
        <w:r>
          <w:rPr>
            <w:rStyle w:val="Hyperlink"/>
            <w:rFonts w:ascii="Times New Roman" w:hAnsi="Times New Roman"/>
          </w:rPr>
          <w:t>https://www.sfa-oxford.com</w:t>
        </w:r>
      </w:hyperlink>
      <w:r>
        <w:rPr>
          <w:rFonts w:ascii="Times New Roman" w:hAnsi="Times New Roman"/>
        </w:rPr>
        <w:t xml:space="preserve"> </w:t>
      </w:r>
    </w:p>
    <w:p w14:paraId="4B306043" w14:textId="77777777" w:rsidR="003A4C28" w:rsidRPr="002F5C1A" w:rsidRDefault="003A4C28" w:rsidP="003A4C28">
      <w:pPr>
        <w:spacing w:after="0"/>
        <w:jc w:val="both"/>
        <w:rPr>
          <w:rFonts w:ascii="Times New Roman" w:hAnsi="Times New Roman"/>
          <w:sz w:val="12"/>
          <w:szCs w:val="12"/>
        </w:rPr>
      </w:pPr>
    </w:p>
    <w:p w14:paraId="19E9BA4A" w14:textId="77777777" w:rsidR="003A4C28" w:rsidRDefault="003A4C28" w:rsidP="003A4C28">
      <w:pPr>
        <w:spacing w:after="0"/>
        <w:jc w:val="both"/>
      </w:pPr>
      <w:r>
        <w:rPr>
          <w:rFonts w:ascii="Times New Roman" w:hAnsi="Times New Roman"/>
        </w:rPr>
        <w:t>Shahzad, A. (2022). Geoeconomics. </w:t>
      </w:r>
      <w:r>
        <w:rPr>
          <w:rFonts w:ascii="Times New Roman" w:hAnsi="Times New Roman"/>
          <w:i/>
          <w:iCs/>
        </w:rPr>
        <w:t>Policy Perspectives</w:t>
      </w:r>
      <w:r>
        <w:rPr>
          <w:rFonts w:ascii="Times New Roman" w:hAnsi="Times New Roman"/>
        </w:rPr>
        <w:t>, </w:t>
      </w:r>
      <w:r>
        <w:rPr>
          <w:rFonts w:ascii="Times New Roman" w:hAnsi="Times New Roman"/>
          <w:i/>
          <w:iCs/>
        </w:rPr>
        <w:t>19</w:t>
      </w:r>
      <w:r>
        <w:rPr>
          <w:rFonts w:ascii="Times New Roman" w:hAnsi="Times New Roman"/>
        </w:rPr>
        <w:t>(2), pp.21-40.</w:t>
      </w:r>
    </w:p>
    <w:p w14:paraId="369C7B74" w14:textId="77777777" w:rsidR="003A4C28" w:rsidRPr="002F5C1A" w:rsidRDefault="003A4C28" w:rsidP="003A4C28">
      <w:pPr>
        <w:spacing w:after="0"/>
        <w:jc w:val="both"/>
        <w:rPr>
          <w:rFonts w:ascii="Times New Roman" w:hAnsi="Times New Roman"/>
          <w:sz w:val="16"/>
          <w:szCs w:val="16"/>
        </w:rPr>
      </w:pPr>
    </w:p>
    <w:p w14:paraId="2C38F16D" w14:textId="77777777" w:rsidR="003A4C28" w:rsidRDefault="003A4C28" w:rsidP="003A4C28">
      <w:pPr>
        <w:spacing w:after="0"/>
        <w:jc w:val="both"/>
      </w:pPr>
      <w:r>
        <w:rPr>
          <w:rFonts w:ascii="Times New Roman" w:hAnsi="Times New Roman"/>
        </w:rPr>
        <w:t xml:space="preserve">Shan, Y. (2022) ‘Philosophical foundations of mixed methods research’, </w:t>
      </w:r>
      <w:r>
        <w:rPr>
          <w:rFonts w:ascii="Times New Roman" w:hAnsi="Times New Roman"/>
          <w:i/>
          <w:iCs/>
        </w:rPr>
        <w:t>Philosophy Compass</w:t>
      </w:r>
      <w:r>
        <w:rPr>
          <w:rFonts w:ascii="Times New Roman" w:hAnsi="Times New Roman"/>
        </w:rPr>
        <w:t>, 17(1), pp. 1–15.</w:t>
      </w:r>
    </w:p>
    <w:p w14:paraId="1F92A5BC" w14:textId="77777777" w:rsidR="003A4C28" w:rsidRPr="00586CD2" w:rsidRDefault="003A4C28" w:rsidP="003A4C28">
      <w:pPr>
        <w:spacing w:after="0"/>
        <w:jc w:val="both"/>
        <w:rPr>
          <w:rFonts w:ascii="Times New Roman" w:hAnsi="Times New Roman"/>
          <w:sz w:val="12"/>
          <w:szCs w:val="12"/>
        </w:rPr>
      </w:pPr>
    </w:p>
    <w:p w14:paraId="57ECED8B" w14:textId="77777777" w:rsidR="003A4C28" w:rsidRDefault="003A4C28" w:rsidP="003A4C28">
      <w:pPr>
        <w:spacing w:after="0"/>
        <w:jc w:val="both"/>
      </w:pPr>
      <w:r>
        <w:rPr>
          <w:rFonts w:ascii="Times New Roman" w:hAnsi="Times New Roman"/>
        </w:rPr>
        <w:t>Shen, J., Singh, J.S.J. and Liu, T. (2025). Supplier Management as a Driver of Efficiency and Competitiveness in E-commerce Logistics Supply Chains. </w:t>
      </w:r>
      <w:r>
        <w:rPr>
          <w:rFonts w:ascii="Times New Roman" w:hAnsi="Times New Roman"/>
          <w:i/>
          <w:iCs/>
        </w:rPr>
        <w:t>Journal of Agricultural Science and Supply Chain Management</w:t>
      </w:r>
      <w:r>
        <w:rPr>
          <w:rFonts w:ascii="Times New Roman" w:hAnsi="Times New Roman"/>
        </w:rPr>
        <w:t>, </w:t>
      </w:r>
      <w:r>
        <w:rPr>
          <w:rFonts w:ascii="Times New Roman" w:hAnsi="Times New Roman"/>
          <w:i/>
          <w:iCs/>
        </w:rPr>
        <w:t>1</w:t>
      </w:r>
      <w:r>
        <w:rPr>
          <w:rFonts w:ascii="Times New Roman" w:hAnsi="Times New Roman"/>
        </w:rPr>
        <w:t>(1), pp.69-83.</w:t>
      </w:r>
    </w:p>
    <w:p w14:paraId="3761DBF1" w14:textId="77777777" w:rsidR="003A4C28" w:rsidRPr="00783553" w:rsidRDefault="003A4C28" w:rsidP="003A4C28">
      <w:pPr>
        <w:spacing w:after="0"/>
        <w:jc w:val="both"/>
        <w:rPr>
          <w:rFonts w:ascii="Times New Roman" w:hAnsi="Times New Roman"/>
          <w:sz w:val="8"/>
          <w:szCs w:val="8"/>
        </w:rPr>
      </w:pPr>
    </w:p>
    <w:p w14:paraId="403F7C5A" w14:textId="77777777" w:rsidR="003A4C28" w:rsidRDefault="003A4C28" w:rsidP="003A4C28">
      <w:pPr>
        <w:spacing w:after="0"/>
        <w:jc w:val="both"/>
      </w:pPr>
      <w:r>
        <w:rPr>
          <w:rFonts w:ascii="Times New Roman" w:hAnsi="Times New Roman"/>
        </w:rPr>
        <w:t xml:space="preserve">Shen, M. and Yang, M. (2024) ‘Are geopolitical risks fuelling trade protectionism?’, </w:t>
      </w:r>
      <w:r>
        <w:rPr>
          <w:rFonts w:ascii="Times New Roman" w:hAnsi="Times New Roman"/>
          <w:i/>
          <w:iCs/>
        </w:rPr>
        <w:t>Defence and Peace Economics</w:t>
      </w:r>
      <w:r>
        <w:rPr>
          <w:rFonts w:ascii="Times New Roman" w:hAnsi="Times New Roman"/>
        </w:rPr>
        <w:t>, 35(8), pp. 1120–1140.</w:t>
      </w:r>
    </w:p>
    <w:p w14:paraId="5E924D54" w14:textId="77777777" w:rsidR="003A4C28" w:rsidRPr="00783553" w:rsidRDefault="003A4C28" w:rsidP="003A4C28">
      <w:pPr>
        <w:spacing w:after="0"/>
        <w:jc w:val="both"/>
        <w:rPr>
          <w:rFonts w:ascii="Times New Roman" w:hAnsi="Times New Roman"/>
          <w:sz w:val="8"/>
          <w:szCs w:val="8"/>
        </w:rPr>
      </w:pPr>
    </w:p>
    <w:p w14:paraId="2DAD780B" w14:textId="77777777" w:rsidR="003A4C28" w:rsidRDefault="003A4C28" w:rsidP="003A4C28">
      <w:pPr>
        <w:spacing w:after="0"/>
        <w:jc w:val="both"/>
      </w:pPr>
      <w:r>
        <w:rPr>
          <w:rFonts w:ascii="Times New Roman" w:hAnsi="Times New Roman"/>
        </w:rPr>
        <w:t xml:space="preserve">Shin, N. and Park, S. (2021) ‘Supply chain leadership driven strategic resilience capabilities management: A leader–member exchange perspective’, </w:t>
      </w:r>
      <w:r>
        <w:rPr>
          <w:rFonts w:ascii="Times New Roman" w:hAnsi="Times New Roman"/>
          <w:i/>
          <w:iCs/>
        </w:rPr>
        <w:t>Journal of Business Research</w:t>
      </w:r>
      <w:r>
        <w:rPr>
          <w:rFonts w:ascii="Times New Roman" w:hAnsi="Times New Roman"/>
        </w:rPr>
        <w:t xml:space="preserve">, 122, pp. 1–13. </w:t>
      </w:r>
      <w:hyperlink r:id="rId123" w:history="1">
        <w:r>
          <w:rPr>
            <w:rStyle w:val="Hyperlink"/>
            <w:rFonts w:ascii="Times New Roman" w:hAnsi="Times New Roman"/>
          </w:rPr>
          <w:t>https://doi.org/10.1016/j.jbusres.2020.08.056</w:t>
        </w:r>
      </w:hyperlink>
    </w:p>
    <w:p w14:paraId="72E30061" w14:textId="77777777" w:rsidR="003A4C28" w:rsidRPr="00783553" w:rsidRDefault="003A4C28" w:rsidP="003A4C28">
      <w:pPr>
        <w:spacing w:after="0"/>
        <w:jc w:val="both"/>
        <w:rPr>
          <w:rFonts w:ascii="Times New Roman" w:hAnsi="Times New Roman"/>
          <w:sz w:val="10"/>
          <w:szCs w:val="10"/>
        </w:rPr>
      </w:pPr>
    </w:p>
    <w:p w14:paraId="099286E6" w14:textId="77777777" w:rsidR="003A4C28" w:rsidRDefault="003A4C28" w:rsidP="003A4C28">
      <w:pPr>
        <w:spacing w:after="0"/>
        <w:jc w:val="both"/>
      </w:pPr>
      <w:r>
        <w:rPr>
          <w:rFonts w:ascii="Times New Roman" w:hAnsi="Times New Roman"/>
        </w:rPr>
        <w:t xml:space="preserve">Sims et al. (2014) ‘Transport’, in IPCC </w:t>
      </w:r>
      <w:r>
        <w:rPr>
          <w:rFonts w:ascii="Times New Roman" w:hAnsi="Times New Roman"/>
          <w:i/>
          <w:iCs/>
        </w:rPr>
        <w:t>Climate Change 2014: Mitigation of Climate Change</w:t>
      </w:r>
      <w:r>
        <w:rPr>
          <w:rFonts w:ascii="Times New Roman" w:hAnsi="Times New Roman"/>
        </w:rPr>
        <w:t>, pp. 599–670.</w:t>
      </w:r>
    </w:p>
    <w:p w14:paraId="554DCA32" w14:textId="77777777" w:rsidR="003A4C28" w:rsidRPr="00783553" w:rsidRDefault="003A4C28" w:rsidP="003A4C28">
      <w:pPr>
        <w:jc w:val="both"/>
        <w:rPr>
          <w:rFonts w:ascii="Times New Roman" w:hAnsi="Times New Roman"/>
          <w:sz w:val="2"/>
          <w:szCs w:val="2"/>
        </w:rPr>
      </w:pPr>
    </w:p>
    <w:p w14:paraId="2452B330" w14:textId="77777777" w:rsidR="003A4C28" w:rsidRDefault="003A4C28" w:rsidP="003A4C28">
      <w:pPr>
        <w:jc w:val="both"/>
      </w:pPr>
      <w:r>
        <w:rPr>
          <w:rFonts w:ascii="Times New Roman" w:hAnsi="Times New Roman"/>
        </w:rPr>
        <w:t xml:space="preserve">Smyrnov, I., </w:t>
      </w:r>
      <w:proofErr w:type="spellStart"/>
      <w:r>
        <w:rPr>
          <w:rFonts w:ascii="Times New Roman" w:hAnsi="Times New Roman"/>
        </w:rPr>
        <w:t>Mylnychuk</w:t>
      </w:r>
      <w:proofErr w:type="spellEnd"/>
      <w:r>
        <w:rPr>
          <w:rFonts w:ascii="Times New Roman" w:hAnsi="Times New Roman"/>
        </w:rPr>
        <w:t xml:space="preserve">, T., </w:t>
      </w:r>
      <w:proofErr w:type="spellStart"/>
      <w:r>
        <w:rPr>
          <w:rFonts w:ascii="Times New Roman" w:hAnsi="Times New Roman"/>
        </w:rPr>
        <w:t>Tokarchuk</w:t>
      </w:r>
      <w:proofErr w:type="spellEnd"/>
      <w:r>
        <w:rPr>
          <w:rFonts w:ascii="Times New Roman" w:hAnsi="Times New Roman"/>
        </w:rPr>
        <w:t xml:space="preserve">, O., Berezivskyi, Y. and Gron, O. (2025) ‘The impact of geopolitical risks on global supply chains’, </w:t>
      </w:r>
      <w:r>
        <w:rPr>
          <w:rFonts w:ascii="Times New Roman" w:hAnsi="Times New Roman"/>
          <w:i/>
          <w:iCs/>
        </w:rPr>
        <w:t>Journal of Information Systems Engineering and Management</w:t>
      </w:r>
      <w:r>
        <w:rPr>
          <w:rFonts w:ascii="Times New Roman" w:hAnsi="Times New Roman"/>
        </w:rPr>
        <w:t xml:space="preserve">, 10(12s). Available at: </w:t>
      </w:r>
      <w:hyperlink r:id="rId124" w:history="1">
        <w:r>
          <w:rPr>
            <w:rStyle w:val="Hyperlink"/>
            <w:rFonts w:ascii="Times New Roman" w:hAnsi="Times New Roman"/>
          </w:rPr>
          <w:t>https://www.jisem-journal.com/</w:t>
        </w:r>
      </w:hyperlink>
      <w:r>
        <w:rPr>
          <w:rFonts w:ascii="Times New Roman" w:hAnsi="Times New Roman"/>
        </w:rPr>
        <w:t xml:space="preserve"> (Accessed: 9 July 2026).</w:t>
      </w:r>
    </w:p>
    <w:p w14:paraId="13B0F5CF" w14:textId="77777777" w:rsidR="003A4C28" w:rsidRDefault="003A4C28" w:rsidP="003A4C28">
      <w:r>
        <w:rPr>
          <w:rFonts w:ascii="Times New Roman" w:hAnsi="Times New Roman"/>
        </w:rPr>
        <w:t xml:space="preserve">Sott, M.K. and Bender, M.S. (2025) ‘The role of adaptive leadership in times of crisis: A systematic review and conceptual framework’, </w:t>
      </w:r>
      <w:r>
        <w:rPr>
          <w:rFonts w:ascii="Times New Roman" w:hAnsi="Times New Roman"/>
          <w:i/>
          <w:iCs/>
        </w:rPr>
        <w:t>Merits</w:t>
      </w:r>
      <w:r>
        <w:rPr>
          <w:rFonts w:ascii="Times New Roman" w:hAnsi="Times New Roman"/>
        </w:rPr>
        <w:t xml:space="preserve">, 5(1), p. 2. Available at: </w:t>
      </w:r>
      <w:hyperlink r:id="rId125" w:history="1">
        <w:r>
          <w:rPr>
            <w:rStyle w:val="Hyperlink"/>
            <w:rFonts w:ascii="Times New Roman" w:hAnsi="Times New Roman"/>
          </w:rPr>
          <w:t>https://doi.org/10.3390/merits5010002</w:t>
        </w:r>
      </w:hyperlink>
      <w:r>
        <w:rPr>
          <w:rFonts w:ascii="Times New Roman" w:hAnsi="Times New Roman"/>
        </w:rPr>
        <w:t>.</w:t>
      </w:r>
    </w:p>
    <w:p w14:paraId="06D2B09D" w14:textId="77777777" w:rsidR="003A4C28" w:rsidRDefault="003A4C28" w:rsidP="003A4C28">
      <w:pPr>
        <w:spacing w:after="0"/>
        <w:jc w:val="both"/>
      </w:pPr>
      <w:r>
        <w:rPr>
          <w:rFonts w:ascii="Times New Roman" w:hAnsi="Times New Roman"/>
        </w:rPr>
        <w:t>Sreedevi, R., Saranga, H. and Gouda, S.K., 2023. Impact of a country’s logistical capabilities on supply chain risk. </w:t>
      </w:r>
      <w:r>
        <w:rPr>
          <w:rFonts w:ascii="Times New Roman" w:hAnsi="Times New Roman"/>
          <w:i/>
          <w:iCs/>
        </w:rPr>
        <w:t>Supply Chain Management: An International Journal</w:t>
      </w:r>
      <w:r>
        <w:rPr>
          <w:rFonts w:ascii="Times New Roman" w:hAnsi="Times New Roman"/>
        </w:rPr>
        <w:t>, </w:t>
      </w:r>
      <w:r>
        <w:rPr>
          <w:rFonts w:ascii="Times New Roman" w:hAnsi="Times New Roman"/>
          <w:i/>
          <w:iCs/>
        </w:rPr>
        <w:t>28</w:t>
      </w:r>
      <w:r>
        <w:rPr>
          <w:rFonts w:ascii="Times New Roman" w:hAnsi="Times New Roman"/>
        </w:rPr>
        <w:t>(1), pp.107-121.</w:t>
      </w:r>
    </w:p>
    <w:p w14:paraId="5BCE232B" w14:textId="77777777" w:rsidR="003A4C28" w:rsidRPr="00783553" w:rsidRDefault="003A4C28" w:rsidP="003A4C28">
      <w:pPr>
        <w:jc w:val="both"/>
        <w:rPr>
          <w:rFonts w:ascii="Times New Roman" w:hAnsi="Times New Roman"/>
          <w:sz w:val="2"/>
          <w:szCs w:val="2"/>
        </w:rPr>
      </w:pPr>
    </w:p>
    <w:p w14:paraId="0E2801F0" w14:textId="77777777" w:rsidR="003A4C28" w:rsidRDefault="003A4C28" w:rsidP="003A4C28">
      <w:pPr>
        <w:jc w:val="both"/>
      </w:pPr>
      <w:r>
        <w:rPr>
          <w:rFonts w:ascii="Times New Roman" w:hAnsi="Times New Roman"/>
        </w:rPr>
        <w:t xml:space="preserve">Su, C.W., Dong, R. and Qin, M. (2025) ‘Do geopolitical risks impede the global supply chain?’, </w:t>
      </w:r>
      <w:r>
        <w:rPr>
          <w:rFonts w:ascii="Times New Roman" w:hAnsi="Times New Roman"/>
          <w:i/>
          <w:iCs/>
        </w:rPr>
        <w:t>Finance Research Letters</w:t>
      </w:r>
      <w:r>
        <w:rPr>
          <w:rFonts w:ascii="Times New Roman" w:hAnsi="Times New Roman"/>
        </w:rPr>
        <w:t xml:space="preserve">, 85, Article 107811. </w:t>
      </w:r>
      <w:hyperlink r:id="rId126" w:history="1">
        <w:r>
          <w:rPr>
            <w:rStyle w:val="Hyperlink"/>
            <w:rFonts w:ascii="Times New Roman" w:hAnsi="Times New Roman"/>
          </w:rPr>
          <w:t>https://doi.org/10.1016/j.frl.2025.107811</w:t>
        </w:r>
      </w:hyperlink>
    </w:p>
    <w:p w14:paraId="2FDF1B72" w14:textId="77777777" w:rsidR="003A4C28" w:rsidRDefault="003A4C28" w:rsidP="003A4C28">
      <w:pPr>
        <w:jc w:val="both"/>
      </w:pPr>
      <w:r>
        <w:rPr>
          <w:rFonts w:ascii="Times New Roman" w:hAnsi="Times New Roman"/>
        </w:rPr>
        <w:t xml:space="preserve">Taseer, M.I. and Ahmed, A. (2022) ‘The most effective leadership style in pursuit of resilient supply chain: Sequential mediation of flexibility and agile supply chain’, </w:t>
      </w:r>
      <w:r>
        <w:rPr>
          <w:rFonts w:ascii="Times New Roman" w:hAnsi="Times New Roman"/>
          <w:i/>
          <w:iCs/>
        </w:rPr>
        <w:t>Pakistan Journal of Commerce and Social Sciences</w:t>
      </w:r>
      <w:r>
        <w:rPr>
          <w:rFonts w:ascii="Times New Roman" w:hAnsi="Times New Roman"/>
        </w:rPr>
        <w:t xml:space="preserve">, 16(3), pp. 387–423. Available at: </w:t>
      </w:r>
      <w:hyperlink r:id="rId127" w:history="1">
        <w:r>
          <w:rPr>
            <w:rStyle w:val="Hyperlink"/>
            <w:rFonts w:ascii="Times New Roman" w:hAnsi="Times New Roman"/>
          </w:rPr>
          <w:t>https://hdl.handle.net/10419/266381</w:t>
        </w:r>
      </w:hyperlink>
      <w:r>
        <w:rPr>
          <w:rFonts w:ascii="Times New Roman" w:hAnsi="Times New Roman"/>
        </w:rPr>
        <w:t>.</w:t>
      </w:r>
    </w:p>
    <w:p w14:paraId="1D2CB44A" w14:textId="77777777" w:rsidR="003A4C28" w:rsidRDefault="003A4C28" w:rsidP="003A4C28">
      <w:pPr>
        <w:jc w:val="both"/>
      </w:pPr>
      <w:r>
        <w:rPr>
          <w:rFonts w:ascii="Times New Roman" w:hAnsi="Times New Roman"/>
        </w:rPr>
        <w:t xml:space="preserve">Teece, D.J. (2007) ‘Explicating dynamic capabilities: The nature and </w:t>
      </w:r>
      <w:proofErr w:type="spellStart"/>
      <w:r>
        <w:rPr>
          <w:rFonts w:ascii="Times New Roman" w:hAnsi="Times New Roman"/>
        </w:rPr>
        <w:t>microfoundations</w:t>
      </w:r>
      <w:proofErr w:type="spellEnd"/>
      <w:r>
        <w:rPr>
          <w:rFonts w:ascii="Times New Roman" w:hAnsi="Times New Roman"/>
        </w:rPr>
        <w:t xml:space="preserve"> of (sustainable) enterprise performance’, </w:t>
      </w:r>
      <w:r>
        <w:rPr>
          <w:rFonts w:ascii="Times New Roman" w:hAnsi="Times New Roman"/>
          <w:i/>
          <w:iCs/>
        </w:rPr>
        <w:t>Strategic Management Journal</w:t>
      </w:r>
      <w:r>
        <w:rPr>
          <w:rFonts w:ascii="Times New Roman" w:hAnsi="Times New Roman"/>
        </w:rPr>
        <w:t xml:space="preserve">, 28(13), pp. 1319–1350. </w:t>
      </w:r>
      <w:hyperlink r:id="rId128" w:history="1">
        <w:r>
          <w:rPr>
            <w:rStyle w:val="Hyperlink"/>
            <w:rFonts w:ascii="Times New Roman" w:hAnsi="Times New Roman"/>
          </w:rPr>
          <w:t>https://doi.org/10.1002/smj.640</w:t>
        </w:r>
      </w:hyperlink>
    </w:p>
    <w:p w14:paraId="570D467C" w14:textId="77777777" w:rsidR="003A4C28" w:rsidRDefault="003A4C28" w:rsidP="003A4C28">
      <w:pPr>
        <w:spacing w:after="0"/>
        <w:jc w:val="both"/>
      </w:pPr>
      <w:r>
        <w:rPr>
          <w:rFonts w:ascii="Times New Roman" w:hAnsi="Times New Roman"/>
        </w:rPr>
        <w:t xml:space="preserve">Tse, Y. K., Dong, K., Sun, R., &amp; Mason, R. (2024). Recovering from geopolitical risk: An event study of Huawei's semiconductor supply chain. </w:t>
      </w:r>
      <w:r>
        <w:rPr>
          <w:rFonts w:ascii="Times New Roman" w:hAnsi="Times New Roman"/>
          <w:i/>
          <w:iCs/>
        </w:rPr>
        <w:t>International Journal of Production Economics, 275</w:t>
      </w:r>
      <w:r>
        <w:rPr>
          <w:rFonts w:ascii="Times New Roman" w:hAnsi="Times New Roman"/>
        </w:rPr>
        <w:t>, 109347.</w:t>
      </w:r>
    </w:p>
    <w:p w14:paraId="3355E774" w14:textId="77777777" w:rsidR="003A4C28" w:rsidRPr="00783553" w:rsidRDefault="003A4C28" w:rsidP="003A4C28">
      <w:pPr>
        <w:jc w:val="both"/>
        <w:rPr>
          <w:rFonts w:ascii="Times New Roman" w:hAnsi="Times New Roman"/>
          <w:sz w:val="2"/>
          <w:szCs w:val="2"/>
        </w:rPr>
      </w:pPr>
    </w:p>
    <w:p w14:paraId="019D0FE8" w14:textId="77777777" w:rsidR="003A4C28" w:rsidRDefault="003A4C28" w:rsidP="003A4C28">
      <w:pPr>
        <w:jc w:val="both"/>
      </w:pPr>
      <w:r>
        <w:rPr>
          <w:rFonts w:ascii="Times New Roman" w:hAnsi="Times New Roman"/>
        </w:rPr>
        <w:lastRenderedPageBreak/>
        <w:t xml:space="preserve">Turner, </w:t>
      </w:r>
      <w:proofErr w:type="gramStart"/>
      <w:r>
        <w:rPr>
          <w:rFonts w:ascii="Times New Roman" w:hAnsi="Times New Roman"/>
        </w:rPr>
        <w:t>D.P.(</w:t>
      </w:r>
      <w:proofErr w:type="gramEnd"/>
      <w:r>
        <w:rPr>
          <w:rFonts w:ascii="Times New Roman" w:hAnsi="Times New Roman"/>
        </w:rPr>
        <w:t>2020). Sampling Methods in Research Design. </w:t>
      </w:r>
      <w:r>
        <w:rPr>
          <w:rFonts w:ascii="Times New Roman" w:hAnsi="Times New Roman"/>
          <w:i/>
          <w:iCs/>
        </w:rPr>
        <w:t>Headache: The Journal of Head &amp; Face Pain</w:t>
      </w:r>
      <w:r>
        <w:rPr>
          <w:rFonts w:ascii="Times New Roman" w:hAnsi="Times New Roman"/>
        </w:rPr>
        <w:t>, </w:t>
      </w:r>
      <w:r>
        <w:rPr>
          <w:rFonts w:ascii="Times New Roman" w:hAnsi="Times New Roman"/>
          <w:i/>
          <w:iCs/>
        </w:rPr>
        <w:t>60</w:t>
      </w:r>
      <w:r>
        <w:rPr>
          <w:rFonts w:ascii="Times New Roman" w:hAnsi="Times New Roman"/>
        </w:rPr>
        <w:t>(1).</w:t>
      </w:r>
    </w:p>
    <w:p w14:paraId="0177E4B1" w14:textId="77777777" w:rsidR="003A4C28" w:rsidRDefault="003A4C28" w:rsidP="003A4C28">
      <w:pPr>
        <w:spacing w:after="0"/>
        <w:jc w:val="both"/>
      </w:pPr>
      <w:r>
        <w:rPr>
          <w:rFonts w:ascii="Times New Roman" w:hAnsi="Times New Roman"/>
        </w:rPr>
        <w:t xml:space="preserve">UK Government (2023) </w:t>
      </w:r>
      <w:r>
        <w:rPr>
          <w:rFonts w:ascii="Times New Roman" w:hAnsi="Times New Roman"/>
          <w:i/>
          <w:iCs/>
        </w:rPr>
        <w:t>Resilience for the future: The UK’s critical minerals strategy</w:t>
      </w:r>
      <w:r>
        <w:rPr>
          <w:rFonts w:ascii="Times New Roman" w:hAnsi="Times New Roman"/>
        </w:rPr>
        <w:t xml:space="preserve">. Available at: </w:t>
      </w:r>
      <w:hyperlink r:id="rId129" w:history="1">
        <w:r>
          <w:rPr>
            <w:rStyle w:val="Hyperlink"/>
            <w:rFonts w:ascii="Times New Roman" w:hAnsi="Times New Roman"/>
          </w:rPr>
          <w:t>https://www.gov.uk/government/publications/uk-critical-mineral-strategy</w:t>
        </w:r>
      </w:hyperlink>
    </w:p>
    <w:p w14:paraId="6F8D109F" w14:textId="77777777" w:rsidR="003A4C28" w:rsidRPr="00783553" w:rsidRDefault="003A4C28" w:rsidP="003A4C28">
      <w:pPr>
        <w:spacing w:after="0"/>
        <w:jc w:val="both"/>
        <w:rPr>
          <w:rFonts w:ascii="Times New Roman" w:hAnsi="Times New Roman"/>
          <w:sz w:val="10"/>
          <w:szCs w:val="10"/>
        </w:rPr>
      </w:pPr>
    </w:p>
    <w:p w14:paraId="11C3A38D" w14:textId="77777777" w:rsidR="003A4C28" w:rsidRDefault="003A4C28" w:rsidP="003A4C28">
      <w:pPr>
        <w:spacing w:after="0"/>
        <w:jc w:val="both"/>
      </w:pPr>
      <w:r>
        <w:rPr>
          <w:rFonts w:ascii="Times New Roman" w:hAnsi="Times New Roman"/>
        </w:rPr>
        <w:t xml:space="preserve">US Department of the Interior (2018) ‘Final list of critical minerals’, </w:t>
      </w:r>
      <w:r>
        <w:rPr>
          <w:rFonts w:ascii="Times New Roman" w:hAnsi="Times New Roman"/>
          <w:i/>
          <w:iCs/>
        </w:rPr>
        <w:t>Federal Register</w:t>
      </w:r>
      <w:r>
        <w:rPr>
          <w:rFonts w:ascii="Times New Roman" w:hAnsi="Times New Roman"/>
        </w:rPr>
        <w:t>, 83(97), pp. 23295–23296.</w:t>
      </w:r>
    </w:p>
    <w:p w14:paraId="1966263A" w14:textId="77777777" w:rsidR="003A4C28" w:rsidRPr="00783553" w:rsidRDefault="003A4C28" w:rsidP="003A4C28">
      <w:pPr>
        <w:jc w:val="both"/>
        <w:rPr>
          <w:rFonts w:ascii="Times New Roman" w:hAnsi="Times New Roman"/>
          <w:sz w:val="4"/>
          <w:szCs w:val="4"/>
        </w:rPr>
      </w:pPr>
    </w:p>
    <w:p w14:paraId="7ED535EA" w14:textId="77777777" w:rsidR="003A4C28" w:rsidRDefault="003A4C28" w:rsidP="003A4C28">
      <w:pPr>
        <w:jc w:val="both"/>
      </w:pPr>
      <w:r>
        <w:rPr>
          <w:rFonts w:ascii="Times New Roman" w:hAnsi="Times New Roman"/>
        </w:rPr>
        <w:t xml:space="preserve">Valentino, A., Díaz Matajira, L. and Szymańska, I. (2025) ‘Crisis management in family firms: the combinations of family business involvement and directive leadership that influence business and social performance’, </w:t>
      </w:r>
      <w:r>
        <w:rPr>
          <w:rFonts w:ascii="Times New Roman" w:hAnsi="Times New Roman"/>
          <w:i/>
          <w:iCs/>
        </w:rPr>
        <w:t>Journal of Family Business Management</w:t>
      </w:r>
      <w:r>
        <w:rPr>
          <w:rFonts w:ascii="Times New Roman" w:hAnsi="Times New Roman"/>
        </w:rPr>
        <w:t xml:space="preserve">, 15(5), pp. 1293–1314. </w:t>
      </w:r>
      <w:hyperlink r:id="rId130" w:history="1">
        <w:r>
          <w:rPr>
            <w:rStyle w:val="Hyperlink"/>
            <w:rFonts w:ascii="Times New Roman" w:hAnsi="Times New Roman"/>
          </w:rPr>
          <w:t>https://doi.org/10.1108/JFBM-10-2024-0247</w:t>
        </w:r>
      </w:hyperlink>
    </w:p>
    <w:p w14:paraId="548250B6" w14:textId="77777777" w:rsidR="003A4C28" w:rsidRDefault="003A4C28" w:rsidP="003A4C28">
      <w:pPr>
        <w:jc w:val="both"/>
      </w:pPr>
      <w:r>
        <w:rPr>
          <w:rFonts w:ascii="Times New Roman" w:hAnsi="Times New Roman"/>
        </w:rPr>
        <w:t xml:space="preserve">Vera, D., Samba, C., Kong, D.T. and Maldonado, T. (2020) ‘Resilience as thriving: The role of positive leadership practices’, </w:t>
      </w:r>
      <w:r>
        <w:rPr>
          <w:rFonts w:ascii="Times New Roman" w:hAnsi="Times New Roman"/>
          <w:i/>
          <w:iCs/>
        </w:rPr>
        <w:t>Organizational Dynamics</w:t>
      </w:r>
      <w:r>
        <w:rPr>
          <w:rFonts w:ascii="Times New Roman" w:hAnsi="Times New Roman"/>
        </w:rPr>
        <w:t xml:space="preserve">, Article 100784. </w:t>
      </w:r>
      <w:hyperlink r:id="rId131" w:history="1">
        <w:r>
          <w:rPr>
            <w:rStyle w:val="Hyperlink"/>
            <w:rFonts w:ascii="Times New Roman" w:hAnsi="Times New Roman"/>
          </w:rPr>
          <w:t>https://doi.org/10.1016/j.orgdyn.2020.100784</w:t>
        </w:r>
      </w:hyperlink>
    </w:p>
    <w:p w14:paraId="265F35F4" w14:textId="77777777" w:rsidR="003A4C28" w:rsidRDefault="003A4C28" w:rsidP="003A4C28">
      <w:pPr>
        <w:spacing w:after="0"/>
        <w:jc w:val="both"/>
      </w:pPr>
      <w:r>
        <w:rPr>
          <w:rFonts w:ascii="Times New Roman" w:hAnsi="Times New Roman"/>
        </w:rPr>
        <w:t xml:space="preserve">Wheatley, M.C. (2024) ‘Global trade wars: economic and social impacts’, </w:t>
      </w:r>
      <w:r>
        <w:rPr>
          <w:rFonts w:ascii="Times New Roman" w:hAnsi="Times New Roman"/>
          <w:i/>
          <w:iCs/>
        </w:rPr>
        <w:t>Premier Journal of Business and Management</w:t>
      </w:r>
      <w:r>
        <w:rPr>
          <w:rFonts w:ascii="Times New Roman" w:hAnsi="Times New Roman"/>
        </w:rPr>
        <w:t xml:space="preserve">, 1, p. 100006. </w:t>
      </w:r>
      <w:hyperlink r:id="rId132" w:history="1">
        <w:r>
          <w:rPr>
            <w:rStyle w:val="Hyperlink"/>
            <w:rFonts w:ascii="Times New Roman" w:hAnsi="Times New Roman"/>
          </w:rPr>
          <w:t>https://doi.org/10.70389/PJBM.100006</w:t>
        </w:r>
      </w:hyperlink>
    </w:p>
    <w:p w14:paraId="2DA59155" w14:textId="77777777" w:rsidR="003A4C28" w:rsidRDefault="003A4C28" w:rsidP="003A4C28">
      <w:pPr>
        <w:jc w:val="both"/>
      </w:pPr>
      <w:r>
        <w:rPr>
          <w:rFonts w:ascii="Times New Roman" w:hAnsi="Times New Roman"/>
        </w:rPr>
        <w:t xml:space="preserve">Whittington, R., Yakis-Douglas, B., Ahn, K. and Cailluet, L. (2017) ‘Strategic planning as communicative process’, </w:t>
      </w:r>
      <w:r>
        <w:rPr>
          <w:rFonts w:ascii="Times New Roman" w:hAnsi="Times New Roman"/>
          <w:i/>
          <w:iCs/>
        </w:rPr>
        <w:t>Journal of Management Studies</w:t>
      </w:r>
      <w:r>
        <w:rPr>
          <w:rFonts w:ascii="Times New Roman" w:hAnsi="Times New Roman"/>
        </w:rPr>
        <w:t xml:space="preserve">, 54(7), pp. 996–1023. </w:t>
      </w:r>
      <w:hyperlink r:id="rId133" w:history="1">
        <w:r>
          <w:rPr>
            <w:rStyle w:val="Hyperlink"/>
            <w:rFonts w:ascii="Times New Roman" w:hAnsi="Times New Roman"/>
          </w:rPr>
          <w:t>https://doi.org/10.1111/joms.12229</w:t>
        </w:r>
      </w:hyperlink>
    </w:p>
    <w:p w14:paraId="43C52C7E" w14:textId="77777777" w:rsidR="003A4C28" w:rsidRDefault="003A4C28" w:rsidP="003A4C28">
      <w:pPr>
        <w:spacing w:after="0"/>
        <w:jc w:val="both"/>
      </w:pPr>
      <w:proofErr w:type="spellStart"/>
      <w:r>
        <w:rPr>
          <w:rFonts w:ascii="Times New Roman" w:hAnsi="Times New Roman"/>
        </w:rPr>
        <w:t>Wodak</w:t>
      </w:r>
      <w:proofErr w:type="spellEnd"/>
      <w:r>
        <w:rPr>
          <w:rFonts w:ascii="Times New Roman" w:hAnsi="Times New Roman"/>
        </w:rPr>
        <w:t xml:space="preserve">, R. and </w:t>
      </w:r>
      <w:proofErr w:type="spellStart"/>
      <w:r>
        <w:rPr>
          <w:rFonts w:ascii="Times New Roman" w:hAnsi="Times New Roman"/>
        </w:rPr>
        <w:t>Boukala</w:t>
      </w:r>
      <w:proofErr w:type="spellEnd"/>
      <w:r>
        <w:rPr>
          <w:rFonts w:ascii="Times New Roman" w:hAnsi="Times New Roman"/>
        </w:rPr>
        <w:t xml:space="preserve">, S. (2016) ‘Talking about solidarity and security in the age of crisis: The revival of nationalism and protectionism in the European Union’, in </w:t>
      </w:r>
      <w:r>
        <w:rPr>
          <w:rFonts w:ascii="Times New Roman" w:hAnsi="Times New Roman"/>
          <w:i/>
          <w:iCs/>
        </w:rPr>
        <w:t>EU foreign policy through the lens of discourse analysis</w:t>
      </w:r>
      <w:r>
        <w:rPr>
          <w:rFonts w:ascii="Times New Roman" w:hAnsi="Times New Roman"/>
        </w:rPr>
        <w:t>, pp. 171–190. Routledge.</w:t>
      </w:r>
    </w:p>
    <w:p w14:paraId="7E48A39A" w14:textId="77777777" w:rsidR="003A4C28" w:rsidRPr="00783553" w:rsidRDefault="003A4C28" w:rsidP="003A4C28">
      <w:pPr>
        <w:jc w:val="both"/>
        <w:rPr>
          <w:rFonts w:ascii="Times New Roman" w:hAnsi="Times New Roman"/>
          <w:sz w:val="6"/>
          <w:szCs w:val="6"/>
        </w:rPr>
      </w:pPr>
    </w:p>
    <w:p w14:paraId="43B9563D" w14:textId="77777777" w:rsidR="003A4C28" w:rsidRDefault="003A4C28" w:rsidP="003A4C28">
      <w:pPr>
        <w:jc w:val="both"/>
      </w:pPr>
      <w:r>
        <w:rPr>
          <w:rFonts w:ascii="Times New Roman" w:hAnsi="Times New Roman"/>
        </w:rPr>
        <w:t xml:space="preserve">Yakimov, K. (2026) ‘Leadership and organizational resilience in multinational FMCG companies operating in geopolitically volatile environments’, </w:t>
      </w:r>
      <w:r>
        <w:rPr>
          <w:rFonts w:ascii="Times New Roman" w:hAnsi="Times New Roman"/>
          <w:i/>
          <w:iCs/>
        </w:rPr>
        <w:t>Journal of Business and Management Studies</w:t>
      </w:r>
      <w:r>
        <w:rPr>
          <w:rFonts w:ascii="Times New Roman" w:hAnsi="Times New Roman"/>
        </w:rPr>
        <w:t xml:space="preserve">, 8(7), pp. 1–15. </w:t>
      </w:r>
      <w:hyperlink r:id="rId134" w:history="1">
        <w:r>
          <w:rPr>
            <w:rStyle w:val="Hyperlink"/>
            <w:rFonts w:ascii="Times New Roman" w:hAnsi="Times New Roman"/>
          </w:rPr>
          <w:t>https://doi.org/10.32996/jbms.2026.8.7.5</w:t>
        </w:r>
      </w:hyperlink>
    </w:p>
    <w:p w14:paraId="382E2F69" w14:textId="77777777" w:rsidR="003A4C28" w:rsidRDefault="003A4C28" w:rsidP="003A4C28">
      <w:pPr>
        <w:jc w:val="both"/>
      </w:pPr>
      <w:r>
        <w:rPr>
          <w:rFonts w:ascii="Times New Roman" w:hAnsi="Times New Roman"/>
        </w:rPr>
        <w:t>Ylönen, M. and Aven, T., 2023. A framework for understanding risk based on the concepts of ontology and epistemology. </w:t>
      </w:r>
      <w:r>
        <w:rPr>
          <w:rFonts w:ascii="Times New Roman" w:hAnsi="Times New Roman"/>
          <w:i/>
          <w:iCs/>
        </w:rPr>
        <w:t>Journal of risk research</w:t>
      </w:r>
      <w:r>
        <w:rPr>
          <w:rFonts w:ascii="Times New Roman" w:hAnsi="Times New Roman"/>
        </w:rPr>
        <w:t>, </w:t>
      </w:r>
      <w:r>
        <w:rPr>
          <w:rFonts w:ascii="Times New Roman" w:hAnsi="Times New Roman"/>
          <w:i/>
          <w:iCs/>
        </w:rPr>
        <w:t>26</w:t>
      </w:r>
      <w:r>
        <w:rPr>
          <w:rFonts w:ascii="Times New Roman" w:hAnsi="Times New Roman"/>
        </w:rPr>
        <w:t>(6), pp.581-593.</w:t>
      </w:r>
    </w:p>
    <w:p w14:paraId="5EDDB366" w14:textId="77777777" w:rsidR="003A4C28" w:rsidRDefault="003A4C28" w:rsidP="003A4C28">
      <w:pPr>
        <w:spacing w:after="0"/>
        <w:jc w:val="both"/>
        <w:rPr>
          <w:rFonts w:ascii="Times New Roman" w:hAnsi="Times New Roman"/>
        </w:rPr>
      </w:pPr>
      <w:proofErr w:type="spellStart"/>
      <w:r>
        <w:rPr>
          <w:rFonts w:ascii="Times New Roman" w:hAnsi="Times New Roman"/>
        </w:rPr>
        <w:t>Yoesoep</w:t>
      </w:r>
      <w:proofErr w:type="spellEnd"/>
      <w:r>
        <w:rPr>
          <w:rFonts w:ascii="Times New Roman" w:hAnsi="Times New Roman"/>
        </w:rPr>
        <w:t xml:space="preserve"> Edhie Rachmad. (2022). Leadership Flexibility Theory. Pontevedra </w:t>
      </w:r>
      <w:proofErr w:type="spellStart"/>
      <w:r>
        <w:rPr>
          <w:rFonts w:ascii="Times New Roman" w:hAnsi="Times New Roman"/>
        </w:rPr>
        <w:t>Rías</w:t>
      </w:r>
      <w:proofErr w:type="spellEnd"/>
      <w:r>
        <w:rPr>
          <w:rFonts w:ascii="Times New Roman" w:hAnsi="Times New Roman"/>
        </w:rPr>
        <w:t xml:space="preserve"> </w:t>
      </w:r>
      <w:proofErr w:type="spellStart"/>
      <w:r>
        <w:rPr>
          <w:rFonts w:ascii="Times New Roman" w:hAnsi="Times New Roman"/>
        </w:rPr>
        <w:t>Publicaciones</w:t>
      </w:r>
      <w:proofErr w:type="spellEnd"/>
      <w:r>
        <w:rPr>
          <w:rFonts w:ascii="Times New Roman" w:hAnsi="Times New Roman"/>
        </w:rPr>
        <w:t xml:space="preserve"> Internacionales, </w:t>
      </w:r>
      <w:proofErr w:type="spellStart"/>
      <w:r>
        <w:rPr>
          <w:rFonts w:ascii="Times New Roman" w:hAnsi="Times New Roman"/>
        </w:rPr>
        <w:t>Edición</w:t>
      </w:r>
      <w:proofErr w:type="spellEnd"/>
      <w:r>
        <w:rPr>
          <w:rFonts w:ascii="Times New Roman" w:hAnsi="Times New Roman"/>
        </w:rPr>
        <w:t xml:space="preserve"> Especial 2022.</w:t>
      </w:r>
    </w:p>
    <w:p w14:paraId="7A382B3D" w14:textId="77777777" w:rsidR="003A4C28" w:rsidRPr="00783553" w:rsidRDefault="003A4C28" w:rsidP="003A4C28">
      <w:pPr>
        <w:spacing w:after="0"/>
        <w:jc w:val="both"/>
        <w:rPr>
          <w:rFonts w:ascii="Times New Roman" w:hAnsi="Times New Roman"/>
          <w:sz w:val="14"/>
          <w:szCs w:val="14"/>
        </w:rPr>
      </w:pPr>
    </w:p>
    <w:p w14:paraId="57DFC589" w14:textId="77777777" w:rsidR="003A4C28" w:rsidRDefault="003A4C28" w:rsidP="003A4C28">
      <w:pPr>
        <w:spacing w:after="0"/>
        <w:jc w:val="both"/>
      </w:pPr>
      <w:r>
        <w:rPr>
          <w:rFonts w:ascii="Times New Roman" w:hAnsi="Times New Roman"/>
        </w:rPr>
        <w:t xml:space="preserve">Yulianto, D. and </w:t>
      </w:r>
      <w:proofErr w:type="spellStart"/>
      <w:r>
        <w:rPr>
          <w:rFonts w:ascii="Times New Roman" w:hAnsi="Times New Roman"/>
        </w:rPr>
        <w:t>Puterisari</w:t>
      </w:r>
      <w:proofErr w:type="spellEnd"/>
      <w:r>
        <w:rPr>
          <w:rFonts w:ascii="Times New Roman" w:hAnsi="Times New Roman"/>
        </w:rPr>
        <w:t>, D.U., (2025.) Operational Risk Management in an Unstable Global Supply Chain. </w:t>
      </w:r>
      <w:proofErr w:type="spellStart"/>
      <w:r>
        <w:rPr>
          <w:rFonts w:ascii="Times New Roman" w:hAnsi="Times New Roman"/>
          <w:i/>
          <w:iCs/>
        </w:rPr>
        <w:t>Oikonomia</w:t>
      </w:r>
      <w:proofErr w:type="spellEnd"/>
      <w:r>
        <w:rPr>
          <w:rFonts w:ascii="Times New Roman" w:hAnsi="Times New Roman"/>
          <w:i/>
          <w:iCs/>
        </w:rPr>
        <w:t>: Journal of Management Economics and Accounting</w:t>
      </w:r>
      <w:r>
        <w:rPr>
          <w:rFonts w:ascii="Times New Roman" w:hAnsi="Times New Roman"/>
        </w:rPr>
        <w:t>, </w:t>
      </w:r>
      <w:r>
        <w:rPr>
          <w:rFonts w:ascii="Times New Roman" w:hAnsi="Times New Roman"/>
          <w:i/>
          <w:iCs/>
        </w:rPr>
        <w:t>3</w:t>
      </w:r>
      <w:r>
        <w:rPr>
          <w:rFonts w:ascii="Times New Roman" w:hAnsi="Times New Roman"/>
        </w:rPr>
        <w:t>(1), pp.71-81.</w:t>
      </w:r>
    </w:p>
    <w:p w14:paraId="3EA9F4B5" w14:textId="77777777" w:rsidR="003A4C28" w:rsidRDefault="003A4C28" w:rsidP="003A4C28">
      <w:pPr>
        <w:spacing w:after="0"/>
        <w:jc w:val="both"/>
      </w:pPr>
      <w:r>
        <w:rPr>
          <w:rFonts w:ascii="Times New Roman" w:hAnsi="Times New Roman"/>
        </w:rPr>
        <w:t>Zhao, TY., Li, WL., Kelebek, S. (2025)</w:t>
      </w:r>
      <w:r>
        <w:rPr>
          <w:rFonts w:ascii="Times New Roman" w:hAnsi="Times New Roman"/>
          <w:i/>
          <w:iCs/>
        </w:rPr>
        <w:t>.</w:t>
      </w:r>
      <w:r>
        <w:rPr>
          <w:rFonts w:ascii="Times New Roman" w:hAnsi="Times New Roman"/>
        </w:rPr>
        <w:t> A comprehensive review on rare earth elements: resources, technologies, applications, and prospects. </w:t>
      </w:r>
      <w:r>
        <w:rPr>
          <w:rFonts w:ascii="Times New Roman" w:hAnsi="Times New Roman"/>
          <w:i/>
          <w:iCs/>
        </w:rPr>
        <w:t>Rare Met.</w:t>
      </w:r>
      <w:r>
        <w:rPr>
          <w:rFonts w:ascii="Times New Roman" w:hAnsi="Times New Roman"/>
        </w:rPr>
        <w:t> 44, 7011–7040 https://doi.org/10.1007/s12598-025-03459-9</w:t>
      </w:r>
    </w:p>
    <w:p w14:paraId="191D98BA" w14:textId="77777777" w:rsidR="003A4C28" w:rsidRPr="00783553" w:rsidRDefault="003A4C28" w:rsidP="003A4C28">
      <w:pPr>
        <w:spacing w:after="0"/>
        <w:jc w:val="both"/>
        <w:rPr>
          <w:rFonts w:ascii="Times New Roman" w:hAnsi="Times New Roman"/>
          <w:sz w:val="12"/>
          <w:szCs w:val="12"/>
        </w:rPr>
      </w:pPr>
    </w:p>
    <w:p w14:paraId="1F78CA4D" w14:textId="1773E692" w:rsidR="003A4C28" w:rsidRDefault="003A4C28" w:rsidP="003A4C28">
      <w:pPr>
        <w:spacing w:after="0"/>
        <w:jc w:val="both"/>
      </w:pPr>
      <w:r>
        <w:rPr>
          <w:rFonts w:ascii="Times New Roman" w:hAnsi="Times New Roman"/>
        </w:rPr>
        <w:t>Zhu, M., Miao, S., Lam, H.K., Liang, C. and Yeung, A.C. (2025). Navigating through geopolitical risk: the role of supply chain concentration. </w:t>
      </w:r>
      <w:r>
        <w:rPr>
          <w:rFonts w:ascii="Times New Roman" w:hAnsi="Times New Roman"/>
          <w:i/>
          <w:iCs/>
        </w:rPr>
        <w:t>International Journal of Operations &amp; Production Management</w:t>
      </w:r>
      <w:r>
        <w:rPr>
          <w:rFonts w:ascii="Times New Roman" w:hAnsi="Times New Roman"/>
        </w:rPr>
        <w:t>, </w:t>
      </w:r>
      <w:r>
        <w:rPr>
          <w:rFonts w:ascii="Times New Roman" w:hAnsi="Times New Roman"/>
          <w:i/>
          <w:iCs/>
        </w:rPr>
        <w:t>45</w:t>
      </w:r>
      <w:r>
        <w:rPr>
          <w:rFonts w:ascii="Times New Roman" w:hAnsi="Times New Roman"/>
        </w:rPr>
        <w:t>(5), pp.1032-1065</w:t>
      </w:r>
      <w:r w:rsidR="00567BBF">
        <w:rPr>
          <w:rFonts w:ascii="Times New Roman" w:hAnsi="Times New Roman"/>
        </w:rPr>
        <w:t>.</w:t>
      </w:r>
    </w:p>
    <w:p w14:paraId="77F59E52" w14:textId="77777777" w:rsidR="003A4C28" w:rsidRPr="005805FF" w:rsidRDefault="003A4C28" w:rsidP="003A4C28">
      <w:pPr>
        <w:spacing w:after="0"/>
        <w:jc w:val="both"/>
        <w:rPr>
          <w:sz w:val="8"/>
          <w:szCs w:val="8"/>
        </w:rPr>
      </w:pPr>
    </w:p>
    <w:p w14:paraId="24C7B264" w14:textId="77777777" w:rsidR="003A4C28" w:rsidRDefault="003A4C28" w:rsidP="003A4C28">
      <w:pPr>
        <w:spacing w:after="0"/>
        <w:jc w:val="both"/>
      </w:pPr>
      <w:proofErr w:type="spellStart"/>
      <w:r>
        <w:rPr>
          <w:rFonts w:ascii="Times New Roman" w:hAnsi="Times New Roman"/>
        </w:rPr>
        <w:t>Zirojević</w:t>
      </w:r>
      <w:proofErr w:type="spellEnd"/>
      <w:r>
        <w:rPr>
          <w:rFonts w:ascii="Times New Roman" w:hAnsi="Times New Roman"/>
        </w:rPr>
        <w:t xml:space="preserve">, I.Z., 2024. Digital transformation of geopolitics: </w:t>
      </w:r>
      <w:proofErr w:type="gramStart"/>
      <w:r>
        <w:rPr>
          <w:rFonts w:ascii="Times New Roman" w:hAnsi="Times New Roman"/>
        </w:rPr>
        <w:t>New</w:t>
      </w:r>
      <w:proofErr w:type="gramEnd"/>
      <w:r>
        <w:rPr>
          <w:rFonts w:ascii="Times New Roman" w:hAnsi="Times New Roman"/>
        </w:rPr>
        <w:t xml:space="preserve"> tools, actors, and power dynamics. </w:t>
      </w:r>
      <w:proofErr w:type="spellStart"/>
      <w:r>
        <w:rPr>
          <w:rFonts w:ascii="Times New Roman" w:hAnsi="Times New Roman"/>
          <w:i/>
          <w:iCs/>
        </w:rPr>
        <w:t>Kultura</w:t>
      </w:r>
      <w:proofErr w:type="spellEnd"/>
      <w:r>
        <w:rPr>
          <w:rFonts w:ascii="Times New Roman" w:hAnsi="Times New Roman"/>
          <w:i/>
          <w:iCs/>
        </w:rPr>
        <w:t xml:space="preserve"> Polisa</w:t>
      </w:r>
      <w:r>
        <w:rPr>
          <w:rFonts w:ascii="Times New Roman" w:hAnsi="Times New Roman"/>
        </w:rPr>
        <w:t>, </w:t>
      </w:r>
      <w:r>
        <w:rPr>
          <w:rFonts w:ascii="Times New Roman" w:hAnsi="Times New Roman"/>
          <w:i/>
          <w:iCs/>
        </w:rPr>
        <w:t>21</w:t>
      </w:r>
      <w:r>
        <w:rPr>
          <w:rFonts w:ascii="Times New Roman" w:hAnsi="Times New Roman"/>
        </w:rPr>
        <w:t>(3), pp.77-94.</w:t>
      </w:r>
    </w:p>
    <w:p w14:paraId="1C1370E2" w14:textId="77777777" w:rsidR="003A4C28" w:rsidRDefault="003A4C28" w:rsidP="003A4C28">
      <w:pPr>
        <w:spacing w:after="0" w:line="360" w:lineRule="auto"/>
        <w:jc w:val="both"/>
        <w:rPr>
          <w:rFonts w:ascii="Times New Roman" w:hAnsi="Times New Roman"/>
        </w:rPr>
      </w:pPr>
    </w:p>
    <w:p w14:paraId="30DE5DAD" w14:textId="77777777" w:rsidR="003A4C28" w:rsidRDefault="003A4C28" w:rsidP="003A4C28">
      <w:pPr>
        <w:spacing w:after="0" w:line="360" w:lineRule="auto"/>
        <w:jc w:val="both"/>
        <w:rPr>
          <w:rFonts w:ascii="Times New Roman" w:hAnsi="Times New Roman"/>
        </w:rPr>
      </w:pPr>
    </w:p>
    <w:p w14:paraId="5DBC8BF0" w14:textId="77777777" w:rsidR="003A4C28" w:rsidRDefault="003A4C28" w:rsidP="003A4C28">
      <w:pPr>
        <w:spacing w:after="0" w:line="360" w:lineRule="auto"/>
        <w:jc w:val="both"/>
        <w:rPr>
          <w:rFonts w:ascii="Times New Roman" w:hAnsi="Times New Roman"/>
        </w:rPr>
      </w:pPr>
    </w:p>
    <w:p w14:paraId="25516B14" w14:textId="77777777" w:rsidR="003A4C28" w:rsidRDefault="003A4C28" w:rsidP="003A4C28">
      <w:pPr>
        <w:spacing w:after="0" w:line="360" w:lineRule="auto"/>
        <w:jc w:val="both"/>
        <w:rPr>
          <w:rFonts w:ascii="Times New Roman" w:hAnsi="Times New Roman"/>
        </w:rPr>
      </w:pPr>
    </w:p>
    <w:p w14:paraId="07AB5CF0" w14:textId="77777777" w:rsidR="003A4C28" w:rsidRDefault="003A4C28" w:rsidP="003A4C28">
      <w:pPr>
        <w:spacing w:after="0" w:line="360" w:lineRule="auto"/>
        <w:jc w:val="both"/>
        <w:rPr>
          <w:rFonts w:ascii="Times New Roman" w:hAnsi="Times New Roman"/>
          <w:b/>
          <w:bCs/>
        </w:rPr>
      </w:pPr>
    </w:p>
    <w:p w14:paraId="5419299F" w14:textId="77777777" w:rsidR="003A4C28" w:rsidRDefault="003A4C28" w:rsidP="003A4C28"/>
    <w:p w14:paraId="645E88B5" w14:textId="77777777" w:rsidR="003A4C28" w:rsidRDefault="003A4C28" w:rsidP="003A4C28"/>
    <w:p w14:paraId="39787D56" w14:textId="77777777" w:rsidR="009120BA" w:rsidRDefault="009120BA" w:rsidP="009120BA">
      <w:pPr>
        <w:spacing w:after="0" w:line="360" w:lineRule="auto"/>
        <w:jc w:val="both"/>
        <w:rPr>
          <w:rFonts w:ascii="Times New Roman" w:hAnsi="Times New Roman"/>
          <w:sz w:val="24"/>
          <w:szCs w:val="24"/>
          <w:lang w:val="en-US"/>
        </w:rPr>
      </w:pPr>
    </w:p>
    <w:p w14:paraId="5E6D118D" w14:textId="77777777" w:rsidR="009120BA" w:rsidRDefault="009120BA" w:rsidP="009120BA">
      <w:pPr>
        <w:spacing w:after="0" w:line="360" w:lineRule="auto"/>
        <w:jc w:val="both"/>
        <w:rPr>
          <w:rFonts w:ascii="Times New Roman" w:hAnsi="Times New Roman"/>
          <w:sz w:val="24"/>
          <w:szCs w:val="24"/>
          <w:lang w:val="en-US"/>
        </w:rPr>
      </w:pPr>
    </w:p>
    <w:p w14:paraId="194728BD" w14:textId="77777777" w:rsidR="009120BA" w:rsidRDefault="009120BA" w:rsidP="009120BA">
      <w:pPr>
        <w:spacing w:after="0" w:line="360" w:lineRule="auto"/>
        <w:jc w:val="both"/>
        <w:rPr>
          <w:rFonts w:ascii="Times New Roman" w:hAnsi="Times New Roman"/>
          <w:sz w:val="24"/>
          <w:szCs w:val="24"/>
          <w:lang w:val="en-US"/>
        </w:rPr>
      </w:pPr>
    </w:p>
    <w:p w14:paraId="59F29E52" w14:textId="77777777" w:rsidR="009120BA" w:rsidRDefault="009120BA" w:rsidP="009120BA">
      <w:pPr>
        <w:spacing w:after="0" w:line="360" w:lineRule="auto"/>
        <w:jc w:val="both"/>
        <w:rPr>
          <w:rFonts w:ascii="Times New Roman" w:hAnsi="Times New Roman"/>
          <w:sz w:val="24"/>
          <w:szCs w:val="24"/>
          <w:lang w:val="en-US"/>
        </w:rPr>
      </w:pPr>
    </w:p>
    <w:p w14:paraId="4BB08A74" w14:textId="77777777" w:rsidR="009120BA" w:rsidRDefault="009120BA" w:rsidP="009120BA">
      <w:pPr>
        <w:spacing w:after="0" w:line="360" w:lineRule="auto"/>
        <w:jc w:val="both"/>
        <w:rPr>
          <w:rFonts w:ascii="Times New Roman" w:hAnsi="Times New Roman"/>
          <w:sz w:val="24"/>
          <w:szCs w:val="24"/>
          <w:lang w:val="en-US"/>
        </w:rPr>
      </w:pPr>
    </w:p>
    <w:p w14:paraId="4EBC55BD" w14:textId="77777777" w:rsidR="009120BA" w:rsidRDefault="009120BA" w:rsidP="009120BA">
      <w:pPr>
        <w:spacing w:after="0" w:line="360" w:lineRule="auto"/>
        <w:jc w:val="both"/>
        <w:rPr>
          <w:rFonts w:ascii="Times New Roman" w:hAnsi="Times New Roman"/>
          <w:sz w:val="24"/>
          <w:szCs w:val="24"/>
          <w:lang w:val="en-US"/>
        </w:rPr>
      </w:pPr>
    </w:p>
    <w:p w14:paraId="2A320615" w14:textId="77777777" w:rsidR="009120BA" w:rsidRDefault="009120BA" w:rsidP="009120BA">
      <w:pPr>
        <w:spacing w:after="0" w:line="360" w:lineRule="auto"/>
        <w:jc w:val="both"/>
        <w:rPr>
          <w:rFonts w:ascii="Times New Roman" w:hAnsi="Times New Roman"/>
          <w:sz w:val="24"/>
          <w:szCs w:val="24"/>
          <w:lang w:val="en-US"/>
        </w:rPr>
      </w:pPr>
    </w:p>
    <w:p w14:paraId="5C2025F9" w14:textId="77777777" w:rsidR="009120BA" w:rsidRDefault="009120BA" w:rsidP="009120BA">
      <w:pPr>
        <w:spacing w:after="0" w:line="360" w:lineRule="auto"/>
        <w:jc w:val="both"/>
        <w:rPr>
          <w:rFonts w:ascii="Times New Roman" w:hAnsi="Times New Roman"/>
          <w:sz w:val="24"/>
          <w:szCs w:val="24"/>
          <w:lang w:val="en-US"/>
        </w:rPr>
      </w:pPr>
    </w:p>
    <w:p w14:paraId="585DB332" w14:textId="77777777" w:rsidR="009120BA" w:rsidRDefault="009120BA" w:rsidP="009120BA">
      <w:pPr>
        <w:spacing w:after="0" w:line="360" w:lineRule="auto"/>
        <w:jc w:val="both"/>
        <w:rPr>
          <w:rFonts w:ascii="Times New Roman" w:hAnsi="Times New Roman"/>
          <w:sz w:val="24"/>
          <w:szCs w:val="24"/>
          <w:lang w:val="en-US"/>
        </w:rPr>
      </w:pPr>
    </w:p>
    <w:p w14:paraId="1DB07B07" w14:textId="77777777" w:rsidR="009120BA" w:rsidRDefault="009120BA" w:rsidP="009120BA">
      <w:pPr>
        <w:spacing w:after="0" w:line="360" w:lineRule="auto"/>
        <w:jc w:val="both"/>
        <w:rPr>
          <w:rFonts w:ascii="Times New Roman" w:hAnsi="Times New Roman"/>
          <w:sz w:val="24"/>
          <w:szCs w:val="24"/>
          <w:lang w:val="en-US"/>
        </w:rPr>
      </w:pPr>
    </w:p>
    <w:p w14:paraId="166C8AAC" w14:textId="77777777" w:rsidR="009120BA" w:rsidRDefault="009120BA" w:rsidP="009120BA">
      <w:pPr>
        <w:spacing w:after="0" w:line="360" w:lineRule="auto"/>
        <w:jc w:val="both"/>
        <w:rPr>
          <w:rFonts w:ascii="Times New Roman" w:hAnsi="Times New Roman"/>
          <w:sz w:val="24"/>
          <w:szCs w:val="24"/>
          <w:lang w:val="en-US"/>
        </w:rPr>
      </w:pPr>
    </w:p>
    <w:p w14:paraId="5D1094C4" w14:textId="77777777" w:rsidR="009120BA" w:rsidRDefault="009120BA" w:rsidP="009120BA">
      <w:pPr>
        <w:spacing w:after="0" w:line="360" w:lineRule="auto"/>
        <w:jc w:val="both"/>
        <w:rPr>
          <w:rFonts w:ascii="Times New Roman" w:hAnsi="Times New Roman"/>
          <w:sz w:val="24"/>
          <w:szCs w:val="24"/>
          <w:lang w:val="en-US"/>
        </w:rPr>
      </w:pPr>
    </w:p>
    <w:p w14:paraId="60280A74" w14:textId="77777777" w:rsidR="009120BA" w:rsidRDefault="009120BA" w:rsidP="009120BA">
      <w:pPr>
        <w:spacing w:after="0" w:line="360" w:lineRule="auto"/>
        <w:jc w:val="both"/>
        <w:rPr>
          <w:rFonts w:ascii="Times New Roman" w:hAnsi="Times New Roman"/>
          <w:sz w:val="24"/>
          <w:szCs w:val="24"/>
          <w:lang w:val="en-US"/>
        </w:rPr>
      </w:pPr>
    </w:p>
    <w:p w14:paraId="0966F1F6" w14:textId="77777777" w:rsidR="00E8516E" w:rsidRDefault="00E8516E"/>
    <w:sectPr w:rsidR="00E8516E" w:rsidSect="009120BA">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46F4C"/>
    <w:multiLevelType w:val="multilevel"/>
    <w:tmpl w:val="01F68E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89C48F2"/>
    <w:multiLevelType w:val="multilevel"/>
    <w:tmpl w:val="71009D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8E705AF"/>
    <w:multiLevelType w:val="multilevel"/>
    <w:tmpl w:val="8962DD3A"/>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973947938">
    <w:abstractNumId w:val="2"/>
  </w:num>
  <w:num w:numId="2" w16cid:durableId="519128797">
    <w:abstractNumId w:val="2"/>
    <w:lvlOverride w:ilvl="0">
      <w:startOverride w:val="1"/>
    </w:lvlOverride>
  </w:num>
  <w:num w:numId="3" w16cid:durableId="1027675350">
    <w:abstractNumId w:val="1"/>
  </w:num>
  <w:num w:numId="4" w16cid:durableId="431976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BA"/>
    <w:rsid w:val="00000DAF"/>
    <w:rsid w:val="00003852"/>
    <w:rsid w:val="00003F49"/>
    <w:rsid w:val="00010230"/>
    <w:rsid w:val="00010902"/>
    <w:rsid w:val="000136BD"/>
    <w:rsid w:val="000230B9"/>
    <w:rsid w:val="000465EF"/>
    <w:rsid w:val="00050A97"/>
    <w:rsid w:val="00051676"/>
    <w:rsid w:val="00066D10"/>
    <w:rsid w:val="000674F3"/>
    <w:rsid w:val="000752D9"/>
    <w:rsid w:val="00076C41"/>
    <w:rsid w:val="00076CFA"/>
    <w:rsid w:val="00077BFA"/>
    <w:rsid w:val="00091BF3"/>
    <w:rsid w:val="000935B4"/>
    <w:rsid w:val="00093C4F"/>
    <w:rsid w:val="00093F93"/>
    <w:rsid w:val="000A7DB2"/>
    <w:rsid w:val="000C2D0E"/>
    <w:rsid w:val="000C2E62"/>
    <w:rsid w:val="000C53C8"/>
    <w:rsid w:val="000C743D"/>
    <w:rsid w:val="000C7BFF"/>
    <w:rsid w:val="000D35FD"/>
    <w:rsid w:val="000D6FC6"/>
    <w:rsid w:val="000E0854"/>
    <w:rsid w:val="000E2761"/>
    <w:rsid w:val="000E773C"/>
    <w:rsid w:val="000F0379"/>
    <w:rsid w:val="000F0925"/>
    <w:rsid w:val="001046D7"/>
    <w:rsid w:val="001144CE"/>
    <w:rsid w:val="001368FF"/>
    <w:rsid w:val="00142B28"/>
    <w:rsid w:val="001446CA"/>
    <w:rsid w:val="00147A29"/>
    <w:rsid w:val="00154EB7"/>
    <w:rsid w:val="00157DCD"/>
    <w:rsid w:val="00161CB9"/>
    <w:rsid w:val="00171B3D"/>
    <w:rsid w:val="001727E0"/>
    <w:rsid w:val="001749BD"/>
    <w:rsid w:val="00176B05"/>
    <w:rsid w:val="0018477F"/>
    <w:rsid w:val="001867AB"/>
    <w:rsid w:val="001873C9"/>
    <w:rsid w:val="00192306"/>
    <w:rsid w:val="0019521F"/>
    <w:rsid w:val="001B4070"/>
    <w:rsid w:val="001C07E6"/>
    <w:rsid w:val="001C65D5"/>
    <w:rsid w:val="001D022A"/>
    <w:rsid w:val="001E0C20"/>
    <w:rsid w:val="001E5815"/>
    <w:rsid w:val="001E5AEA"/>
    <w:rsid w:val="001E6A28"/>
    <w:rsid w:val="00203548"/>
    <w:rsid w:val="00235D74"/>
    <w:rsid w:val="002377E1"/>
    <w:rsid w:val="002470FE"/>
    <w:rsid w:val="00265304"/>
    <w:rsid w:val="0026652D"/>
    <w:rsid w:val="00276DF5"/>
    <w:rsid w:val="002835A6"/>
    <w:rsid w:val="00290191"/>
    <w:rsid w:val="002C683E"/>
    <w:rsid w:val="002D0CCB"/>
    <w:rsid w:val="002D1098"/>
    <w:rsid w:val="002D3B83"/>
    <w:rsid w:val="002D4984"/>
    <w:rsid w:val="002D7E4F"/>
    <w:rsid w:val="002E1151"/>
    <w:rsid w:val="002E525A"/>
    <w:rsid w:val="002F2DD5"/>
    <w:rsid w:val="002F3936"/>
    <w:rsid w:val="002F6128"/>
    <w:rsid w:val="002F7E2E"/>
    <w:rsid w:val="00301F1F"/>
    <w:rsid w:val="003068DE"/>
    <w:rsid w:val="0033532A"/>
    <w:rsid w:val="00343A08"/>
    <w:rsid w:val="003440C4"/>
    <w:rsid w:val="003518AE"/>
    <w:rsid w:val="00353431"/>
    <w:rsid w:val="00363F0F"/>
    <w:rsid w:val="00375D22"/>
    <w:rsid w:val="003A1BF9"/>
    <w:rsid w:val="003A2CF8"/>
    <w:rsid w:val="003A4C28"/>
    <w:rsid w:val="003A5AF0"/>
    <w:rsid w:val="003A6D65"/>
    <w:rsid w:val="003B5742"/>
    <w:rsid w:val="003C2B38"/>
    <w:rsid w:val="003C3CD8"/>
    <w:rsid w:val="003C7117"/>
    <w:rsid w:val="003E0002"/>
    <w:rsid w:val="003F245F"/>
    <w:rsid w:val="003F5E6D"/>
    <w:rsid w:val="00402E9C"/>
    <w:rsid w:val="004124B9"/>
    <w:rsid w:val="004134D3"/>
    <w:rsid w:val="004142B6"/>
    <w:rsid w:val="004176AF"/>
    <w:rsid w:val="004300B7"/>
    <w:rsid w:val="0043308E"/>
    <w:rsid w:val="00433D87"/>
    <w:rsid w:val="00441D33"/>
    <w:rsid w:val="00453001"/>
    <w:rsid w:val="004569B4"/>
    <w:rsid w:val="0045733E"/>
    <w:rsid w:val="00462A04"/>
    <w:rsid w:val="00466844"/>
    <w:rsid w:val="004668C1"/>
    <w:rsid w:val="00471318"/>
    <w:rsid w:val="00476643"/>
    <w:rsid w:val="00485F91"/>
    <w:rsid w:val="00485FC0"/>
    <w:rsid w:val="00490B21"/>
    <w:rsid w:val="00492089"/>
    <w:rsid w:val="00494E50"/>
    <w:rsid w:val="00497CC9"/>
    <w:rsid w:val="004A1F23"/>
    <w:rsid w:val="004A6068"/>
    <w:rsid w:val="004B0547"/>
    <w:rsid w:val="004B2901"/>
    <w:rsid w:val="004B3847"/>
    <w:rsid w:val="004B3F24"/>
    <w:rsid w:val="004B4761"/>
    <w:rsid w:val="004C3C3C"/>
    <w:rsid w:val="004D1033"/>
    <w:rsid w:val="004D14FD"/>
    <w:rsid w:val="004D1BD5"/>
    <w:rsid w:val="004D56EE"/>
    <w:rsid w:val="004D7C64"/>
    <w:rsid w:val="004E276A"/>
    <w:rsid w:val="004E45D5"/>
    <w:rsid w:val="004F06C0"/>
    <w:rsid w:val="004F1846"/>
    <w:rsid w:val="00500B50"/>
    <w:rsid w:val="005024A8"/>
    <w:rsid w:val="005059F8"/>
    <w:rsid w:val="00514FBE"/>
    <w:rsid w:val="0052125E"/>
    <w:rsid w:val="005213F7"/>
    <w:rsid w:val="005276B2"/>
    <w:rsid w:val="00527F8D"/>
    <w:rsid w:val="0053244F"/>
    <w:rsid w:val="005335A5"/>
    <w:rsid w:val="00535208"/>
    <w:rsid w:val="0053679C"/>
    <w:rsid w:val="00537BAC"/>
    <w:rsid w:val="00537BE6"/>
    <w:rsid w:val="00551BCF"/>
    <w:rsid w:val="0055481D"/>
    <w:rsid w:val="005675E4"/>
    <w:rsid w:val="00567BBF"/>
    <w:rsid w:val="005829B7"/>
    <w:rsid w:val="00584AB7"/>
    <w:rsid w:val="00585E97"/>
    <w:rsid w:val="0059486F"/>
    <w:rsid w:val="00595454"/>
    <w:rsid w:val="005A0FFB"/>
    <w:rsid w:val="005A5A17"/>
    <w:rsid w:val="005A68FE"/>
    <w:rsid w:val="005B0C06"/>
    <w:rsid w:val="005B3EED"/>
    <w:rsid w:val="005B6317"/>
    <w:rsid w:val="005C71FF"/>
    <w:rsid w:val="005D7D81"/>
    <w:rsid w:val="005E401D"/>
    <w:rsid w:val="005E5F6D"/>
    <w:rsid w:val="005E7E5B"/>
    <w:rsid w:val="00601B92"/>
    <w:rsid w:val="0060336B"/>
    <w:rsid w:val="00610A7C"/>
    <w:rsid w:val="00615242"/>
    <w:rsid w:val="0063501F"/>
    <w:rsid w:val="00640B69"/>
    <w:rsid w:val="00643A53"/>
    <w:rsid w:val="00643C85"/>
    <w:rsid w:val="00654FAE"/>
    <w:rsid w:val="006563F7"/>
    <w:rsid w:val="00673B44"/>
    <w:rsid w:val="006A7693"/>
    <w:rsid w:val="006B0772"/>
    <w:rsid w:val="006C41C4"/>
    <w:rsid w:val="006C5FF9"/>
    <w:rsid w:val="006D33DF"/>
    <w:rsid w:val="006D5C5B"/>
    <w:rsid w:val="006D7339"/>
    <w:rsid w:val="006E12F3"/>
    <w:rsid w:val="006E3672"/>
    <w:rsid w:val="006E4489"/>
    <w:rsid w:val="006E5B13"/>
    <w:rsid w:val="00704233"/>
    <w:rsid w:val="00710546"/>
    <w:rsid w:val="00712A25"/>
    <w:rsid w:val="00712E54"/>
    <w:rsid w:val="007205D3"/>
    <w:rsid w:val="007206FA"/>
    <w:rsid w:val="00721FC5"/>
    <w:rsid w:val="0072343A"/>
    <w:rsid w:val="00740027"/>
    <w:rsid w:val="00742D28"/>
    <w:rsid w:val="00756CB5"/>
    <w:rsid w:val="00762E44"/>
    <w:rsid w:val="00765D09"/>
    <w:rsid w:val="00782EF9"/>
    <w:rsid w:val="00790FE6"/>
    <w:rsid w:val="007975EF"/>
    <w:rsid w:val="007A42F7"/>
    <w:rsid w:val="007A7B8D"/>
    <w:rsid w:val="007B0245"/>
    <w:rsid w:val="007B179F"/>
    <w:rsid w:val="007B1BC6"/>
    <w:rsid w:val="007B7D13"/>
    <w:rsid w:val="007D1FF0"/>
    <w:rsid w:val="007D2937"/>
    <w:rsid w:val="007D34EB"/>
    <w:rsid w:val="007E3886"/>
    <w:rsid w:val="007E6BBE"/>
    <w:rsid w:val="007E7897"/>
    <w:rsid w:val="007F1FA9"/>
    <w:rsid w:val="00801935"/>
    <w:rsid w:val="00806EEF"/>
    <w:rsid w:val="0081078C"/>
    <w:rsid w:val="00812DA6"/>
    <w:rsid w:val="00813FFA"/>
    <w:rsid w:val="00817B0B"/>
    <w:rsid w:val="00826BA2"/>
    <w:rsid w:val="00826BFC"/>
    <w:rsid w:val="008343AB"/>
    <w:rsid w:val="00835D71"/>
    <w:rsid w:val="008402A5"/>
    <w:rsid w:val="008476F2"/>
    <w:rsid w:val="00852822"/>
    <w:rsid w:val="008538DB"/>
    <w:rsid w:val="00857BC9"/>
    <w:rsid w:val="0086204A"/>
    <w:rsid w:val="00864AC8"/>
    <w:rsid w:val="00864DC5"/>
    <w:rsid w:val="00876468"/>
    <w:rsid w:val="008831FD"/>
    <w:rsid w:val="0088441A"/>
    <w:rsid w:val="00884C29"/>
    <w:rsid w:val="00890A56"/>
    <w:rsid w:val="00897453"/>
    <w:rsid w:val="008A0082"/>
    <w:rsid w:val="008A53D1"/>
    <w:rsid w:val="008C78B2"/>
    <w:rsid w:val="008D3B67"/>
    <w:rsid w:val="008D7073"/>
    <w:rsid w:val="008E032A"/>
    <w:rsid w:val="008E6B9E"/>
    <w:rsid w:val="009012B5"/>
    <w:rsid w:val="00901A04"/>
    <w:rsid w:val="00902830"/>
    <w:rsid w:val="00902886"/>
    <w:rsid w:val="00907AA0"/>
    <w:rsid w:val="00910DD1"/>
    <w:rsid w:val="009120BA"/>
    <w:rsid w:val="0092325D"/>
    <w:rsid w:val="00935114"/>
    <w:rsid w:val="009475D2"/>
    <w:rsid w:val="00955055"/>
    <w:rsid w:val="0095513E"/>
    <w:rsid w:val="009624D2"/>
    <w:rsid w:val="00966978"/>
    <w:rsid w:val="00977376"/>
    <w:rsid w:val="0099688B"/>
    <w:rsid w:val="009A2023"/>
    <w:rsid w:val="009B0086"/>
    <w:rsid w:val="009B11B3"/>
    <w:rsid w:val="009B13EA"/>
    <w:rsid w:val="009B6DC6"/>
    <w:rsid w:val="009B738F"/>
    <w:rsid w:val="009C2ADB"/>
    <w:rsid w:val="009C7204"/>
    <w:rsid w:val="009D0057"/>
    <w:rsid w:val="009D2A79"/>
    <w:rsid w:val="009D3A9A"/>
    <w:rsid w:val="009E676C"/>
    <w:rsid w:val="009E6BCA"/>
    <w:rsid w:val="009F3C38"/>
    <w:rsid w:val="009F79BC"/>
    <w:rsid w:val="00A069BE"/>
    <w:rsid w:val="00A0779C"/>
    <w:rsid w:val="00A17A1A"/>
    <w:rsid w:val="00A20F54"/>
    <w:rsid w:val="00A2166E"/>
    <w:rsid w:val="00A23EDA"/>
    <w:rsid w:val="00A3171B"/>
    <w:rsid w:val="00A32E45"/>
    <w:rsid w:val="00A54E69"/>
    <w:rsid w:val="00A560EA"/>
    <w:rsid w:val="00A6453D"/>
    <w:rsid w:val="00A65699"/>
    <w:rsid w:val="00A705C2"/>
    <w:rsid w:val="00A72A5F"/>
    <w:rsid w:val="00A743C8"/>
    <w:rsid w:val="00A8056D"/>
    <w:rsid w:val="00A807C2"/>
    <w:rsid w:val="00A812A6"/>
    <w:rsid w:val="00A8459A"/>
    <w:rsid w:val="00A90C1E"/>
    <w:rsid w:val="00A94C43"/>
    <w:rsid w:val="00AB05E2"/>
    <w:rsid w:val="00AC449C"/>
    <w:rsid w:val="00AC4888"/>
    <w:rsid w:val="00AD04E7"/>
    <w:rsid w:val="00AD6378"/>
    <w:rsid w:val="00AE1E90"/>
    <w:rsid w:val="00AE67A4"/>
    <w:rsid w:val="00AE6E19"/>
    <w:rsid w:val="00AF2094"/>
    <w:rsid w:val="00AF43C0"/>
    <w:rsid w:val="00AF537B"/>
    <w:rsid w:val="00AF7F03"/>
    <w:rsid w:val="00B007C4"/>
    <w:rsid w:val="00B05F48"/>
    <w:rsid w:val="00B07A0F"/>
    <w:rsid w:val="00B11DD7"/>
    <w:rsid w:val="00B1307A"/>
    <w:rsid w:val="00B1332A"/>
    <w:rsid w:val="00B2102B"/>
    <w:rsid w:val="00B276EF"/>
    <w:rsid w:val="00B330BF"/>
    <w:rsid w:val="00B37CC1"/>
    <w:rsid w:val="00B41F06"/>
    <w:rsid w:val="00B471D9"/>
    <w:rsid w:val="00B51A63"/>
    <w:rsid w:val="00B524E1"/>
    <w:rsid w:val="00B64789"/>
    <w:rsid w:val="00B64F30"/>
    <w:rsid w:val="00B65CC8"/>
    <w:rsid w:val="00B67713"/>
    <w:rsid w:val="00B72F42"/>
    <w:rsid w:val="00B81A91"/>
    <w:rsid w:val="00B83651"/>
    <w:rsid w:val="00B83AF8"/>
    <w:rsid w:val="00B86BDD"/>
    <w:rsid w:val="00B87F99"/>
    <w:rsid w:val="00B91F09"/>
    <w:rsid w:val="00BA1ED8"/>
    <w:rsid w:val="00BA4E24"/>
    <w:rsid w:val="00BB1F0F"/>
    <w:rsid w:val="00BC044F"/>
    <w:rsid w:val="00BC1284"/>
    <w:rsid w:val="00BC3A0A"/>
    <w:rsid w:val="00BC4639"/>
    <w:rsid w:val="00BC5F5B"/>
    <w:rsid w:val="00BD2C40"/>
    <w:rsid w:val="00BD456A"/>
    <w:rsid w:val="00BE40A1"/>
    <w:rsid w:val="00BF0635"/>
    <w:rsid w:val="00BF2869"/>
    <w:rsid w:val="00BF4110"/>
    <w:rsid w:val="00BF5433"/>
    <w:rsid w:val="00C01326"/>
    <w:rsid w:val="00C11923"/>
    <w:rsid w:val="00C17A18"/>
    <w:rsid w:val="00C362F8"/>
    <w:rsid w:val="00C46D76"/>
    <w:rsid w:val="00C51B52"/>
    <w:rsid w:val="00C5451D"/>
    <w:rsid w:val="00C57DD9"/>
    <w:rsid w:val="00C619A6"/>
    <w:rsid w:val="00C652E6"/>
    <w:rsid w:val="00C675C1"/>
    <w:rsid w:val="00C838AA"/>
    <w:rsid w:val="00C85DD7"/>
    <w:rsid w:val="00C90117"/>
    <w:rsid w:val="00C92FEC"/>
    <w:rsid w:val="00CA0EC3"/>
    <w:rsid w:val="00CA15A0"/>
    <w:rsid w:val="00CA33E1"/>
    <w:rsid w:val="00CA34E3"/>
    <w:rsid w:val="00CB0223"/>
    <w:rsid w:val="00CB48DB"/>
    <w:rsid w:val="00CC14F0"/>
    <w:rsid w:val="00CC27F8"/>
    <w:rsid w:val="00CC6583"/>
    <w:rsid w:val="00CD6DD8"/>
    <w:rsid w:val="00CE1E9F"/>
    <w:rsid w:val="00CE29A5"/>
    <w:rsid w:val="00CE3A8B"/>
    <w:rsid w:val="00CE4B40"/>
    <w:rsid w:val="00CE53EB"/>
    <w:rsid w:val="00CF0C80"/>
    <w:rsid w:val="00CF30D1"/>
    <w:rsid w:val="00CF3551"/>
    <w:rsid w:val="00CF373F"/>
    <w:rsid w:val="00CF5365"/>
    <w:rsid w:val="00D20370"/>
    <w:rsid w:val="00D22C21"/>
    <w:rsid w:val="00D25E42"/>
    <w:rsid w:val="00D26997"/>
    <w:rsid w:val="00D43A0E"/>
    <w:rsid w:val="00D50C14"/>
    <w:rsid w:val="00D51CEF"/>
    <w:rsid w:val="00D703A2"/>
    <w:rsid w:val="00D71E7D"/>
    <w:rsid w:val="00D71FAF"/>
    <w:rsid w:val="00D77528"/>
    <w:rsid w:val="00D778B0"/>
    <w:rsid w:val="00D83EA7"/>
    <w:rsid w:val="00D8797B"/>
    <w:rsid w:val="00D94122"/>
    <w:rsid w:val="00DA3C9E"/>
    <w:rsid w:val="00DB29B8"/>
    <w:rsid w:val="00DB29C4"/>
    <w:rsid w:val="00DD4766"/>
    <w:rsid w:val="00DE019D"/>
    <w:rsid w:val="00DF4CEC"/>
    <w:rsid w:val="00E02A58"/>
    <w:rsid w:val="00E1254A"/>
    <w:rsid w:val="00E1292A"/>
    <w:rsid w:val="00E12F95"/>
    <w:rsid w:val="00E23C76"/>
    <w:rsid w:val="00E32834"/>
    <w:rsid w:val="00E35061"/>
    <w:rsid w:val="00E40E6C"/>
    <w:rsid w:val="00E508AB"/>
    <w:rsid w:val="00E5699A"/>
    <w:rsid w:val="00E61E25"/>
    <w:rsid w:val="00E8500F"/>
    <w:rsid w:val="00E8516E"/>
    <w:rsid w:val="00E91524"/>
    <w:rsid w:val="00EA0CC4"/>
    <w:rsid w:val="00EA16A7"/>
    <w:rsid w:val="00EB172E"/>
    <w:rsid w:val="00EC7EB7"/>
    <w:rsid w:val="00ED0967"/>
    <w:rsid w:val="00ED4AFD"/>
    <w:rsid w:val="00ED5BB3"/>
    <w:rsid w:val="00EE21F2"/>
    <w:rsid w:val="00EE3761"/>
    <w:rsid w:val="00EE6591"/>
    <w:rsid w:val="00EF0766"/>
    <w:rsid w:val="00EF0D7A"/>
    <w:rsid w:val="00EF4A49"/>
    <w:rsid w:val="00EF64DE"/>
    <w:rsid w:val="00F02FA3"/>
    <w:rsid w:val="00F05270"/>
    <w:rsid w:val="00F1083E"/>
    <w:rsid w:val="00F17FC3"/>
    <w:rsid w:val="00F24C1E"/>
    <w:rsid w:val="00F256FE"/>
    <w:rsid w:val="00F276F2"/>
    <w:rsid w:val="00F31439"/>
    <w:rsid w:val="00F42F52"/>
    <w:rsid w:val="00F436F5"/>
    <w:rsid w:val="00F43DC7"/>
    <w:rsid w:val="00F45F20"/>
    <w:rsid w:val="00F50FD5"/>
    <w:rsid w:val="00F5489A"/>
    <w:rsid w:val="00F55D48"/>
    <w:rsid w:val="00F57D88"/>
    <w:rsid w:val="00F61870"/>
    <w:rsid w:val="00F70AF7"/>
    <w:rsid w:val="00F7410F"/>
    <w:rsid w:val="00F82EDE"/>
    <w:rsid w:val="00F93B71"/>
    <w:rsid w:val="00F93DB6"/>
    <w:rsid w:val="00FA36DE"/>
    <w:rsid w:val="00FA4F36"/>
    <w:rsid w:val="00FA7056"/>
    <w:rsid w:val="00FB5FF1"/>
    <w:rsid w:val="00FB686E"/>
    <w:rsid w:val="00FB7520"/>
    <w:rsid w:val="00FC3887"/>
    <w:rsid w:val="00FD1E00"/>
    <w:rsid w:val="00FD44D9"/>
    <w:rsid w:val="00FF0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55BE"/>
  <w15:chartTrackingRefBased/>
  <w15:docId w15:val="{37723A83-A990-4542-8CE6-E002AB45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0BA"/>
    <w:pPr>
      <w:suppressAutoHyphens/>
      <w:autoSpaceDN w:val="0"/>
      <w:spacing w:line="254" w:lineRule="auto"/>
    </w:pPr>
    <w:rPr>
      <w:rFonts w:ascii="Calibri" w:eastAsia="Calibri" w:hAnsi="Calibri" w:cs="Times New Roman"/>
      <w:kern w:val="3"/>
      <w14:ligatures w14:val="none"/>
    </w:rPr>
  </w:style>
  <w:style w:type="paragraph" w:styleId="Heading1">
    <w:name w:val="heading 1"/>
    <w:basedOn w:val="Normal"/>
    <w:next w:val="Normal"/>
    <w:link w:val="Heading1Char"/>
    <w:uiPriority w:val="9"/>
    <w:qFormat/>
    <w:rsid w:val="00912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12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12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12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2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12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12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120BA"/>
    <w:rPr>
      <w:rFonts w:eastAsiaTheme="majorEastAsia" w:cstheme="majorBidi"/>
      <w:i/>
      <w:iCs/>
      <w:color w:val="0F4761" w:themeColor="accent1" w:themeShade="BF"/>
    </w:rPr>
  </w:style>
  <w:style w:type="character" w:customStyle="1" w:styleId="Heading5Char">
    <w:name w:val="Heading 5 Char"/>
    <w:basedOn w:val="DefaultParagraphFont"/>
    <w:link w:val="Heading5"/>
    <w:rsid w:val="009120BA"/>
    <w:rPr>
      <w:rFonts w:eastAsiaTheme="majorEastAsia" w:cstheme="majorBidi"/>
      <w:color w:val="0F4761" w:themeColor="accent1" w:themeShade="BF"/>
    </w:rPr>
  </w:style>
  <w:style w:type="character" w:customStyle="1" w:styleId="Heading6Char">
    <w:name w:val="Heading 6 Char"/>
    <w:basedOn w:val="DefaultParagraphFont"/>
    <w:link w:val="Heading6"/>
    <w:rsid w:val="009120BA"/>
    <w:rPr>
      <w:rFonts w:eastAsiaTheme="majorEastAsia" w:cstheme="majorBidi"/>
      <w:i/>
      <w:iCs/>
      <w:color w:val="595959" w:themeColor="text1" w:themeTint="A6"/>
    </w:rPr>
  </w:style>
  <w:style w:type="character" w:customStyle="1" w:styleId="Heading7Char">
    <w:name w:val="Heading 7 Char"/>
    <w:basedOn w:val="DefaultParagraphFont"/>
    <w:link w:val="Heading7"/>
    <w:rsid w:val="009120BA"/>
    <w:rPr>
      <w:rFonts w:eastAsiaTheme="majorEastAsia" w:cstheme="majorBidi"/>
      <w:color w:val="595959" w:themeColor="text1" w:themeTint="A6"/>
    </w:rPr>
  </w:style>
  <w:style w:type="character" w:customStyle="1" w:styleId="Heading8Char">
    <w:name w:val="Heading 8 Char"/>
    <w:basedOn w:val="DefaultParagraphFont"/>
    <w:link w:val="Heading8"/>
    <w:rsid w:val="009120BA"/>
    <w:rPr>
      <w:rFonts w:eastAsiaTheme="majorEastAsia" w:cstheme="majorBidi"/>
      <w:i/>
      <w:iCs/>
      <w:color w:val="272727" w:themeColor="text1" w:themeTint="D8"/>
    </w:rPr>
  </w:style>
  <w:style w:type="character" w:customStyle="1" w:styleId="Heading9Char">
    <w:name w:val="Heading 9 Char"/>
    <w:basedOn w:val="DefaultParagraphFont"/>
    <w:link w:val="Heading9"/>
    <w:rsid w:val="009120BA"/>
    <w:rPr>
      <w:rFonts w:eastAsiaTheme="majorEastAsia" w:cstheme="majorBidi"/>
      <w:color w:val="272727" w:themeColor="text1" w:themeTint="D8"/>
    </w:rPr>
  </w:style>
  <w:style w:type="paragraph" w:styleId="Title">
    <w:name w:val="Title"/>
    <w:basedOn w:val="Normal"/>
    <w:next w:val="Normal"/>
    <w:link w:val="TitleChar"/>
    <w:uiPriority w:val="10"/>
    <w:qFormat/>
    <w:rsid w:val="00912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12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9120BA"/>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9120BA"/>
    <w:pPr>
      <w:spacing w:before="160"/>
      <w:jc w:val="center"/>
    </w:pPr>
    <w:rPr>
      <w:i/>
      <w:iCs/>
      <w:color w:val="404040" w:themeColor="text1" w:themeTint="BF"/>
    </w:rPr>
  </w:style>
  <w:style w:type="character" w:customStyle="1" w:styleId="QuoteChar">
    <w:name w:val="Quote Char"/>
    <w:basedOn w:val="DefaultParagraphFont"/>
    <w:link w:val="Quote"/>
    <w:rsid w:val="009120BA"/>
    <w:rPr>
      <w:i/>
      <w:iCs/>
      <w:color w:val="404040" w:themeColor="text1" w:themeTint="BF"/>
    </w:rPr>
  </w:style>
  <w:style w:type="paragraph" w:styleId="ListParagraph">
    <w:name w:val="List Paragraph"/>
    <w:basedOn w:val="Normal"/>
    <w:qFormat/>
    <w:rsid w:val="009120BA"/>
    <w:pPr>
      <w:ind w:left="720"/>
      <w:contextualSpacing/>
    </w:pPr>
  </w:style>
  <w:style w:type="character" w:styleId="IntenseEmphasis">
    <w:name w:val="Intense Emphasis"/>
    <w:basedOn w:val="DefaultParagraphFont"/>
    <w:qFormat/>
    <w:rsid w:val="009120BA"/>
    <w:rPr>
      <w:i/>
      <w:iCs/>
      <w:color w:val="0F4761" w:themeColor="accent1" w:themeShade="BF"/>
    </w:rPr>
  </w:style>
  <w:style w:type="paragraph" w:styleId="IntenseQuote">
    <w:name w:val="Intense Quote"/>
    <w:basedOn w:val="Normal"/>
    <w:next w:val="Normal"/>
    <w:link w:val="IntenseQuoteChar"/>
    <w:qFormat/>
    <w:rsid w:val="00912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sid w:val="009120BA"/>
    <w:rPr>
      <w:i/>
      <w:iCs/>
      <w:color w:val="0F4761" w:themeColor="accent1" w:themeShade="BF"/>
    </w:rPr>
  </w:style>
  <w:style w:type="character" w:styleId="IntenseReference">
    <w:name w:val="Intense Reference"/>
    <w:basedOn w:val="DefaultParagraphFont"/>
    <w:qFormat/>
    <w:rsid w:val="009120BA"/>
    <w:rPr>
      <w:b/>
      <w:bCs/>
      <w:smallCaps/>
      <w:color w:val="0F4761" w:themeColor="accent1" w:themeShade="BF"/>
      <w:spacing w:val="5"/>
    </w:rPr>
  </w:style>
  <w:style w:type="character" w:styleId="Hyperlink">
    <w:name w:val="Hyperlink"/>
    <w:basedOn w:val="DefaultParagraphFont"/>
    <w:rsid w:val="009120BA"/>
    <w:rPr>
      <w:color w:val="0000FF"/>
      <w:u w:val="single" w:color="000000"/>
    </w:rPr>
  </w:style>
  <w:style w:type="character" w:styleId="FollowedHyperlink">
    <w:name w:val="FollowedHyperlink"/>
    <w:basedOn w:val="DefaultParagraphFont"/>
    <w:rsid w:val="009120BA"/>
    <w:rPr>
      <w:color w:val="800080"/>
      <w:u w:val="single" w:color="000000"/>
    </w:rPr>
  </w:style>
  <w:style w:type="paragraph" w:customStyle="1" w:styleId="msonormal0">
    <w:name w:val="msonormal"/>
    <w:basedOn w:val="Normal"/>
    <w:rsid w:val="009120BA"/>
    <w:pPr>
      <w:spacing w:line="276" w:lineRule="auto"/>
    </w:pPr>
    <w:rPr>
      <w:rFonts w:ascii="Times New Roman" w:hAnsi="Times New Roman"/>
      <w:sz w:val="24"/>
      <w:szCs w:val="24"/>
      <w:lang w:val="en-US"/>
    </w:rPr>
  </w:style>
  <w:style w:type="paragraph" w:styleId="NormalWeb">
    <w:name w:val="Normal (Web)"/>
    <w:basedOn w:val="Normal"/>
    <w:rsid w:val="009120BA"/>
    <w:pPr>
      <w:spacing w:line="276" w:lineRule="auto"/>
    </w:pPr>
    <w:rPr>
      <w:rFonts w:ascii="Times New Roman" w:hAnsi="Times New Roman"/>
      <w:sz w:val="24"/>
      <w:szCs w:val="24"/>
      <w:lang w:val="en-US"/>
    </w:rPr>
  </w:style>
  <w:style w:type="paragraph" w:styleId="TOC1">
    <w:name w:val="toc 1"/>
    <w:basedOn w:val="Normal"/>
    <w:next w:val="Normal"/>
    <w:autoRedefine/>
    <w:rsid w:val="009120BA"/>
    <w:pPr>
      <w:spacing w:after="100" w:line="276" w:lineRule="auto"/>
    </w:pPr>
    <w:rPr>
      <w:sz w:val="24"/>
      <w:szCs w:val="24"/>
      <w:lang w:val="en-US"/>
    </w:rPr>
  </w:style>
  <w:style w:type="paragraph" w:styleId="TOC2">
    <w:name w:val="toc 2"/>
    <w:basedOn w:val="Normal"/>
    <w:next w:val="Normal"/>
    <w:autoRedefine/>
    <w:rsid w:val="009120BA"/>
    <w:pPr>
      <w:spacing w:after="100" w:line="276" w:lineRule="auto"/>
      <w:ind w:left="240"/>
    </w:pPr>
    <w:rPr>
      <w:sz w:val="24"/>
      <w:szCs w:val="24"/>
      <w:lang w:val="en-US"/>
    </w:rPr>
  </w:style>
  <w:style w:type="paragraph" w:styleId="Header">
    <w:name w:val="header"/>
    <w:basedOn w:val="Normal"/>
    <w:link w:val="HeaderChar"/>
    <w:rsid w:val="009120BA"/>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rsid w:val="009120BA"/>
    <w:rPr>
      <w:rFonts w:ascii="Calibri" w:eastAsia="Calibri" w:hAnsi="Calibri" w:cs="Times New Roman"/>
      <w:kern w:val="3"/>
      <w:sz w:val="24"/>
      <w:szCs w:val="24"/>
      <w:lang w:val="en-US"/>
      <w14:ligatures w14:val="none"/>
    </w:rPr>
  </w:style>
  <w:style w:type="paragraph" w:styleId="Footer">
    <w:name w:val="footer"/>
    <w:basedOn w:val="Normal"/>
    <w:link w:val="FooterChar"/>
    <w:rsid w:val="009120BA"/>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rsid w:val="009120BA"/>
    <w:rPr>
      <w:rFonts w:ascii="Calibri" w:eastAsia="Calibri" w:hAnsi="Calibri" w:cs="Times New Roman"/>
      <w:kern w:val="3"/>
      <w:sz w:val="24"/>
      <w:szCs w:val="24"/>
      <w:lang w:val="en-US"/>
      <w14:ligatures w14:val="none"/>
    </w:rPr>
  </w:style>
  <w:style w:type="paragraph" w:styleId="TOCHeading">
    <w:name w:val="TOC Heading"/>
    <w:basedOn w:val="Heading1"/>
    <w:next w:val="Normal"/>
    <w:rsid w:val="009120BA"/>
    <w:pPr>
      <w:spacing w:before="240" w:after="0" w:line="251" w:lineRule="auto"/>
    </w:pPr>
    <w:rPr>
      <w:rFonts w:ascii="Cambria" w:eastAsia="Times New Roman" w:hAnsi="Cambria" w:cs="Times New Roman"/>
      <w:color w:val="365F91"/>
      <w:kern w:val="0"/>
      <w:sz w:val="32"/>
      <w:szCs w:val="32"/>
      <w:lang w:val="en-US"/>
    </w:rPr>
  </w:style>
  <w:style w:type="character" w:customStyle="1" w:styleId="normaltextrun">
    <w:name w:val="normaltextrun"/>
    <w:basedOn w:val="DefaultParagraphFont"/>
    <w:rsid w:val="009B6DC6"/>
  </w:style>
  <w:style w:type="character" w:customStyle="1" w:styleId="eop">
    <w:name w:val="eop"/>
    <w:basedOn w:val="DefaultParagraphFont"/>
    <w:rsid w:val="009B6DC6"/>
  </w:style>
  <w:style w:type="paragraph" w:customStyle="1" w:styleId="paragraph">
    <w:name w:val="paragraph"/>
    <w:basedOn w:val="Normal"/>
    <w:uiPriority w:val="1"/>
    <w:rsid w:val="009B6DC6"/>
    <w:pPr>
      <w:suppressAutoHyphens w:val="0"/>
      <w:autoSpaceDN/>
      <w:spacing w:beforeAutospacing="1" w:after="0" w:afterAutospacing="1" w:line="259" w:lineRule="auto"/>
    </w:pPr>
    <w:rPr>
      <w:rFonts w:ascii="Times New Roman" w:eastAsia="Times New Roman" w:hAnsi="Times New Roman"/>
      <w:kern w:val="0"/>
      <w:sz w:val="24"/>
      <w:szCs w:val="24"/>
      <w:lang w:eastAsia="en-GB"/>
    </w:rPr>
  </w:style>
  <w:style w:type="character" w:customStyle="1" w:styleId="contentcontrolboundarysink">
    <w:name w:val="contentcontrolboundarysink"/>
    <w:basedOn w:val="DefaultParagraphFont"/>
    <w:rsid w:val="009B6DC6"/>
  </w:style>
  <w:style w:type="table" w:styleId="TableGrid">
    <w:name w:val="Table Grid"/>
    <w:basedOn w:val="TableNormal"/>
    <w:uiPriority w:val="39"/>
    <w:rsid w:val="009B6D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77/1046496422108795" TargetMode="External"/><Relationship Id="rId21" Type="http://schemas.openxmlformats.org/officeDocument/2006/relationships/hyperlink" Target="file:///C:\Users\igboa\Downloads\The%20Moderating%20Role%20of%20Directive%20v1%20(2)%20(AutoRecovered)%20(4).docx" TargetMode="External"/><Relationship Id="rId42" Type="http://schemas.openxmlformats.org/officeDocument/2006/relationships/hyperlink" Target="file:///C:\Users\igboa\Downloads\The%20Moderating%20Role%20of%20Directive%20v1%20(2)%20(AutoRecovered)%20(4).docx" TargetMode="External"/><Relationship Id="rId63" Type="http://schemas.openxmlformats.org/officeDocument/2006/relationships/hyperlink" Target="file:///C:\Users\igboa\Downloads\The%20Moderating%20Role%20of%20Directive%20v1%20(2)%20(AutoRecovered)%20(4).docx" TargetMode="External"/><Relationship Id="rId84" Type="http://schemas.openxmlformats.org/officeDocument/2006/relationships/hyperlink" Target="https://shs.hal.science/halshs-04199796" TargetMode="External"/><Relationship Id="rId16" Type="http://schemas.openxmlformats.org/officeDocument/2006/relationships/hyperlink" Target="file:///C:\Users\igboa\Downloads\The%20Moderating%20Role%20of%20Directive%20v1%20(2)%20(AutoRecovered)%20(4).docx" TargetMode="External"/><Relationship Id="rId107" Type="http://schemas.openxmlformats.org/officeDocument/2006/relationships/hyperlink" Target="https://doi.org/10.1002/tie.22416" TargetMode="External"/><Relationship Id="rId11" Type="http://schemas.openxmlformats.org/officeDocument/2006/relationships/hyperlink" Target="file:///C:\Users\igboa\Downloads\The%20Moderating%20Role%20of%20Directive%20v1%20(2)%20(AutoRecovered)%20(4).docx" TargetMode="External"/><Relationship Id="rId32" Type="http://schemas.openxmlformats.org/officeDocument/2006/relationships/hyperlink" Target="file:///C:\Users\igboa\Downloads\The%20Moderating%20Role%20of%20Directive%20v1%20(2)%20(AutoRecovered)%20(4).docx" TargetMode="External"/><Relationship Id="rId37" Type="http://schemas.openxmlformats.org/officeDocument/2006/relationships/hyperlink" Target="file:///C:\Users\igboa\Downloads\The%20Moderating%20Role%20of%20Directive%20v1%20(2)%20(AutoRecovered)%20(4).docx" TargetMode="External"/><Relationship Id="rId53" Type="http://schemas.openxmlformats.org/officeDocument/2006/relationships/hyperlink" Target="file:///C:\Users\igboa\Downloads\The%20Moderating%20Role%20of%20Directive%20v1%20(2)%20(AutoRecovered)%20(4).docx" TargetMode="External"/><Relationship Id="rId58" Type="http://schemas.openxmlformats.org/officeDocument/2006/relationships/hyperlink" Target="file:///C:\Users\igboa\Downloads\The%20Moderating%20Role%20of%20Directive%20v1%20(2)%20(AutoRecovered)%20(4).docx" TargetMode="External"/><Relationship Id="rId74" Type="http://schemas.openxmlformats.org/officeDocument/2006/relationships/hyperlink" Target="https://doi.org/10.12785/ijcds/1571007558" TargetMode="External"/><Relationship Id="rId79" Type="http://schemas.openxmlformats.org/officeDocument/2006/relationships/hyperlink" Target="https://doi.org/10.1257/aer.20191823" TargetMode="External"/><Relationship Id="rId102" Type="http://schemas.openxmlformats.org/officeDocument/2006/relationships/hyperlink" Target="https://www.iea.org/reports/global-critical-minerals-outlook-2025" TargetMode="External"/><Relationship Id="rId123" Type="http://schemas.openxmlformats.org/officeDocument/2006/relationships/hyperlink" Target="https://doi.org/10.1016/j.jbusres.2020.08.056" TargetMode="External"/><Relationship Id="rId128" Type="http://schemas.openxmlformats.org/officeDocument/2006/relationships/hyperlink" Target="https://doi.org/10.1002/smj.640" TargetMode="External"/><Relationship Id="rId5" Type="http://schemas.openxmlformats.org/officeDocument/2006/relationships/webSettings" Target="webSettings.xml"/><Relationship Id="rId90" Type="http://schemas.openxmlformats.org/officeDocument/2006/relationships/hyperlink" Target="https://doi.org/10.1016/j.resourpol.2023.104533" TargetMode="External"/><Relationship Id="rId95" Type="http://schemas.openxmlformats.org/officeDocument/2006/relationships/hyperlink" Target="https://doi.org/10.1016/j.jclepro.2016.05.118" TargetMode="External"/><Relationship Id="rId22" Type="http://schemas.openxmlformats.org/officeDocument/2006/relationships/hyperlink" Target="file:///C:\Users\igboa\Downloads\The%20Moderating%20Role%20of%20Directive%20v1%20(2)%20(AutoRecovered)%20(4).docx" TargetMode="External"/><Relationship Id="rId27" Type="http://schemas.openxmlformats.org/officeDocument/2006/relationships/hyperlink" Target="file:///C:\Users\igboa\Downloads\The%20Moderating%20Role%20of%20Directive%20v1%20(2)%20(AutoRecovered)%20(4).docx" TargetMode="External"/><Relationship Id="rId43" Type="http://schemas.openxmlformats.org/officeDocument/2006/relationships/hyperlink" Target="file:///C:\Users\igboa\Downloads\The%20Moderating%20Role%20of%20Directive%20v1%20(2)%20(AutoRecovered)%20(4).docx" TargetMode="External"/><Relationship Id="rId48" Type="http://schemas.openxmlformats.org/officeDocument/2006/relationships/hyperlink" Target="file:///C:\Users\igboa\Downloads\The%20Moderating%20Role%20of%20Directive%20v1%20(2)%20(AutoRecovered)%20(4).docx" TargetMode="External"/><Relationship Id="rId64" Type="http://schemas.openxmlformats.org/officeDocument/2006/relationships/image" Target="media/image1.png"/><Relationship Id="rId69" Type="http://schemas.openxmlformats.org/officeDocument/2006/relationships/image" Target="media/image6.png"/><Relationship Id="rId113" Type="http://schemas.openxmlformats.org/officeDocument/2006/relationships/hyperlink" Target="https://doi.org/10.1177/10497315251413524" TargetMode="External"/><Relationship Id="rId118" Type="http://schemas.openxmlformats.org/officeDocument/2006/relationships/hyperlink" Target="https://doi.org/10.64753/jcasc.v11i1.4149" TargetMode="External"/><Relationship Id="rId134" Type="http://schemas.openxmlformats.org/officeDocument/2006/relationships/hyperlink" Target="https://doi.org/10.32996/jbms.2026.8.7.5" TargetMode="External"/><Relationship Id="rId80" Type="http://schemas.openxmlformats.org/officeDocument/2006/relationships/hyperlink" Target="https://doi.org/10.1108/IJPDLM-12-2024-0497" TargetMode="External"/><Relationship Id="rId85" Type="http://schemas.openxmlformats.org/officeDocument/2006/relationships/hyperlink" Target="https://doi.org/10.1016/j.eneco.2025.108496" TargetMode="External"/><Relationship Id="rId12" Type="http://schemas.openxmlformats.org/officeDocument/2006/relationships/hyperlink" Target="file:///C:\Users\igboa\Downloads\The%20Moderating%20Role%20of%20Directive%20v1%20(2)%20(AutoRecovered)%20(4).docx" TargetMode="External"/><Relationship Id="rId17" Type="http://schemas.openxmlformats.org/officeDocument/2006/relationships/hyperlink" Target="file:///C:\Users\igboa\Downloads\The%20Moderating%20Role%20of%20Directive%20v1%20(2)%20(AutoRecovered)%20(4).docx" TargetMode="External"/><Relationship Id="rId33" Type="http://schemas.openxmlformats.org/officeDocument/2006/relationships/hyperlink" Target="file:///C:\Users\igboa\Downloads\The%20Moderating%20Role%20of%20Directive%20v1%20(2)%20(AutoRecovered)%20(4).docx" TargetMode="External"/><Relationship Id="rId38" Type="http://schemas.openxmlformats.org/officeDocument/2006/relationships/hyperlink" Target="file:///C:\Users\igboa\Downloads\The%20Moderating%20Role%20of%20Directive%20v1%20(2)%20(AutoRecovered)%20(4).docx" TargetMode="External"/><Relationship Id="rId59" Type="http://schemas.openxmlformats.org/officeDocument/2006/relationships/hyperlink" Target="file:///C:\Users\igboa\Downloads\The%20Moderating%20Role%20of%20Directive%20v1%20(2)%20(AutoRecovered)%20(4).docx" TargetMode="External"/><Relationship Id="rId103" Type="http://schemas.openxmlformats.org/officeDocument/2006/relationships/hyperlink" Target="https://www.iea.org/reports/global-critical-minerals-outlook-2025" TargetMode="External"/><Relationship Id="rId108" Type="http://schemas.openxmlformats.org/officeDocument/2006/relationships/hyperlink" Target="https://doi.org/10.1016/j.hrmr.2010.07.001" TargetMode="External"/><Relationship Id="rId124" Type="http://schemas.openxmlformats.org/officeDocument/2006/relationships/hyperlink" Target="https://www.jisem-journal.com/" TargetMode="External"/><Relationship Id="rId129" Type="http://schemas.openxmlformats.org/officeDocument/2006/relationships/hyperlink" Target="https://www.gov.uk/government/publications/uk-critical-mineral-strategy" TargetMode="External"/><Relationship Id="rId54" Type="http://schemas.openxmlformats.org/officeDocument/2006/relationships/hyperlink" Target="file:///C:\Users\igboa\Downloads\The%20Moderating%20Role%20of%20Directive%20v1%20(2)%20(AutoRecovered)%20(4).docx" TargetMode="External"/><Relationship Id="rId70" Type="http://schemas.openxmlformats.org/officeDocument/2006/relationships/image" Target="media/image7.png"/><Relationship Id="rId75" Type="http://schemas.openxmlformats.org/officeDocument/2006/relationships/hyperlink" Target="https://doi.org/10.56726/IRJMETS68556" TargetMode="External"/><Relationship Id="rId91" Type="http://schemas.openxmlformats.org/officeDocument/2006/relationships/hyperlink" Target="https://doi.org/10.64388/IREV6I11-1714692" TargetMode="External"/><Relationship Id="rId96" Type="http://schemas.openxmlformats.org/officeDocument/2006/relationships/hyperlink" Target="https://doi.org/10.1504/IJASS.2025.148190" TargetMode="External"/><Relationship Id="rId1" Type="http://schemas.openxmlformats.org/officeDocument/2006/relationships/customXml" Target="../customXml/item1.xml"/><Relationship Id="rId6" Type="http://schemas.openxmlformats.org/officeDocument/2006/relationships/hyperlink" Target="file:///C:\Users\igboa\Downloads\The%20Moderating%20Role%20of%20Directive%20v1%20(2)%20(AutoRecovered)%20(4).docx" TargetMode="External"/><Relationship Id="rId23" Type="http://schemas.openxmlformats.org/officeDocument/2006/relationships/hyperlink" Target="file:///C:\Users\igboa\Downloads\The%20Moderating%20Role%20of%20Directive%20v1%20(2)%20(AutoRecovered)%20(4).docx" TargetMode="External"/><Relationship Id="rId28" Type="http://schemas.openxmlformats.org/officeDocument/2006/relationships/hyperlink" Target="file:///C:\Users\igboa\Downloads\The%20Moderating%20Role%20of%20Directive%20v1%20(2)%20(AutoRecovered)%20(4).docx" TargetMode="External"/><Relationship Id="rId49" Type="http://schemas.openxmlformats.org/officeDocument/2006/relationships/hyperlink" Target="file:///C:\Users\igboa\Downloads\The%20Moderating%20Role%20of%20Directive%20v1%20(2)%20(AutoRecovered)%20(4).docx" TargetMode="External"/><Relationship Id="rId114" Type="http://schemas.openxmlformats.org/officeDocument/2006/relationships/hyperlink" Target="https://gss.norc.org/" TargetMode="External"/><Relationship Id="rId119" Type="http://schemas.openxmlformats.org/officeDocument/2006/relationships/hyperlink" Target="https://rareearthexchanges.com" TargetMode="External"/><Relationship Id="rId44" Type="http://schemas.openxmlformats.org/officeDocument/2006/relationships/hyperlink" Target="file:///C:\Users\igboa\Downloads\The%20Moderating%20Role%20of%20Directive%20v1%20(2)%20(AutoRecovered)%20(4).docx" TargetMode="External"/><Relationship Id="rId60" Type="http://schemas.openxmlformats.org/officeDocument/2006/relationships/hyperlink" Target="file:///C:\Users\igboa\Downloads\The%20Moderating%20Role%20of%20Directive%20v1%20(2)%20(AutoRecovered)%20(4).docx" TargetMode="External"/><Relationship Id="rId65" Type="http://schemas.openxmlformats.org/officeDocument/2006/relationships/image" Target="media/image2.png"/><Relationship Id="rId81" Type="http://schemas.openxmlformats.org/officeDocument/2006/relationships/hyperlink" Target="https://buescholar.bue.edu.eg/bus_admin/171" TargetMode="External"/><Relationship Id="rId86" Type="http://schemas.openxmlformats.org/officeDocument/2006/relationships/hyperlink" Target="https://doi.org/10.1108/IMDS-XX-XXXX-XXXX" TargetMode="External"/><Relationship Id="rId130" Type="http://schemas.openxmlformats.org/officeDocument/2006/relationships/hyperlink" Target="https://doi.org/10.1108/JFBM-10-2024-0247" TargetMode="External"/><Relationship Id="rId135" Type="http://schemas.openxmlformats.org/officeDocument/2006/relationships/fontTable" Target="fontTable.xml"/><Relationship Id="rId13" Type="http://schemas.openxmlformats.org/officeDocument/2006/relationships/hyperlink" Target="file:///C:\Users\igboa\Downloads\The%20Moderating%20Role%20of%20Directive%20v1%20(2)%20(AutoRecovered)%20(4).docx" TargetMode="External"/><Relationship Id="rId18" Type="http://schemas.openxmlformats.org/officeDocument/2006/relationships/hyperlink" Target="file:///C:\Users\igboa\Downloads\The%20Moderating%20Role%20of%20Directive%20v1%20(2)%20(AutoRecovered)%20(4).docx" TargetMode="External"/><Relationship Id="rId39" Type="http://schemas.openxmlformats.org/officeDocument/2006/relationships/hyperlink" Target="file:///C:\Users\igboa\Downloads\The%20Moderating%20Role%20of%20Directive%20v1%20(2)%20(AutoRecovered)%20(4).docx" TargetMode="External"/><Relationship Id="rId109" Type="http://schemas.openxmlformats.org/officeDocument/2006/relationships/hyperlink" Target="https://doi.org/10.1016/j.techfore.2023.123026" TargetMode="External"/><Relationship Id="rId34" Type="http://schemas.openxmlformats.org/officeDocument/2006/relationships/hyperlink" Target="file:///C:\Users\igboa\Downloads\The%20Moderating%20Role%20of%20Directive%20v1%20(2)%20(AutoRecovered)%20(4).docx" TargetMode="External"/><Relationship Id="rId50" Type="http://schemas.openxmlformats.org/officeDocument/2006/relationships/hyperlink" Target="file:///C:\Users\igboa\Downloads\The%20Moderating%20Role%20of%20Directive%20v1%20(2)%20(AutoRecovered)%20(4).docx" TargetMode="External"/><Relationship Id="rId55" Type="http://schemas.openxmlformats.org/officeDocument/2006/relationships/hyperlink" Target="file:///C:\Users\igboa\Downloads\The%20Moderating%20Role%20of%20Directive%20v1%20(2)%20(AutoRecovered)%20(4).docx" TargetMode="External"/><Relationship Id="rId76" Type="http://schemas.openxmlformats.org/officeDocument/2006/relationships/hyperlink" Target="https://doi.org/10.1108/IJOPM-03-2024-0228" TargetMode="External"/><Relationship Id="rId97" Type="http://schemas.openxmlformats.org/officeDocument/2006/relationships/hyperlink" Target="https://doi.org/10.1016/j.jfbs.2019.01.001" TargetMode="External"/><Relationship Id="rId104" Type="http://schemas.openxmlformats.org/officeDocument/2006/relationships/hyperlink" Target="https://doi.org/10.1016/j.jenvman.2023.118868" TargetMode="External"/><Relationship Id="rId120" Type="http://schemas.openxmlformats.org/officeDocument/2006/relationships/hyperlink" Target="https://qz.com/1292202" TargetMode="External"/><Relationship Id="rId125" Type="http://schemas.openxmlformats.org/officeDocument/2006/relationships/hyperlink" Target="https://doi.org/10.3390/merits5010002" TargetMode="External"/><Relationship Id="rId7" Type="http://schemas.openxmlformats.org/officeDocument/2006/relationships/hyperlink" Target="file:///C:\Users\igboa\Downloads\The%20Moderating%20Role%20of%20Directive%20v1%20(2)%20(AutoRecovered)%20(4).docx" TargetMode="External"/><Relationship Id="rId71" Type="http://schemas.openxmlformats.org/officeDocument/2006/relationships/hyperlink" Target="https://doi.org/10.1108/LODJ-08-2017-0225" TargetMode="External"/><Relationship Id="rId92" Type="http://schemas.openxmlformats.org/officeDocument/2006/relationships/hyperlink" Target="https://doi.org/10.1016/j.resconrec.2024.107966" TargetMode="External"/><Relationship Id="rId2" Type="http://schemas.openxmlformats.org/officeDocument/2006/relationships/numbering" Target="numbering.xml"/><Relationship Id="rId29" Type="http://schemas.openxmlformats.org/officeDocument/2006/relationships/hyperlink" Target="file:///C:\Users\igboa\Downloads\The%20Moderating%20Role%20of%20Directive%20v1%20(2)%20(AutoRecovered)%20(4).docx" TargetMode="External"/><Relationship Id="rId24" Type="http://schemas.openxmlformats.org/officeDocument/2006/relationships/hyperlink" Target="file:///C:\Users\igboa\Downloads\The%20Moderating%20Role%20of%20Directive%20v1%20(2)%20(AutoRecovered)%20(4).docx" TargetMode="External"/><Relationship Id="rId40" Type="http://schemas.openxmlformats.org/officeDocument/2006/relationships/hyperlink" Target="file:///C:\Users\igboa\Downloads\The%20Moderating%20Role%20of%20Directive%20v1%20(2)%20(AutoRecovered)%20(4).docx" TargetMode="External"/><Relationship Id="rId45" Type="http://schemas.openxmlformats.org/officeDocument/2006/relationships/hyperlink" Target="file:///C:\Users\igboa\Downloads\The%20Moderating%20Role%20of%20Directive%20v1%20(2)%20(AutoRecovered)%20(4).docx" TargetMode="External"/><Relationship Id="rId66" Type="http://schemas.openxmlformats.org/officeDocument/2006/relationships/image" Target="media/image3.png"/><Relationship Id="rId87" Type="http://schemas.openxmlformats.org/officeDocument/2006/relationships/hyperlink" Target="https://doi.org/10.1007/s40685-019-0085-7" TargetMode="External"/><Relationship Id="rId110" Type="http://schemas.openxmlformats.org/officeDocument/2006/relationships/hyperlink" Target="https://doi.org/10.1504/IJSTL.2021.112910" TargetMode="External"/><Relationship Id="rId115" Type="http://schemas.openxmlformats.org/officeDocument/2006/relationships/hyperlink" Target="https://doi.org/10.59952/tuj.v5i2.191" TargetMode="External"/><Relationship Id="rId131" Type="http://schemas.openxmlformats.org/officeDocument/2006/relationships/hyperlink" Target="https://doi.org/10.1016/j.orgdyn.2020.100784" TargetMode="External"/><Relationship Id="rId136" Type="http://schemas.openxmlformats.org/officeDocument/2006/relationships/theme" Target="theme/theme1.xml"/><Relationship Id="rId61" Type="http://schemas.openxmlformats.org/officeDocument/2006/relationships/hyperlink" Target="file:///C:\Users\igboa\Downloads\The%20Moderating%20Role%20of%20Directive%20v1%20(2)%20(AutoRecovered)%20(4).docx" TargetMode="External"/><Relationship Id="rId82" Type="http://schemas.openxmlformats.org/officeDocument/2006/relationships/hyperlink" Target="https://sustainabilitymag.com/supply-chain-sustainability/why-rare-earth-minerals-are-key-to-the-uks-sustainability" TargetMode="External"/><Relationship Id="rId19" Type="http://schemas.openxmlformats.org/officeDocument/2006/relationships/hyperlink" Target="file:///C:\Users\igboa\Downloads\The%20Moderating%20Role%20of%20Directive%20v1%20(2)%20(AutoRecovered)%20(4).docx" TargetMode="External"/><Relationship Id="rId14" Type="http://schemas.openxmlformats.org/officeDocument/2006/relationships/hyperlink" Target="file:///C:\Users\igboa\Downloads\The%20Moderating%20Role%20of%20Directive%20v1%20(2)%20(AutoRecovered)%20(4).docx" TargetMode="External"/><Relationship Id="rId30" Type="http://schemas.openxmlformats.org/officeDocument/2006/relationships/hyperlink" Target="file:///C:\Users\igboa\Downloads\The%20Moderating%20Role%20of%20Directive%20v1%20(2)%20(AutoRecovered)%20(4).docx" TargetMode="External"/><Relationship Id="rId35" Type="http://schemas.openxmlformats.org/officeDocument/2006/relationships/hyperlink" Target="file:///C:\Users\igboa\Downloads\The%20Moderating%20Role%20of%20Directive%20v1%20(2)%20(AutoRecovered)%20(4).docx" TargetMode="External"/><Relationship Id="rId56" Type="http://schemas.openxmlformats.org/officeDocument/2006/relationships/hyperlink" Target="file:///C:\Users\igboa\Downloads\The%20Moderating%20Role%20of%20Directive%20v1%20(2)%20(AutoRecovered)%20(4).docx" TargetMode="External"/><Relationship Id="rId77" Type="http://schemas.openxmlformats.org/officeDocument/2006/relationships/hyperlink" Target="https://reut.rs/2WsAlFE" TargetMode="External"/><Relationship Id="rId100" Type="http://schemas.openxmlformats.org/officeDocument/2006/relationships/hyperlink" Target="https://doi.org/10.1016/j.spc.2024.03.XXX" TargetMode="External"/><Relationship Id="rId105" Type="http://schemas.openxmlformats.org/officeDocument/2006/relationships/hyperlink" Target="https://static.rusi.org/critical-minerals-energy-transition-occasional-paper-nov-23.pdf" TargetMode="External"/><Relationship Id="rId126" Type="http://schemas.openxmlformats.org/officeDocument/2006/relationships/hyperlink" Target="https://doi.org/10.1016/j.frl.2025.107811" TargetMode="External"/><Relationship Id="rId8" Type="http://schemas.openxmlformats.org/officeDocument/2006/relationships/hyperlink" Target="file:///C:\Users\igboa\Downloads\The%20Moderating%20Role%20of%20Directive%20v1%20(2)%20(AutoRecovered)%20(4).docx" TargetMode="External"/><Relationship Id="rId51" Type="http://schemas.openxmlformats.org/officeDocument/2006/relationships/hyperlink" Target="file:///C:\Users\igboa\Downloads\The%20Moderating%20Role%20of%20Directive%20v1%20(2)%20(AutoRecovered)%20(4).docx" TargetMode="External"/><Relationship Id="rId72" Type="http://schemas.openxmlformats.org/officeDocument/2006/relationships/hyperlink" Target="https://doi.org/10.1016/j.indmarman.2024.11.015" TargetMode="External"/><Relationship Id="rId93" Type="http://schemas.openxmlformats.org/officeDocument/2006/relationships/hyperlink" Target="https://doi.org/10.1108/IJPDLM-06-2023-0203" TargetMode="External"/><Relationship Id="rId98" Type="http://schemas.openxmlformats.org/officeDocument/2006/relationships/hyperlink" Target="https://doi.org/10.1016/j.eneco.2023.107061" TargetMode="External"/><Relationship Id="rId121" Type="http://schemas.openxmlformats.org/officeDocument/2006/relationships/hyperlink" Target="https://www.reuters.com" TargetMode="External"/><Relationship Id="rId3" Type="http://schemas.openxmlformats.org/officeDocument/2006/relationships/styles" Target="styles.xml"/><Relationship Id="rId25" Type="http://schemas.openxmlformats.org/officeDocument/2006/relationships/hyperlink" Target="file:///C:\Users\igboa\Downloads\The%20Moderating%20Role%20of%20Directive%20v1%20(2)%20(AutoRecovered)%20(4).docx" TargetMode="External"/><Relationship Id="rId46" Type="http://schemas.openxmlformats.org/officeDocument/2006/relationships/hyperlink" Target="file:///C:\Users\igboa\Downloads\The%20Moderating%20Role%20of%20Directive%20v1%20(2)%20(AutoRecovered)%20(4).docx" TargetMode="External"/><Relationship Id="rId67" Type="http://schemas.openxmlformats.org/officeDocument/2006/relationships/image" Target="media/image4.png"/><Relationship Id="rId116" Type="http://schemas.openxmlformats.org/officeDocument/2006/relationships/hyperlink" Target="https://doi.org/10.1097/ACM.0000000000003093" TargetMode="External"/><Relationship Id="rId20" Type="http://schemas.openxmlformats.org/officeDocument/2006/relationships/hyperlink" Target="file:///C:\Users\igboa\Downloads\The%20Moderating%20Role%20of%20Directive%20v1%20(2)%20(AutoRecovered)%20(4).docx" TargetMode="External"/><Relationship Id="rId41" Type="http://schemas.openxmlformats.org/officeDocument/2006/relationships/hyperlink" Target="file:///C:\Users\igboa\Downloads\The%20Moderating%20Role%20of%20Directive%20v1%20(2)%20(AutoRecovered)%20(4).docx" TargetMode="External"/><Relationship Id="rId62" Type="http://schemas.openxmlformats.org/officeDocument/2006/relationships/hyperlink" Target="file:///C:\Users\igboa\Downloads\The%20Moderating%20Role%20of%20Directive%20v1%20(2)%20(AutoRecovered)%20(4).docx" TargetMode="External"/><Relationship Id="rId83" Type="http://schemas.openxmlformats.org/officeDocument/2006/relationships/hyperlink" Target="https://nora.nerc.ac.uk/id/eprint/535118" TargetMode="External"/><Relationship Id="rId88" Type="http://schemas.openxmlformats.org/officeDocument/2006/relationships/hyperlink" Target="https://doi.org/10.58830/ozgur.pub911" TargetMode="External"/><Relationship Id="rId111" Type="http://schemas.openxmlformats.org/officeDocument/2006/relationships/hyperlink" Target="https://doi.org/10.1016/j.bjao.2025.100488" TargetMode="External"/><Relationship Id="rId132" Type="http://schemas.openxmlformats.org/officeDocument/2006/relationships/hyperlink" Target="https://doi.org/10.70389/PJBM.100006" TargetMode="External"/><Relationship Id="rId15" Type="http://schemas.openxmlformats.org/officeDocument/2006/relationships/hyperlink" Target="file:///C:\Users\igboa\Downloads\The%20Moderating%20Role%20of%20Directive%20v1%20(2)%20(AutoRecovered)%20(4).docx" TargetMode="External"/><Relationship Id="rId36" Type="http://schemas.openxmlformats.org/officeDocument/2006/relationships/hyperlink" Target="file:///C:\Users\igboa\Downloads\The%20Moderating%20Role%20of%20Directive%20v1%20(2)%20(AutoRecovered)%20(4).docx" TargetMode="External"/><Relationship Id="rId57" Type="http://schemas.openxmlformats.org/officeDocument/2006/relationships/hyperlink" Target="file:///C:\Users\igboa\Downloads\The%20Moderating%20Role%20of%20Directive%20v1%20(2)%20(AutoRecovered)%20(4).docx" TargetMode="External"/><Relationship Id="rId106" Type="http://schemas.openxmlformats.org/officeDocument/2006/relationships/hyperlink" Target="https://doi.org/10.1177/01492063221121584" TargetMode="External"/><Relationship Id="rId127" Type="http://schemas.openxmlformats.org/officeDocument/2006/relationships/hyperlink" Target="https://hdl.handle.net/10419/266381" TargetMode="External"/><Relationship Id="rId10" Type="http://schemas.openxmlformats.org/officeDocument/2006/relationships/hyperlink" Target="file:///C:\Users\igboa\Downloads\The%20Moderating%20Role%20of%20Directive%20v1%20(2)%20(AutoRecovered)%20(4).docx" TargetMode="External"/><Relationship Id="rId31" Type="http://schemas.openxmlformats.org/officeDocument/2006/relationships/hyperlink" Target="file:///C:\Users\igboa\Downloads\The%20Moderating%20Role%20of%20Directive%20v1%20(2)%20(AutoRecovered)%20(4).docx" TargetMode="External"/><Relationship Id="rId52" Type="http://schemas.openxmlformats.org/officeDocument/2006/relationships/hyperlink" Target="file:///C:\Users\igboa\Downloads\The%20Moderating%20Role%20of%20Directive%20v1%20(2)%20(AutoRecovered)%20(4).docx" TargetMode="External"/><Relationship Id="rId73" Type="http://schemas.openxmlformats.org/officeDocument/2006/relationships/hyperlink" Target="https://doi.org/10.1016/j.tre.2024.103583" TargetMode="External"/><Relationship Id="rId78" Type="http://schemas.openxmlformats.org/officeDocument/2006/relationships/hyperlink" Target="https://nyti.ms/2HOinnx" TargetMode="External"/><Relationship Id="rId94" Type="http://schemas.openxmlformats.org/officeDocument/2006/relationships/hyperlink" Target="https://doi.org/10.3390/risks9010016" TargetMode="External"/><Relationship Id="rId99" Type="http://schemas.openxmlformats.org/officeDocument/2006/relationships/hyperlink" Target="https://doi.org/10.1111/ijmr.12239" TargetMode="External"/><Relationship Id="rId101" Type="http://schemas.openxmlformats.org/officeDocument/2006/relationships/hyperlink" Target="https://urn.fi/URN:NBN:fi-fe2025091195349" TargetMode="External"/><Relationship Id="rId122" Type="http://schemas.openxmlformats.org/officeDocument/2006/relationships/hyperlink" Target="https://www.sfa-oxford.com" TargetMode="External"/><Relationship Id="rId4" Type="http://schemas.openxmlformats.org/officeDocument/2006/relationships/settings" Target="settings.xml"/><Relationship Id="rId9" Type="http://schemas.openxmlformats.org/officeDocument/2006/relationships/hyperlink" Target="file:///C:\Users\igboa\Downloads\The%20Moderating%20Role%20of%20Directive%20v1%20(2)%20(AutoRecovered)%20(4).docx" TargetMode="External"/><Relationship Id="rId26" Type="http://schemas.openxmlformats.org/officeDocument/2006/relationships/hyperlink" Target="file:///C:\Users\igboa\Downloads\The%20Moderating%20Role%20of%20Directive%20v1%20(2)%20(AutoRecovered)%20(4).docx" TargetMode="External"/><Relationship Id="rId47" Type="http://schemas.openxmlformats.org/officeDocument/2006/relationships/hyperlink" Target="file:///C:\Users\igboa\Downloads\The%20Moderating%20Role%20of%20Directive%20v1%20(2)%20(AutoRecovered)%20(4).docx" TargetMode="External"/><Relationship Id="rId68" Type="http://schemas.openxmlformats.org/officeDocument/2006/relationships/image" Target="media/image5.png"/><Relationship Id="rId89" Type="http://schemas.openxmlformats.org/officeDocument/2006/relationships/hyperlink" Target="https://digitalcommons.liberty.edu/doctoral/6802" TargetMode="External"/><Relationship Id="rId112" Type="http://schemas.openxmlformats.org/officeDocument/2006/relationships/hyperlink" Target="https://doi.org/10.1016/j.energy.2023.126779" TargetMode="External"/><Relationship Id="rId133" Type="http://schemas.openxmlformats.org/officeDocument/2006/relationships/hyperlink" Target="https://doi.org/10.1111/joms.12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25015-DF5D-4C90-A461-44A4D9A39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28836</Words>
  <Characters>164368</Characters>
  <Application>Microsoft Office Word</Application>
  <DocSecurity>0</DocSecurity>
  <Lines>1369</Lines>
  <Paragraphs>385</Paragraphs>
  <ScaleCrop>false</ScaleCrop>
  <Company/>
  <LinksUpToDate>false</LinksUpToDate>
  <CharactersWithSpaces>192819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Chinwe Ebo</dc:creator>
  <cp:keywords/>
  <dc:description/>
  <cp:lastModifiedBy>Chinwe Ebo</cp:lastModifiedBy>
  <cp:revision>2</cp:revision>
  <dcterms:created xsi:type="dcterms:W3CDTF">2026-10-01T22:49:00Z</dcterms:created>
  <dcterms:modified xsi:type="dcterms:W3CDTF">2026-10-01T22:49:00Z</dcterms:modified>
</cp:coreProperties>
</file>