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763E0" w14:textId="77777777" w:rsidR="002B63F6" w:rsidRDefault="00000000">
      <w:pPr>
        <w:spacing w:after="160"/>
        <w:jc w:val="center"/>
      </w:pPr>
      <w:r>
        <w:rPr>
          <w:b/>
          <w:sz w:val="32"/>
        </w:rPr>
        <w:t>UNIVERSITY STUDENTS’ PERCEPTIONS OF GENERATIVE AI’S ROLE IN HYBRID LEADERSHIP AND EMPLOYEE ENGAGEMENT</w:t>
      </w:r>
    </w:p>
    <w:p w14:paraId="594F2CDD" w14:textId="77777777" w:rsidR="002B63F6" w:rsidRDefault="00000000">
      <w:pPr>
        <w:spacing w:after="800"/>
        <w:jc w:val="center"/>
      </w:pPr>
      <w:r>
        <w:rPr>
          <w:i/>
          <w:sz w:val="26"/>
        </w:rPr>
        <w:t>A Mixed-Methods Study of York St John University London Campus Students</w:t>
      </w:r>
    </w:p>
    <w:p w14:paraId="4D7905BC" w14:textId="77777777" w:rsidR="002B63F6" w:rsidRDefault="00000000">
      <w:pPr>
        <w:spacing w:after="600"/>
        <w:jc w:val="center"/>
      </w:pPr>
      <w:r>
        <w:rPr>
          <w:b/>
        </w:rPr>
        <w:t>Chinedu</w:t>
      </w:r>
      <w:r w:rsidR="00B014FC">
        <w:rPr>
          <w:b/>
        </w:rPr>
        <w:t xml:space="preserve"> Douglas Obi</w:t>
      </w:r>
    </w:p>
    <w:p w14:paraId="36DDD9E9" w14:textId="77777777" w:rsidR="002B63F6" w:rsidRDefault="00267724">
      <w:pPr>
        <w:spacing w:after="80"/>
        <w:jc w:val="center"/>
      </w:pPr>
      <w:r>
        <w:t>Supervisor: Dr Bilal Ahmed Abbasi</w:t>
      </w:r>
    </w:p>
    <w:p w14:paraId="77FD8699" w14:textId="77777777" w:rsidR="002B63F6" w:rsidRDefault="00000000">
      <w:pPr>
        <w:spacing w:after="80"/>
        <w:jc w:val="center"/>
      </w:pPr>
      <w:r>
        <w:t>York St John University</w:t>
      </w:r>
    </w:p>
    <w:p w14:paraId="54219C4F" w14:textId="77777777" w:rsidR="002B63F6" w:rsidRDefault="00000000">
      <w:pPr>
        <w:spacing w:after="80"/>
        <w:jc w:val="center"/>
      </w:pPr>
      <w:r>
        <w:t>Submitted in partial fulfilment of the requirements for the degree of</w:t>
      </w:r>
    </w:p>
    <w:p w14:paraId="28765EF0" w14:textId="77777777" w:rsidR="002B63F6" w:rsidRDefault="00000000">
      <w:pPr>
        <w:spacing w:after="80"/>
        <w:jc w:val="center"/>
      </w:pPr>
      <w:r>
        <w:t>Master of Research (</w:t>
      </w:r>
      <w:proofErr w:type="spellStart"/>
      <w:r>
        <w:t>MRes</w:t>
      </w:r>
      <w:proofErr w:type="spellEnd"/>
      <w:r>
        <w:t>) in Management Studies</w:t>
      </w:r>
    </w:p>
    <w:p w14:paraId="6024E7AA" w14:textId="77777777" w:rsidR="002B63F6" w:rsidRDefault="002B63F6">
      <w:pPr>
        <w:spacing w:after="600"/>
      </w:pPr>
    </w:p>
    <w:p w14:paraId="02D853BB" w14:textId="77777777" w:rsidR="002B63F6" w:rsidRDefault="00000000">
      <w:pPr>
        <w:spacing w:after="80"/>
        <w:jc w:val="center"/>
      </w:pPr>
      <w:r>
        <w:t>Submission date: 10 September 2026</w:t>
      </w:r>
    </w:p>
    <w:p w14:paraId="4010E0C9" w14:textId="77777777" w:rsidR="002B63F6" w:rsidRDefault="00000000">
      <w:pPr>
        <w:pStyle w:val="Heading1"/>
        <w:pageBreakBefore/>
      </w:pPr>
      <w:r>
        <w:lastRenderedPageBreak/>
        <w:t>Table of Contents</w:t>
      </w:r>
    </w:p>
    <w:p w14:paraId="628C4D2C" w14:textId="77777777" w:rsidR="002B63F6" w:rsidRDefault="00000000">
      <w:pPr>
        <w:tabs>
          <w:tab w:val="right" w:leader="dot" w:pos="8504"/>
        </w:tabs>
        <w:spacing w:after="60" w:line="240" w:lineRule="auto"/>
      </w:pPr>
      <w:r>
        <w:rPr>
          <w:b/>
        </w:rPr>
        <w:t>Acknowledgements</w:t>
      </w:r>
      <w:r>
        <w:rPr>
          <w:b/>
        </w:rPr>
        <w:tab/>
        <w:t>4</w:t>
      </w:r>
    </w:p>
    <w:p w14:paraId="3B796CC6" w14:textId="77777777" w:rsidR="002B63F6" w:rsidRDefault="00000000">
      <w:pPr>
        <w:tabs>
          <w:tab w:val="right" w:leader="dot" w:pos="8504"/>
        </w:tabs>
        <w:spacing w:after="60" w:line="240" w:lineRule="auto"/>
      </w:pPr>
      <w:r>
        <w:rPr>
          <w:b/>
        </w:rPr>
        <w:t>Abstract</w:t>
      </w:r>
      <w:r>
        <w:rPr>
          <w:b/>
        </w:rPr>
        <w:tab/>
        <w:t>5</w:t>
      </w:r>
    </w:p>
    <w:p w14:paraId="3C4EAEF6" w14:textId="77777777" w:rsidR="002B63F6" w:rsidRDefault="00000000">
      <w:pPr>
        <w:tabs>
          <w:tab w:val="right" w:leader="dot" w:pos="8504"/>
        </w:tabs>
        <w:spacing w:after="60" w:line="240" w:lineRule="auto"/>
      </w:pPr>
      <w:r>
        <w:rPr>
          <w:b/>
        </w:rPr>
        <w:t>Chapter 1: Introduction</w:t>
      </w:r>
      <w:r>
        <w:rPr>
          <w:b/>
        </w:rPr>
        <w:tab/>
        <w:t>7</w:t>
      </w:r>
    </w:p>
    <w:p w14:paraId="319AF4B3" w14:textId="77777777" w:rsidR="002B63F6" w:rsidRDefault="00000000">
      <w:pPr>
        <w:tabs>
          <w:tab w:val="right" w:leader="dot" w:pos="8504"/>
        </w:tabs>
        <w:spacing w:after="60" w:line="240" w:lineRule="auto"/>
        <w:ind w:left="454"/>
      </w:pPr>
      <w:r>
        <w:rPr>
          <w:sz w:val="22"/>
        </w:rPr>
        <w:t>1.1 Contextual Background and Macroeconomic Realities</w:t>
      </w:r>
      <w:r>
        <w:rPr>
          <w:sz w:val="22"/>
        </w:rPr>
        <w:tab/>
        <w:t>7</w:t>
      </w:r>
    </w:p>
    <w:p w14:paraId="20AA4EFF" w14:textId="77777777" w:rsidR="002B63F6" w:rsidRDefault="00000000">
      <w:pPr>
        <w:tabs>
          <w:tab w:val="right" w:leader="dot" w:pos="8504"/>
        </w:tabs>
        <w:spacing w:after="60" w:line="240" w:lineRule="auto"/>
        <w:ind w:left="454"/>
      </w:pPr>
      <w:r>
        <w:rPr>
          <w:sz w:val="22"/>
        </w:rPr>
        <w:t>1.2 Theoretical Intersection: Digital Autonomy and Workplace Shifting</w:t>
      </w:r>
      <w:r>
        <w:rPr>
          <w:sz w:val="22"/>
        </w:rPr>
        <w:tab/>
        <w:t>8</w:t>
      </w:r>
    </w:p>
    <w:p w14:paraId="40A5498E" w14:textId="77777777" w:rsidR="002B63F6" w:rsidRDefault="00000000">
      <w:pPr>
        <w:tabs>
          <w:tab w:val="right" w:leader="dot" w:pos="8504"/>
        </w:tabs>
        <w:spacing w:after="60" w:line="240" w:lineRule="auto"/>
        <w:ind w:left="454"/>
      </w:pPr>
      <w:r>
        <w:rPr>
          <w:sz w:val="22"/>
        </w:rPr>
        <w:t>1.3 The Research Gap, Aim, and Justified Scope</w:t>
      </w:r>
      <w:r>
        <w:rPr>
          <w:sz w:val="22"/>
        </w:rPr>
        <w:tab/>
        <w:t>10</w:t>
      </w:r>
    </w:p>
    <w:p w14:paraId="200399EA" w14:textId="77777777" w:rsidR="002B63F6" w:rsidRDefault="00000000">
      <w:pPr>
        <w:tabs>
          <w:tab w:val="right" w:leader="dot" w:pos="8504"/>
        </w:tabs>
        <w:spacing w:after="60" w:line="240" w:lineRule="auto"/>
        <w:ind w:left="454"/>
      </w:pPr>
      <w:r>
        <w:rPr>
          <w:sz w:val="22"/>
        </w:rPr>
        <w:t>1.4 Research Objectives, Questions, and Structural Flow</w:t>
      </w:r>
      <w:r>
        <w:rPr>
          <w:sz w:val="22"/>
        </w:rPr>
        <w:tab/>
        <w:t>11</w:t>
      </w:r>
    </w:p>
    <w:p w14:paraId="45346ADE" w14:textId="77777777" w:rsidR="002B63F6" w:rsidRDefault="00000000">
      <w:pPr>
        <w:tabs>
          <w:tab w:val="right" w:leader="dot" w:pos="8504"/>
        </w:tabs>
        <w:spacing w:after="60" w:line="240" w:lineRule="auto"/>
        <w:ind w:left="454"/>
      </w:pPr>
      <w:r>
        <w:rPr>
          <w:sz w:val="22"/>
        </w:rPr>
        <w:t>1.5 Significance of the Study</w:t>
      </w:r>
      <w:r>
        <w:rPr>
          <w:sz w:val="22"/>
        </w:rPr>
        <w:tab/>
        <w:t>11</w:t>
      </w:r>
    </w:p>
    <w:p w14:paraId="06F49DB8" w14:textId="77777777" w:rsidR="002B63F6" w:rsidRDefault="00000000">
      <w:pPr>
        <w:tabs>
          <w:tab w:val="right" w:leader="dot" w:pos="8504"/>
        </w:tabs>
        <w:spacing w:after="60" w:line="240" w:lineRule="auto"/>
        <w:ind w:left="454"/>
      </w:pPr>
      <w:r>
        <w:rPr>
          <w:sz w:val="22"/>
        </w:rPr>
        <w:t>1.6 Definition of Key Terms</w:t>
      </w:r>
      <w:r>
        <w:rPr>
          <w:sz w:val="22"/>
        </w:rPr>
        <w:tab/>
        <w:t>12</w:t>
      </w:r>
    </w:p>
    <w:p w14:paraId="715351DD" w14:textId="77777777" w:rsidR="002B63F6" w:rsidRDefault="00000000">
      <w:pPr>
        <w:tabs>
          <w:tab w:val="right" w:leader="dot" w:pos="8504"/>
        </w:tabs>
        <w:spacing w:after="60" w:line="240" w:lineRule="auto"/>
        <w:ind w:left="454"/>
      </w:pPr>
      <w:r>
        <w:rPr>
          <w:sz w:val="22"/>
        </w:rPr>
        <w:t>1.7 Rationale for the Institutional Context</w:t>
      </w:r>
      <w:r>
        <w:rPr>
          <w:sz w:val="22"/>
        </w:rPr>
        <w:tab/>
        <w:t>12</w:t>
      </w:r>
    </w:p>
    <w:p w14:paraId="24788A11" w14:textId="77777777" w:rsidR="002B63F6" w:rsidRDefault="00000000">
      <w:pPr>
        <w:tabs>
          <w:tab w:val="right" w:leader="dot" w:pos="8504"/>
        </w:tabs>
        <w:spacing w:after="60" w:line="240" w:lineRule="auto"/>
        <w:ind w:left="454"/>
      </w:pPr>
      <w:r>
        <w:rPr>
          <w:sz w:val="22"/>
        </w:rPr>
        <w:t>1.8 Structure of the Dissertation</w:t>
      </w:r>
      <w:r>
        <w:rPr>
          <w:sz w:val="22"/>
        </w:rPr>
        <w:tab/>
        <w:t>13</w:t>
      </w:r>
    </w:p>
    <w:p w14:paraId="3F556E8A" w14:textId="77777777" w:rsidR="002B63F6" w:rsidRDefault="00000000">
      <w:pPr>
        <w:tabs>
          <w:tab w:val="right" w:leader="dot" w:pos="8504"/>
        </w:tabs>
        <w:spacing w:after="60" w:line="240" w:lineRule="auto"/>
      </w:pPr>
      <w:r>
        <w:rPr>
          <w:b/>
        </w:rPr>
        <w:t>Chapter 2: Literature Review</w:t>
      </w:r>
      <w:r>
        <w:rPr>
          <w:b/>
        </w:rPr>
        <w:tab/>
        <w:t>14</w:t>
      </w:r>
    </w:p>
    <w:p w14:paraId="4B7E7F18" w14:textId="77777777" w:rsidR="002B63F6" w:rsidRDefault="00000000">
      <w:pPr>
        <w:tabs>
          <w:tab w:val="right" w:leader="dot" w:pos="8504"/>
        </w:tabs>
        <w:spacing w:after="60" w:line="240" w:lineRule="auto"/>
        <w:ind w:left="454"/>
      </w:pPr>
      <w:r>
        <w:rPr>
          <w:sz w:val="22"/>
        </w:rPr>
        <w:t>2.1 The Diffusion of Generative AI in Higher Education and Professional Frameworks</w:t>
      </w:r>
      <w:r>
        <w:rPr>
          <w:sz w:val="22"/>
        </w:rPr>
        <w:tab/>
        <w:t>14</w:t>
      </w:r>
    </w:p>
    <w:p w14:paraId="4EDEA930" w14:textId="77777777" w:rsidR="002B63F6" w:rsidRDefault="00000000">
      <w:pPr>
        <w:tabs>
          <w:tab w:val="right" w:leader="dot" w:pos="8504"/>
        </w:tabs>
        <w:spacing w:after="60" w:line="240" w:lineRule="auto"/>
        <w:ind w:left="454"/>
      </w:pPr>
      <w:r>
        <w:rPr>
          <w:sz w:val="22"/>
        </w:rPr>
        <w:t>2.2 Theoretical Framework: Integrating TAM and Self-Determination Theory (SDT)</w:t>
      </w:r>
      <w:r>
        <w:rPr>
          <w:sz w:val="22"/>
        </w:rPr>
        <w:tab/>
        <w:t>16</w:t>
      </w:r>
    </w:p>
    <w:p w14:paraId="4F0D7EBD" w14:textId="77777777" w:rsidR="002B63F6" w:rsidRDefault="00000000">
      <w:pPr>
        <w:tabs>
          <w:tab w:val="right" w:leader="dot" w:pos="8504"/>
        </w:tabs>
        <w:spacing w:after="60" w:line="240" w:lineRule="auto"/>
        <w:ind w:left="454"/>
      </w:pPr>
      <w:r>
        <w:rPr>
          <w:sz w:val="22"/>
        </w:rPr>
        <w:t>2.3 The Hybrid Leadership Paradox and Virtual Team Engagement</w:t>
      </w:r>
      <w:r>
        <w:rPr>
          <w:sz w:val="22"/>
        </w:rPr>
        <w:tab/>
        <w:t>18</w:t>
      </w:r>
    </w:p>
    <w:p w14:paraId="53C3EC81" w14:textId="77777777" w:rsidR="002B63F6" w:rsidRDefault="00000000">
      <w:pPr>
        <w:tabs>
          <w:tab w:val="right" w:leader="dot" w:pos="8504"/>
        </w:tabs>
        <w:spacing w:after="60" w:line="240" w:lineRule="auto"/>
        <w:ind w:left="454"/>
      </w:pPr>
      <w:r>
        <w:rPr>
          <w:sz w:val="22"/>
        </w:rPr>
        <w:t>2.4 The Economic and Demographic Contours of UK Hybrid Work</w:t>
      </w:r>
      <w:r>
        <w:rPr>
          <w:sz w:val="22"/>
        </w:rPr>
        <w:tab/>
        <w:t>20</w:t>
      </w:r>
    </w:p>
    <w:p w14:paraId="1E54F485" w14:textId="77777777" w:rsidR="002B63F6" w:rsidRDefault="00000000">
      <w:pPr>
        <w:tabs>
          <w:tab w:val="right" w:leader="dot" w:pos="8504"/>
        </w:tabs>
        <w:spacing w:after="60" w:line="240" w:lineRule="auto"/>
        <w:ind w:left="454"/>
      </w:pPr>
      <w:r>
        <w:rPr>
          <w:sz w:val="22"/>
        </w:rPr>
        <w:t>2.5 Digital Burnout, Communication Overload, and the “Always-On” Culture</w:t>
      </w:r>
      <w:r>
        <w:rPr>
          <w:sz w:val="22"/>
        </w:rPr>
        <w:tab/>
        <w:t>21</w:t>
      </w:r>
    </w:p>
    <w:p w14:paraId="3C355C1F" w14:textId="77777777" w:rsidR="002B63F6" w:rsidRDefault="00000000">
      <w:pPr>
        <w:tabs>
          <w:tab w:val="right" w:leader="dot" w:pos="8504"/>
        </w:tabs>
        <w:spacing w:after="60" w:line="240" w:lineRule="auto"/>
        <w:ind w:left="454"/>
      </w:pPr>
      <w:r>
        <w:rPr>
          <w:sz w:val="22"/>
        </w:rPr>
        <w:t>2.6 Generative AI as a Leadership and Employee Engagement Instrument</w:t>
      </w:r>
      <w:r>
        <w:rPr>
          <w:sz w:val="22"/>
        </w:rPr>
        <w:tab/>
        <w:t>23</w:t>
      </w:r>
    </w:p>
    <w:p w14:paraId="661BE7E0" w14:textId="77777777" w:rsidR="002B63F6" w:rsidRDefault="00000000">
      <w:pPr>
        <w:tabs>
          <w:tab w:val="right" w:leader="dot" w:pos="8504"/>
        </w:tabs>
        <w:spacing w:after="60" w:line="240" w:lineRule="auto"/>
        <w:ind w:left="454"/>
      </w:pPr>
      <w:r>
        <w:rPr>
          <w:sz w:val="22"/>
        </w:rPr>
        <w:t>2.7 Psychological Contracts in the Age of AI-Mediated Work</w:t>
      </w:r>
      <w:r>
        <w:rPr>
          <w:sz w:val="22"/>
        </w:rPr>
        <w:tab/>
        <w:t>24</w:t>
      </w:r>
    </w:p>
    <w:p w14:paraId="579B7BAD" w14:textId="77777777" w:rsidR="002B63F6" w:rsidRDefault="00000000">
      <w:pPr>
        <w:tabs>
          <w:tab w:val="right" w:leader="dot" w:pos="8504"/>
        </w:tabs>
        <w:spacing w:after="60" w:line="240" w:lineRule="auto"/>
        <w:ind w:left="454"/>
      </w:pPr>
      <w:r>
        <w:rPr>
          <w:sz w:val="22"/>
        </w:rPr>
        <w:t>2.8 Generational Perspectives: Are Digital Natives Actually AI-Ready?</w:t>
      </w:r>
      <w:r>
        <w:rPr>
          <w:sz w:val="22"/>
        </w:rPr>
        <w:tab/>
        <w:t>25</w:t>
      </w:r>
    </w:p>
    <w:p w14:paraId="02E48CFE" w14:textId="77777777" w:rsidR="002B63F6" w:rsidRDefault="00000000">
      <w:pPr>
        <w:tabs>
          <w:tab w:val="right" w:leader="dot" w:pos="8504"/>
        </w:tabs>
        <w:spacing w:after="60" w:line="240" w:lineRule="auto"/>
        <w:ind w:left="454"/>
      </w:pPr>
      <w:r>
        <w:rPr>
          <w:sz w:val="22"/>
        </w:rPr>
        <w:t>2.9 Governance, Regulation, and the Problem of “Shadow AI”</w:t>
      </w:r>
      <w:r>
        <w:rPr>
          <w:sz w:val="22"/>
        </w:rPr>
        <w:tab/>
        <w:t>27</w:t>
      </w:r>
    </w:p>
    <w:p w14:paraId="1501AA64" w14:textId="77777777" w:rsidR="002B63F6" w:rsidRDefault="00000000">
      <w:pPr>
        <w:tabs>
          <w:tab w:val="right" w:leader="dot" w:pos="8504"/>
        </w:tabs>
        <w:spacing w:after="60" w:line="240" w:lineRule="auto"/>
        <w:ind w:left="454"/>
      </w:pPr>
      <w:r>
        <w:rPr>
          <w:sz w:val="22"/>
        </w:rPr>
        <w:t>2.10 Synthesis and Conceptual Framework</w:t>
      </w:r>
      <w:r>
        <w:rPr>
          <w:sz w:val="22"/>
        </w:rPr>
        <w:tab/>
        <w:t>28</w:t>
      </w:r>
    </w:p>
    <w:p w14:paraId="7BF2880E" w14:textId="77777777" w:rsidR="002B63F6" w:rsidRDefault="00000000">
      <w:pPr>
        <w:tabs>
          <w:tab w:val="right" w:leader="dot" w:pos="8504"/>
        </w:tabs>
        <w:spacing w:after="60" w:line="240" w:lineRule="auto"/>
      </w:pPr>
      <w:r>
        <w:rPr>
          <w:b/>
        </w:rPr>
        <w:t>Chapter 3: Methodology</w:t>
      </w:r>
      <w:r>
        <w:rPr>
          <w:b/>
        </w:rPr>
        <w:tab/>
        <w:t>29</w:t>
      </w:r>
    </w:p>
    <w:p w14:paraId="225A8E1A" w14:textId="77777777" w:rsidR="002B63F6" w:rsidRDefault="00000000">
      <w:pPr>
        <w:tabs>
          <w:tab w:val="right" w:leader="dot" w:pos="8504"/>
        </w:tabs>
        <w:spacing w:after="60" w:line="240" w:lineRule="auto"/>
        <w:ind w:left="454"/>
      </w:pPr>
      <w:r>
        <w:rPr>
          <w:sz w:val="22"/>
        </w:rPr>
        <w:t>3.1 Philosophical Foundations and the Pragmatic Paradigm</w:t>
      </w:r>
      <w:r>
        <w:rPr>
          <w:sz w:val="22"/>
        </w:rPr>
        <w:tab/>
        <w:t>29</w:t>
      </w:r>
    </w:p>
    <w:p w14:paraId="070A4F98" w14:textId="77777777" w:rsidR="002B63F6" w:rsidRDefault="00000000">
      <w:pPr>
        <w:tabs>
          <w:tab w:val="right" w:leader="dot" w:pos="8504"/>
        </w:tabs>
        <w:spacing w:after="60" w:line="240" w:lineRule="auto"/>
        <w:ind w:left="454"/>
      </w:pPr>
      <w:r>
        <w:rPr>
          <w:sz w:val="22"/>
        </w:rPr>
        <w:t>3.2 Convergent Parallel Design and Survey Architecture</w:t>
      </w:r>
      <w:r>
        <w:rPr>
          <w:sz w:val="22"/>
        </w:rPr>
        <w:tab/>
        <w:t>29</w:t>
      </w:r>
    </w:p>
    <w:p w14:paraId="319C2D05" w14:textId="77777777" w:rsidR="002B63F6" w:rsidRDefault="00000000">
      <w:pPr>
        <w:tabs>
          <w:tab w:val="right" w:leader="dot" w:pos="8504"/>
        </w:tabs>
        <w:spacing w:after="60" w:line="240" w:lineRule="auto"/>
        <w:ind w:left="454"/>
      </w:pPr>
      <w:r>
        <w:rPr>
          <w:sz w:val="22"/>
        </w:rPr>
        <w:t>3.3 Sampling Strategy, Sample Composition, and Research Ethics</w:t>
      </w:r>
      <w:r>
        <w:rPr>
          <w:sz w:val="22"/>
        </w:rPr>
        <w:tab/>
        <w:t>30</w:t>
      </w:r>
    </w:p>
    <w:p w14:paraId="4F77F880" w14:textId="77777777" w:rsidR="002B63F6" w:rsidRDefault="00000000">
      <w:pPr>
        <w:tabs>
          <w:tab w:val="right" w:leader="dot" w:pos="8504"/>
        </w:tabs>
        <w:spacing w:after="60" w:line="240" w:lineRule="auto"/>
        <w:ind w:left="454"/>
      </w:pPr>
      <w:r>
        <w:rPr>
          <w:sz w:val="22"/>
        </w:rPr>
        <w:t>3.4 Sample Size Justification and Statistical Power Considerations</w:t>
      </w:r>
      <w:r>
        <w:rPr>
          <w:sz w:val="22"/>
        </w:rPr>
        <w:tab/>
        <w:t>31</w:t>
      </w:r>
    </w:p>
    <w:p w14:paraId="48851E9E" w14:textId="77777777" w:rsidR="002B63F6" w:rsidRDefault="00000000">
      <w:pPr>
        <w:tabs>
          <w:tab w:val="right" w:leader="dot" w:pos="8504"/>
        </w:tabs>
        <w:spacing w:after="60" w:line="240" w:lineRule="auto"/>
        <w:ind w:left="454"/>
      </w:pPr>
      <w:r>
        <w:rPr>
          <w:sz w:val="22"/>
        </w:rPr>
        <w:t>3.5 Instrument Development and Construct Validity</w:t>
      </w:r>
      <w:r>
        <w:rPr>
          <w:sz w:val="22"/>
        </w:rPr>
        <w:tab/>
        <w:t>32</w:t>
      </w:r>
    </w:p>
    <w:p w14:paraId="35F45E41" w14:textId="77777777" w:rsidR="002B63F6" w:rsidRDefault="00000000">
      <w:pPr>
        <w:tabs>
          <w:tab w:val="right" w:leader="dot" w:pos="8504"/>
        </w:tabs>
        <w:spacing w:after="60" w:line="240" w:lineRule="auto"/>
        <w:ind w:left="454"/>
      </w:pPr>
      <w:r>
        <w:rPr>
          <w:sz w:val="22"/>
        </w:rPr>
        <w:t>3.6 Data Analysis Strategy</w:t>
      </w:r>
      <w:r>
        <w:rPr>
          <w:sz w:val="22"/>
        </w:rPr>
        <w:tab/>
        <w:t>33</w:t>
      </w:r>
    </w:p>
    <w:p w14:paraId="7AD0A8B2" w14:textId="77777777" w:rsidR="002B63F6" w:rsidRDefault="00000000">
      <w:pPr>
        <w:tabs>
          <w:tab w:val="right" w:leader="dot" w:pos="8504"/>
        </w:tabs>
        <w:spacing w:after="60" w:line="240" w:lineRule="auto"/>
        <w:ind w:left="454"/>
      </w:pPr>
      <w:r>
        <w:rPr>
          <w:sz w:val="22"/>
        </w:rPr>
        <w:t>3.7 Reliability, Validity, and Trustworthiness</w:t>
      </w:r>
      <w:r>
        <w:rPr>
          <w:sz w:val="22"/>
        </w:rPr>
        <w:tab/>
        <w:t>33</w:t>
      </w:r>
    </w:p>
    <w:p w14:paraId="31E4A0A3" w14:textId="77777777" w:rsidR="002B63F6" w:rsidRDefault="00000000">
      <w:pPr>
        <w:tabs>
          <w:tab w:val="right" w:leader="dot" w:pos="8504"/>
        </w:tabs>
        <w:spacing w:after="60" w:line="240" w:lineRule="auto"/>
        <w:ind w:left="454"/>
      </w:pPr>
      <w:r>
        <w:rPr>
          <w:sz w:val="22"/>
        </w:rPr>
        <w:t>3.8 Researcher Positionality and Reflexivity</w:t>
      </w:r>
      <w:r>
        <w:rPr>
          <w:sz w:val="22"/>
        </w:rPr>
        <w:tab/>
        <w:t>35</w:t>
      </w:r>
    </w:p>
    <w:p w14:paraId="2AF35D51" w14:textId="77777777" w:rsidR="002B63F6" w:rsidRDefault="00000000">
      <w:pPr>
        <w:tabs>
          <w:tab w:val="right" w:leader="dot" w:pos="8504"/>
        </w:tabs>
        <w:spacing w:after="60" w:line="240" w:lineRule="auto"/>
        <w:ind w:left="454"/>
      </w:pPr>
      <w:r>
        <w:rPr>
          <w:sz w:val="22"/>
        </w:rPr>
        <w:t>3.9 Software, Materials, and Data Management</w:t>
      </w:r>
      <w:r>
        <w:rPr>
          <w:sz w:val="22"/>
        </w:rPr>
        <w:tab/>
        <w:t>36</w:t>
      </w:r>
    </w:p>
    <w:p w14:paraId="554FA692" w14:textId="77777777" w:rsidR="002B63F6" w:rsidRDefault="00000000">
      <w:pPr>
        <w:tabs>
          <w:tab w:val="right" w:leader="dot" w:pos="8504"/>
        </w:tabs>
        <w:spacing w:after="60" w:line="240" w:lineRule="auto"/>
        <w:ind w:left="454"/>
      </w:pPr>
      <w:r>
        <w:rPr>
          <w:sz w:val="22"/>
        </w:rPr>
        <w:t>3.10 Methodological Limitations</w:t>
      </w:r>
      <w:r>
        <w:rPr>
          <w:sz w:val="22"/>
        </w:rPr>
        <w:tab/>
        <w:t>36</w:t>
      </w:r>
    </w:p>
    <w:p w14:paraId="6BB60714" w14:textId="77777777" w:rsidR="002B63F6" w:rsidRDefault="00000000">
      <w:pPr>
        <w:tabs>
          <w:tab w:val="right" w:leader="dot" w:pos="8504"/>
        </w:tabs>
        <w:spacing w:after="60" w:line="240" w:lineRule="auto"/>
      </w:pPr>
      <w:r>
        <w:rPr>
          <w:b/>
        </w:rPr>
        <w:t>Chapter 4: Findings and Data Analysis</w:t>
      </w:r>
      <w:r>
        <w:rPr>
          <w:b/>
        </w:rPr>
        <w:tab/>
        <w:t>37</w:t>
      </w:r>
    </w:p>
    <w:p w14:paraId="413A7484" w14:textId="77777777" w:rsidR="002B63F6" w:rsidRDefault="00000000">
      <w:pPr>
        <w:tabs>
          <w:tab w:val="right" w:leader="dot" w:pos="8504"/>
        </w:tabs>
        <w:spacing w:after="60" w:line="240" w:lineRule="auto"/>
        <w:ind w:left="454"/>
      </w:pPr>
      <w:r>
        <w:rPr>
          <w:sz w:val="22"/>
        </w:rPr>
        <w:t>4.1 Demographic Profile of the Sample (N = 42)</w:t>
      </w:r>
      <w:r>
        <w:rPr>
          <w:sz w:val="22"/>
        </w:rPr>
        <w:tab/>
        <w:t>37</w:t>
      </w:r>
    </w:p>
    <w:p w14:paraId="7A94B54E" w14:textId="77777777" w:rsidR="002B63F6" w:rsidRDefault="00000000">
      <w:pPr>
        <w:tabs>
          <w:tab w:val="right" w:leader="dot" w:pos="8504"/>
        </w:tabs>
        <w:spacing w:after="60" w:line="240" w:lineRule="auto"/>
        <w:ind w:left="454"/>
      </w:pPr>
      <w:r>
        <w:rPr>
          <w:sz w:val="22"/>
        </w:rPr>
        <w:t>4.2 Usage Analysis and Tool Preferences (RQ1)</w:t>
      </w:r>
      <w:r>
        <w:rPr>
          <w:sz w:val="22"/>
        </w:rPr>
        <w:tab/>
        <w:t>38</w:t>
      </w:r>
    </w:p>
    <w:p w14:paraId="35FC6ADF" w14:textId="77777777" w:rsidR="002B63F6" w:rsidRDefault="00000000">
      <w:pPr>
        <w:tabs>
          <w:tab w:val="right" w:leader="dot" w:pos="8504"/>
        </w:tabs>
        <w:spacing w:after="60" w:line="240" w:lineRule="auto"/>
        <w:ind w:left="454"/>
      </w:pPr>
      <w:r>
        <w:rPr>
          <w:sz w:val="22"/>
        </w:rPr>
        <w:t>4.3 Descriptive Evaluation of the Perceptual Likert Battery (RQ2 and RQ3)</w:t>
      </w:r>
      <w:r>
        <w:rPr>
          <w:sz w:val="22"/>
        </w:rPr>
        <w:tab/>
        <w:t>39</w:t>
      </w:r>
    </w:p>
    <w:p w14:paraId="2F9CB877" w14:textId="77777777" w:rsidR="002B63F6" w:rsidRDefault="00000000">
      <w:pPr>
        <w:tabs>
          <w:tab w:val="right" w:leader="dot" w:pos="8504"/>
        </w:tabs>
        <w:spacing w:after="60" w:line="240" w:lineRule="auto"/>
        <w:ind w:left="454"/>
      </w:pPr>
      <w:r>
        <w:rPr>
          <w:sz w:val="22"/>
        </w:rPr>
        <w:t>4.4 Item-by-Item Interpretation of the Perceptual Battery</w:t>
      </w:r>
      <w:r>
        <w:rPr>
          <w:sz w:val="22"/>
        </w:rPr>
        <w:tab/>
        <w:t>41</w:t>
      </w:r>
    </w:p>
    <w:p w14:paraId="2A5D83B3" w14:textId="77777777" w:rsidR="002B63F6" w:rsidRDefault="00000000">
      <w:pPr>
        <w:tabs>
          <w:tab w:val="right" w:leader="dot" w:pos="8504"/>
        </w:tabs>
        <w:spacing w:after="60" w:line="240" w:lineRule="auto"/>
        <w:ind w:left="454"/>
      </w:pPr>
      <w:r>
        <w:rPr>
          <w:sz w:val="22"/>
        </w:rPr>
        <w:t>4.5 Qualitative Thematic Architecture (RQ4)</w:t>
      </w:r>
      <w:r>
        <w:rPr>
          <w:sz w:val="22"/>
        </w:rPr>
        <w:tab/>
        <w:t>43</w:t>
      </w:r>
    </w:p>
    <w:p w14:paraId="60923507" w14:textId="77777777" w:rsidR="002B63F6" w:rsidRDefault="00000000">
      <w:pPr>
        <w:tabs>
          <w:tab w:val="right" w:leader="dot" w:pos="8504"/>
        </w:tabs>
        <w:spacing w:after="60" w:line="240" w:lineRule="auto"/>
        <w:ind w:left="454"/>
      </w:pPr>
      <w:r>
        <w:rPr>
          <w:sz w:val="22"/>
        </w:rPr>
        <w:t>4.6 Interpretive Cross-Tabulation by Age and Prior Hybrid Experience</w:t>
      </w:r>
      <w:r>
        <w:rPr>
          <w:sz w:val="22"/>
        </w:rPr>
        <w:tab/>
        <w:t>45</w:t>
      </w:r>
    </w:p>
    <w:p w14:paraId="640946ED" w14:textId="77777777" w:rsidR="002B63F6" w:rsidRDefault="00000000">
      <w:pPr>
        <w:tabs>
          <w:tab w:val="right" w:leader="dot" w:pos="8504"/>
        </w:tabs>
        <w:spacing w:after="60" w:line="240" w:lineRule="auto"/>
        <w:ind w:left="454"/>
      </w:pPr>
      <w:r>
        <w:rPr>
          <w:sz w:val="22"/>
        </w:rPr>
        <w:t>4.7 Integration of the Quantitative and Qualitative Findings</w:t>
      </w:r>
      <w:r>
        <w:rPr>
          <w:sz w:val="22"/>
        </w:rPr>
        <w:tab/>
        <w:t>47</w:t>
      </w:r>
    </w:p>
    <w:p w14:paraId="52F2D5D4" w14:textId="77777777" w:rsidR="002B63F6" w:rsidRDefault="00000000">
      <w:pPr>
        <w:tabs>
          <w:tab w:val="right" w:leader="dot" w:pos="8504"/>
        </w:tabs>
        <w:spacing w:after="60" w:line="240" w:lineRule="auto"/>
      </w:pPr>
      <w:r>
        <w:rPr>
          <w:b/>
        </w:rPr>
        <w:t>Chapter 5: Discussion</w:t>
      </w:r>
      <w:r>
        <w:rPr>
          <w:b/>
        </w:rPr>
        <w:tab/>
        <w:t>49</w:t>
      </w:r>
    </w:p>
    <w:p w14:paraId="4901F6CA" w14:textId="77777777" w:rsidR="002B63F6" w:rsidRDefault="00000000">
      <w:pPr>
        <w:tabs>
          <w:tab w:val="right" w:leader="dot" w:pos="8504"/>
        </w:tabs>
        <w:spacing w:after="60" w:line="240" w:lineRule="auto"/>
        <w:ind w:left="454"/>
      </w:pPr>
      <w:r>
        <w:rPr>
          <w:sz w:val="22"/>
        </w:rPr>
        <w:lastRenderedPageBreak/>
        <w:t>5.1 Reconciliation of the Efficiency Vector with TAM Frameworks</w:t>
      </w:r>
      <w:r>
        <w:rPr>
          <w:sz w:val="22"/>
        </w:rPr>
        <w:tab/>
        <w:t>49</w:t>
      </w:r>
    </w:p>
    <w:p w14:paraId="6B6575E0" w14:textId="77777777" w:rsidR="002B63F6" w:rsidRDefault="00000000">
      <w:pPr>
        <w:tabs>
          <w:tab w:val="right" w:leader="dot" w:pos="8504"/>
        </w:tabs>
        <w:spacing w:after="60" w:line="240" w:lineRule="auto"/>
        <w:ind w:left="454"/>
      </w:pPr>
      <w:r>
        <w:rPr>
          <w:sz w:val="22"/>
        </w:rPr>
        <w:t>5.2 Interrogation of the Relatedness Deficit under SDT Lenses</w:t>
      </w:r>
      <w:r>
        <w:rPr>
          <w:sz w:val="22"/>
        </w:rPr>
        <w:tab/>
        <w:t>50</w:t>
      </w:r>
    </w:p>
    <w:p w14:paraId="2E68120E" w14:textId="77777777" w:rsidR="002B63F6" w:rsidRDefault="00000000">
      <w:pPr>
        <w:tabs>
          <w:tab w:val="right" w:leader="dot" w:pos="8504"/>
        </w:tabs>
        <w:spacing w:after="60" w:line="240" w:lineRule="auto"/>
        <w:ind w:left="454"/>
      </w:pPr>
      <w:r>
        <w:rPr>
          <w:sz w:val="22"/>
        </w:rPr>
        <w:t>5.3 The Hybrid Leadership Paradox Revisited</w:t>
      </w:r>
      <w:r>
        <w:rPr>
          <w:sz w:val="22"/>
        </w:rPr>
        <w:tab/>
        <w:t>51</w:t>
      </w:r>
    </w:p>
    <w:p w14:paraId="69896A57" w14:textId="77777777" w:rsidR="002B63F6" w:rsidRDefault="00000000">
      <w:pPr>
        <w:tabs>
          <w:tab w:val="right" w:leader="dot" w:pos="8504"/>
        </w:tabs>
        <w:spacing w:after="60" w:line="240" w:lineRule="auto"/>
        <w:ind w:left="454"/>
      </w:pPr>
      <w:r>
        <w:rPr>
          <w:sz w:val="22"/>
        </w:rPr>
        <w:t>5.4 The Age and Experience Effect: Reconciling Findings with the Generational AI-Scepticism Literature</w:t>
      </w:r>
      <w:r>
        <w:rPr>
          <w:sz w:val="22"/>
        </w:rPr>
        <w:tab/>
        <w:t>52</w:t>
      </w:r>
    </w:p>
    <w:p w14:paraId="57C181D7" w14:textId="77777777" w:rsidR="002B63F6" w:rsidRDefault="00000000">
      <w:pPr>
        <w:tabs>
          <w:tab w:val="right" w:leader="dot" w:pos="8504"/>
        </w:tabs>
        <w:spacing w:after="60" w:line="240" w:lineRule="auto"/>
        <w:ind w:left="454"/>
      </w:pPr>
      <w:r>
        <w:rPr>
          <w:sz w:val="22"/>
        </w:rPr>
        <w:t>5.5 Theoretical Limitations of the TAM/SDT Pairing</w:t>
      </w:r>
      <w:r>
        <w:rPr>
          <w:sz w:val="22"/>
        </w:rPr>
        <w:tab/>
        <w:t>53</w:t>
      </w:r>
    </w:p>
    <w:p w14:paraId="359F0713" w14:textId="77777777" w:rsidR="002B63F6" w:rsidRDefault="00000000">
      <w:pPr>
        <w:tabs>
          <w:tab w:val="right" w:leader="dot" w:pos="8504"/>
        </w:tabs>
        <w:spacing w:after="60" w:line="240" w:lineRule="auto"/>
        <w:ind w:left="454"/>
      </w:pPr>
      <w:r>
        <w:rPr>
          <w:sz w:val="22"/>
        </w:rPr>
        <w:t>5.6 Implications for the Incoming Graduate Workforce</w:t>
      </w:r>
      <w:r>
        <w:rPr>
          <w:sz w:val="22"/>
        </w:rPr>
        <w:tab/>
        <w:t>54</w:t>
      </w:r>
    </w:p>
    <w:p w14:paraId="30DF21F2" w14:textId="77777777" w:rsidR="002B63F6" w:rsidRDefault="00000000">
      <w:pPr>
        <w:tabs>
          <w:tab w:val="right" w:leader="dot" w:pos="8504"/>
        </w:tabs>
        <w:spacing w:after="60" w:line="240" w:lineRule="auto"/>
      </w:pPr>
      <w:r>
        <w:rPr>
          <w:b/>
        </w:rPr>
        <w:t>Chapter 6: Conclusion and Recommendations</w:t>
      </w:r>
      <w:r>
        <w:rPr>
          <w:b/>
        </w:rPr>
        <w:tab/>
        <w:t>55</w:t>
      </w:r>
    </w:p>
    <w:p w14:paraId="7B2603AC" w14:textId="77777777" w:rsidR="002B63F6" w:rsidRDefault="00000000">
      <w:pPr>
        <w:tabs>
          <w:tab w:val="right" w:leader="dot" w:pos="8504"/>
        </w:tabs>
        <w:spacing w:after="60" w:line="240" w:lineRule="auto"/>
        <w:ind w:left="454"/>
      </w:pPr>
      <w:r>
        <w:rPr>
          <w:sz w:val="22"/>
        </w:rPr>
        <w:t>6.1 Synthesis of Key Empirical Findings</w:t>
      </w:r>
      <w:r>
        <w:rPr>
          <w:sz w:val="22"/>
        </w:rPr>
        <w:tab/>
        <w:t>55</w:t>
      </w:r>
    </w:p>
    <w:p w14:paraId="7C67D79D" w14:textId="77777777" w:rsidR="002B63F6" w:rsidRDefault="00000000">
      <w:pPr>
        <w:tabs>
          <w:tab w:val="right" w:leader="dot" w:pos="8504"/>
        </w:tabs>
        <w:spacing w:after="60" w:line="240" w:lineRule="auto"/>
        <w:ind w:left="454"/>
      </w:pPr>
      <w:r>
        <w:rPr>
          <w:sz w:val="22"/>
        </w:rPr>
        <w:t>6.2 Structural Governance Framework for Modern Enterprises</w:t>
      </w:r>
      <w:r>
        <w:rPr>
          <w:sz w:val="22"/>
        </w:rPr>
        <w:tab/>
        <w:t>56</w:t>
      </w:r>
    </w:p>
    <w:p w14:paraId="36C7A53C" w14:textId="77777777" w:rsidR="002B63F6" w:rsidRDefault="00000000">
      <w:pPr>
        <w:tabs>
          <w:tab w:val="right" w:leader="dot" w:pos="8504"/>
        </w:tabs>
        <w:spacing w:after="60" w:line="240" w:lineRule="auto"/>
        <w:ind w:left="454"/>
      </w:pPr>
      <w:r>
        <w:rPr>
          <w:sz w:val="22"/>
        </w:rPr>
        <w:t>6.3 Implications for Higher Education Curriculum Design</w:t>
      </w:r>
      <w:r>
        <w:rPr>
          <w:sz w:val="22"/>
        </w:rPr>
        <w:tab/>
        <w:t>57</w:t>
      </w:r>
    </w:p>
    <w:p w14:paraId="241ACABC" w14:textId="77777777" w:rsidR="002B63F6" w:rsidRDefault="00000000">
      <w:pPr>
        <w:tabs>
          <w:tab w:val="right" w:leader="dot" w:pos="8504"/>
        </w:tabs>
        <w:spacing w:after="60" w:line="240" w:lineRule="auto"/>
        <w:ind w:left="454"/>
      </w:pPr>
      <w:r>
        <w:rPr>
          <w:sz w:val="22"/>
        </w:rPr>
        <w:t>6.4 Contribution to Knowledge</w:t>
      </w:r>
      <w:r>
        <w:rPr>
          <w:sz w:val="22"/>
        </w:rPr>
        <w:tab/>
        <w:t>58</w:t>
      </w:r>
    </w:p>
    <w:p w14:paraId="32E06344" w14:textId="77777777" w:rsidR="002B63F6" w:rsidRDefault="00000000">
      <w:pPr>
        <w:tabs>
          <w:tab w:val="right" w:leader="dot" w:pos="8504"/>
        </w:tabs>
        <w:spacing w:after="60" w:line="240" w:lineRule="auto"/>
        <w:ind w:left="454"/>
      </w:pPr>
      <w:r>
        <w:rPr>
          <w:sz w:val="22"/>
        </w:rPr>
        <w:t>6.5 Methodological Limitations and Trajectories for Future Inquiry</w:t>
      </w:r>
      <w:r>
        <w:rPr>
          <w:sz w:val="22"/>
        </w:rPr>
        <w:tab/>
        <w:t>58</w:t>
      </w:r>
    </w:p>
    <w:p w14:paraId="654D00CA" w14:textId="77777777" w:rsidR="002B63F6" w:rsidRDefault="00000000">
      <w:pPr>
        <w:tabs>
          <w:tab w:val="right" w:leader="dot" w:pos="8504"/>
        </w:tabs>
        <w:spacing w:after="60" w:line="240" w:lineRule="auto"/>
        <w:ind w:left="454"/>
      </w:pPr>
      <w:r>
        <w:rPr>
          <w:sz w:val="22"/>
        </w:rPr>
        <w:t>6.6 Reflexive Postscript on Researcher Positionality</w:t>
      </w:r>
      <w:r>
        <w:rPr>
          <w:sz w:val="22"/>
        </w:rPr>
        <w:tab/>
        <w:t>59</w:t>
      </w:r>
    </w:p>
    <w:p w14:paraId="56244476" w14:textId="77777777" w:rsidR="002B63F6" w:rsidRDefault="00000000">
      <w:pPr>
        <w:tabs>
          <w:tab w:val="right" w:leader="dot" w:pos="8504"/>
        </w:tabs>
        <w:spacing w:after="60" w:line="240" w:lineRule="auto"/>
        <w:ind w:left="454"/>
      </w:pPr>
      <w:r>
        <w:rPr>
          <w:sz w:val="22"/>
        </w:rPr>
        <w:t>6.7 Concluding Remarks</w:t>
      </w:r>
      <w:r>
        <w:rPr>
          <w:sz w:val="22"/>
        </w:rPr>
        <w:tab/>
        <w:t>60</w:t>
      </w:r>
    </w:p>
    <w:p w14:paraId="48633F1B" w14:textId="77777777" w:rsidR="002B63F6" w:rsidRDefault="00000000">
      <w:pPr>
        <w:tabs>
          <w:tab w:val="right" w:leader="dot" w:pos="8504"/>
        </w:tabs>
        <w:spacing w:after="60" w:line="240" w:lineRule="auto"/>
      </w:pPr>
      <w:r>
        <w:rPr>
          <w:b/>
        </w:rPr>
        <w:t>References</w:t>
      </w:r>
      <w:r>
        <w:rPr>
          <w:b/>
        </w:rPr>
        <w:tab/>
        <w:t>62</w:t>
      </w:r>
    </w:p>
    <w:p w14:paraId="2278B94A" w14:textId="77777777" w:rsidR="002B63F6" w:rsidRDefault="00000000">
      <w:pPr>
        <w:tabs>
          <w:tab w:val="right" w:leader="dot" w:pos="8504"/>
        </w:tabs>
        <w:spacing w:after="60" w:line="240" w:lineRule="auto"/>
      </w:pPr>
      <w:r>
        <w:rPr>
          <w:b/>
        </w:rPr>
        <w:t>Appendix A: Survey Instrument</w:t>
      </w:r>
      <w:r>
        <w:rPr>
          <w:b/>
        </w:rPr>
        <w:tab/>
        <w:t>69</w:t>
      </w:r>
    </w:p>
    <w:p w14:paraId="0C69147E" w14:textId="77777777" w:rsidR="002B63F6" w:rsidRDefault="00000000">
      <w:pPr>
        <w:tabs>
          <w:tab w:val="right" w:leader="dot" w:pos="8504"/>
        </w:tabs>
        <w:spacing w:after="60" w:line="240" w:lineRule="auto"/>
      </w:pPr>
      <w:r>
        <w:rPr>
          <w:b/>
        </w:rPr>
        <w:t>Appendix B: Thematic Coding Framework</w:t>
      </w:r>
      <w:r>
        <w:rPr>
          <w:b/>
        </w:rPr>
        <w:tab/>
        <w:t>71</w:t>
      </w:r>
    </w:p>
    <w:p w14:paraId="3643D9A0" w14:textId="77777777" w:rsidR="002B63F6" w:rsidRDefault="00000000">
      <w:pPr>
        <w:tabs>
          <w:tab w:val="right" w:leader="dot" w:pos="8504"/>
        </w:tabs>
        <w:spacing w:after="60" w:line="240" w:lineRule="auto"/>
      </w:pPr>
      <w:r>
        <w:rPr>
          <w:b/>
        </w:rPr>
        <w:t>Appendix C: Participant Information and Consent Summary</w:t>
      </w:r>
      <w:r>
        <w:rPr>
          <w:b/>
        </w:rPr>
        <w:tab/>
        <w:t>73</w:t>
      </w:r>
    </w:p>
    <w:p w14:paraId="64009D46" w14:textId="77777777" w:rsidR="002B63F6" w:rsidRDefault="00000000">
      <w:pPr>
        <w:tabs>
          <w:tab w:val="right" w:leader="dot" w:pos="8504"/>
        </w:tabs>
        <w:spacing w:after="60" w:line="240" w:lineRule="auto"/>
      </w:pPr>
      <w:r>
        <w:rPr>
          <w:b/>
        </w:rPr>
        <w:t>Declaration on the Use of Generative Artificial Intelligence</w:t>
      </w:r>
      <w:r>
        <w:rPr>
          <w:b/>
        </w:rPr>
        <w:tab/>
        <w:t>73</w:t>
      </w:r>
    </w:p>
    <w:p w14:paraId="069E7195" w14:textId="77777777" w:rsidR="002B63F6" w:rsidRDefault="00000000">
      <w:pPr>
        <w:pStyle w:val="Heading1"/>
        <w:pageBreakBefore/>
      </w:pPr>
      <w:r>
        <w:lastRenderedPageBreak/>
        <w:t>Acknowledgements</w:t>
      </w:r>
    </w:p>
    <w:p w14:paraId="07780ADE" w14:textId="77777777" w:rsidR="001E1737" w:rsidRDefault="001E1737" w:rsidP="001E1737">
      <w:r>
        <w:t>I would like to thank my supervisor, Dr Bilal Ahmed Abbasi, whose guidance shaped this project from its initial design through to submission, and whose questions consistently pushed the analysis further than it would otherwise have gone.</w:t>
      </w:r>
    </w:p>
    <w:p w14:paraId="2345A0CB" w14:textId="77777777" w:rsidR="001E1737" w:rsidRDefault="001E1737" w:rsidP="001E1737">
      <w:r>
        <w:t>I am grateful to the 42 students of York St John University’s London Campus who gave their time to complete the survey. This dissertation rests entirely on their responses, and I hope it represents their views fairly.</w:t>
      </w:r>
    </w:p>
    <w:p w14:paraId="413663C9" w14:textId="77777777" w:rsidR="002B63F6" w:rsidRDefault="001E1737" w:rsidP="001E1737">
      <w:r>
        <w:t xml:space="preserve">Thanks are also due to the </w:t>
      </w:r>
      <w:proofErr w:type="spellStart"/>
      <w:r>
        <w:t>MRes</w:t>
      </w:r>
      <w:proofErr w:type="spellEnd"/>
      <w:r>
        <w:t xml:space="preserve"> teaching team for their guidance on research design, academic writing throughout the programme</w:t>
      </w:r>
      <w:r w:rsidR="00263408">
        <w:t>.</w:t>
      </w:r>
    </w:p>
    <w:p w14:paraId="5E9F0044" w14:textId="77777777" w:rsidR="002B63F6" w:rsidRDefault="00000000">
      <w:pPr>
        <w:pStyle w:val="Heading1"/>
        <w:pageBreakBefore/>
      </w:pPr>
      <w:r>
        <w:lastRenderedPageBreak/>
        <w:t>Abstract</w:t>
      </w:r>
    </w:p>
    <w:p w14:paraId="14DA2046" w14:textId="77777777" w:rsidR="002B63F6" w:rsidRDefault="00187D74" w:rsidP="00187D74">
      <w:r w:rsidRPr="00187D74">
        <w:t>Generative AI has spread rapidly through universities, and hybrid working has become established practice across UK organisations. The two developments are usually studied apart, and management scholarship has given little attention to where they meet. This dissertation examines that intersection through the perceptions of postgraduate and advanced undergraduate students at York St John University’s London Campus concerning the role of generative AI in hybrid leadership and employee engagement. Four research questions organise the inquiry: RQ1 examines the cohort’s familiarity and confidence with generative AI tools; RQ2 asks how they expect it to affect the practice of hybrid leadership; RQ3 examines how they weigh the efficiency it offers against the authentic connection it may cost; and RQ4 asks what governance recommendations follow. The study draws on the Technology Acceptance Model (</w:t>
      </w:r>
      <w:hyperlink r:id="rId8" w:tooltip="Davis, F.D. (1989) ‘Perceived usefulness, perceived ease of use, and user acceptance of information technology’, MIS Quarterly, 13(3), pp. 319-340. Available at: https://doi.org/10.2307/249008 (Accessed: 26 August 2026).">
        <w:r w:rsidRPr="00187D74">
          <w:rPr>
            <w:color w:val="1F4E79"/>
          </w:rPr>
          <w:t>Davis, 1989</w:t>
        </w:r>
      </w:hyperlink>
      <w:r w:rsidRPr="00187D74">
        <w:t xml:space="preserve">; </w:t>
      </w:r>
      <w:hyperlink r:id="rId9" w:tooltip="Venkatesh, V. and Davis, F.D. (2000) ‘A theoretical extension of the technology acceptance model: four longitudinal field studies’, Management Science, 46(2), pp. 186-204. Available at: https://doi.org/10.1287/mnsc.46.2.186.11926 (Accessed: 26 August 2026).">
        <w:r w:rsidRPr="00187D74">
          <w:rPr>
            <w:color w:val="1F4E79"/>
          </w:rPr>
          <w:t>Venkatesh and Davis, 2000</w:t>
        </w:r>
      </w:hyperlink>
      <w:r w:rsidRPr="00187D74">
        <w:t>) and Self-Determination Theory (</w:t>
      </w:r>
      <w:hyperlink r:id="rId10" w:tooltip="Deci, E.L. and Ryan, R.M. (2000) ‘The ">
        <w:r w:rsidRPr="00187D74">
          <w:rPr>
            <w:color w:val="1F4E79"/>
          </w:rPr>
          <w:t>Deci and Ryan, 2000</w:t>
        </w:r>
      </w:hyperlink>
      <w:r w:rsidRPr="00187D74">
        <w:t xml:space="preserve">; </w:t>
      </w:r>
      <w:hyperlink w:anchor="ref_Ryan2017" w:tooltip="Ryan, R.M. and Deci, E.L. (2017) Self-Determination Theory: Basic Psychological Needs in Motivation, Development, and Wellness. New York: Guilford Press.">
        <w:r w:rsidRPr="00187D74">
          <w:rPr>
            <w:color w:val="1F4E79"/>
          </w:rPr>
          <w:t>Ryan and Deci, 2017</w:t>
        </w:r>
      </w:hyperlink>
      <w:r w:rsidRPr="00187D74">
        <w:t xml:space="preserve">), adopting a pragmatic paradigm and a convergent parallel mixed-methods design. Forty-two respondents completed the survey, and all figures are reported as absolute counts alongside percentages in Chapter Four. Acceptance is high: respondents rated their confidence with generative AI platforms at a mean of 3.93 out of 5, 40 of the 42 had used ChatGPT, 23 Microsoft Copilot and 17 Google Gemini, and the sample expected generative AI to reduce the administrative burden of hybrid leadership. Alongside this sits a consistent reservation about what is lost when interaction is not face to face — relatedness in Self-Determination Theory terms. That reservation is not diffuse anxiety but a sustained task-boundary logic: respondents readily delegate administrative and analytical work to AI while reserving relational and judgemental work for human leaders. The dissertation reads this as an emerging psychological contract for the next generation of knowledge workers, in which generative AI serves as an administrative co-pilot without displacing the relational core of leadership. Three limitations qualify these conclusions: the single-institution sample is not representative of UK students, the cross-sectional design captures attitudes at one moment in a fast-moving field, and the quantitative sample (n = 42) is too small to support inference. Internal consistency was strong for the perceived-usefulness scale (α = 0.88) but fell below the conventional threshold for the two-item relational-risk scale (α = 0.54), whose items are reported separately. The study makes three contributions: an empirical account of this bifurcated attitude; a task-based boundary model applicable directly to organisational AI policy; and </w:t>
      </w:r>
      <w:r w:rsidRPr="00187D74">
        <w:lastRenderedPageBreak/>
        <w:t>a testable proposition, that time spent in hybrid working predicts a bounded and self-aware attitude towards AI better than chronological age. Keywords: generative artificial intelligence; hybrid leadership; employee engagement; Technology Acceptance Model; Self-Determination Theory; digital burnout; higher education.</w:t>
      </w:r>
    </w:p>
    <w:p w14:paraId="0F14E2AB" w14:textId="77777777" w:rsidR="002B63F6" w:rsidRDefault="00000000">
      <w:pPr>
        <w:pStyle w:val="Heading1"/>
        <w:pageBreakBefore/>
      </w:pPr>
      <w:r>
        <w:lastRenderedPageBreak/>
        <w:t>Chapter 1: Introduction</w:t>
      </w:r>
    </w:p>
    <w:p w14:paraId="2F48674E" w14:textId="77777777" w:rsidR="002B63F6" w:rsidRDefault="00000000">
      <w:pPr>
        <w:pStyle w:val="Heading2"/>
      </w:pPr>
      <w:r>
        <w:t>1.1 Contextual Background and Macroeconomic Realities</w:t>
      </w:r>
    </w:p>
    <w:p w14:paraId="07AFE31F" w14:textId="77777777" w:rsidR="00637C75" w:rsidRDefault="00637C75" w:rsidP="00637C75">
      <w:r>
        <w:t>UK higher education and the corporate labour market are adapting to two transformative and interacting macro-changes. The first is the arrival of generative artificial intelligence (GenAI), a class of systems that produces content by drawing on very large datasets. The second is the consolidation of hybrid and remote working as a defining structure of the global economy, and of the UK white-collar workforce in particular. Contemporary management literature commonly treats these as separate drivers of technological and operational change, yet both act on the same fundamental parameters: organisational behaviour, leadership communication, employee motivation and virtual engagement.</w:t>
      </w:r>
    </w:p>
    <w:p w14:paraId="01A8D031" w14:textId="77777777" w:rsidR="00637C75" w:rsidRDefault="00637C75" w:rsidP="00637C75"/>
    <w:p w14:paraId="4447968E" w14:textId="77777777" w:rsidR="00637C75" w:rsidRDefault="00637C75" w:rsidP="00637C75">
      <w:r>
        <w:t>Generative AI tools such as OpenAI’s ChatGPT, Anthropic’s Claude, Google’s Gemini and Microsoft’s Copilot have moved beyond consumer novelty to become established instruments of higher learning and corporate process. Within universities, students use them to make sense of large bodies of theory, to collate information from dispersed sources, to structure arguments and to manage their own cognitive load. Organisations, meanwhile, are contending with the difficulties of hybrid working: reduced spatial flexibility, strained virtual communication, erosion of organisational culture and digital burnout. This study examines the convergence of the two by providing a snapshot of postgraduate business and management students’ perceptions of the future role of GenAI in hybrid leadership.</w:t>
      </w:r>
    </w:p>
    <w:p w14:paraId="0967AC9E" w14:textId="77777777" w:rsidR="00637C75" w:rsidRDefault="00637C75" w:rsidP="00637C75"/>
    <w:p w14:paraId="6955DEF8" w14:textId="77777777" w:rsidR="00637C75" w:rsidRDefault="00637C75" w:rsidP="00637C75">
      <w:r>
        <w:t xml:space="preserve">GenAI has yet made its impact on UK Higher Education corridors with </w:t>
      </w:r>
      <w:proofErr w:type="spellStart"/>
      <w:r>
        <w:t>transponding</w:t>
      </w:r>
      <w:proofErr w:type="spellEnd"/>
      <w:r>
        <w:t xml:space="preserve"> speed. The overall trend is shows clearly in the annual student survey run by the Higher Education Policy Institute, with the percentage of full-time undergraduates saying that they use some generative AI for their academic work growing from 66 per cent in 2024 to 92 per cent in 2025 and 95 per cent in 2026, while the percentage saying that they use it specifically to support assessed work rose from 53 per cent to 94 per cent in the same period (</w:t>
      </w:r>
      <w:hyperlink r:id="rId11" w:tooltip="Freeman, J. (2025) Student Generative AI Survey 2025. HEPI Policy Note 61. Oxford: Higher Education Policy Institute. Available at: https://www.hepi.ac.uk/reports/student-generative-ai-survey-2025/ (Accessed: 26 August 2026).">
        <w:r>
          <w:rPr>
            <w:color w:val="1F4E79"/>
          </w:rPr>
          <w:t>Freeman, 2025</w:t>
        </w:r>
      </w:hyperlink>
      <w:r>
        <w:t xml:space="preserve">; </w:t>
      </w:r>
      <w:hyperlink r:id="rId12" w:tooltip="Stephenson, R. and Armstrong, C. (2026) Student Generative Artificial Intelligence Survey 2026. HEPI Report 199. Oxford: Higher Education Policy Institute. Available at: https://www.hepi.ac.uk/reports/student-generative-ai-survey-2026/ (Accessed: 26 Augus">
        <w:r>
          <w:rPr>
            <w:color w:val="1F4E79"/>
          </w:rPr>
          <w:t>Stephenson and Armstrong, 2026</w:t>
        </w:r>
      </w:hyperlink>
      <w:r>
        <w:t xml:space="preserve">). After two years of school, student use became almost universal. The reason the pace is relevant is because universities take very much longer to overhaul curricula, assessment practice and </w:t>
      </w:r>
      <w:r>
        <w:lastRenderedPageBreak/>
        <w:t>academic policy than this. Students estimate they embedded the use of GenAI tools in their teaching and learning, while their institutions still catch up, with only 38 per cent of survey respondents in 2026 reporting their institution was actively providing access to generative AI tools, with about half of students wishing it were (</w:t>
      </w:r>
      <w:hyperlink r:id="rId13" w:tooltip="Stephenson, R. and Armstrong, C. (2026) Student Generative Artificial Intelligence Survey 2026. HEPI Report 199. Oxford: Higher Education Policy Institute. Available at: https://www.hepi.ac.uk/reports/student-generative-ai-survey-2026/ (Accessed: 26 Augus">
        <w:r>
          <w:rPr>
            <w:color w:val="1F4E79"/>
          </w:rPr>
          <w:t>Stephenson and Armstrong, 2026</w:t>
        </w:r>
      </w:hyperlink>
      <w:r>
        <w:t>).</w:t>
      </w:r>
    </w:p>
    <w:p w14:paraId="1E57CB6E" w14:textId="77777777" w:rsidR="00637C75" w:rsidRDefault="00637C75" w:rsidP="00637C75"/>
    <w:p w14:paraId="2923EDB0" w14:textId="77777777" w:rsidR="00637C75" w:rsidRDefault="00637C75" w:rsidP="00637C75">
      <w:r>
        <w:t>Students apply GenAI in many ways to support learning: summarising text, explaining theory, planning assignments and improving written communication. Such uses can genuinely support learning, since they reduce cognitive load, make explanation available on demand and, for international students and those working in a second language, materially increase confidence. The same practices carry risk where students accept an AI explanation without judging its accuracy or relevance. The educational value of GenAI therefore lies less in the tool than in how it is used, what guidance accompanies it, and whether students become more critical and more AI-literate as their proficiency grows.</w:t>
      </w:r>
    </w:p>
    <w:p w14:paraId="626251A7" w14:textId="77777777" w:rsidR="00637C75" w:rsidRDefault="00637C75" w:rsidP="00637C75"/>
    <w:p w14:paraId="70E34FE7" w14:textId="77777777" w:rsidR="002B63F6" w:rsidRDefault="00637C75" w:rsidP="00637C75">
      <w:r>
        <w:t>Student attitudes remain ambivalent. Many value the speed and ease of these tools while fearing over-dependence and the erosion of critical thinking and verification. The 2026 HEPI survey captures this ambivalence at the affective level: 20 per cent of students reported feeling lonelier as a result of AI, while 21 per cent reported feeling less lonely. This near-even split points to a psychological duality that this dissertation follows beyond the classroom into hybrid work. The concern is epistemological as well as practical. As students increasingly use AI to produce summaries, arguments and interpretations, questions of authorship, intellectual independence and depth of learning arise. GenAI is not simply a matter of plagiarism detection; it is capable of unsettling the meaning of independent scholarship, reaching beyond academic practice to the way knowledge is created and validated (</w:t>
      </w:r>
      <w:hyperlink r:id="rId14" w:tooltip="Popenici, S.A.D. and Kerr, S. (2017) ‘Exploring the impact of artificial intelligence on teaching and learning in higher education’, Research and Practice in Technology Enhanced Learning, 12(1), article 22. Available at: https://doi.org/10.1186/s41039-017-0062">
        <w:hyperlink r:id="rId15" w:tooltip="Popenici, S.A.D. and Kerr, S. (2017) ‘Exploring the impact of artificial intelligence on teaching and learning in higher education’, Research and Practice in Technology Enhanced Learning, 12(1), article 22. Available at: https://doi.org/10.1186/s41039-017-0062">
          <w:r>
            <w:rPr>
              <w:color w:val="1F4E79"/>
            </w:rPr>
            <w:t>Popenici and Kerr, 2017</w:t>
          </w:r>
        </w:hyperlink>
      </w:hyperlink>
      <w:r>
        <w:t>).</w:t>
      </w:r>
    </w:p>
    <w:p w14:paraId="5B7D41C2" w14:textId="77777777" w:rsidR="002B63F6" w:rsidRDefault="00000000">
      <w:pPr>
        <w:pStyle w:val="Heading2"/>
      </w:pPr>
      <w:r>
        <w:t>1.2 Theoretical Intersection: Digital Autonomy and Workplace Shifting</w:t>
      </w:r>
    </w:p>
    <w:p w14:paraId="6F509E98" w14:textId="77777777" w:rsidR="00473E7D" w:rsidRPr="00473E7D" w:rsidRDefault="00473E7D" w:rsidP="00473E7D">
      <w:r w:rsidRPr="00473E7D">
        <w:t xml:space="preserve">This dissertation grounds its empirical investigation in two theoretical approaches: the Technology Acceptance Model (TAM) and Self-Determination Theory (SDT). Together they provide a framework for examining how the mechanics of user adoption interact with core psychological needs in a changing workplace. Pairing a cognitive-behavioural </w:t>
      </w:r>
      <w:r w:rsidRPr="00473E7D">
        <w:lastRenderedPageBreak/>
        <w:t>model of adoption with a need-based motivational theory is deliberate. TAM alone can explain why a rational actor uses a piece of software, but not why the same actor might decline a technology that is demonstrably useful and easy to use because it threatens something less measurable, such as a sense of belonging or self-direction at work. The two are therefore treated as complementary layers of a single phenomenon: the outer behavioural layer of adoption and the inner psychological layer of sustained wellbeing.</w:t>
      </w:r>
    </w:p>
    <w:p w14:paraId="02E11560" w14:textId="77777777" w:rsidR="00473E7D" w:rsidRPr="00473E7D" w:rsidRDefault="00473E7D" w:rsidP="00473E7D">
      <w:r w:rsidRPr="00473E7D">
        <w:t xml:space="preserve">The Technology Acceptance Model (TAM) proposed by </w:t>
      </w:r>
      <w:hyperlink r:id="rId16" w:tooltip="Davis, F.D. (1989) ‘Perceived usefulness, perceived ease of use, and user acceptance of information technology’, MIS Quarterly, 13(3), pp. 319-340. Available at: https://doi.org/10.2307/249008 (Accessed: 26 August 2026).">
        <w:r w:rsidRPr="00473E7D">
          <w:rPr>
            <w:color w:val="1F4E79"/>
          </w:rPr>
          <w:t>Davis (1989)</w:t>
        </w:r>
      </w:hyperlink>
      <w:r w:rsidRPr="00473E7D">
        <w:t xml:space="preserve"> examines two main constructs that influence the intention to use a new technology platform: Perceived Usefulness (PU) and Perceived Ease of Use (PEOU). </w:t>
      </w:r>
      <w:proofErr w:type="spellStart"/>
      <w:r w:rsidRPr="00473E7D">
        <w:t>Davis'</w:t>
      </w:r>
      <w:proofErr w:type="spellEnd"/>
      <w:r w:rsidRPr="00473E7D">
        <w:t xml:space="preserve"> original theory was further developed to include social influence processes (subjective norms and image) and cognitive instrumental processes (job relevance and output quality) in an attempt to account for the fact that perceived usefulness itself is socially constructed rather than purely rational (</w:t>
      </w:r>
      <w:hyperlink r:id="rId17" w:tooltip="Venkatesh, V. and Davis, F.D. (2000) ‘A theoretical extension of the technology acceptance model: four longitudinal field studies’, Management Science, 46(2), pp. 186-204. Available at: https://doi.org/10.1287/mnsc.46.2.186.11926 (Accessed: 26 August 2026">
        <w:r w:rsidRPr="00473E7D">
          <w:rPr>
            <w:color w:val="1F4E79"/>
          </w:rPr>
          <w:t>Venkatesh and Davis, 2000</w:t>
        </w:r>
      </w:hyperlink>
      <w:r w:rsidRPr="00473E7D">
        <w:t>, TAM2). This extension is directly relevant to the present study, since the perceptions of students and early-career professionals about GenAI in hybrid leadership will not be formed in a vacuum, but rather will be influenced by signals from peers, media narratives, and institutional signals as well as their direct experiences. For generative AI, the PEOU is high because of its natural language processing interfaces, eliminating the usual technical entry obstacles such as coding or complex syntax. Users can converse with an LLM much like they would with a human peer. The Perceived Usefulness is evident too: these models provide instant cognitive support, text creation and information synthesis. This study extends TAM beyond individual tasks completed, to the perceived usefulness and ease of use of GenAI in the domain of leadership, team coordination, and motivational maintenance in virtual environments.</w:t>
      </w:r>
    </w:p>
    <w:p w14:paraId="0FFDA393" w14:textId="77777777" w:rsidR="00473E7D" w:rsidRPr="00473E7D" w:rsidRDefault="00473E7D" w:rsidP="00473E7D">
      <w:r w:rsidRPr="00473E7D">
        <w:t>But since leadership is a relational process and not a mechanical one, TAM cannot be a complete picture of how AI is incorporated. A quite common criticism in the literature of technology acceptance is that the original and extended TAM models were conceived to explain the acceptance of transactional productivity technologies, as opposed to technologies that enable interpersonal and emotional communication. Thus, Self-Determination Theory (</w:t>
      </w:r>
      <w:hyperlink r:id="rId18" w:tooltip="Deci, E.L. and Ryan, R.M. (2000) ‘The ">
        <w:r w:rsidRPr="00473E7D">
          <w:rPr>
            <w:color w:val="1F4E79"/>
          </w:rPr>
          <w:t>Deci and Ryan, 2000</w:t>
        </w:r>
      </w:hyperlink>
      <w:r w:rsidRPr="00473E7D">
        <w:t xml:space="preserve">) has been added as a secondary theory in this study. According to SDT, psychological growth, intrinsic motivation and structural engagement are dependent on the satisfaction of three fundamental needs: Autonomy, Competence and Relatedness. In a subsequent development of the theory, </w:t>
      </w:r>
      <w:hyperlink w:anchor="ref_Ryan2017" w:tooltip="Ryan, R.M. and Deci, E.L. (2017) Self-Determination Theory: Basic Psychological Needs in Motivation, Development, and Wellness. New York: Guilford Press.">
        <w:r w:rsidRPr="00473E7D">
          <w:rPr>
            <w:color w:val="1F4E79"/>
          </w:rPr>
          <w:t xml:space="preserve">Ryan and Deci </w:t>
        </w:r>
        <w:r w:rsidRPr="00473E7D">
          <w:rPr>
            <w:color w:val="1F4E79"/>
          </w:rPr>
          <w:lastRenderedPageBreak/>
          <w:t>(2017)</w:t>
        </w:r>
      </w:hyperlink>
      <w:r w:rsidRPr="00473E7D">
        <w:t xml:space="preserve"> state that everyone has basic psychological needs that need to be met in order for a person to function at their best and that naturally a person is intrinsically motivated, but this tendency can easily be reduced in social situations that do not support autonomy, competence and relatedness. At work, this has been applied in a number of studies and this framework has been found to explain variance in engagement and burnout outcomes on many occasions, going beyond simply instrumental models, and both meta-analytic and review evidence shows that autonomous forms of motivation and need satisfaction are linked to positive performance and lower burnout, while need frustration is linked to disengagement and intention to quit.</w:t>
      </w:r>
    </w:p>
    <w:p w14:paraId="1078EB84" w14:textId="77777777" w:rsidR="002B63F6" w:rsidRDefault="00000000">
      <w:pPr>
        <w:pStyle w:val="Heading2"/>
      </w:pPr>
      <w:r>
        <w:t>1.3 The Research Gap, Aim, and Justified Scope</w:t>
      </w:r>
    </w:p>
    <w:p w14:paraId="09EFD869" w14:textId="77777777" w:rsidR="00CE04E4" w:rsidRPr="00CE04E4" w:rsidRDefault="00CE04E4" w:rsidP="00CE04E4">
      <w:r w:rsidRPr="00CE04E4">
        <w:t>One question has not been asked. Nobody has established what the incoming graduate workforce expects of AI-mediated leadership before it has experienced any. Two literatures bear on the question and neither answers it. Research on generative AI in higher education examines how students use these tools to learn, but stops at the campus gate. Research on hybrid work examines the wellbeing of managers and employees already in post, and the use of AI systems by employees already inside organisations (</w:t>
      </w:r>
      <w:hyperlink r:id="rId19" w:tooltip="Coulston, C., Shergill, S., Twumasi, R. and Duncan, M. (2025) ‘Advancing virtual and hybrid team well-being through a job demand-resources lens’, International Journal of Qualitative Studies on Health and Well-being, 20(1), article 2472460. Available at: ">
        <w:r w:rsidRPr="00CE04E4">
          <w:rPr>
            <w:color w:val="1F4E79"/>
          </w:rPr>
          <w:t>Coulston et al., 2025</w:t>
        </w:r>
      </w:hyperlink>
      <w:r w:rsidRPr="00CE04E4">
        <w:t>). Between the two sits a cohort that is about to cross from one to the other, carrying expectations, anxieties and hopes already formed. Those beliefs are shaped before the first day of work, and they will condition how this cohort responds to AI-augmented supervision when it meets it. They have not been documented.</w:t>
      </w:r>
    </w:p>
    <w:p w14:paraId="514DE320" w14:textId="77777777" w:rsidR="00CE04E4" w:rsidRPr="00CE04E4" w:rsidRDefault="00CE04E4" w:rsidP="00CE04E4">
      <w:r w:rsidRPr="00CE04E4">
        <w:t>This study addresses that gap with empirical evidence from York St John University, London Campus, focused on the student experience. Examining these perceptions before students enter the workforce offers insight into the psychological contracts, technological expectations and communication needs they will bring with them. Where organisations can identify the expectations forming at the top of the funnel, they are better placed to meet them before those expectations harden in employment.</w:t>
      </w:r>
    </w:p>
    <w:p w14:paraId="340F1832" w14:textId="77777777" w:rsidR="00CE04E4" w:rsidRPr="00CE04E4" w:rsidRDefault="00CE04E4" w:rsidP="00CE04E4">
      <w:r w:rsidRPr="00CE04E4">
        <w:t xml:space="preserve">The scope of the study is deliberately bounded. It has no intent to single out any particular GenAI provider as the top performer or to draw causal implications to productivity. Rather, it is a perception study that includes the student voice as a proxy for workplace attitudes about AI for the next few years. This constrained new space mirrors longstanding diffusion-of-innovation theory, which posits that the adoption of an innovation into a community of practice happens as a consequence of the perceived </w:t>
      </w:r>
      <w:r w:rsidRPr="00CE04E4">
        <w:lastRenderedPageBreak/>
        <w:t>characteristics of the innovation, that is, before there is formal policy in place regarding its use in an organisation (</w:t>
      </w:r>
      <w:hyperlink w:anchor="ref_Rogers1962" w:tooltip="Rogers, E.M. (1962) Diffusion of Innovations. New York: Free Press.">
        <w:r w:rsidRPr="00CE04E4">
          <w:rPr>
            <w:color w:val="1F4E79"/>
          </w:rPr>
          <w:t>Rogers, 1962</w:t>
        </w:r>
      </w:hyperlink>
      <w:r w:rsidRPr="00CE04E4">
        <w:t>).</w:t>
      </w:r>
    </w:p>
    <w:p w14:paraId="421FFA46" w14:textId="77777777" w:rsidR="002B63F6" w:rsidRDefault="00000000">
      <w:pPr>
        <w:pStyle w:val="Heading2"/>
      </w:pPr>
      <w:r>
        <w:t>1.4 Research Objectives, Questions, and Structural Flow</w:t>
      </w:r>
    </w:p>
    <w:p w14:paraId="5FD12D8A" w14:textId="77777777" w:rsidR="00CE04E4" w:rsidRDefault="00CE04E4" w:rsidP="00CE04E4">
      <w:r>
        <w:t>Four research objectives (RO) follow from this gap, each addressed by a corresponding research question (RQ):</w:t>
      </w:r>
    </w:p>
    <w:p w14:paraId="76CCE65D" w14:textId="77777777" w:rsidR="00CE04E4" w:rsidRDefault="00CE04E4" w:rsidP="00CE04E4">
      <w:r>
        <w:t>RO1: To establish current students’ patterns of use of generative AI tools, and their digital literacy and self-efficacy in using them.</w:t>
      </w:r>
    </w:p>
    <w:p w14:paraId="2DAE78D2" w14:textId="77777777" w:rsidR="00CE04E4" w:rsidRDefault="00CE04E4" w:rsidP="00CE04E4">
      <w:r>
        <w:t>RO2: To examine students’ expectations of generative AI in supporting hybrid leadership and supervisory functions.</w:t>
      </w:r>
    </w:p>
    <w:p w14:paraId="195DCDA8" w14:textId="77777777" w:rsidR="00CE04E4" w:rsidRDefault="00CE04E4" w:rsidP="00CE04E4">
      <w:r>
        <w:t>RO3: To assess student views on the benefits and risks of AI-mediated interaction for motivating remote workers, sustaining team cohesion and limiting digital burnout.</w:t>
      </w:r>
    </w:p>
    <w:p w14:paraId="3EA776CE" w14:textId="77777777" w:rsidR="00CE04E4" w:rsidRDefault="00CE04E4" w:rsidP="00CE04E4">
      <w:r>
        <w:t>RO4: To derive evidence-based recommendations for organisational leaders and policy designers on deploying generative AI in hybrid settings responsibly and with human oversight at the centre.</w:t>
      </w:r>
    </w:p>
    <w:p w14:paraId="39858F55" w14:textId="77777777" w:rsidR="002B63F6" w:rsidRDefault="00CE04E4" w:rsidP="00CE04E4">
      <w:r>
        <w:t>The four research questions are:</w:t>
      </w:r>
    </w:p>
    <w:p w14:paraId="53D88931" w14:textId="77777777" w:rsidR="00CE04E4" w:rsidRDefault="00CE04E4" w:rsidP="00CE04E4">
      <w:r>
        <w:t>RQ1: How familiar and confident is this cohort with generative AI tools, and how are they currently used?</w:t>
      </w:r>
    </w:p>
    <w:p w14:paraId="35140A6C" w14:textId="77777777" w:rsidR="00CE04E4" w:rsidRDefault="00CE04E4" w:rsidP="00CE04E4">
      <w:r>
        <w:t>RQ2: What does this cohort expect generative AI to do to the practice of hybrid leadership?</w:t>
      </w:r>
    </w:p>
    <w:p w14:paraId="5CE0A11B" w14:textId="77777777" w:rsidR="00CE04E4" w:rsidRDefault="00CE04E4" w:rsidP="00CE04E4">
      <w:r>
        <w:t>RQ3: How does this cohort weigh the advantages of generative AI against the threat it may pose to genuine engagement?</w:t>
      </w:r>
    </w:p>
    <w:p w14:paraId="30917AC7" w14:textId="77777777" w:rsidR="00CE04E4" w:rsidRDefault="00CE04E4" w:rsidP="00CE04E4">
      <w:r>
        <w:t>RQ4: What practical governance recommendations follow from the answers to RQ1 to RQ3?</w:t>
      </w:r>
    </w:p>
    <w:p w14:paraId="581FE255" w14:textId="77777777" w:rsidR="002B63F6" w:rsidRDefault="00000000">
      <w:pPr>
        <w:pStyle w:val="Heading2"/>
      </w:pPr>
      <w:r>
        <w:t>1.5 Significance of the Study</w:t>
      </w:r>
    </w:p>
    <w:p w14:paraId="5A3AC001" w14:textId="77777777" w:rsidR="002B63F6" w:rsidRDefault="00CD4290">
      <w:r w:rsidRPr="00CD4290">
        <w:t xml:space="preserve">This dissertation makes three contributions to management scholarship. First, it connects two literatures that have developed separately: the uptake of GenAI in higher education, and hybrid leadership. Second, it operationalises TAM and SDT within a single instrument, providing a template for future research tracking how the attitudes of students </w:t>
      </w:r>
      <w:r w:rsidRPr="00CD4290">
        <w:lastRenderedPageBreak/>
        <w:t>and early-career staff towards AI-mediated leadership develop over time. Third, it produces actionable governance recommendations for organisations preparing to receive a cohort of graduates who have never studied or worked in a world without generative AI.</w:t>
      </w:r>
    </w:p>
    <w:p w14:paraId="1AE4BA23" w14:textId="77777777" w:rsidR="002B63F6" w:rsidRDefault="00000000">
      <w:pPr>
        <w:pStyle w:val="Heading2"/>
      </w:pPr>
      <w:r>
        <w:t>1.6 Definition of Key Terms</w:t>
      </w:r>
    </w:p>
    <w:p w14:paraId="53C58709" w14:textId="77777777" w:rsidR="00CD4290" w:rsidRPr="00CD4290" w:rsidRDefault="00CD4290" w:rsidP="00CD4290">
      <w:r>
        <w:t>Several</w:t>
      </w:r>
      <w:r w:rsidRPr="00CD4290">
        <w:t xml:space="preserve"> terms are defined as used in this study in order to create conceptual clarity throughout the dissertation. Generative artificial intelligence (GenAI) is the term used to describe artificial intelligence built on large language models that can, in general, create new text, code, and other content based on natural language inputs (such as ChatGPT, Microsoft Copilot, Google Gemini, </w:t>
      </w:r>
      <w:proofErr w:type="spellStart"/>
      <w:r w:rsidRPr="00CD4290">
        <w:t>Anthropic's</w:t>
      </w:r>
      <w:proofErr w:type="spellEnd"/>
      <w:r w:rsidRPr="00CD4290">
        <w:t xml:space="preserve"> Claude, and Perplexity AI). Hybrid leadership is when a team member has a combination of remote and in-person work experiences and the leaders need to coordinate, motivate and track them without utilising a co-location model. In this dissertation, employee engagement is defined as the cognitive, emotional, and behavioural commitment that an employee puts into her/his work and organisation as it is defined in the larger context of the Job Demands-Resources literature and Self-Determination Theory reviewed in Chapter Two. Within the psychological concept of "burnout" - defined as a state of emotional exhaustion and decreased involvement - there is a form of "digital burnout" that comes, especially, from an overload of digital load of communication that goes beyond the overload of workload. Drawing on the concepts of relatedness from </w:t>
      </w:r>
      <w:hyperlink r:id="rId20" w:tooltip="Deci, E.L. and Ryan, R.M. (2000) ‘The ">
        <w:r w:rsidRPr="00CD4290">
          <w:rPr>
            <w:color w:val="1F4E79"/>
          </w:rPr>
          <w:t>Deci and Ryan (2000)</w:t>
        </w:r>
      </w:hyperlink>
      <w:r w:rsidRPr="00CD4290">
        <w:t xml:space="preserve"> and </w:t>
      </w:r>
      <w:hyperlink w:anchor="ref_Ryan2017" w:tooltip="Ryan, R.M. and Deci, E.L. (2017) Self-Determination Theory: Basic Psychological Needs in Motivation, Development, and Wellness. New York: Guilford Press.">
        <w:r w:rsidRPr="00CD4290">
          <w:rPr>
            <w:color w:val="1F4E79"/>
          </w:rPr>
          <w:t>Ryan and Deci (2017)</w:t>
        </w:r>
      </w:hyperlink>
      <w:r w:rsidRPr="00CD4290">
        <w:t>, people feel "relatedness" when they feel connected, cared for, and understood by others and in the work context believe they are recognised by others, both col-</w:t>
      </w:r>
      <w:proofErr w:type="spellStart"/>
      <w:r w:rsidRPr="00CD4290">
        <w:t>eagues</w:t>
      </w:r>
      <w:proofErr w:type="spellEnd"/>
      <w:r w:rsidRPr="00CD4290">
        <w:t xml:space="preserve"> and older authority, in a genuine sense of relatedness beyond a purely transactional and administrative manner. Lastly, psychological contract as mentioned in Chapter Two and explained by </w:t>
      </w:r>
      <w:hyperlink r:id="rId21" w:tooltip="Guest, D.E. (1998) ‘Is the psychological contract worth taking seriously?’, Journal of Organizational Behavior, 19(S1), pp. 649-664. Available at: https://doi.org/10.1002/(SICI)1099-1379(1998)19:1+&lt;649::AID-JOB970&gt;3.0.CO;2-T (Accessed: 26 August 2026).">
        <w:r w:rsidRPr="00CD4290">
          <w:rPr>
            <w:color w:val="1F4E79"/>
          </w:rPr>
          <w:t>Guest (1998)</w:t>
        </w:r>
      </w:hyperlink>
      <w:r w:rsidRPr="00CD4290">
        <w:t>, is the unspoken, mutual expectations and obligations held by employees and employers as a result of working.</w:t>
      </w:r>
    </w:p>
    <w:p w14:paraId="5BDA588F" w14:textId="77777777" w:rsidR="002B63F6" w:rsidRDefault="00000000">
      <w:pPr>
        <w:pStyle w:val="Heading2"/>
      </w:pPr>
      <w:r>
        <w:t>1.7 Rationale for the Institutional Context</w:t>
      </w:r>
    </w:p>
    <w:p w14:paraId="62843C31" w14:textId="77777777" w:rsidR="00CD4290" w:rsidRPr="00CD4290" w:rsidRDefault="00CD4290" w:rsidP="00CD4290">
      <w:r w:rsidRPr="00CD4290">
        <w:t xml:space="preserve">York St John University’s London Campus was chosen as the empirical site for three reasons. First, the campus enrols a substantial number of mature postgraduate students studying part-time or in intensive block mode while working, so the sampling frame includes people who actually work in hybrid settings rather than only knowing of them. Second, its business and management provision attracts an internationally diverse cohort </w:t>
      </w:r>
      <w:r w:rsidRPr="00CD4290">
        <w:lastRenderedPageBreak/>
        <w:t>with varied sectoral experience of hybrid working, spanning financial services, healthcare, the public sector and professional services; a single-sector cohort would not supply that range of implicit reference points. Third, London is the UK’s largest knowledge-economy centre and among the most hybrid, so findings from this cohort bear on precisely the segment of the labour market — knowledge professionals and managers — that the research questions address.</w:t>
      </w:r>
    </w:p>
    <w:p w14:paraId="06060044" w14:textId="77777777" w:rsidR="00CD4290" w:rsidRPr="00CD4290" w:rsidRDefault="00CD4290" w:rsidP="00CD4290">
      <w:r w:rsidRPr="00CD4290">
        <w:t>The same choice is also a limitation. A single-institution sample, centred on London and shaped by that campus’s disciplinary mix, cannot be assumed to generalise to students at institutions with different profiles, locations and subject compositions. The findings should therefore be read as evidence about a sub-population of theoretical and practical interest — mature, professionally engaged postgraduate students in business and management — rather than about UK students at large.</w:t>
      </w:r>
    </w:p>
    <w:p w14:paraId="2F44E9BA" w14:textId="77777777" w:rsidR="002B63F6" w:rsidRDefault="00000000">
      <w:pPr>
        <w:pStyle w:val="Heading2"/>
      </w:pPr>
      <w:r>
        <w:t>1.8 Structure of the Dissertation</w:t>
      </w:r>
    </w:p>
    <w:p w14:paraId="01C740D1" w14:textId="77777777" w:rsidR="002B63F6" w:rsidRDefault="00000000">
      <w:r>
        <w:t>The remainder of this dissertation is organised into five further chapters. Chapter Two reviews the literature on generative AI diffusion in higher education, the Technology Acceptance Model, Self-Determination Theory, and the hybrid leadership paradox, before synthesising these strands into a conceptual framework. Chapter Three details the pragmatic research philosophy, convergent parallel mixed-methods design, sampling procedure, instrument design, data analysis strategy, and ethical considerations underpinning the empirical work. Chapter Four presents the quantitative and qualitative findings organised around the four research questions. Chapter Five discusses these findings in relation to the theoretical framework and existing literature. Chapter Six concludes the dissertation, synthesising the key findings, offering a structural governance framework for practitioners, acknowledging methodological limitations, and proposing directions for future research.</w:t>
      </w:r>
    </w:p>
    <w:p w14:paraId="540E46E6" w14:textId="77777777" w:rsidR="002B63F6" w:rsidRDefault="00000000">
      <w:pPr>
        <w:pStyle w:val="Heading1"/>
        <w:pageBreakBefore/>
      </w:pPr>
      <w:r>
        <w:lastRenderedPageBreak/>
        <w:t>Chapter 2: Literature Review</w:t>
      </w:r>
    </w:p>
    <w:p w14:paraId="42C2CF81" w14:textId="77777777" w:rsidR="002B63F6" w:rsidRDefault="00000000">
      <w:pPr>
        <w:pStyle w:val="Heading2"/>
      </w:pPr>
      <w:r>
        <w:t>2.1 The Diffusion of Generative AI in Higher Education and Professional Frameworks</w:t>
      </w:r>
    </w:p>
    <w:p w14:paraId="469F7290" w14:textId="77777777" w:rsidR="0070271D" w:rsidRPr="0070271D" w:rsidRDefault="0070271D" w:rsidP="0070271D">
      <w:r w:rsidRPr="0070271D">
        <w:t xml:space="preserve">These factors offer a benchmark for the implementation of generative AI in UK higher education, which has seen quick adoption and indicates the likely direction of entry for generative AI in professional contexts. One pathway into this transition is provided by </w:t>
      </w:r>
      <w:hyperlink w:anchor="ref_Rogers1962" w:tooltip="Rogers, E.M. (1962) Diffusion of Innovations. New York: Free Press.">
        <w:r w:rsidRPr="0070271D">
          <w:rPr>
            <w:color w:val="1F4E79"/>
          </w:rPr>
          <w:t>Rogers’ (1962)</w:t>
        </w:r>
      </w:hyperlink>
      <w:r w:rsidRPr="0070271D">
        <w:t xml:space="preserve"> Diffusion of Innovations theory which states that the rate of adoption within a social system is determined by five attributes of the innovation perceived by members of the system: relative advantage, compatibility, complexity, trialability and observability. The framework is descriptively useful, but one limitation should be noted before it is applied. Rogers’ five attributes are assessed retrospectively, once an innovation has already succeeded, so the model carries considerable explanatory power after the fact and weaker predictive power before it. If taken to GenAI, it could explain why adoption has been swift, but it cannot on its own distinguish an innovation that will become entrenched from one that is adopted quickly and shed once the novelty fades. The dissertation therefore employs Rogers descriptively, in other words, to set out the shape that the uptake of GenAI takes in professional practice – rather than as a predictive model for how the technology must settle there.</w:t>
      </w:r>
    </w:p>
    <w:p w14:paraId="6DFACAF6" w14:textId="77777777" w:rsidR="0070271D" w:rsidRPr="0070271D" w:rsidRDefault="0070271D" w:rsidP="0070271D">
      <w:r w:rsidRPr="0070271D">
        <w:t>The increasing usage of large language models (LLMs) among students can be correlated to the theories of relative advantage and compatibility. Unlike previous enterprise software, which needs institutional training, GenAI platforms offer conversational interfaces, which reduce technical barriers towards near zero. Users create, edit and work on more complex outputs and outputs without needing to learn programming syntax or command protocols. HEPI data reveals that ChatGPT and Microsoft Copilot are by far the most commonly reported students tools – with some 26 per cent of all reported student uses attributed to ChatGPT and 15 per cent attributable to Copilot, followed by Google Gemini and Perplexity (</w:t>
      </w:r>
      <w:hyperlink r:id="rId22" w:tooltip="Stephenson, R. and Armstrong, C. (2026) Student Generative Artificial Intelligence Survey 2026. HEPI Report 199. Oxford: Higher Education Policy Institute. Available at: https://www.hepi.ac.uk/reports/student-generative-ai-survey-2026/ (Accessed: 26 Augus">
        <w:r w:rsidRPr="0070271D">
          <w:rPr>
            <w:color w:val="1F4E79"/>
          </w:rPr>
          <w:t>Stephenson and Armstrong, 2026</w:t>
        </w:r>
      </w:hyperlink>
      <w:r w:rsidRPr="0070271D">
        <w:t>). Observability is extremely good in the case of a university. When students use GenAI in their plenary or in small group discussions, use of shared documents, and peer collaboration, they are consistently shown the benefit of using GenAI, thereby diffusing GenAI use faster than just institutional messaging alone.</w:t>
      </w:r>
    </w:p>
    <w:p w14:paraId="4949389A" w14:textId="77777777" w:rsidR="0070271D" w:rsidRPr="0070271D" w:rsidRDefault="0070271D" w:rsidP="0070271D">
      <w:r w:rsidRPr="0070271D">
        <w:lastRenderedPageBreak/>
        <w:t>The final two adoption factors are complexity and trialability. Conversational interfaces reduce perceived complexity by accepting everyday language, unlike the reference managers, statistical packages and authoring tools that once required formal training before they could be used productively. Freemium pricing allows students to trial the tools substantially before any investment decision. All five of Rogers’ criteria therefore fit unusually well, which helps account for an adoption curve compressed into two academic years rather than the many years typical of earlier educational technology. Two caveats attach to this reading. First, the HEPI figures do not track the same students over time: they are a between-group rather than a within-group comparison. Second, each of the three waves relies on self-report of a practice whose acceptability was itself changing rapidly across the survey period. As institutional and peer norms shifted towards acceptance, willingness to disclose use will have risen alongside use itself, and the surveys cannot separate the two. The slope is real and substantial, but the rate of behavioural change is likely overstated.</w:t>
      </w:r>
    </w:p>
    <w:p w14:paraId="190D41E4" w14:textId="77777777" w:rsidR="0070271D" w:rsidRPr="0070271D" w:rsidRDefault="0070271D" w:rsidP="0070271D">
      <w:r w:rsidRPr="0070271D">
        <w:t>Not all diffusion has had a positive aspect. HEPI's most recent research shows a growing (albeit small) percentage of students who paste AI-generated content into reviewed coursework with little to no editing, from 8 per cent in 2025 to 12 per cent in 2026, and ongoing apprehension that they could be falsely accused of using AI to cheat in their coursework (</w:t>
      </w:r>
      <w:hyperlink r:id="rId23" w:tooltip="Stephenson, R. and Armstrong, C. (2026) Student Generative Artificial Intelligence Survey 2026. HEPI Report 199. Oxford: Higher Education Policy Institute. Available at: https://www.hepi.ac.uk/reports/student-generative-ai-survey-2026/ (Accessed: 26 Augus">
        <w:r w:rsidRPr="0070271D">
          <w:rPr>
            <w:color w:val="1F4E79"/>
          </w:rPr>
          <w:t>Stephenson and Armstrong, 2026</w:t>
        </w:r>
      </w:hyperlink>
      <w:r w:rsidRPr="0070271D">
        <w:t>). Institutional responses are mostly reactive, and have moved towards variants of assessment types that are harder to generate via ongoing (and auto) AI: in-person vivas, process-based portfolios, scenario-based application tasks. This trend replicates a more extended argument on universities and the digital, which has seen the institution consistently surprise itself by its inability to accurately predict the rate of new tools and materials as they reinvent pedagogy and assessment, and approach each with the same kind of surprised innovation as if seeing something truly new for the first time (</w:t>
      </w:r>
      <w:hyperlink r:id="rId24" w:tooltip="Popenici, S.A.D. and Kerr, S. (2017) ‘Exploring the impact of artificial intelligence on teaching and learning in higher education’, Research and Practice in Technology Enhanced Learning, 12(1), article 22. Available at: https://doi.org/10.1186/s41039-017">
        <w:hyperlink r:id="rId25" w:tooltip="Popenici, S.A.D. and Kerr, S. (2017) ‘Exploring the impact of artificial intelligence on teaching and learning in higher education’, Research and Practice in Technology Enhanced Learning, 12(1), article 22. Available at: https://doi.org/10.1186/s41039-017-0062">
          <w:r w:rsidRPr="0070271D">
            <w:rPr>
              <w:color w:val="1F4E79"/>
            </w:rPr>
            <w:t>Popenici and Kerr, 2017</w:t>
          </w:r>
        </w:hyperlink>
      </w:hyperlink>
      <w:r w:rsidRPr="0070271D">
        <w:t>).</w:t>
      </w:r>
    </w:p>
    <w:p w14:paraId="2CA5886B" w14:textId="77777777" w:rsidR="0070271D" w:rsidRPr="0070271D" w:rsidRDefault="0070271D" w:rsidP="0070271D">
      <w:r w:rsidRPr="0070271D">
        <w:t>The diffusion of professionals at every level follows the same pattern as that of the academics and is in part inferior to it. While workforce survey indicates that exposure to GenAI is increasing in everyday jobs, there is still a high level of anxiety about the rate of change and its impact on employment (</w:t>
      </w:r>
      <w:hyperlink r:id="rId26" w:tooltip="EY (2025) EY 2025 Work Reimagined Survey: Can AI Advance Toward Value if Workforce Tensions Linger? London: Ernst &amp; Young Global Limited. Available at: https://www.ey.com/en_gl/insights/workforce/work-reimagined-survey (Accessed: 26 August 2026).">
        <w:r w:rsidRPr="0070271D">
          <w:rPr>
            <w:color w:val="1F4E79"/>
          </w:rPr>
          <w:t>EY, 2025</w:t>
        </w:r>
      </w:hyperlink>
      <w:r w:rsidRPr="0070271D">
        <w:t xml:space="preserve">; </w:t>
      </w:r>
      <w:hyperlink r:id="rId27" w:tooltip="PwC (2025a) Global Workforce Hopes and Fears Survey 2025. London: PricewaterhouseCoopers. Available at: https://www.pwc.com/gx/en/issues/workforce/hopes-and-fears.html (Accessed: 26 August 2026).">
        <w:r w:rsidRPr="0070271D">
          <w:rPr>
            <w:color w:val="1F4E79"/>
          </w:rPr>
          <w:t>PwC, 2025a</w:t>
        </w:r>
      </w:hyperlink>
      <w:r w:rsidRPr="0070271D">
        <w:t xml:space="preserve">). It is this asymmetry which is of relevance to the argument here. This means that while in some workplaces the uptake of generative AI among graduates will be more uniform, in other workplaces managerial change will be more partial and gradual, and the new generation of graduates </w:t>
      </w:r>
      <w:r w:rsidRPr="0070271D">
        <w:lastRenderedPageBreak/>
        <w:t>will enter the workplace with a higher familiarity with generative AI than the managers. Two points should be noted: firstly, the two literatures are not easily compared – the student surveys include any use across the range of tasks they are involved in, whilst the workforce surveys generally target sanctioned use in a specific job role; and secondly, that the difference between the headline figures is partly an artefact of what is captured by the instruments used.</w:t>
      </w:r>
    </w:p>
    <w:p w14:paraId="656F3A60" w14:textId="77777777" w:rsidR="002B63F6" w:rsidRDefault="00000000">
      <w:pPr>
        <w:pStyle w:val="Heading2"/>
      </w:pPr>
      <w:r>
        <w:t>2.2 Theoretical Framework: Integrating TAM and Self-Determination Theory (SDT)</w:t>
      </w:r>
    </w:p>
    <w:p w14:paraId="771F55FB" w14:textId="77777777" w:rsidR="00B51D99" w:rsidRPr="00B51D99" w:rsidRDefault="00B51D99" w:rsidP="00B51D99">
      <w:r w:rsidRPr="00B51D99">
        <w:t xml:space="preserve">This thesis combines Technology Acceptance Model (TAM) with the Self-Determination Theory (SDT) to map the evaluation of emerging professionals when it comes to the introduction of Artificial Intelligence (AI) in the hybrid workspace. TAM was originally proposed by </w:t>
      </w:r>
      <w:hyperlink r:id="rId28" w:tooltip="Davis, F.D. (1989) ‘Perceived usefulness, perceived ease of use, and user acceptance of information technology’, MIS Quarterly, 13(3), pp. 319-340. Available at: https://doi.org/10.2307/249008 (Accessed: 26 August 2026).">
        <w:r w:rsidRPr="00B51D99">
          <w:rPr>
            <w:color w:val="1F4E79"/>
          </w:rPr>
          <w:t>Davis (1989)</w:t>
        </w:r>
      </w:hyperlink>
      <w:r w:rsidRPr="00B51D99">
        <w:t>, and it is assumed that an individual's behavioural intention to adopt a new technology is determined by two important constructs: Perceived Ease of Use (PEOU) and Perceived Usefulness (PU). Since then, the model has been among the most widely replicated models in IS research; a review of the literature (1986-2013) using TAM models in various contexts revealed the surprising robustness of the model across cultural and technological contexts, but the need for any novel or emotionally charged technology in particular to add contextual moderators (such as trust, risk and social influence) to TAM (</w:t>
      </w:r>
      <w:hyperlink r:id="rId29" w:tooltip="Marangunić, N. and Granić, A. (2015) ‘Technology acceptance model: a literature review from 1986 to 2013’, Universal Access in the Information Society, 14(1), pp. 81-95. Available at: https://doi.org/10.1007/s10209-014-0348-1 (Accessed: 26 August 2026).">
        <w:hyperlink r:id="rId30" w:tooltip="Marangunić, N. and Granić, A. (2015) ‘Technology acceptance model: a literature review from 1986 to 2013’, Universal Access in the Information Society, 14(1), pp. 81-95. Available at: https://doi.org/10.1007/s10209-014-0348-1 (Accessed: 26 August 2026).">
          <w:r w:rsidRPr="00B51D99">
            <w:rPr>
              <w:color w:val="1F4E79"/>
            </w:rPr>
            <w:t>Marangunić and Granić, 2015</w:t>
          </w:r>
        </w:hyperlink>
      </w:hyperlink>
      <w:r w:rsidRPr="00B51D99">
        <w:t>). Similarly a separate meta-analysis of TAM studies found that perceived usefulness is the more important of the two core factors predicting behavioural intention, although the indirect effect of perceived ease of use on behavioural intention through its perceptible usefulness is also an important effect (</w:t>
      </w:r>
      <w:hyperlink r:id="rId31" w:tooltip="King, W.R. and He, J. (2006) ‘A meta-analysis of the technology acceptance model’, Information &amp; Management, 43(6), pp. 740-755. Available at: https://doi.org/10.1016/j.im.2006.05.003 (Accessed: 26 August 2026).">
        <w:r w:rsidRPr="00B51D99">
          <w:rPr>
            <w:color w:val="1F4E79"/>
          </w:rPr>
          <w:t>King and He, 2006</w:t>
        </w:r>
      </w:hyperlink>
      <w:r w:rsidRPr="00B51D99">
        <w:t>).</w:t>
      </w:r>
    </w:p>
    <w:p w14:paraId="0832679D" w14:textId="77777777" w:rsidR="00B51D99" w:rsidRPr="00B51D99" w:rsidRDefault="00B51D99" w:rsidP="00B51D99">
      <w:r w:rsidRPr="00B51D99">
        <w:t xml:space="preserve">Inside the world of higher education, students' high perceived ease of use (PEOU) for using GenAI and perceived usefulness (PU) for saving time with GenAI is well documented. Consequently, some more recent extensions of TAM, but specific to the field of AI, have suggested other predictors of importance here: Trust, Perceived Risk, Subjective Norm, Ethical/Responsibility dimension. Additional findings of </w:t>
      </w:r>
      <w:hyperlink r:id="rId32" w:tooltip="Fel, S., Kozak, J. and Horodyski, P. (2025) ‘Responsibility and AI: exploring technology acceptance models’, Journal of Innovation &amp; Knowledge, 10(6), article 100852. Available at: https://doi.org/10.1016/j.jik.2025.100852 (Accessed: 26 August 2026).">
        <w:r w:rsidRPr="00B51D99">
          <w:rPr>
            <w:color w:val="1F4E79"/>
          </w:rPr>
          <w:t>Fel, Kozak and Horodyski (2025)</w:t>
        </w:r>
      </w:hyperlink>
      <w:r w:rsidRPr="00B51D99">
        <w:t xml:space="preserve"> suggest that a responsibility construct – defined as perceived responsibility for outputs created using AI support – had a significant impact on the explanatory power of both TAM, UTAUT, and the value-based model of the adoption of AI systems and services, as the best of the three now explained 25.6 per cent of variance (previously under 12 per cent). In a similar but less definitive finding, </w:t>
      </w:r>
      <w:hyperlink r:id="rId33" w:tooltip="Mustofa, R.H., Kuncoro, T.G., Atmono, D., Hermawan, H.D. and Sukirman (2025) ‘Extending the technology acceptance model: the role of subjective norms, ethics, and trust in AI tool adoption among students’, Computers and Education: Artificial Intelligence,">
        <w:r w:rsidRPr="00B51D99">
          <w:rPr>
            <w:color w:val="1F4E79"/>
          </w:rPr>
          <w:t xml:space="preserve">Mustofa et al. </w:t>
        </w:r>
        <w:r w:rsidRPr="00B51D99">
          <w:rPr>
            <w:color w:val="1F4E79"/>
          </w:rPr>
          <w:lastRenderedPageBreak/>
          <w:t>(2025)</w:t>
        </w:r>
      </w:hyperlink>
      <w:r w:rsidRPr="00B51D99">
        <w:t xml:space="preserve"> determine that an ethics component influenced students' attitude towards the use of AI tools, while neither ethics nor trust inoculation influenced the attitude-to-use relationship. Taken together these studies indicate that the ethics of AI use starts with attitude formation, but not with attitude to behaviour conversion — which is relevant to this dissertation because they focused on actual attitudes, not use of AI.</w:t>
      </w:r>
    </w:p>
    <w:p w14:paraId="10BD9508" w14:textId="77777777" w:rsidR="00B51D99" w:rsidRPr="00B51D99" w:rsidRDefault="00B51D99" w:rsidP="00B51D99">
      <w:r w:rsidRPr="00B51D99">
        <w:t xml:space="preserve">Why prefer the classical </w:t>
      </w:r>
      <w:hyperlink r:id="rId34" w:tooltip="Davis, F.D. (1989) ‘Perceived usefulness, perceived ease of use, and user acceptance of information technology’, MIS Quarterly, 13(3), pp. 319-340. Available at: https://doi.org/10.2307/249008 (Accessed: 26 August 2026).">
        <w:r w:rsidRPr="00B51D99">
          <w:rPr>
            <w:color w:val="1F4E79"/>
          </w:rPr>
          <w:t>Davis (1989)</w:t>
        </w:r>
      </w:hyperlink>
      <w:r w:rsidRPr="00B51D99">
        <w:t xml:space="preserve"> formulation to UTAUT or the ethics version of UTAUT? Choice’s selection between how comprehensive theory is, and how parsimonious the instruments are, is the correct trade at this level. The four constructs of UTAUT and the moderators would have necessitated a much longer survey instrument, as 42 respondents would not be adequate to give item-level statistics that would be sufficient to interpret and support the four core constructs of UTAUT and moderators. In classical TAM a well-validated core is offered, a small number of items maps on this core.</w:t>
      </w:r>
    </w:p>
    <w:p w14:paraId="540B00B6" w14:textId="77777777" w:rsidR="00B51D99" w:rsidRPr="00B51D99" w:rsidRDefault="00B51D99" w:rsidP="00B51D99">
      <w:r w:rsidRPr="00B51D99">
        <w:t>The convergent parallel design then takes the place of the function of the longer instrument. The qualitative strand does not and cannot ask about trust, ethics and governance issues, as such issues can also emerge from the answers. As can be seen in Chapter Four, Theme 3 (Conditional Trust and the Governance Gap) developed inductively from the open-ended questions and were seen as the dimension that was formalised quantitatively by ethics versions of the TAM but that did not have to be predetermined after the questionnaires were created.</w:t>
      </w:r>
    </w:p>
    <w:p w14:paraId="452737C9" w14:textId="77777777" w:rsidR="00B51D99" w:rsidRPr="00B51D99" w:rsidRDefault="00B51D99" w:rsidP="00B51D99">
      <w:r w:rsidRPr="00B51D99">
        <w:t xml:space="preserve">These tools turn into leadership and employee engagement in the workplace, and acceptance becomes a more complicated phenomenon to explain solely with TAM. Managerial Practice is more than just production or performance, interpersonal relationships, emotional and psychological contract. The scholars who have tackled this lacuna have advanced alternative or conflicting countenances. In the Unified Theory of Acceptance and Use of Technology, performance expectancy, effort expectancy, social influence and facilitating conditions are </w:t>
      </w:r>
      <w:proofErr w:type="spellStart"/>
      <w:r w:rsidRPr="00B51D99">
        <w:t>ridigitively</w:t>
      </w:r>
      <w:proofErr w:type="spellEnd"/>
      <w:r w:rsidRPr="00B51D99">
        <w:t xml:space="preserve"> affecting the adoption intention (</w:t>
      </w:r>
      <w:hyperlink r:id="rId35" w:tooltip="Venkatesh, V., Morris, M.G., Davis, G.B. and Davis, F.D. (2003) ‘User acceptance of information technology: toward a unified view’, MIS Quarterly, 27(3), pp. 425-478. Available at: https://doi.org/10.2307/30036540 (Accessed: 26 August 2026).">
        <w:r w:rsidRPr="00B51D99">
          <w:rPr>
            <w:color w:val="1F4E79"/>
          </w:rPr>
          <w:t>Venkatesh et al., 2003</w:t>
        </w:r>
      </w:hyperlink>
      <w:r w:rsidRPr="00B51D99">
        <w:t xml:space="preserve">). Others contend that these individual-level cognition-based approaches are too limited to shed enough light on why employees use — or do not use — generative AI in the workplace, and suggest a socio-technical (and/or Technology-Organisation-Environment [TOE]) framing instead that places individual acceptance within a wider organisation. This dissertation recognises these extensions, but keeps the </w:t>
      </w:r>
      <w:r w:rsidRPr="00B51D99">
        <w:lastRenderedPageBreak/>
        <w:t>TAM-SDT pairing as its main lens as the questions it tackles, focus on individual perception, not organisational implementation. It is a real constraint as well as a scoping decision and Section 5.5 takes a return trip to what it leaves unanswered.</w:t>
      </w:r>
    </w:p>
    <w:p w14:paraId="0C93E28E" w14:textId="77777777" w:rsidR="00B51D99" w:rsidRPr="00B51D99" w:rsidRDefault="00B51D99" w:rsidP="00B51D99">
      <w:r w:rsidRPr="00B51D99">
        <w:t xml:space="preserve">This is where SDT comes in handy analytically. According to SDT, satisfaction of human psychological needs (determined by </w:t>
      </w:r>
      <w:hyperlink r:id="rId36" w:tooltip="Deci, E.L. and Ryan, R.M. (2000) ‘The ">
        <w:r w:rsidRPr="00B51D99">
          <w:rPr>
            <w:color w:val="1F4E79"/>
          </w:rPr>
          <w:t>Deci and Ryan (2000)</w:t>
        </w:r>
      </w:hyperlink>
      <w:r w:rsidRPr="00B51D99">
        <w:t xml:space="preserve"> and detailed by </w:t>
      </w:r>
      <w:hyperlink w:anchor="ref_Ryan2017" w:tooltip="Ryan, R.M. and Deci, E.L. (2017) Self-Determination Theory: Basic Psychological Needs in Motivation, Development, and Wellness. New York: Guilford Press.">
        <w:r w:rsidRPr="00B51D99">
          <w:rPr>
            <w:color w:val="1F4E79"/>
          </w:rPr>
          <w:t>Ryan and Deci (2017)</w:t>
        </w:r>
      </w:hyperlink>
      <w:r w:rsidRPr="00B51D99">
        <w:t xml:space="preserve">) is critical for the human motivation and wellbeing and consists of three psychological needs: Autonomy is about volition and self-endorsement in the actions taken; Competence is about feeling efficient and able; and Relatedness is about feeling connected and cared for by others. There are good pieces of evidence from the workplace. This is consistent with </w:t>
      </w:r>
      <w:hyperlink r:id="rId37" w:tooltip="Deci, E.L., Olafsen, A.H. and Ryan, R.M. (2017) ‘Self-determination theory in work organizations: the state of a science’, Annual Review of Organizational Psychology and Organizational Behavior, 4, pp. 19-43. Available at: https://doi.org/10.1146/annurev-">
        <w:r w:rsidRPr="00B51D99">
          <w:rPr>
            <w:color w:val="1F4E79"/>
          </w:rPr>
          <w:t>Deci, Olafsen and Ryan's (2017)</w:t>
        </w:r>
      </w:hyperlink>
      <w:r w:rsidRPr="00B51D99">
        <w:t xml:space="preserve"> review of SDT studies in the workplace that reported the consistent links of autonomous motivation and need satisfaction to higher engagement, better performance and lower burnout, along with lower disengagement and turnover associated with thwarted needs. The same is the case for distributed environments. When looking at Nigerian employees during the mandatory WFH mid-COVID-19, </w:t>
      </w:r>
      <w:hyperlink r:id="rId38" w:tooltip="Nwoko, C. and Yazdani, K. (2022) ‘Remote working during the COVID-19 global pandemic and its implications for employee motivation: some evidence from Nigeria through the lens of self-determination theory’, Journal of Business and Management Studies, 4(2),">
        <w:r w:rsidRPr="00B51D99">
          <w:rPr>
            <w:color w:val="1F4E79"/>
          </w:rPr>
          <w:t>Nwoko and Yazdani (2022)</w:t>
        </w:r>
      </w:hyperlink>
      <w:r w:rsidRPr="00B51D99">
        <w:t xml:space="preserve"> discovered that the extent of satisfaction of autonomy, competence and relatedness conditions mediated the impact of WFH on employees' level of motivation, with frequent check-ins with managers and intentional activities for ongoing connections showing up as practical enablers. </w:t>
      </w:r>
      <w:hyperlink r:id="rId39" w:tooltip="Junça Silva, A., Pombo, R. and Rueff Lopes, R. (2026) ‘Hybrid work as a self-determining context: examining the psychological mechanisms behind job satisfaction’, The Learning Organization, 33(7), pp. 39-57. Available at: https://doi.org/10.1108/TLO-01-20">
        <w:proofErr w:type="spellStart"/>
        <w:r w:rsidRPr="00B51D99">
          <w:rPr>
            <w:color w:val="1F4E79"/>
          </w:rPr>
          <w:t>Junça</w:t>
        </w:r>
        <w:proofErr w:type="spellEnd"/>
        <w:r w:rsidRPr="00B51D99">
          <w:rPr>
            <w:color w:val="1F4E79"/>
          </w:rPr>
          <w:t xml:space="preserve"> Silva, Pombo and Rueff Lopes (2026)</w:t>
        </w:r>
      </w:hyperlink>
      <w:r w:rsidRPr="00B51D99">
        <w:t xml:space="preserve"> repeat the exercise for exactly hybrid working, revealing that the benefits afforded by hybrid working tend to drive increased job satisfaction through satisfying all three needs, but relatedness exerts the most positive influence. Combining SDT with organisational behaviour (</w:t>
      </w:r>
      <w:hyperlink r:id="rId40" w:tooltip="Gagné, M. and Deci, E.L. (2005) ‘Self-determination theory and work motivation’, Journal of Organizational Behavior, 26(4), pp. 331-362. Available at: https://doi.org/10.1002/job.322 (Accessed: 26 August 2026).">
        <w:hyperlink r:id="rId41" w:tooltip="Gagné, M. and Deci, E.L. (2005) ‘Self-determination theory and work motivation’, Journal of Organizational Behavior, 26(4), pp. 331-362. Available at: https://doi.org/10.1002/job.322 (Accessed: 26 August 2026).">
          <w:r w:rsidRPr="00B51D99">
            <w:rPr>
              <w:color w:val="1F4E79"/>
            </w:rPr>
            <w:t>Gagné and Deci, 2005</w:t>
          </w:r>
        </w:hyperlink>
      </w:hyperlink>
      <w:r w:rsidRPr="00B51D99">
        <w:t>), provides the key in understanding the mechanism between workplace design and sustained engagement – and that intrinsically motivated engagement, or autonomous motivation, not an imposed compliant engagement, is at stake.</w:t>
      </w:r>
    </w:p>
    <w:p w14:paraId="20670E78" w14:textId="77777777" w:rsidR="002B63F6" w:rsidRDefault="00000000">
      <w:pPr>
        <w:pStyle w:val="Heading2"/>
      </w:pPr>
      <w:r>
        <w:t>2.3 The Hybrid Leadership Paradox and Virtual Team Engagement</w:t>
      </w:r>
    </w:p>
    <w:p w14:paraId="2CA2E3DE" w14:textId="77777777" w:rsidR="00B51D99" w:rsidRPr="00B51D99" w:rsidRDefault="00B51D99" w:rsidP="00B51D99">
      <w:r w:rsidRPr="00B51D99">
        <w:t xml:space="preserve">This structural shift in UK hybrid working has brought the ‘hybrid leadership paradox’ into management literature. The paradox lies in preserving autonomy and spatial flexibility for staff while protecting the organisation from communication barriers, fragmented culture and professional isolation. Traditional leadership rests on physical presence, incidental check-ins and observation as a means of reading wellbeing, morale </w:t>
      </w:r>
      <w:r w:rsidRPr="00B51D99">
        <w:lastRenderedPageBreak/>
        <w:t>and commitment. Virtual and hybrid settings require a far more deliberate managerial strategy.</w:t>
      </w:r>
    </w:p>
    <w:p w14:paraId="000C8010" w14:textId="77777777" w:rsidR="00B51D99" w:rsidRPr="00B51D99" w:rsidRDefault="00B51D99" w:rsidP="00B51D99">
      <w:r w:rsidRPr="00B51D99">
        <w:t>The paradox arises from a mismatch. Traditional leadership theory assumes informal, ambient monitoring, and distributed work removes it. A manager crossing an office absorbs a continuous stream of information about morale, workload pressure and friction without deliberate effort. The manager of a dispersed team receives none of this, and must substitute conscious processes — one-to-one reviews, prepared check-ins, solicited feedback — to recover a fraction of what co-location supplies implicitly. The substitution is not costless. It is qualitatively different work, requiring deliberately designed communication, sustained attention to trust-building, and competence in asynchronous working, none of which is taught in leadership development programmes built around co-location.</w:t>
      </w:r>
    </w:p>
    <w:p w14:paraId="7A999311" w14:textId="77777777" w:rsidR="00B51D99" w:rsidRPr="00B51D99" w:rsidRDefault="00B51D99" w:rsidP="00B51D99">
      <w:r w:rsidRPr="00B51D99">
        <w:t>The initial empirical research on virtual teams as teams found that geographically dispersed teams need a different kind of leader who must replace the informal and “ambient” cues so common to physically co-located teams with deliberate structures that provide protocols for communication, check-in schedules, and codified norms for such things as relationships and acceptable meeting etiquette (</w:t>
      </w:r>
      <w:hyperlink r:id="rId42" w:tooltip="Malhotra, A., Majchrzak, A. and Rosen, B. (2007) ‘Leading virtual teams’, Academy of Management Perspectives, 21(1), pp. 60-70. Available at: https://doi.org/10.5465/amp.2007.24286164 (Accessed: 26 August 2026).">
        <w:r w:rsidRPr="00B51D99">
          <w:rPr>
            <w:color w:val="1F4E79"/>
          </w:rPr>
          <w:t>Malhotra et al., 2007</w:t>
        </w:r>
      </w:hyperlink>
      <w:r w:rsidRPr="00B51D99">
        <w:t>). An extended literature review on virtual team research in the next 10 years, however, revealed that even after virtual team communication technology has developed to be mature, issues of forming trust, fostering communication richness, and coordinating work are persistent and evolving (</w:t>
      </w:r>
      <w:hyperlink r:id="rId43" w:tooltip="Gilson, L.L., Maynard, M.T., Jones Young, N.C., Vartiainen, M. and Hakonen, M. (2015) ‘Virtual teams research: 10 years, 10 themes, and 10 opportunities’, Journal of Management, 41(5), pp. 1313-1337. Available at: https://doi.org/10.1177/0149206314559946 ">
        <w:r w:rsidRPr="00B51D99">
          <w:rPr>
            <w:color w:val="1F4E79"/>
          </w:rPr>
          <w:t>Gilson, Maynard, Jones Young, Vartiainen and Hakonen, 2015</w:t>
        </w:r>
      </w:hyperlink>
      <w:r w:rsidRPr="00B51D99">
        <w:t>). The concept of “swift trust” (</w:t>
      </w:r>
      <w:hyperlink r:id="rId44" w:tooltip="Crisp, C.B. and Jarvenpaa, S.L. (2013) ‘Swift trust in global virtual teams: trusting beliefs and normative actions’, Journal of Personnel Psychology, 12(1), pp. 45-56. Available at: https://doi.org/10.1027/1866-5888/a000075 (Accessed: 26 August 2026).">
        <w:r w:rsidRPr="00B51D99">
          <w:rPr>
            <w:color w:val="1F4E79"/>
          </w:rPr>
          <w:t xml:space="preserve">Crisp and </w:t>
        </w:r>
        <w:proofErr w:type="spellStart"/>
        <w:r w:rsidRPr="00B51D99">
          <w:rPr>
            <w:color w:val="1F4E79"/>
          </w:rPr>
          <w:t>Jarvenpaa</w:t>
        </w:r>
        <w:proofErr w:type="spellEnd"/>
        <w:r w:rsidRPr="00B51D99">
          <w:rPr>
            <w:color w:val="1F4E79"/>
          </w:rPr>
          <w:t>, 2013</w:t>
        </w:r>
      </w:hyperlink>
      <w:r w:rsidRPr="00B51D99">
        <w:t>) provides further insights into how geographically dispersed team members develop a level of provisional trust for one another, based on assigned tasks, when there is no longer shared history — thus hybrid leaders will have to work even harder than co-located leaders to build a level of psychological safety and unity.</w:t>
      </w:r>
    </w:p>
    <w:p w14:paraId="70ABE84A" w14:textId="77777777" w:rsidR="00B51D99" w:rsidRPr="00B51D99" w:rsidRDefault="00B51D99" w:rsidP="00B51D99">
      <w:r w:rsidRPr="00B51D99">
        <w:t>COVID-19 pandemic along with a range of needs and surges have caused a distinct empirical interest to develop and what has come to be called e-leadership. A literature review of the materials created during and after the pandemic (</w:t>
      </w:r>
      <w:hyperlink r:id="rId45" w:tooltip="Contreras, F., Baykal, E. and Abid, G. (2020) ‘E-leadership and teleworking in times of COVID-19 and beyond: what we know and where do we go’, Frontiers in Psychology, 11, article 590271. Available at: https://doi.org/10.3389/fpsyg.2020.590271 (Accessed: 26 Au">
        <w:r w:rsidRPr="00B51D99">
          <w:rPr>
            <w:color w:val="1F4E79"/>
          </w:rPr>
          <w:t>Contreras, Baykal and Abid, 2020</w:t>
        </w:r>
      </w:hyperlink>
      <w:r w:rsidRPr="00B51D99">
        <w:t xml:space="preserve">) revealed that the most important factors for effectively managing employees while teleworking are related to communication frequency, intentional trust-building and employee wellbeing, among others – precisely because those informal monitoring </w:t>
      </w:r>
      <w:r w:rsidRPr="00B51D99">
        <w:lastRenderedPageBreak/>
        <w:t xml:space="preserve">mechanisms that are available for a co-located manager are missing. </w:t>
      </w:r>
      <w:hyperlink r:id="rId46" w:tooltip="Bouisse-Bloigu, I. and Chamakiotis, P. (2025) ‘Leading hybrid virtual teams: an exploratory qualitative study’, in Themistocleous, M., Bakas, N., Kokosalakis, G. and Papadaki, M. (eds) Information Systems. Cham: Springer, pp. 156-165. Available at: https:">
        <w:proofErr w:type="spellStart"/>
        <w:r w:rsidRPr="00B51D99">
          <w:rPr>
            <w:color w:val="1F4E79"/>
          </w:rPr>
          <w:t>Bouisse-Bloigu</w:t>
        </w:r>
        <w:proofErr w:type="spellEnd"/>
        <w:r w:rsidRPr="00B51D99">
          <w:rPr>
            <w:color w:val="1F4E79"/>
          </w:rPr>
          <w:t xml:space="preserve"> and </w:t>
        </w:r>
        <w:proofErr w:type="spellStart"/>
        <w:r w:rsidRPr="00B51D99">
          <w:rPr>
            <w:color w:val="1F4E79"/>
          </w:rPr>
          <w:t>Chamakiotis</w:t>
        </w:r>
        <w:proofErr w:type="spellEnd"/>
        <w:r w:rsidRPr="00B51D99">
          <w:rPr>
            <w:color w:val="1F4E79"/>
          </w:rPr>
          <w:t xml:space="preserve"> (2025)</w:t>
        </w:r>
      </w:hyperlink>
      <w:r w:rsidRPr="00B51D99">
        <w:t xml:space="preserve"> confirm this in a qualitative study on hybrid virtual teams, where the trust depends significantly on the acceptability and legitimacy of the remote work situation and on the making visible of employees within the larger team. Lower levels of visibility among employees correlated with less trust in leadership and decreased engagement. This is important to reflect upon because it identifies the issue as having to do with organisational perception and not with distance as such: It is the perception that distance is being perceived as illegitimate that is hurting trust.</w:t>
      </w:r>
    </w:p>
    <w:p w14:paraId="0DFB42C4" w14:textId="77777777" w:rsidR="00B51D99" w:rsidRPr="00B51D99" w:rsidRDefault="00B51D99" w:rsidP="00B51D99">
      <w:r w:rsidRPr="00B51D99">
        <w:t>This field of study has come to be redefined in terms of the Job Demands-Resources model, conceptualising wellbeing at work as a ratio between the workload demands (such as speed, always-on expectations placed by the digital world on employees, and role ambiguities) and the resources that a person feels they draw from their work (such as autonomy, social support and feedback) (</w:t>
      </w:r>
      <w:hyperlink r:id="rId47" w:tooltip="Bakker, A.B. and Demerouti, E. (2007) ‘The job demands-resources model: state of the art’, Journal of Managerial Psychology, 22(3), pp. 309-328. Available at: https://doi.org/10.1108/02683940710733115 (Accessed: 26 August 2026).">
        <w:r w:rsidRPr="00B51D99">
          <w:rPr>
            <w:color w:val="1F4E79"/>
          </w:rPr>
          <w:t>Bakker and Demerouti, 2007</w:t>
        </w:r>
      </w:hyperlink>
      <w:r w:rsidRPr="00B51D99">
        <w:t xml:space="preserve">). Building on 30 interviews with leaders and 29 focus groups with adult learners and staff, </w:t>
      </w:r>
      <w:hyperlink r:id="rId48" w:tooltip="Coulston, C., Shergill, S., Twumasi, R. and Duncan, M. (2025) ‘Advancing virtual and hybrid team well-being through a job demand-resources lens’, International Journal of Qualitative Studies on Health and Well-being, 20(1), article 2472460. Available at: ">
        <w:r w:rsidRPr="00B51D99">
          <w:rPr>
            <w:color w:val="1F4E79"/>
          </w:rPr>
          <w:t>Coulston et al. (2025)</w:t>
        </w:r>
      </w:hyperlink>
      <w:r w:rsidRPr="00B51D99">
        <w:t xml:space="preserve"> demonstrated how the same characteristics of working hybrid or virtually — flexibility, digitality and less commuting — can be managed as demand or a resource, resulting in either a gain cycle of team wellbeing or a loss cycle. Importantly, this means there is not one specific wellbeing signal for Hybrid working. However, it is managerial practice that is key, and that is where the e-leadership literature is coming to a similar conclusion.</w:t>
      </w:r>
    </w:p>
    <w:p w14:paraId="7B3D119F" w14:textId="77777777" w:rsidR="002B63F6" w:rsidRDefault="00000000">
      <w:pPr>
        <w:pStyle w:val="Heading2"/>
      </w:pPr>
      <w:r>
        <w:t>2.4 The Economic and Demographic Contours of UK Hybrid Work</w:t>
      </w:r>
    </w:p>
    <w:p w14:paraId="70D9F858" w14:textId="77777777" w:rsidR="00B51D99" w:rsidRPr="00B51D99" w:rsidRDefault="00B51D99" w:rsidP="00B51D99">
      <w:r w:rsidRPr="00B51D99">
        <w:t>Before discussing burnout and engagement, it is useful to first understand the nature of hybrid working in the UK, in terms of the economic and demographic makeup of workers participating in this option. According to the data from the British Office for National Statistics, the number of working adults with a hybrid working agreement in Great Britain has steadily increased from the survey series onset in March 2022 to 28 per cent in January to March 2025 (</w:t>
      </w:r>
      <w:hyperlink r:id="rId49" w:tooltip="Office for National Statistics (2025) Who Has Access to Hybrid Work in Great Britain? Newport: ONS, 11 June. Available at: https://www.ons.gov.uk/employmentandlabourmarket/peopleinwork/employmentandemployeetypes/articles/whohasaccesstohybridworkingreatbri">
        <w:r w:rsidRPr="00B51D99">
          <w:rPr>
            <w:color w:val="1F4E79"/>
          </w:rPr>
          <w:t>Office for National Statistics, 2025</w:t>
        </w:r>
      </w:hyperlink>
      <w:r w:rsidRPr="00B51D99">
        <w:t xml:space="preserve">). Access is very unequal. Workers holding a degree are about ten times more likely to hybrid work than those with no formal qualifications (41 per cent compared with 4 per cent). Prevalence also rises consistently with income, from 8 per cent among those earning under £20,000 to 45 per cent among those earning £50,000 or more. Similarly, uptake of hybrid working differs by sector, with information and communication and professional, scientific and technical sectors </w:t>
      </w:r>
      <w:r w:rsidRPr="00B51D99">
        <w:lastRenderedPageBreak/>
        <w:t>more likely to offer it, while retail, construction and hospitality struggle to implement the practice (</w:t>
      </w:r>
      <w:hyperlink r:id="rId50" w:tooltip="Office for National Statistics (2025) Who Has Access to Hybrid Work in Great Britain? Newport: ONS, 11 June. Available at: https://www.ons.gov.uk/employmentandlabourmarket/peopleinwork/employmentandemployeetypes/articles/whohasaccesstohybridworkingreatbri">
        <w:r w:rsidRPr="00B51D99">
          <w:rPr>
            <w:color w:val="1F4E79"/>
          </w:rPr>
          <w:t>Office for National Statistics, 2025</w:t>
        </w:r>
      </w:hyperlink>
      <w:r w:rsidRPr="00B51D99">
        <w:t>).</w:t>
      </w:r>
    </w:p>
    <w:p w14:paraId="75194446" w14:textId="77777777" w:rsidR="00B51D99" w:rsidRPr="00B51D99" w:rsidRDefault="00B51D99" w:rsidP="00B51D99">
      <w:r w:rsidRPr="00B51D99">
        <w:t>This distribution matters for two reasons. First, it shows that hybrid working in the UK is overwhelmingly, though not exclusively, a graduate and postgraduate labour-market phenomenon, which strengthens the case for studying postgraduate perceptions of hybrid leadership: this is the segment most likely to encounter hybrid working on graduation. Second, it corroborates the institutional rationale set out in Section 1.7. The high rate of prior hybrid working in a London-based business and management cohort (76.2 per cent, reported in Chapter Four) is not anomalous against the regional average, since hybrid work concentrates in precisely the occupations this sample is likely to enter.</w:t>
      </w:r>
    </w:p>
    <w:p w14:paraId="655D1874" w14:textId="77777777" w:rsidR="00B51D99" w:rsidRPr="00B51D99" w:rsidRDefault="00B51D99" w:rsidP="00B51D99">
      <w:r w:rsidRPr="00B51D99">
        <w:t>A further dynamic can be gleaned from the evidence of CIPD surveys – the employer and employee expectations continue to be disputed despite prevalence hitting a plateau. 53 per cent of employees responding to the CIPD's survey – 23 per cent saying a great deal and 30 per cent a fair amount – said they felt pressure to spend more time in the physical workplace in 2025. Employer attitudes towards the impact of home and hybrid working on employee productivity were slightly more positive than negative but not clear-cut: 36 per cent had a positive attitude compared to 22 per cent who had a negative attitude; and 41 per cent had positive attitudes towards whether the increased productivity of home and hybrid working had boosted organisational productivity, while 16 per cent had negative attitudes (</w:t>
      </w:r>
      <w:hyperlink r:id="rId51" w:tooltip="CIPD (2025) Flexible and Hybrid Working Practices in 2025. London: Chartered Institute of Personnel and Development. Available at: https://www.cipd.org/en/knowledge/reports/flexible-hybrid-working/ (Accessed: 26 August 2026).">
        <w:r w:rsidRPr="00B51D99">
          <w:rPr>
            <w:color w:val="1F4E79"/>
          </w:rPr>
          <w:t>CIPD, 2025</w:t>
        </w:r>
      </w:hyperlink>
      <w:r w:rsidRPr="00B51D99">
        <w:t>). Materially, the positive figure has decreased since 2023 (46 per cent). What this depicts is a negotiation that is still to be completed rather than an agreement that has already occurred, an agreement that has taken place in conditions where employers are pressuring people to come back to the office – and internally conflicted on the idea that working remotely is bad for productivity. It is this undecided nature that is where AI-generated visibility into distributed performance matters. Chapters Four and Five indicate this visibility might close the gap, through the creation of legibility of distributed contribution, or exacerbate the gap if the visibility achieved through AI and resulting performance data is seen as opaque and/or punitive.</w:t>
      </w:r>
    </w:p>
    <w:p w14:paraId="3F80110D" w14:textId="77777777" w:rsidR="002B63F6" w:rsidRDefault="00000000">
      <w:pPr>
        <w:pStyle w:val="Heading2"/>
      </w:pPr>
      <w:r>
        <w:t>2.5 Digital Burnout, Communication Overload, and the “Always-On” Culture</w:t>
      </w:r>
    </w:p>
    <w:p w14:paraId="2F1B03AE" w14:textId="77777777" w:rsidR="00135D83" w:rsidRPr="00135D83" w:rsidRDefault="00135D83" w:rsidP="00135D83">
      <w:r w:rsidRPr="00135D83">
        <w:t xml:space="preserve">There are separate, but related, literature addressing digital burnout as a unique condition of hybrid/remote work. The engagement of the global workforce has been in decline, dropping from 23 per cent in 2023, to 21 per cent in 2024 and 20 per cent in 2025, the </w:t>
      </w:r>
      <w:r w:rsidRPr="00135D83">
        <w:lastRenderedPageBreak/>
        <w:t>latter representing the second consecutive year of decline in Gallup's State of the Global Workplace series (</w:t>
      </w:r>
      <w:hyperlink r:id="rId52" w:tooltip="Gallup (2026) State of the Global Workplace: 2026 Report. Washington, DC: Gallup Inc. Available at: https://www.gallup.com/workplace/349484/state-of-the-global-workplace.aspx (Accessed: 26 August 2026).">
        <w:r w:rsidRPr="00135D83">
          <w:rPr>
            <w:color w:val="1F4E79"/>
          </w:rPr>
          <w:t>Gallup, 2026</w:t>
        </w:r>
      </w:hyperlink>
      <w:r w:rsidRPr="00135D83">
        <w:t>). A separate 2025 Gallup analysis reveals what it describes as a ‘remote work paradox’: fully remote workers are more engaged than employees at hybrid work models or in the office, with a score of 31 per cent engagement compared with 23 per cent, and perform significantly worse in their broader lives rating a score of 36 per cent against 42 per cent (</w:t>
      </w:r>
      <w:hyperlink r:id="rId53" w:tooltip="Pendell, R. (2025) ‘The remote work paradox: higher engagement, lower wellbeing’, Gallup, 7 May. Available at: https://www.gallup.com/workplace/660236/remote-work-paradox-engaged-distressed.aspx (Accessed: 26 August 2026).">
        <w:r w:rsidRPr="00135D83">
          <w:rPr>
            <w:color w:val="1F4E79"/>
          </w:rPr>
          <w:t>Pendell, 2025</w:t>
        </w:r>
      </w:hyperlink>
      <w:r w:rsidRPr="00135D83">
        <w:t>). In other words, engagement is detracting from wellbeing and wellbeing is detracting from engagement. Owl Labs' UK Survey throws in a more dire result: 90 per cent of workers said their stress level has remained the same or increased from a year prior, while burnout has emerged across all working models, and 89 per cent of the respondents identified that managing their wellbeing at work is among their highest priorities (</w:t>
      </w:r>
      <w:hyperlink r:id="rId54" w:tooltip="Owl Labs (2025) State of Hybrid Work 2025: United Kingdom. Boston, MA: Owl Labs. Available at: https://owllabs.co.uk/state-of-hybrid-work/2025 (Accessed: 26 August 2026).">
        <w:r w:rsidRPr="00135D83">
          <w:rPr>
            <w:color w:val="1F4E79"/>
          </w:rPr>
          <w:t>Owl Labs, 2025</w:t>
        </w:r>
      </w:hyperlink>
      <w:r w:rsidRPr="00135D83">
        <w:t>). Taken together, these findings suggest that location is the wrong variable. Digital exhaustion is neither a cause nor a cure for flexibility - it is the quality of the management surrounding flexibility that matters.</w:t>
      </w:r>
    </w:p>
    <w:p w14:paraId="3A68E987" w14:textId="77777777" w:rsidR="00135D83" w:rsidRPr="00135D83" w:rsidRDefault="00135D83" w:rsidP="00135D83">
      <w:r w:rsidRPr="00135D83">
        <w:t>This exhaustion gets its mechanisms slightly more specified but there is not as much evidence as the number of pieces of commentary would indicate. EU telework and occupational stress research suggests that the psychosocial aspect of safety, developed through managerial behaviours, can make immediately perceivable a difference between stress and burnout levels under telework and that occurrence of stress and burnout in a hybrid working model can therefore be moderated by the managerial approach. Switching from email to ‘virtual meeting' to IM is reported to have a very positive effect on decreasing your cognitive bandwidth and causing decision fatigue, but much of the information here comes from practitioner surveys – and with that in mind. The fuzzy work-home interface in distributed working situations is also connected with the implicit availability of workers beyond the agreed hours—affected by higher levels of stress, and therefore higher risk of burnout. The survey work on the economics of remote work by Bloom and his co-authors highlights that the enduring nature of hybrid working has been embraced by both employees and executives, without yet an agreed framework for the associated digital working arrangements, particularly within organisations (</w:t>
      </w:r>
      <w:hyperlink r:id="rId55" w:tooltip="Bloom, N., Barrero, J.M., Davis, S.J., Meyer, B.H. and Mihaylov, E. (2023) ‘Survey: remote work isn’t going away - and executives know it’, Harvard Business Review, 28 August. Available at: https://hbr.org/2023/08/survey-remote-work-isnt-going-away-and-ex">
        <w:r w:rsidRPr="00135D83">
          <w:rPr>
            <w:color w:val="1F4E79"/>
          </w:rPr>
          <w:t>Bloom et al., 2023</w:t>
        </w:r>
      </w:hyperlink>
      <w:r w:rsidRPr="00135D83">
        <w:t>).</w:t>
      </w:r>
    </w:p>
    <w:p w14:paraId="65D3A62D" w14:textId="77777777" w:rsidR="00135D83" w:rsidRPr="00135D83" w:rsidRDefault="00135D83" w:rsidP="00135D83">
      <w:r w:rsidRPr="00135D83">
        <w:t xml:space="preserve">These findings bear directly on the present study’s central question. Generative AI promises to relieve several of the most frequently cited sources of hybrid burnout — administrative digital communication, drafting routine messages, summarising meeting </w:t>
      </w:r>
      <w:r w:rsidRPr="00135D83">
        <w:lastRenderedPageBreak/>
        <w:t>transcripts, triaging correspondence — if it can automate a meaningful share of that work. The same literature holds, however, that flexibility and technical capability are not sufficient. Without deliberate structural norms and emotionally attentive leadership, technological capacity is simply added to an already over-communicating environment and relieves no digital burnout at all.</w:t>
      </w:r>
    </w:p>
    <w:p w14:paraId="039AE6CA" w14:textId="77777777" w:rsidR="00135D83" w:rsidRPr="00135D83" w:rsidRDefault="00135D83" w:rsidP="00135D83">
      <w:r w:rsidRPr="00135D83">
        <w:t>The point bears emphasis because the risk is easy to overlook amid generative AI’s evident efficiency gains. A historical precedent counsels caution. Email, instant messaging and video-conferencing were each marketed as time savers, and each is now implicated in the communication overload documented in the burnout literature. Nothing prevents generative AI from following the same path. Where automated drafting and summarisation simply enable more meetings, more correspondence and more managerial oversight, the efficiency is absorbed by the additional activity it was meant to streamline. The findings reported in Chapters Four and Five suggest this risk is not one the incoming generation takes lightly: Theme 3 registers a concern that AI efficiencies will allow organisations to demand more, not less, time and attention for relational work.</w:t>
      </w:r>
    </w:p>
    <w:p w14:paraId="68949013" w14:textId="77777777" w:rsidR="002B63F6" w:rsidRDefault="00000000">
      <w:pPr>
        <w:pStyle w:val="Heading2"/>
      </w:pPr>
      <w:r>
        <w:t>2.6 Generative AI as a Leadership and Employee Engagement Instrument</w:t>
      </w:r>
    </w:p>
    <w:p w14:paraId="266807B0" w14:textId="77777777" w:rsidR="00135D83" w:rsidRPr="00135D83" w:rsidRDefault="00135D83" w:rsidP="00135D83">
      <w:r w:rsidRPr="00135D83">
        <w:t>A smaller but growing literature treats generative AI as a specific instrument of leadership and engagement practice rather than a general productivity tool. Two narratives dominate. The efficiency narrative holds that the capacity to collate large volumes of dispersed data and return a coherent picture to a human allows patterns in team sentiment, workload distribution and project risk to be identified far faster than manual review permits. The relational-erosion narrative holds that the same efficiencies may hollow out the relationship, displacing the informal check-in, the unscripted conversation and the leader’s direct perception that someone is struggling — the very interactions on which engagement and trust are built.</w:t>
      </w:r>
    </w:p>
    <w:p w14:paraId="7FFBBC28" w14:textId="77777777" w:rsidR="00135D83" w:rsidRPr="00135D83" w:rsidRDefault="00135D83" w:rsidP="00135D83">
      <w:r w:rsidRPr="00135D83">
        <w:t xml:space="preserve">Research on AI and the intersection of AI and hybrid work has attempted to bridge these accounts by considering both employee and customer experiences side by side. In a survey of 578 frontline workers from the UK and Vietnam, </w:t>
      </w:r>
      <w:hyperlink r:id="rId56" w:tooltip="Trinh, N., Nguyen, M., Cao, V.Q. and Ngo, L.V. (2025) ‘The impact of generative AI and hybrid work on employee and customer experience: a comprehensive approach’, Australasian Marketing Journal, online first. Available at: https://doi.org/10.1177/14413582">
        <w:r w:rsidRPr="00135D83">
          <w:rPr>
            <w:color w:val="1F4E79"/>
          </w:rPr>
          <w:t>Trinh et al. (2025)</w:t>
        </w:r>
      </w:hyperlink>
      <w:r w:rsidRPr="00135D83">
        <w:t xml:space="preserve"> reported that when GenAI resulted in efficiency gains, employee experience and engagement improved, leading in turn to improvements in customer experience—with the effect being most powerful when the GenAI was perceived as augmenting rather than replacing time spent interacting with customers. A major theme throughout this chapter and one foretold </w:t>
      </w:r>
      <w:r w:rsidRPr="00135D83">
        <w:lastRenderedPageBreak/>
        <w:t xml:space="preserve">in the present research is the contrast between AI replacing and supplanting relational leadership and AI augmenting and complementing it. From the managerial side, </w:t>
      </w:r>
      <w:hyperlink r:id="rId57" w:tooltip="Bevilacqua, S., Ferraris, A., Matzler, K. and Kuděj, M. (2026) ‘Strategic leadership at high altitude: investigating how AI affects the required skills of top managers’, Journal of Business Research, 205, article 115878. Available at: https://doi.org/10.1">
        <w:r w:rsidRPr="00135D83">
          <w:rPr>
            <w:color w:val="1F4E79"/>
          </w:rPr>
          <w:t>Bevilacqua et al. (2026)</w:t>
        </w:r>
      </w:hyperlink>
      <w:r w:rsidRPr="00135D83">
        <w:t xml:space="preserve"> arrives at the same conclusion with their so-called "upper echelons approach" finding competencies that distinguish between effective managers in AI-augmented organisations focussed on an open mindset to AI, not delegating the job of relationship-work to AI, multi-level connection and ethical risk management.</w:t>
      </w:r>
    </w:p>
    <w:p w14:paraId="776E46D6" w14:textId="77777777" w:rsidR="00135D83" w:rsidRPr="00135D83" w:rsidRDefault="00135D83" w:rsidP="00135D83">
      <w:r w:rsidRPr="00135D83">
        <w:t>Students' perception of the role of GenAI in society and organisations has been broadly ambivalent, as outlined above (</w:t>
      </w:r>
      <w:hyperlink r:id="rId58" w:tooltip="Arowosegbe, A., Alqahtani, J.S. and Oyelade, T. (2024) ‘Perception of generative AI use in UK higher education’, Frontiers in Education, 9, article 1463208. Available at: https://doi.org/10.3389/feduc.2024.1463208 (Accessed: 26 August 2026).">
        <w:hyperlink r:id="rId59" w:tooltip="Arowosegbe, A., Alqahtani, J.S. and Oyelade, T. (2024) ‘Perception of generative AI use in UK higher education’, Frontiers in Education, 9, article 1463208. Available at: https://doi.org/10.3389/feduc.2024.1463208 (Accessed: 26 August 2026).">
          <w:r w:rsidRPr="00135D83">
            <w:rPr>
              <w:color w:val="1F4E79"/>
            </w:rPr>
            <w:t>Arowosegbe et al., 2024</w:t>
          </w:r>
        </w:hyperlink>
      </w:hyperlink>
      <w:r w:rsidRPr="00135D83">
        <w:t>), a profile which finds support in various research within UK higher education. This is in line with Jisc's research on students (</w:t>
      </w:r>
      <w:hyperlink r:id="rId60" w:tooltip="Jisc (2025) Student Perceptions of AI 2025. Bristol: Jisc. Available at: https://www.jisc.ac.uk/reports/student-perceptions-of-ai-2025 (Accessed: 26 August 2026).">
        <w:r w:rsidRPr="00135D83">
          <w:rPr>
            <w:color w:val="1F4E79"/>
          </w:rPr>
          <w:t>Jisc, 2025</w:t>
        </w:r>
      </w:hyperlink>
      <w:r w:rsidRPr="00135D83">
        <w:t>), which revealed that students appreciate the benefits of AI for efficiency, but do not accept that it can replace discussions, individual feedback or the nuances of tutor interaction. Students today do not have an uncritical optimism about generative AI. What seems to be emerging instead is a disjointed, bifurcated mental model: think of using AI as your assistant in being administrative and cognitive; and try to be wary of it as a mediator of any kind of relationship. It is that bifurcation that the empirical chapters aim to test specifically in regard to hybrid leadership.</w:t>
      </w:r>
    </w:p>
    <w:p w14:paraId="5CA066C4" w14:textId="77777777" w:rsidR="00135D83" w:rsidRPr="00135D83" w:rsidRDefault="00135D83" w:rsidP="00135D83">
      <w:r w:rsidRPr="00135D83">
        <w:t xml:space="preserve">Another area involves the changing managerial skills, where the introduction of AI seems to be altering the landscape of management. </w:t>
      </w:r>
      <w:hyperlink r:id="rId61" w:tooltip="Bevilacqua, S., Ferraris, A., Matzler, K. and Kuděj, M. (2026) ‘Strategic leadership at high altitude: investigating how AI affects the required skills of top managers’, Journal of Business Research, 205, article 115878. Available at: https://doi.org/10.1">
        <w:r w:rsidRPr="00135D83">
          <w:rPr>
            <w:color w:val="1F4E79"/>
          </w:rPr>
          <w:t>Bevilacqua et al. (2026)</w:t>
        </w:r>
      </w:hyperlink>
      <w:r w:rsidRPr="00135D83">
        <w:t xml:space="preserve"> identify the most prized competencies to be in the process of becoming less relevant, as GenAI can now synthesise information and report it, and more relevant: being able to interpret ambiguous and conflicting recommendations created by GenAI, to communicate difficult decisions with empathy, and to bind a team together under the pressure of a rapidly changing technological world. This directly relates to the discussion put forward here. Such willingness to delegate the handling of measurable, administrative quantities while reserving human judgement and relational skills (Theme 2; V8, μ = 4.24) may reflect the direction of the managerial labour market instead of being a merely defensive preference. Such a claim should be held loosely, building on two small bits of evidence, but not on any causation.</w:t>
      </w:r>
    </w:p>
    <w:p w14:paraId="1093641E" w14:textId="77777777" w:rsidR="002B63F6" w:rsidRDefault="00000000">
      <w:pPr>
        <w:pStyle w:val="Heading2"/>
      </w:pPr>
      <w:r>
        <w:t>2.7 Psychological Contracts in the Age of AI-Mediated Work</w:t>
      </w:r>
    </w:p>
    <w:p w14:paraId="0174907E" w14:textId="77777777" w:rsidR="00135D83" w:rsidRPr="00135D83" w:rsidRDefault="00135D83" w:rsidP="00135D83">
      <w:r w:rsidRPr="00135D83">
        <w:t xml:space="preserve">Psychological contract theory is not used as a primary theory here, but provides another tool that could be used. It suggests that employment relationship between the two consists of tacit or implied duties and claims of the employee to the employer and of the employer </w:t>
      </w:r>
      <w:r w:rsidRPr="00135D83">
        <w:lastRenderedPageBreak/>
        <w:t>to the employee (</w:t>
      </w:r>
      <w:hyperlink r:id="rId62" w:tooltip="Guest, D.E. (1998) ‘Is the psychological contract worth taking seriously?’, Journal of Organizational Behavior, 19(S1), pp. 649-664. Available at: https://doi.org/10.1002/(SICI)1099-1379(1998)19:1+&lt;649::AID-JOB970&gt;3.0.CO;2-T (Accessed: 26 August 2026).">
        <w:r w:rsidRPr="00135D83">
          <w:rPr>
            <w:color w:val="1F4E79"/>
          </w:rPr>
          <w:t>Guest, 1998</w:t>
        </w:r>
      </w:hyperlink>
      <w:r w:rsidRPr="00135D83">
        <w:t>). The framework has been helpful to understand how workers are coping with the speedy adaptation to normalisation of the hybrid working regime. Above all, the pandemic has seen employees' understanding of flexibility move from a discretionary employment perk to a new expectation of the ‘rules of the job' and this continues to be reflected through surveys including by the CIPD, which report on resistance to a return to the office (</w:t>
      </w:r>
      <w:hyperlink r:id="rId63" w:tooltip="CIPD (2025) Flexible and Hybrid Working Practices in 2025. London: Chartered Institute of Personnel and Development. Available at: https://www.cipd.org/en/knowledge/reports/flexible-hybrid-working/ (Accessed: 26 August 2026).">
        <w:r w:rsidRPr="00135D83">
          <w:rPr>
            <w:color w:val="1F4E79"/>
          </w:rPr>
          <w:t>CIPD, 2025</w:t>
        </w:r>
      </w:hyperlink>
      <w:r w:rsidRPr="00135D83">
        <w:t xml:space="preserve">). But the importance of organisational stakes is less abstractly made tangible by the study of </w:t>
      </w:r>
      <w:hyperlink r:id="rId64" w:tooltip="Bloom, N., Han, R. and Liang, J. (2024) ‘Hybrid working from home improves retention without damaging performance’, Nature, 630(8018), pp. 920-925. Available at: https://doi.org/10.1038/s41586-024-07500-2 (Accessed: 26 August 2026).">
        <w:r w:rsidRPr="00135D83">
          <w:rPr>
            <w:color w:val="1F4E79"/>
          </w:rPr>
          <w:t>Bloom, Han and Liang (2024)</w:t>
        </w:r>
      </w:hyperlink>
      <w:r w:rsidRPr="00135D83">
        <w:t xml:space="preserve"> which was published in Nature, where they report on a field experiment indicating that hybrid working, in which individuals work from home, actually reduced employee turnover without negatively affecting performance. This study gives employers who do not keep up with the promise of flexibility a measurable and tangible cost.</w:t>
      </w:r>
    </w:p>
    <w:p w14:paraId="6FD7F116" w14:textId="77777777" w:rsidR="00135D83" w:rsidRPr="00135D83" w:rsidRDefault="00135D83" w:rsidP="00135D83">
      <w:r w:rsidRPr="00135D83">
        <w:t>It is likely that generative AI is the next iteration of this renegotiation. The expectations reported in Chapter Four indicate that the new generation of graduates entering the workforce might expect opportunities for efficiency with GenAI to be just as normal as the year-over-year increase in flexibility for employees. This is not an actual finding, but rather a proposition is offered here so this can serve as a framing for the empirical chapters to come, rather than an anticipated conclusion of these chapters.</w:t>
      </w:r>
    </w:p>
    <w:p w14:paraId="4A48C57D" w14:textId="77777777" w:rsidR="00135D83" w:rsidRPr="00135D83" w:rsidRDefault="00135D83" w:rsidP="00135D83">
      <w:r w:rsidRPr="00135D83">
        <w:t xml:space="preserve">This strand relates back to the SDT analysis in the centre of this dissertation. Hybrid work as a self-determining context, as explained by </w:t>
      </w:r>
      <w:hyperlink r:id="rId65" w:tooltip="Junça Silva, A., Pombo, R. and Rueff Lopes, R. (2026) ‘Hybrid work as a self-determining context: examining the psychological mechanisms behind job satisfaction’, The Learning Organization, 33(7), pp. 39-57. Available at: https://doi.org/10.1108/TLO-01-20">
        <w:proofErr w:type="spellStart"/>
        <w:r w:rsidRPr="00135D83">
          <w:rPr>
            <w:color w:val="1F4E79"/>
          </w:rPr>
          <w:t>Junça</w:t>
        </w:r>
        <w:proofErr w:type="spellEnd"/>
        <w:r w:rsidRPr="00135D83">
          <w:rPr>
            <w:color w:val="1F4E79"/>
          </w:rPr>
          <w:t xml:space="preserve"> Silva, Pombo and Rueff Lopes (2026)</w:t>
        </w:r>
      </w:hyperlink>
      <w:r w:rsidRPr="00135D83">
        <w:t>, forms a balance of flexibility and connection that positively impact job satisfaction, and that is what the participants in this study anticipate that generative AI can help them manage, not disrupt. Whilst psychological contract theory explains the kind of expectations that the employee and the employer tacitly have of each other, SDT elicits the reasons behind the importance of fulfilling such expectations in a psychological sense. As a group, they propose that such organisations that do not meet the new AI-related expectation of “well-functioning administrative support while maintaining quality of the relational leadership style” could face retention and engagement costs similar to those that have been reported for those that do not meet the flexibility expectation.</w:t>
      </w:r>
    </w:p>
    <w:p w14:paraId="64CD3263" w14:textId="77777777" w:rsidR="002B63F6" w:rsidRDefault="00000000">
      <w:pPr>
        <w:pStyle w:val="Heading2"/>
      </w:pPr>
      <w:r>
        <w:t>2.8 Generational Perspectives: Are Digital Natives Actually AI-Ready?</w:t>
      </w:r>
    </w:p>
    <w:p w14:paraId="2F12E1F9" w14:textId="77777777" w:rsidR="00AD0C24" w:rsidRPr="00AD0C24" w:rsidRDefault="00AD0C24" w:rsidP="00AD0C24">
      <w:r w:rsidRPr="00AD0C24">
        <w:t xml:space="preserve">A different set of findings, largely based on large-scale polling of the workforce, challenges one of the unstated but largely prevalent assumptions in much of technology acceptance research: that younger generations, experienced with digital platforms, will </w:t>
      </w:r>
      <w:r w:rsidRPr="00AD0C24">
        <w:lastRenderedPageBreak/>
        <w:t>be more willing to adopt generative AI than their older counterparts. The surveys of Gen Z carried out by the Walton Family Foundation and GSV Ventures from Gallup offer a sharp counternarrative. The use of AI has largely remained constant, with just more than half of those aged 14 to 29 using AI daily or weekly in 2026 (</w:t>
      </w:r>
      <w:hyperlink r:id="rId66" w:tooltip="Walton Family Foundation, Gallup and GSV Ventures (2026) Voices of Gen Z: The AI Paradox - More Exposure, Less Confidence Among Gen Z. Bentonville, AR: Walton Family Foundation. Available at: https://static.waltonfamilyfoundation.org/73/0c/1a0017594d8eb3c0a667">
        <w:r w:rsidRPr="00AD0C24">
          <w:rPr>
            <w:color w:val="1F4E79"/>
          </w:rPr>
          <w:t>Walton Family Foundation, Gallup and GSV Ventures, 2026</w:t>
        </w:r>
      </w:hyperlink>
      <w:r w:rsidRPr="00AD0C24">
        <w:t xml:space="preserve">). What has fallen away is the evaluative attitude. </w:t>
      </w:r>
      <w:hyperlink r:id="rId67" w:tooltip="Brenan, M. (2026) ‘Gen Z’s AI adoption steady, but skepticism climbs’, Gallup, 8 April. Available at: https://news.gallup.com/poll/708224/gen-adoption-steady-skepticism-climbs.aspx (Accessed: 26 August 2026).">
        <w:r w:rsidRPr="00AD0C24">
          <w:rPr>
            <w:color w:val="1F4E79"/>
          </w:rPr>
          <w:t>Brenan (2026)</w:t>
        </w:r>
      </w:hyperlink>
      <w:r w:rsidRPr="00AD0C24">
        <w:t xml:space="preserve"> reports that while 37 per cent of employed Gen Z felt the risks of workplace AI exceeded the benefits in 2025, this increased to 48 per cent in 2026, while only 28 per cent placed most trust in AI-assisted work, against 69 per cent who placed most trust in work completed without AI. Evidently, comfort is not being achieved through exposure.</w:t>
      </w:r>
    </w:p>
    <w:p w14:paraId="0273D76A" w14:textId="77777777" w:rsidR="00AD0C24" w:rsidRPr="00AD0C24" w:rsidRDefault="00AD0C24" w:rsidP="00AD0C24">
      <w:r w:rsidRPr="00AD0C24">
        <w:t xml:space="preserve">The pattern challenges the notion of “digital native,” coined by </w:t>
      </w:r>
      <w:hyperlink r:id="rId68" w:tooltip="Prensky, M. (2001) ‘Digital natives, digital immigrants, part 1’, On the Horizon, 9(5), pp. 1-6. Available at: https://doi.org/10.1108/10748120110424816 (Accessed: 26 August 2026).">
        <w:r w:rsidRPr="00AD0C24">
          <w:rPr>
            <w:color w:val="1F4E79"/>
          </w:rPr>
          <w:t>Prensky (2001)</w:t>
        </w:r>
      </w:hyperlink>
      <w:r w:rsidRPr="00AD0C24">
        <w:t xml:space="preserve"> that being born between 1980 and 2003 gives one preparation and a “readiness to use consumer technology” (pg. 1) that is not true of the tools they are required to use in professional applications. </w:t>
      </w:r>
      <w:hyperlink r:id="rId69" w:tooltip="Galagali, T. (2025) ‘Gen Z’s relationship with AI’, Forbes, 25 August. Available at: https://www.forbes.com/sites/tarungalagali/2025/08/25/ais-impact-on-generation-z/ (Accessed: 26 August 2026).">
        <w:proofErr w:type="spellStart"/>
        <w:r w:rsidRPr="00AD0C24">
          <w:rPr>
            <w:color w:val="1F4E79"/>
          </w:rPr>
          <w:t>Galagali</w:t>
        </w:r>
        <w:proofErr w:type="spellEnd"/>
        <w:r w:rsidRPr="00AD0C24">
          <w:rPr>
            <w:color w:val="1F4E79"/>
          </w:rPr>
          <w:t xml:space="preserve"> (2025)</w:t>
        </w:r>
      </w:hyperlink>
      <w:r w:rsidRPr="00AD0C24">
        <w:t xml:space="preserve"> argues that there is a difference between technical mastery and what he calls AI wisdom, or the expertise to know when to go with an AI's suggestions, when not, and when not to use an AI at all. According to him, young professionals believe they know a lot about their profession but struggle when it comes to doing things practically, quickly or defining the model restrictions. The corresponding skewing of what matters to the Gen Z population has been recorded in </w:t>
      </w:r>
      <w:hyperlink r:id="rId70" w:tooltip="TalentLMS (2024) Gen Z and AI: Research on Workplace Skills. Athens: TalentLMS/Epignosis. Available at: https://www.talentlms.com/research/ai-impact-gen-z-work-skills (Accessed: 26 August 2026).">
        <w:proofErr w:type="spellStart"/>
        <w:r w:rsidRPr="00AD0C24">
          <w:rPr>
            <w:color w:val="1F4E79"/>
          </w:rPr>
          <w:t>TalentLMS</w:t>
        </w:r>
        <w:proofErr w:type="spellEnd"/>
        <w:r w:rsidRPr="00AD0C24">
          <w:rPr>
            <w:color w:val="1F4E79"/>
          </w:rPr>
          <w:t xml:space="preserve"> (2024)</w:t>
        </w:r>
      </w:hyperlink>
      <w:r w:rsidRPr="00AD0C24">
        <w:t>: At 52 per cent, digital skills were prioritised first, followed by hard technical skills at 46 per cent, interpersonal skills at 35 per cent and emotional intelligence at a mere 31 per cent. However, 63 per cent of these same respondents felt that this change to AI should not be done in isolation, and that soft skills training should form part of the equation as well. It is important to note that this polling literature does not undergo peer review; the question wording and sampling frames used are not always fully reported; and is commercially produced. The pattern of convergence of the several independent surveys gives it its credibility, even if all the individual percentages are not accorded the same faith as those in published studies.</w:t>
      </w:r>
    </w:p>
    <w:p w14:paraId="311BBBB3" w14:textId="77777777" w:rsidR="00AD0C24" w:rsidRPr="00AD0C24" w:rsidRDefault="00AD0C24" w:rsidP="00AD0C24">
      <w:r w:rsidRPr="00AD0C24">
        <w:t xml:space="preserve">This bears directly on how the mean profile of the present study should be read against its demographic composition, a question pursued in Chapter Five. The sample is weighted heavily towards respondents aged 31 and over (35 of 42, 83.3 per cent), and 32 (76.2 per cent) have hybrid working experience. Its quantitative profile is considerably calmer than the polling literature describes: high technology acceptance (μ = 4.02) alongside clearly drawn and unanxious relational boundaries. Familiarity with the tools does not appear to </w:t>
      </w:r>
      <w:r w:rsidRPr="00AD0C24">
        <w:lastRenderedPageBreak/>
        <w:t>separate the groups, since both report similar patterns of everyday use. A more plausible explanation, explored in Section 5.4, is that the difference reflects professional judgement and managerial lived experience. This is offered as a hypothesis rather than a finding. The two populations differ simultaneously on age, employment status, career stage, national context and survey instrument, and this study cannot isolate which of these is doing the work.</w:t>
      </w:r>
    </w:p>
    <w:p w14:paraId="0FFC92BB" w14:textId="77777777" w:rsidR="002B63F6" w:rsidRDefault="00000000">
      <w:pPr>
        <w:pStyle w:val="Heading2"/>
      </w:pPr>
      <w:r>
        <w:t>2.9 Governance, Regulation, and the Problem of “Shadow AI”</w:t>
      </w:r>
    </w:p>
    <w:p w14:paraId="6795CC19" w14:textId="77777777" w:rsidR="00AD0C24" w:rsidRDefault="00AD0C24" w:rsidP="00AD0C24">
      <w:r>
        <w:t>The issue of Conditional Trust (Theme 3) in this dissertation fits neatly into the fast-growing discourse of AI governance. More recently, regulatory interest in AI in the workplace has grown, most starkly in the European Union with the coming into effect of the obligations of general purpose AI models governed by the AI Act from 2 August 2025, which include transparency, documented accountability and human oversight as a baseline requirement for the organisations which deploy AI at scale across the EU (</w:t>
      </w:r>
      <w:hyperlink r:id="rId71" w:tooltip="European Commission (2025) EU Rules on General-Purpose AI Models Start to Apply, Bringing More Transparency, Safety and Accountability. Brussels: European Commission, 1 August. Available at: https://digital-strategy.ec.europa.eu/en/news/eu-rules-general-p">
        <w:r>
          <w:rPr>
            <w:color w:val="1F4E79"/>
          </w:rPr>
          <w:t>European Commission, 2025</w:t>
        </w:r>
      </w:hyperlink>
      <w:r>
        <w:t>). Practitioner frameworks converge on a comparable set of operational commitments. Nemko Digital sets these out as five components of responsible AI governance: governance and accountability, fairness and bias management, transparency and explainability, privacy and security, and monitoring and assurance (</w:t>
      </w:r>
      <w:hyperlink r:id="rId72" w:tooltip="Nemko Digital (2025) Responsible AI Framework 2025: Ensure Compliance and Trust. Oslo: Nemko Group. Available at: https://digital.nemko.com/insights/responsible-ai-framework-in-business (Accessed: 26 August 2026).">
        <w:r>
          <w:rPr>
            <w:color w:val="1F4E79"/>
          </w:rPr>
          <w:t>Nemko Digital, 2025</w:t>
        </w:r>
      </w:hyperlink>
      <w:r>
        <w:t>).</w:t>
      </w:r>
    </w:p>
    <w:p w14:paraId="78C3D5D0" w14:textId="77777777" w:rsidR="00AD0C24" w:rsidRDefault="00AD0C24" w:rsidP="00AD0C24">
      <w:r>
        <w:t xml:space="preserve">There is an imbalance between de facto and de jure governance. The Office Workers' Technology survey by </w:t>
      </w:r>
      <w:hyperlink r:id="rId73" w:tooltip="Ivanti (2025) 2025 Technology at Work Report: Reshaping Flexible Work. South Jordan, UT: Ivanti. Available at: https://www.ivanti.com/resources/research-reports/tech-at-work (Accessed: 26 August 2026).">
        <w:r>
          <w:rPr>
            <w:color w:val="1F4E79"/>
          </w:rPr>
          <w:t>Ivanti 2025</w:t>
        </w:r>
      </w:hyperlink>
      <w:r>
        <w:t xml:space="preserve"> revealed that 46 per cent of all workplace employees are using AI tools that their employers do have access to, but that are not offered to them specifically, while 32 per cent of workers who use generative AI are “hiding it from their employers” – this is known as shadow AI now by the practitioner world (</w:t>
      </w:r>
      <w:hyperlink r:id="rId74" w:tooltip="Ivanti (2025) 2025 Technology at Work Report: Reshaping Flexible Work. South Jordan, UT: Ivanti. Available at: https://www.ivanti.com/resources/research-reports/tech-at-work (Accessed: 26 August 2026).">
        <w:r>
          <w:rPr>
            <w:color w:val="1F4E79"/>
          </w:rPr>
          <w:t>Ivanti, 2025</w:t>
        </w:r>
      </w:hyperlink>
      <w:r>
        <w:t xml:space="preserve">). Here are the reasons offered: 36 per cent said it is better to keep the ability to the company, 30 per cent said they felt at risk to losing their job if they spoke up. This directly relates to the situation of the governance gap in the qualitative data in this study. However, because many if not much of the present workforce is already using AI tools beyond any organisational bounds of trust, the conditional trust—trust that requires transparency and human oversight—as reported by the respondents in this study, is not a penumbral or abstract preference, but a reaction to a still quite underdeveloped governance context. Mirroring the employer side, PwC's survey of senior business leaders shows that </w:t>
      </w:r>
      <w:r>
        <w:lastRenderedPageBreak/>
        <w:t>organisations are continuing on their path to clear ownership and accountability for the governance of responsible AI (</w:t>
      </w:r>
      <w:hyperlink r:id="rId75" w:tooltip="PwC (2025b) PwC’s 2025 Responsible AI Survey: From Policy to Practice. New York: PricewaterhouseCoopers. Available at: https://www.pwc.com/us/en/tech-effect/ai-analytics/responsible-ai-survey.html (Accessed: 26 August 2026).">
        <w:r>
          <w:rPr>
            <w:color w:val="1F4E79"/>
          </w:rPr>
          <w:t>PwC, 2025b</w:t>
        </w:r>
      </w:hyperlink>
      <w:r>
        <w:t>).</w:t>
      </w:r>
    </w:p>
    <w:p w14:paraId="0BEE7AA3" w14:textId="77777777" w:rsidR="002B63F6" w:rsidRDefault="00AD0C24" w:rsidP="00AD0C24">
      <w:r>
        <w:t>One practical implication carries into the recommendations in Chapter Six. The governance that respondents in this study treat as a precondition of trust is no longer only a matter of internal good practice; it is increasingly a regulatory requirement. Organisations without a transparent, human-readable account of how AI informs decisions in their workplaces face a double disadvantage: the loss of employee trust measured here, and a regulatory environment that continues to tighten.</w:t>
      </w:r>
    </w:p>
    <w:p w14:paraId="56E36C3F" w14:textId="77777777" w:rsidR="002B63F6" w:rsidRDefault="00000000">
      <w:pPr>
        <w:pStyle w:val="Heading2"/>
      </w:pPr>
      <w:r>
        <w:t>2.10 Synthesis and Conceptual Framework</w:t>
      </w:r>
    </w:p>
    <w:p w14:paraId="6DBC8D18" w14:textId="77777777" w:rsidR="00AD0C24" w:rsidRDefault="00AD0C24" w:rsidP="00AD0C24">
      <w:r>
        <w:t>Drawing the strands above together, this chapter proposes a theoretical matrix for the chapters that follow. At the outer, behavioural level, TAM and its derivatives (TAM2, UTAUT, and the trust- and ethics-augmented variants) explain why students and future recruits are likely to adopt generative AI tools readily: the tools are seen as useful and easy to use, are supported by favourable subjective norms and are now attached to an emerging ethical framework for responsible use. At the inner, motivational level, SDT specifies the conditions under which adoption converts into sustained engagement rather than eventual disengagement or resistance — namely that it maintains or enhances autonomy, competence and, above all, relatedness. Adoption perceived to threaten relatedness, however efficient, risks damaging the very process it was meant to serve.</w:t>
      </w:r>
    </w:p>
    <w:p w14:paraId="757DB43F" w14:textId="77777777" w:rsidR="002B63F6" w:rsidRDefault="00AD0C24" w:rsidP="00AD0C24">
      <w:r>
        <w:t>Layered onto this dual framework is the empirical work on hybrid leadership, virtual team dynamics and digital burnout, which identifies communication load, trust formation and psychological safety as the processes determining whether hybrid working succeeds. Together these yield a testable working expectation. Generative AI will be received most favourably where it demonstrably lightens communication load and administrative burden, adding to the resource side of the JD-R equation. It will be received most cautiously where it appears to displace the relational and emotionally attentive dimensions of leadership that such relief was supposed to free time for, and most cautiously of all where the need for relatedness is at stake. This expectation informs both the design set out in Chapter Three and the interpretation offered in Chapters Four and Five.</w:t>
      </w:r>
    </w:p>
    <w:p w14:paraId="7278CFB1" w14:textId="77777777" w:rsidR="002B63F6" w:rsidRDefault="00000000">
      <w:pPr>
        <w:pStyle w:val="Heading1"/>
        <w:pageBreakBefore/>
      </w:pPr>
      <w:r>
        <w:lastRenderedPageBreak/>
        <w:t>Chapter 3: Methodology</w:t>
      </w:r>
    </w:p>
    <w:p w14:paraId="1FC4AE6A" w14:textId="77777777" w:rsidR="002B63F6" w:rsidRDefault="00000000">
      <w:pPr>
        <w:pStyle w:val="Heading2"/>
      </w:pPr>
      <w:r>
        <w:t>3.1 Philosophical Foundations and the Pragmatic Paradigm</w:t>
      </w:r>
    </w:p>
    <w:p w14:paraId="5763EEC0" w14:textId="77777777" w:rsidR="00AD0C24" w:rsidRDefault="00AD0C24" w:rsidP="00AD0C24">
      <w:r>
        <w:t>This study of university students’ perceptions of generative artificial intelligence in hybrid management is situated within a pragmatic research paradigm. Social science research has tended to draw a sharp division between positivism, concerned with what is objective and quantifiable, and interpretivism, concerned with what is subjective, lived and resistant to quantification. Pragmatism sets that division aside in favour of the problem under investigation, treating quantitative and qualitative methods not as opposing philosophies but as complementary approaches to social inquiry.</w:t>
      </w:r>
    </w:p>
    <w:p w14:paraId="2FCB1836" w14:textId="77777777" w:rsidR="002B63F6" w:rsidRDefault="00AD0C24" w:rsidP="00AD0C24">
      <w:r>
        <w:t>The paradigm suits the interaction between generative AI and hybrid working particularly well. Perceptions of these technologies involve both measurable behaviours, such as frequency of use and self-reported confidence, and deeply contextual human values such as digital trust, organisational empathy and belonging. A purely positivist design confined to Likert items would capture the range of student responses but risk obscuring their texture, especially around the emotionally charged constructs of relatedness and authentic connection. A purely interpretivist design confined to open-ended analysis would yield explanatory insight into individual cases while forfeiting any benchmark for the prevalence and intensity of attitudes across the sample. The pragmatic paradigm allows both kinds of evidence to be gathered and interpreted within a single design, answering questions of extent and of motivation together.</w:t>
      </w:r>
    </w:p>
    <w:p w14:paraId="1D6CAF01" w14:textId="77777777" w:rsidR="002B63F6" w:rsidRDefault="00000000">
      <w:pPr>
        <w:pStyle w:val="Heading2"/>
      </w:pPr>
      <w:r>
        <w:t>3.2 Convergent Parallel Design and Survey Architecture</w:t>
      </w:r>
    </w:p>
    <w:p w14:paraId="6D82759A" w14:textId="77777777" w:rsidR="00AD0C24" w:rsidRDefault="00AD0C24" w:rsidP="00AD0C24">
      <w:r>
        <w:t>Consistent with this philosophy, the study adopts a convergent parallel mixed-methods design. Quantitative and qualitative data are collected from the same survey in a single phase, analysed independently, and brought together at the interpretive stage. The parallel structure allows the overall trend observed in the statistical data to be checked against participants’ own accounts of when and how. The quantitative data might, for example, show strong agreement that AI streamlines communication, while the qualitative data reveal whether respondents regard that as an advantage or as a threat to authentic team-building.</w:t>
      </w:r>
    </w:p>
    <w:p w14:paraId="40E696A5" w14:textId="77777777" w:rsidR="00AD0C24" w:rsidRDefault="00AD0C24" w:rsidP="00AD0C24">
      <w:r>
        <w:t xml:space="preserve">Two alternatives were considered and set aside. A sequential explanatory design would have collected qualitative data in a second phase following analysis of the quantitative </w:t>
      </w:r>
      <w:r>
        <w:lastRenderedPageBreak/>
        <w:t>results. It was rejected on practical grounds: the timeframe of a taught MRes dissertation was judged too short for two phases of data collection, and single-phase collection was more likely to yield a study capable of answering the research questions. The reasons for not adopting a purely quantitative design are given in Section 3.1. The relatedness dimension of Self-Determination Theory concerns context-dependent human experience; a Likert-only instrument would have reduced it to a numerical proxy and eliminated the boundary reasoning that became Themes 2 and 3.</w:t>
      </w:r>
    </w:p>
    <w:p w14:paraId="692E21F6" w14:textId="77777777" w:rsidR="002B63F6" w:rsidRDefault="00AD0C24" w:rsidP="00AD0C24">
      <w:r>
        <w:t xml:space="preserve">A survey instrument was divided into three sections. The former gathered background and demographic data such as field of study, level of study, age range and previous hybrid/remote work experiences. The second section consisted of a set of closed Likert-type questions (Strongly Disagree (SD) - Strongly Agree (SA)) on self-perceived confidence with using GenAI tools, perception of the usefulness vs operational costs of AI in hybrid leadership, and perception risk about AI reducing interpersonal connection, trust and burnout. The third section was open-ended qualitative prompts where participants were asked to detail, in their own words, how they thought that GenAI could facilitate or impede hybrid leaders in fostering team motivation and cohesion. The demographic section places respondents in the diffusion context outlined by </w:t>
      </w:r>
      <w:hyperlink w:anchor="ref_Rogers1962" w:tooltip="Rogers, E.M. (1962) Diffusion of Innovations. New York: Free Press.">
        <w:r>
          <w:rPr>
            <w:color w:val="1F4E79"/>
          </w:rPr>
          <w:t>Rogers (1962)</w:t>
        </w:r>
      </w:hyperlink>
      <w:r>
        <w:t>, the Likert items are connected to the constructs of TAM (perceived usefulness, perceived ease of use) and SDT (autonomy, competence, relatedness), and the open-ended items provide the opportunity to let themes emerge that are not fully anticipated within the closed item design.</w:t>
      </w:r>
    </w:p>
    <w:p w14:paraId="29D9DB65" w14:textId="77777777" w:rsidR="002B63F6" w:rsidRDefault="00000000">
      <w:pPr>
        <w:pStyle w:val="Heading2"/>
      </w:pPr>
      <w:r>
        <w:t>3.3 Sampling Strategy, Sample Composition, and Research Ethics</w:t>
      </w:r>
    </w:p>
    <w:p w14:paraId="25C2834A" w14:textId="77777777" w:rsidR="00AD0C24" w:rsidRDefault="00AD0C24" w:rsidP="00AD0C24">
      <w:r>
        <w:t>Primary data were gathered from a sample of 42 respondents through a combination of purposive and convenience sampling, drawn from a postgraduate and advanced undergraduate cohort at York St John University, London Campus, all of whom had placement experience or had worked part-time or full-time in a hybrid or remote setting. This is a non-probability strategy of the kind commonly adopted in exploratory dissertation research, where richness and relevance of perspective take priority over statistical representativeness.</w:t>
      </w:r>
    </w:p>
    <w:p w14:paraId="3233804E" w14:textId="77777777" w:rsidR="00AD0C24" w:rsidRDefault="00AD0C24" w:rsidP="00AD0C24">
      <w:r>
        <w:t xml:space="preserve">The actual respondents who were obtained for this dissertation were 42. In Chapter Four absolute numbers are given with all percentages so that the reader always has the number of people to which a percentage refers. Since 42 is the denominator at every denominator, </w:t>
      </w:r>
      <w:r>
        <w:lastRenderedPageBreak/>
        <w:t>the percentages are reported only to one decimal place, and should be understood as indicative of the distributional tendency, and should not be interpreted as precise estimates of the population size. Any weighting, scaling, imputation/</w:t>
      </w:r>
      <w:proofErr w:type="spellStart"/>
      <w:r>
        <w:t>extrrapolation</w:t>
      </w:r>
      <w:proofErr w:type="spellEnd"/>
      <w:r>
        <w:t xml:space="preserve"> of data at any point was not implemented.</w:t>
      </w:r>
    </w:p>
    <w:p w14:paraId="7CCE02AE" w14:textId="77777777" w:rsidR="00AD0C24" w:rsidRDefault="00AD0C24" w:rsidP="00AD0C24">
      <w:r>
        <w:t>Each participant received an information sheet setting out the nature of the study, the terms of consent and the right to withdraw at any point before analysis. Participants completed the survey online after giving informed consent. No personally identifying details were collected; all qualitative responses referred to in Chapter Four are anonymous, and illustrative quotations are identified only by an arbitrary number. The research design, information sheet and consent procedure were reviewed and approved under York St John University’s research ethics procedures before data collection began.</w:t>
      </w:r>
    </w:p>
    <w:p w14:paraId="0649BEF5" w14:textId="77777777" w:rsidR="002B63F6" w:rsidRDefault="00AD0C24" w:rsidP="00AD0C24">
      <w:r>
        <w:t>The open-ended prompts described in Section 3.2 required particular care, since they invite more personally revealing responses than closed Likert items. The information sheet stated that any quotations used would be anonymised and could not be traced to an individual, and offered participants the option of completing only the closed items; no participant took that option. The prompts were also designed so that none required the naming of employers, the disclosure of specific incidents, or any information that could reasonably create professional or reputational risk for the participant or a third party. Where identifying detail nonetheless appeared in a free-text response, it was removed or generalised during the anonymisation described in Section 3.9 before that response was considered for inclusion in Chapter Four.</w:t>
      </w:r>
    </w:p>
    <w:p w14:paraId="562F664A" w14:textId="77777777" w:rsidR="002B63F6" w:rsidRDefault="00000000">
      <w:pPr>
        <w:pStyle w:val="Heading2"/>
      </w:pPr>
      <w:r>
        <w:t>3.4 Sample Size Justification and Statistical Power Considerations</w:t>
      </w:r>
    </w:p>
    <w:p w14:paraId="737401F1" w14:textId="77777777" w:rsidR="002B63F6" w:rsidRDefault="00CA41CE" w:rsidP="00CA41CE">
      <w:r w:rsidRPr="00CA41CE">
        <w:t xml:space="preserve">No formal power calculation determined the sample size of n = 42; it was dictated by the size of the available sampling frame, so its sufficiency must be justified on other grounds. Three arguments apply. The first concerns analytic purpose. This dissertation makes no inferential statement about a population parameter; the quantitative strand is descriptive, establishing the direction and relative strength of sentiment across theoretically derived constructs, and a power calculation tests the sensitivity of a significance test that is not being computed. The second concerns the qualitative strand and rests on informational adequacy rather than number. Thirty-nine free-text responses were returned to each prompt, and coding reached the point at which no further response produced a new code: the last eight responses to the concerns prompt yielded no category not already present. </w:t>
      </w:r>
      <w:r w:rsidRPr="00CA41CE">
        <w:lastRenderedPageBreak/>
        <w:t>The third concerns composition rather than size. Thirty-two of the 42 respondents (76.2 per cent) had direct experience of hybrid or remote working and 35 (83.3 per cent) were studying business or management. A view onto a group with such recent and pertinent experience carries greater analytic weight when the research question asks how a professionally experienced cohort reasons about hybrid leadership. The limits nonetheless remain and should be quantified. A single respondent alters a reported proportion by 2.4 percentage points, and the 95 per cent confidence interval around a proportion near 50 per cent is approximately 15 percentage points. Sub-group comparisons rest on as few as seven respondents per cell. No significance testing is reported, nor would it be justified at these cell sizes, and no claim to representativeness of the wider UK student population is made anywhere in this dissertation. Where Chapter Four notes differences between sub-groups, those differences are offered as signals to be read alongside the qualitative data, not as results standing on their own.</w:t>
      </w:r>
    </w:p>
    <w:p w14:paraId="447B6B51" w14:textId="77777777" w:rsidR="002B63F6" w:rsidRDefault="00000000">
      <w:pPr>
        <w:pStyle w:val="Heading2"/>
      </w:pPr>
      <w:r>
        <w:t>3.5 Instrument Development and Construct Validity</w:t>
      </w:r>
    </w:p>
    <w:p w14:paraId="4DD0EA80" w14:textId="77777777" w:rsidR="002B63F6" w:rsidRDefault="00CA41CE">
      <w:r w:rsidRPr="00CA41CE">
        <w:t>The items in the survey instrument were adapted directly from the constructs that were identified in the theoretical framework presented in Chapter Two, and that were measured as Likert-scale items. Items related to self-reported confidence and platform familiarity were developed to capture the Perceived Ease of Use construct that is central to TAM (</w:t>
      </w:r>
      <w:hyperlink r:id="rId76" w:tooltip="Davis, F.D. (1989) ‘Perceived usefulness, perceived ease of use, and user acceptance of information technology’, MIS Quarterly, 13(3), pp. 319-340. Available at: https://doi.org/10.2307/249008 (Accessed: 26 August 2026).">
        <w:r w:rsidRPr="00CA41CE">
          <w:rPr>
            <w:color w:val="1F4E79"/>
          </w:rPr>
          <w:t>Davis, 1989</w:t>
        </w:r>
      </w:hyperlink>
      <w:r w:rsidRPr="00CA41CE">
        <w:t>); items related to the contribution of AI in communication, motivation and burnout reduction were developed to capture Perceived Usefulness in the particular context of hybrid leadership; and items related to authentic human connection, trust between leaders and staff and the eternal importance of emotional intelligence were developed to capture the relatedness dimension that is central to SDT (</w:t>
      </w:r>
      <w:hyperlink r:id="rId77" w:tooltip="Deci, E.L. and Ryan, R.M. (2000) ‘The ">
        <w:r w:rsidRPr="00CA41CE">
          <w:rPr>
            <w:color w:val="1F4E79"/>
          </w:rPr>
          <w:t>Deci and Ryan, 2000</w:t>
        </w:r>
      </w:hyperlink>
      <w:r w:rsidRPr="00CA41CE">
        <w:t xml:space="preserve">; </w:t>
      </w:r>
      <w:hyperlink w:anchor="ref_Ryan2017" w:tooltip="Ryan, R.M. and Deci, E.L. (2017) Self-Determination Theory: Basic Psychological Needs in Motivation, Development, and Wellness. New York: Guilford Press.">
        <w:r w:rsidRPr="00CA41CE">
          <w:rPr>
            <w:color w:val="1F4E79"/>
          </w:rPr>
          <w:t>Ryan and Deci, 2017</w:t>
        </w:r>
      </w:hyperlink>
      <w:r w:rsidRPr="00CA41CE">
        <w:t>). This intentional construction of mapping, summarised below in Table 3.1, provides a matrix in which the quantitative findings to be reported in Chapter Four can be analysed as such, rather than as a set of descriptive data without any theoretical underpinning.</w:t>
      </w:r>
    </w:p>
    <w:p w14:paraId="62C115CD" w14:textId="77777777" w:rsidR="002B63F6" w:rsidRDefault="00000000">
      <w:pPr>
        <w:keepNext/>
        <w:spacing w:before="200" w:after="80"/>
        <w:jc w:val="left"/>
      </w:pPr>
      <w:r>
        <w:rPr>
          <w:b/>
          <w:sz w:val="20"/>
        </w:rPr>
        <w:t>Table 3.1: Mapping of Survey Constructs to Theoretical Framework</w:t>
      </w:r>
    </w:p>
    <w:tbl>
      <w:tblPr>
        <w:tblStyle w:val="TableGrid"/>
        <w:tblW w:w="0" w:type="auto"/>
        <w:jc w:val="center"/>
        <w:tblLook w:val="04A0" w:firstRow="1" w:lastRow="0" w:firstColumn="1" w:lastColumn="0" w:noHBand="0" w:noVBand="1"/>
      </w:tblPr>
      <w:tblGrid>
        <w:gridCol w:w="2833"/>
        <w:gridCol w:w="2831"/>
        <w:gridCol w:w="2831"/>
      </w:tblGrid>
      <w:tr w:rsidR="002B63F6" w14:paraId="7F97782E" w14:textId="77777777">
        <w:trPr>
          <w:tblHeader/>
          <w:jc w:val="center"/>
        </w:trPr>
        <w:tc>
          <w:tcPr>
            <w:tcW w:w="2835" w:type="dxa"/>
            <w:shd w:val="clear" w:color="auto" w:fill="DCDCDC"/>
          </w:tcPr>
          <w:p w14:paraId="246E497E" w14:textId="77777777" w:rsidR="002B63F6" w:rsidRDefault="00000000">
            <w:pPr>
              <w:spacing w:after="20" w:line="240" w:lineRule="auto"/>
              <w:jc w:val="left"/>
            </w:pPr>
            <w:r>
              <w:rPr>
                <w:b/>
                <w:sz w:val="18"/>
              </w:rPr>
              <w:t>Survey Item Cluster</w:t>
            </w:r>
          </w:p>
        </w:tc>
        <w:tc>
          <w:tcPr>
            <w:tcW w:w="2835" w:type="dxa"/>
            <w:shd w:val="clear" w:color="auto" w:fill="DCDCDC"/>
          </w:tcPr>
          <w:p w14:paraId="36062F74" w14:textId="77777777" w:rsidR="002B63F6" w:rsidRDefault="00000000">
            <w:pPr>
              <w:spacing w:after="20" w:line="240" w:lineRule="auto"/>
              <w:jc w:val="left"/>
            </w:pPr>
            <w:r>
              <w:rPr>
                <w:b/>
                <w:sz w:val="18"/>
              </w:rPr>
              <w:t>Theoretical Construct</w:t>
            </w:r>
          </w:p>
        </w:tc>
        <w:tc>
          <w:tcPr>
            <w:tcW w:w="2835" w:type="dxa"/>
            <w:shd w:val="clear" w:color="auto" w:fill="DCDCDC"/>
          </w:tcPr>
          <w:p w14:paraId="26575653" w14:textId="77777777" w:rsidR="002B63F6" w:rsidRDefault="00000000">
            <w:pPr>
              <w:spacing w:after="20" w:line="240" w:lineRule="auto"/>
              <w:jc w:val="left"/>
            </w:pPr>
            <w:r>
              <w:rPr>
                <w:b/>
                <w:sz w:val="18"/>
              </w:rPr>
              <w:t>Framework</w:t>
            </w:r>
          </w:p>
        </w:tc>
      </w:tr>
      <w:tr w:rsidR="002B63F6" w14:paraId="09394E0C" w14:textId="77777777">
        <w:trPr>
          <w:jc w:val="center"/>
        </w:trPr>
        <w:tc>
          <w:tcPr>
            <w:tcW w:w="2835" w:type="dxa"/>
          </w:tcPr>
          <w:p w14:paraId="70EA683B" w14:textId="77777777" w:rsidR="002B63F6" w:rsidRDefault="00000000">
            <w:pPr>
              <w:spacing w:after="20" w:line="240" w:lineRule="auto"/>
              <w:jc w:val="left"/>
            </w:pPr>
            <w:r>
              <w:rPr>
                <w:sz w:val="18"/>
              </w:rPr>
              <w:t>V1 (confidence/familiarity)</w:t>
            </w:r>
          </w:p>
        </w:tc>
        <w:tc>
          <w:tcPr>
            <w:tcW w:w="2835" w:type="dxa"/>
          </w:tcPr>
          <w:p w14:paraId="6BAD9272" w14:textId="77777777" w:rsidR="002B63F6" w:rsidRDefault="00000000">
            <w:pPr>
              <w:spacing w:after="20" w:line="240" w:lineRule="auto"/>
              <w:jc w:val="left"/>
            </w:pPr>
            <w:r>
              <w:rPr>
                <w:sz w:val="18"/>
              </w:rPr>
              <w:t>Perceived Ease of Use</w:t>
            </w:r>
          </w:p>
        </w:tc>
        <w:tc>
          <w:tcPr>
            <w:tcW w:w="2835" w:type="dxa"/>
          </w:tcPr>
          <w:p w14:paraId="7CD818B8" w14:textId="77777777" w:rsidR="002B63F6" w:rsidRDefault="00000000">
            <w:pPr>
              <w:spacing w:after="20" w:line="240" w:lineRule="auto"/>
              <w:jc w:val="left"/>
            </w:pPr>
            <w:r>
              <w:rPr>
                <w:sz w:val="18"/>
              </w:rPr>
              <w:t>TAM</w:t>
            </w:r>
          </w:p>
        </w:tc>
      </w:tr>
      <w:tr w:rsidR="002B63F6" w14:paraId="49401E33" w14:textId="77777777">
        <w:trPr>
          <w:jc w:val="center"/>
        </w:trPr>
        <w:tc>
          <w:tcPr>
            <w:tcW w:w="2835" w:type="dxa"/>
          </w:tcPr>
          <w:p w14:paraId="7673D7EE" w14:textId="77777777" w:rsidR="002B63F6" w:rsidRDefault="00000000">
            <w:pPr>
              <w:spacing w:after="20" w:line="240" w:lineRule="auto"/>
              <w:jc w:val="left"/>
            </w:pPr>
            <w:r>
              <w:rPr>
                <w:sz w:val="18"/>
              </w:rPr>
              <w:t>V2, V7 (communication, burnout reduction)</w:t>
            </w:r>
          </w:p>
        </w:tc>
        <w:tc>
          <w:tcPr>
            <w:tcW w:w="2835" w:type="dxa"/>
          </w:tcPr>
          <w:p w14:paraId="552FC0CB" w14:textId="77777777" w:rsidR="002B63F6" w:rsidRDefault="00000000">
            <w:pPr>
              <w:spacing w:after="20" w:line="240" w:lineRule="auto"/>
              <w:jc w:val="left"/>
            </w:pPr>
            <w:r>
              <w:rPr>
                <w:sz w:val="18"/>
              </w:rPr>
              <w:t>Perceived Usefulness</w:t>
            </w:r>
          </w:p>
        </w:tc>
        <w:tc>
          <w:tcPr>
            <w:tcW w:w="2835" w:type="dxa"/>
          </w:tcPr>
          <w:p w14:paraId="240404FD" w14:textId="77777777" w:rsidR="002B63F6" w:rsidRDefault="00000000">
            <w:pPr>
              <w:spacing w:after="20" w:line="240" w:lineRule="auto"/>
              <w:jc w:val="left"/>
            </w:pPr>
            <w:r>
              <w:rPr>
                <w:sz w:val="18"/>
              </w:rPr>
              <w:t>TAM</w:t>
            </w:r>
          </w:p>
        </w:tc>
      </w:tr>
      <w:tr w:rsidR="002B63F6" w14:paraId="47F1319F" w14:textId="77777777">
        <w:trPr>
          <w:jc w:val="center"/>
        </w:trPr>
        <w:tc>
          <w:tcPr>
            <w:tcW w:w="2835" w:type="dxa"/>
          </w:tcPr>
          <w:p w14:paraId="3BD35E86" w14:textId="77777777" w:rsidR="002B63F6" w:rsidRDefault="00000000">
            <w:pPr>
              <w:spacing w:after="20" w:line="240" w:lineRule="auto"/>
              <w:jc w:val="left"/>
            </w:pPr>
            <w:r>
              <w:rPr>
                <w:sz w:val="18"/>
              </w:rPr>
              <w:t>V3, V4 (motivation, personalised feedback)</w:t>
            </w:r>
          </w:p>
        </w:tc>
        <w:tc>
          <w:tcPr>
            <w:tcW w:w="2835" w:type="dxa"/>
          </w:tcPr>
          <w:p w14:paraId="36DE05E9" w14:textId="77777777" w:rsidR="002B63F6" w:rsidRDefault="00000000">
            <w:pPr>
              <w:spacing w:after="20" w:line="240" w:lineRule="auto"/>
              <w:jc w:val="left"/>
            </w:pPr>
            <w:r>
              <w:rPr>
                <w:sz w:val="18"/>
              </w:rPr>
              <w:t>Competence support</w:t>
            </w:r>
          </w:p>
        </w:tc>
        <w:tc>
          <w:tcPr>
            <w:tcW w:w="2835" w:type="dxa"/>
          </w:tcPr>
          <w:p w14:paraId="7E957D34" w14:textId="77777777" w:rsidR="002B63F6" w:rsidRDefault="00000000">
            <w:pPr>
              <w:spacing w:after="20" w:line="240" w:lineRule="auto"/>
              <w:jc w:val="left"/>
            </w:pPr>
            <w:r>
              <w:rPr>
                <w:sz w:val="18"/>
              </w:rPr>
              <w:t>SDT</w:t>
            </w:r>
          </w:p>
        </w:tc>
      </w:tr>
      <w:tr w:rsidR="002B63F6" w14:paraId="63125B85" w14:textId="77777777">
        <w:trPr>
          <w:jc w:val="center"/>
        </w:trPr>
        <w:tc>
          <w:tcPr>
            <w:tcW w:w="2835" w:type="dxa"/>
          </w:tcPr>
          <w:p w14:paraId="0B0972D0" w14:textId="77777777" w:rsidR="002B63F6" w:rsidRDefault="00000000">
            <w:pPr>
              <w:spacing w:after="20" w:line="240" w:lineRule="auto"/>
              <w:jc w:val="left"/>
            </w:pPr>
            <w:r>
              <w:rPr>
                <w:sz w:val="18"/>
              </w:rPr>
              <w:t>V5, V6 (authentic connection, trust risk)</w:t>
            </w:r>
          </w:p>
        </w:tc>
        <w:tc>
          <w:tcPr>
            <w:tcW w:w="2835" w:type="dxa"/>
          </w:tcPr>
          <w:p w14:paraId="04864512" w14:textId="77777777" w:rsidR="002B63F6" w:rsidRDefault="00000000">
            <w:pPr>
              <w:spacing w:after="20" w:line="240" w:lineRule="auto"/>
              <w:jc w:val="left"/>
            </w:pPr>
            <w:r>
              <w:rPr>
                <w:sz w:val="18"/>
              </w:rPr>
              <w:t>Relatedness</w:t>
            </w:r>
          </w:p>
        </w:tc>
        <w:tc>
          <w:tcPr>
            <w:tcW w:w="2835" w:type="dxa"/>
          </w:tcPr>
          <w:p w14:paraId="2E147D29" w14:textId="77777777" w:rsidR="002B63F6" w:rsidRDefault="00000000">
            <w:pPr>
              <w:spacing w:after="20" w:line="240" w:lineRule="auto"/>
              <w:jc w:val="left"/>
            </w:pPr>
            <w:r>
              <w:rPr>
                <w:sz w:val="18"/>
              </w:rPr>
              <w:t>SDT</w:t>
            </w:r>
          </w:p>
        </w:tc>
      </w:tr>
      <w:tr w:rsidR="002B63F6" w14:paraId="272E820A" w14:textId="77777777">
        <w:trPr>
          <w:jc w:val="center"/>
        </w:trPr>
        <w:tc>
          <w:tcPr>
            <w:tcW w:w="2835" w:type="dxa"/>
          </w:tcPr>
          <w:p w14:paraId="524DDE0C" w14:textId="77777777" w:rsidR="002B63F6" w:rsidRDefault="00000000">
            <w:pPr>
              <w:spacing w:after="20" w:line="240" w:lineRule="auto"/>
              <w:jc w:val="left"/>
            </w:pPr>
            <w:r>
              <w:rPr>
                <w:sz w:val="18"/>
              </w:rPr>
              <w:lastRenderedPageBreak/>
              <w:t>V8 (emotional intelligence primacy)</w:t>
            </w:r>
          </w:p>
        </w:tc>
        <w:tc>
          <w:tcPr>
            <w:tcW w:w="2835" w:type="dxa"/>
          </w:tcPr>
          <w:p w14:paraId="104C5F4F" w14:textId="77777777" w:rsidR="002B63F6" w:rsidRDefault="00000000">
            <w:pPr>
              <w:spacing w:after="20" w:line="240" w:lineRule="auto"/>
              <w:jc w:val="left"/>
            </w:pPr>
            <w:r>
              <w:rPr>
                <w:sz w:val="18"/>
              </w:rPr>
              <w:t>Relatedness / Autonomy</w:t>
            </w:r>
          </w:p>
        </w:tc>
        <w:tc>
          <w:tcPr>
            <w:tcW w:w="2835" w:type="dxa"/>
          </w:tcPr>
          <w:p w14:paraId="5CF11138" w14:textId="77777777" w:rsidR="002B63F6" w:rsidRDefault="00000000">
            <w:pPr>
              <w:spacing w:after="20" w:line="240" w:lineRule="auto"/>
              <w:jc w:val="left"/>
            </w:pPr>
            <w:r>
              <w:rPr>
                <w:sz w:val="18"/>
              </w:rPr>
              <w:t>SDT</w:t>
            </w:r>
          </w:p>
        </w:tc>
      </w:tr>
      <w:tr w:rsidR="002B63F6" w14:paraId="155A509E" w14:textId="77777777">
        <w:trPr>
          <w:jc w:val="center"/>
        </w:trPr>
        <w:tc>
          <w:tcPr>
            <w:tcW w:w="2835" w:type="dxa"/>
          </w:tcPr>
          <w:p w14:paraId="3E3F744D" w14:textId="77777777" w:rsidR="002B63F6" w:rsidRDefault="00000000">
            <w:pPr>
              <w:spacing w:after="20" w:line="240" w:lineRule="auto"/>
              <w:jc w:val="left"/>
            </w:pPr>
            <w:r>
              <w:rPr>
                <w:sz w:val="18"/>
              </w:rPr>
              <w:t>V9 (overall net benefit)</w:t>
            </w:r>
          </w:p>
        </w:tc>
        <w:tc>
          <w:tcPr>
            <w:tcW w:w="2835" w:type="dxa"/>
          </w:tcPr>
          <w:p w14:paraId="235D906E" w14:textId="77777777" w:rsidR="002B63F6" w:rsidRDefault="00000000">
            <w:pPr>
              <w:spacing w:after="20" w:line="240" w:lineRule="auto"/>
              <w:jc w:val="left"/>
            </w:pPr>
            <w:r>
              <w:rPr>
                <w:sz w:val="18"/>
              </w:rPr>
              <w:t>Behavioural intention</w:t>
            </w:r>
          </w:p>
        </w:tc>
        <w:tc>
          <w:tcPr>
            <w:tcW w:w="2835" w:type="dxa"/>
          </w:tcPr>
          <w:p w14:paraId="577A995C" w14:textId="77777777" w:rsidR="002B63F6" w:rsidRDefault="00000000">
            <w:pPr>
              <w:spacing w:after="20" w:line="240" w:lineRule="auto"/>
              <w:jc w:val="left"/>
            </w:pPr>
            <w:r>
              <w:rPr>
                <w:sz w:val="18"/>
              </w:rPr>
              <w:t>TAM</w:t>
            </w:r>
          </w:p>
        </w:tc>
      </w:tr>
    </w:tbl>
    <w:p w14:paraId="44D369FB" w14:textId="77777777" w:rsidR="002B63F6" w:rsidRDefault="002B63F6">
      <w:pPr>
        <w:spacing w:after="160"/>
      </w:pPr>
    </w:p>
    <w:p w14:paraId="7D959EF1" w14:textId="77777777" w:rsidR="002B63F6" w:rsidRDefault="00CA41CE">
      <w:r w:rsidRPr="00CA41CE">
        <w:t>The qualitative prompts also were conceived as loosely structured, leaving open-ended thematic material that addressed the same constructs so that the qualitative thematic analysis (Chapter Four) would both confirm and/or contest the overall pattern found from the quantitative data as described above.</w:t>
      </w:r>
    </w:p>
    <w:p w14:paraId="6FFF7ECE" w14:textId="77777777" w:rsidR="002B63F6" w:rsidRDefault="00000000">
      <w:pPr>
        <w:pStyle w:val="Heading2"/>
      </w:pPr>
      <w:r>
        <w:t>3.6 Data Analysis Strategy</w:t>
      </w:r>
    </w:p>
    <w:p w14:paraId="37B09D65" w14:textId="77777777" w:rsidR="002B63F6" w:rsidRDefault="00000000">
      <w:r>
        <w:t>Quantitative data were analysed using descriptive statistics, including frequency distributions, percentages, and mean scores for each Likert item, calculated across the full 42-respondent dataset. Where relevant, item means were interpreted against the mid-point of the five-point scale (3.00, representing a neutral position) to assess the direction and strength of aggregate sentiment.</w:t>
      </w:r>
    </w:p>
    <w:p w14:paraId="0D930F93" w14:textId="77777777" w:rsidR="002B63F6" w:rsidRDefault="00000000">
      <w:r>
        <w:t xml:space="preserve">Qualitative data were analysed using </w:t>
      </w:r>
      <w:hyperlink w:anchor="ref_Braun2022" w:tooltip="Braun, V. and Clarke, V. (2022) Thematic Analysis: A Practical Guide. London: SAGE.">
        <w:r w:rsidR="002B63F6">
          <w:rPr>
            <w:color w:val="1F4E79"/>
          </w:rPr>
          <w:t>Braun and Clarke’s (2022)</w:t>
        </w:r>
      </w:hyperlink>
      <w:r>
        <w:t xml:space="preserve"> reflexive thematic analysis approach, which involves six iterative phases: familiarisation with the data, generation of initial codes, searching for candidate themes, reviewing themes against the coded extracts and the full dataset, defining and naming themes, and producing the final analytic narrative. This method was selected because it explicitly accommodates the researcher’s active, reflexive role in theme construction, which is appropriate for a dissertation explicitly organised around a pre-specified theoretical framework (TAM and SDT), while still allowing space for inductive themes to emerge from the data that were not fully anticipated by that framework. The qualitative findings presented in Chapter Four therefore reflect a hybrid deductive-inductive coding process: initial coding categories were informed by the theoretical constructs summarised in Table 3.1, but the final thematic structure was permitted to evolve where the data suggested additional or more precise thematic distinctions.</w:t>
      </w:r>
    </w:p>
    <w:p w14:paraId="5DC932BF" w14:textId="77777777" w:rsidR="002B63F6" w:rsidRDefault="00000000">
      <w:pPr>
        <w:pStyle w:val="Heading2"/>
      </w:pPr>
      <w:r>
        <w:t>3.7 Reliability, Validity, and Trustworthiness</w:t>
      </w:r>
    </w:p>
    <w:p w14:paraId="0AACBA02" w14:textId="77777777" w:rsidR="002B63F6" w:rsidRDefault="00000000">
      <w:r>
        <w:t>Internal consistency was assessed formally rather than by inspection. Cronbach’s alpha was calculated for each multi-item construct derived from the mapping in Table 3.1, and the results are reported in Table 3.2. Alpha was computed on the full 42-respondent matrix with no imputation, since no perceptual item contained missing data.</w:t>
      </w:r>
    </w:p>
    <w:p w14:paraId="1F68926E" w14:textId="77777777" w:rsidR="002B63F6" w:rsidRDefault="00000000">
      <w:pPr>
        <w:keepNext/>
      </w:pPr>
      <w:r>
        <w:lastRenderedPageBreak/>
        <w:t>Table 3.2: Internal Consistency of the Perceptual Constructs (N = 42)</w:t>
      </w:r>
    </w:p>
    <w:tbl>
      <w:tblPr>
        <w:tblStyle w:val="TableGrid"/>
        <w:tblW w:w="0" w:type="auto"/>
        <w:tblLayout w:type="fixed"/>
        <w:tblLook w:val="04A0" w:firstRow="1" w:lastRow="0" w:firstColumn="1" w:lastColumn="0" w:noHBand="0" w:noVBand="1"/>
      </w:tblPr>
      <w:tblGrid>
        <w:gridCol w:w="2268"/>
        <w:gridCol w:w="1077"/>
        <w:gridCol w:w="1984"/>
        <w:gridCol w:w="510"/>
        <w:gridCol w:w="794"/>
        <w:gridCol w:w="964"/>
      </w:tblGrid>
      <w:tr w:rsidR="00ED400F" w14:paraId="01D13E72" w14:textId="77777777">
        <w:trPr>
          <w:cantSplit/>
          <w:tblHeader/>
        </w:trPr>
        <w:tc>
          <w:tcPr>
            <w:tcW w:w="2268" w:type="dxa"/>
          </w:tcPr>
          <w:p w14:paraId="09C6462E" w14:textId="77777777" w:rsidR="00ED400F" w:rsidRDefault="00000000">
            <w:r>
              <w:rPr>
                <w:b/>
              </w:rPr>
              <w:t>Construct</w:t>
            </w:r>
          </w:p>
        </w:tc>
        <w:tc>
          <w:tcPr>
            <w:tcW w:w="1077" w:type="dxa"/>
          </w:tcPr>
          <w:p w14:paraId="167EF960" w14:textId="77777777" w:rsidR="00ED400F" w:rsidRDefault="00000000">
            <w:r>
              <w:rPr>
                <w:b/>
              </w:rPr>
              <w:t>Framework</w:t>
            </w:r>
          </w:p>
        </w:tc>
        <w:tc>
          <w:tcPr>
            <w:tcW w:w="1984" w:type="dxa"/>
          </w:tcPr>
          <w:p w14:paraId="2031A73A" w14:textId="77777777" w:rsidR="00ED400F" w:rsidRDefault="00000000">
            <w:r>
              <w:rPr>
                <w:b/>
              </w:rPr>
              <w:t>Items</w:t>
            </w:r>
          </w:p>
        </w:tc>
        <w:tc>
          <w:tcPr>
            <w:tcW w:w="510" w:type="dxa"/>
          </w:tcPr>
          <w:p w14:paraId="2BE91D42" w14:textId="77777777" w:rsidR="00ED400F" w:rsidRDefault="00000000">
            <w:r>
              <w:rPr>
                <w:b/>
              </w:rPr>
              <w:t>k</w:t>
            </w:r>
          </w:p>
        </w:tc>
        <w:tc>
          <w:tcPr>
            <w:tcW w:w="794" w:type="dxa"/>
          </w:tcPr>
          <w:p w14:paraId="291447DE" w14:textId="77777777" w:rsidR="00ED400F" w:rsidRDefault="00000000">
            <w:r>
              <w:rPr>
                <w:b/>
              </w:rPr>
              <w:t>α</w:t>
            </w:r>
          </w:p>
        </w:tc>
        <w:tc>
          <w:tcPr>
            <w:tcW w:w="964" w:type="dxa"/>
          </w:tcPr>
          <w:p w14:paraId="0A15CFCA" w14:textId="77777777" w:rsidR="00ED400F" w:rsidRDefault="00000000">
            <w:r>
              <w:rPr>
                <w:b/>
              </w:rPr>
              <w:t>Mean r</w:t>
            </w:r>
          </w:p>
        </w:tc>
      </w:tr>
      <w:tr w:rsidR="00ED400F" w14:paraId="3D404972" w14:textId="77777777">
        <w:trPr>
          <w:cantSplit/>
        </w:trPr>
        <w:tc>
          <w:tcPr>
            <w:tcW w:w="2268" w:type="dxa"/>
          </w:tcPr>
          <w:p w14:paraId="53554885" w14:textId="77777777" w:rsidR="00ED400F" w:rsidRDefault="00000000">
            <w:r>
              <w:t>Perceived usefulness</w:t>
            </w:r>
          </w:p>
        </w:tc>
        <w:tc>
          <w:tcPr>
            <w:tcW w:w="1077" w:type="dxa"/>
          </w:tcPr>
          <w:p w14:paraId="09CBFD80" w14:textId="77777777" w:rsidR="00ED400F" w:rsidRDefault="00000000">
            <w:r>
              <w:t>TAM</w:t>
            </w:r>
          </w:p>
        </w:tc>
        <w:tc>
          <w:tcPr>
            <w:tcW w:w="1984" w:type="dxa"/>
          </w:tcPr>
          <w:p w14:paraId="71C8C02F" w14:textId="77777777" w:rsidR="00ED400F" w:rsidRDefault="00000000">
            <w:r>
              <w:t>V2, V3, V4, V7</w:t>
            </w:r>
          </w:p>
        </w:tc>
        <w:tc>
          <w:tcPr>
            <w:tcW w:w="510" w:type="dxa"/>
          </w:tcPr>
          <w:p w14:paraId="3D81BD1E" w14:textId="77777777" w:rsidR="00ED400F" w:rsidRDefault="00000000">
            <w:r>
              <w:t>4</w:t>
            </w:r>
          </w:p>
        </w:tc>
        <w:tc>
          <w:tcPr>
            <w:tcW w:w="794" w:type="dxa"/>
          </w:tcPr>
          <w:p w14:paraId="3540ED0F" w14:textId="77777777" w:rsidR="00ED400F" w:rsidRDefault="00000000">
            <w:r>
              <w:t>0.88</w:t>
            </w:r>
          </w:p>
        </w:tc>
        <w:tc>
          <w:tcPr>
            <w:tcW w:w="964" w:type="dxa"/>
          </w:tcPr>
          <w:p w14:paraId="16D32507" w14:textId="77777777" w:rsidR="00ED400F" w:rsidRDefault="00000000">
            <w:r>
              <w:t>0.63</w:t>
            </w:r>
          </w:p>
        </w:tc>
      </w:tr>
      <w:tr w:rsidR="00ED400F" w14:paraId="1B639EC5" w14:textId="77777777">
        <w:trPr>
          <w:cantSplit/>
        </w:trPr>
        <w:tc>
          <w:tcPr>
            <w:tcW w:w="2268" w:type="dxa"/>
          </w:tcPr>
          <w:p w14:paraId="664E7453" w14:textId="77777777" w:rsidR="00ED400F" w:rsidRDefault="00000000">
            <w:r>
              <w:t>Competence support</w:t>
            </w:r>
          </w:p>
        </w:tc>
        <w:tc>
          <w:tcPr>
            <w:tcW w:w="1077" w:type="dxa"/>
          </w:tcPr>
          <w:p w14:paraId="6AD19327" w14:textId="77777777" w:rsidR="00ED400F" w:rsidRDefault="00000000">
            <w:r>
              <w:t>SDT</w:t>
            </w:r>
          </w:p>
        </w:tc>
        <w:tc>
          <w:tcPr>
            <w:tcW w:w="1984" w:type="dxa"/>
          </w:tcPr>
          <w:p w14:paraId="05073ACE" w14:textId="77777777" w:rsidR="00ED400F" w:rsidRDefault="00000000">
            <w:r>
              <w:t>V3, V4</w:t>
            </w:r>
          </w:p>
        </w:tc>
        <w:tc>
          <w:tcPr>
            <w:tcW w:w="510" w:type="dxa"/>
          </w:tcPr>
          <w:p w14:paraId="0167993A" w14:textId="77777777" w:rsidR="00ED400F" w:rsidRDefault="00000000">
            <w:r>
              <w:t>2</w:t>
            </w:r>
          </w:p>
        </w:tc>
        <w:tc>
          <w:tcPr>
            <w:tcW w:w="794" w:type="dxa"/>
          </w:tcPr>
          <w:p w14:paraId="7E6DF5DF" w14:textId="77777777" w:rsidR="00ED400F" w:rsidRDefault="00000000">
            <w:r>
              <w:t>0.85</w:t>
            </w:r>
          </w:p>
        </w:tc>
        <w:tc>
          <w:tcPr>
            <w:tcW w:w="964" w:type="dxa"/>
          </w:tcPr>
          <w:p w14:paraId="5B7E67DE" w14:textId="77777777" w:rsidR="00ED400F" w:rsidRDefault="00000000">
            <w:r>
              <w:t>0.74</w:t>
            </w:r>
          </w:p>
        </w:tc>
      </w:tr>
      <w:tr w:rsidR="00ED400F" w14:paraId="47B247B6" w14:textId="77777777">
        <w:trPr>
          <w:cantSplit/>
        </w:trPr>
        <w:tc>
          <w:tcPr>
            <w:tcW w:w="2268" w:type="dxa"/>
          </w:tcPr>
          <w:p w14:paraId="57CEAD5A" w14:textId="77777777" w:rsidR="00ED400F" w:rsidRDefault="00000000">
            <w:r>
              <w:t>Relational risk</w:t>
            </w:r>
          </w:p>
        </w:tc>
        <w:tc>
          <w:tcPr>
            <w:tcW w:w="1077" w:type="dxa"/>
          </w:tcPr>
          <w:p w14:paraId="2EDD41F8" w14:textId="77777777" w:rsidR="00ED400F" w:rsidRDefault="00000000">
            <w:r>
              <w:t>SDT</w:t>
            </w:r>
          </w:p>
        </w:tc>
        <w:tc>
          <w:tcPr>
            <w:tcW w:w="1984" w:type="dxa"/>
          </w:tcPr>
          <w:p w14:paraId="79388CA0" w14:textId="77777777" w:rsidR="00ED400F" w:rsidRDefault="00000000">
            <w:r>
              <w:t>V5, V6</w:t>
            </w:r>
          </w:p>
        </w:tc>
        <w:tc>
          <w:tcPr>
            <w:tcW w:w="510" w:type="dxa"/>
          </w:tcPr>
          <w:p w14:paraId="0977C58C" w14:textId="77777777" w:rsidR="00ED400F" w:rsidRDefault="00000000">
            <w:r>
              <w:t>2</w:t>
            </w:r>
          </w:p>
        </w:tc>
        <w:tc>
          <w:tcPr>
            <w:tcW w:w="794" w:type="dxa"/>
          </w:tcPr>
          <w:p w14:paraId="52E2433B" w14:textId="77777777" w:rsidR="00ED400F" w:rsidRDefault="00000000">
            <w:r>
              <w:t>0.54</w:t>
            </w:r>
          </w:p>
        </w:tc>
        <w:tc>
          <w:tcPr>
            <w:tcW w:w="964" w:type="dxa"/>
          </w:tcPr>
          <w:p w14:paraId="4D3A1130" w14:textId="77777777" w:rsidR="00ED400F" w:rsidRDefault="00000000">
            <w:r>
              <w:t>0.38</w:t>
            </w:r>
          </w:p>
        </w:tc>
      </w:tr>
      <w:tr w:rsidR="00ED400F" w14:paraId="2409DA64" w14:textId="77777777">
        <w:trPr>
          <w:cantSplit/>
        </w:trPr>
        <w:tc>
          <w:tcPr>
            <w:tcW w:w="2268" w:type="dxa"/>
          </w:tcPr>
          <w:p w14:paraId="1D75F2D3" w14:textId="77777777" w:rsidR="00ED400F" w:rsidRDefault="00000000">
            <w:r>
              <w:t>Relational risk + primacy</w:t>
            </w:r>
          </w:p>
        </w:tc>
        <w:tc>
          <w:tcPr>
            <w:tcW w:w="1077" w:type="dxa"/>
          </w:tcPr>
          <w:p w14:paraId="50F15D19" w14:textId="77777777" w:rsidR="00ED400F" w:rsidRDefault="00000000">
            <w:r>
              <w:t>SDT</w:t>
            </w:r>
          </w:p>
        </w:tc>
        <w:tc>
          <w:tcPr>
            <w:tcW w:w="1984" w:type="dxa"/>
          </w:tcPr>
          <w:p w14:paraId="568D56C1" w14:textId="77777777" w:rsidR="00ED400F" w:rsidRDefault="00000000">
            <w:r>
              <w:t>V5, V6, V8</w:t>
            </w:r>
          </w:p>
        </w:tc>
        <w:tc>
          <w:tcPr>
            <w:tcW w:w="510" w:type="dxa"/>
          </w:tcPr>
          <w:p w14:paraId="07461FAE" w14:textId="77777777" w:rsidR="00ED400F" w:rsidRDefault="00000000">
            <w:r>
              <w:t>3</w:t>
            </w:r>
          </w:p>
        </w:tc>
        <w:tc>
          <w:tcPr>
            <w:tcW w:w="794" w:type="dxa"/>
          </w:tcPr>
          <w:p w14:paraId="283A0977" w14:textId="77777777" w:rsidR="00ED400F" w:rsidRDefault="00000000">
            <w:r>
              <w:t>0.68</w:t>
            </w:r>
          </w:p>
        </w:tc>
        <w:tc>
          <w:tcPr>
            <w:tcW w:w="964" w:type="dxa"/>
          </w:tcPr>
          <w:p w14:paraId="5589D6FF" w14:textId="77777777" w:rsidR="00ED400F" w:rsidRDefault="00000000">
            <w:r>
              <w:t>0.42</w:t>
            </w:r>
          </w:p>
        </w:tc>
      </w:tr>
      <w:tr w:rsidR="00ED400F" w14:paraId="3B322A30" w14:textId="77777777">
        <w:trPr>
          <w:cantSplit/>
        </w:trPr>
        <w:tc>
          <w:tcPr>
            <w:tcW w:w="2268" w:type="dxa"/>
          </w:tcPr>
          <w:p w14:paraId="290BFB6E" w14:textId="77777777" w:rsidR="00ED400F" w:rsidRDefault="00000000">
            <w:r>
              <w:t>Acceptance composite</w:t>
            </w:r>
          </w:p>
        </w:tc>
        <w:tc>
          <w:tcPr>
            <w:tcW w:w="1077" w:type="dxa"/>
          </w:tcPr>
          <w:p w14:paraId="4BB98147" w14:textId="77777777" w:rsidR="00ED400F" w:rsidRDefault="00000000">
            <w:r>
              <w:t>TAM</w:t>
            </w:r>
          </w:p>
        </w:tc>
        <w:tc>
          <w:tcPr>
            <w:tcW w:w="1984" w:type="dxa"/>
          </w:tcPr>
          <w:p w14:paraId="26A1643A" w14:textId="77777777" w:rsidR="00ED400F" w:rsidRDefault="00000000">
            <w:r>
              <w:t>V2, V3, V4, V7, V9</w:t>
            </w:r>
          </w:p>
        </w:tc>
        <w:tc>
          <w:tcPr>
            <w:tcW w:w="510" w:type="dxa"/>
          </w:tcPr>
          <w:p w14:paraId="188EB9F9" w14:textId="77777777" w:rsidR="00ED400F" w:rsidRDefault="00000000">
            <w:r>
              <w:t>5</w:t>
            </w:r>
          </w:p>
        </w:tc>
        <w:tc>
          <w:tcPr>
            <w:tcW w:w="794" w:type="dxa"/>
          </w:tcPr>
          <w:p w14:paraId="36814213" w14:textId="77777777" w:rsidR="00ED400F" w:rsidRDefault="00000000">
            <w:r>
              <w:t>0.89</w:t>
            </w:r>
          </w:p>
        </w:tc>
        <w:tc>
          <w:tcPr>
            <w:tcW w:w="964" w:type="dxa"/>
          </w:tcPr>
          <w:p w14:paraId="17D0AAB9" w14:textId="77777777" w:rsidR="00ED400F" w:rsidRDefault="00000000">
            <w:r>
              <w:t>0.61</w:t>
            </w:r>
          </w:p>
        </w:tc>
      </w:tr>
      <w:tr w:rsidR="00ED400F" w14:paraId="78497B5F" w14:textId="77777777">
        <w:trPr>
          <w:cantSplit/>
        </w:trPr>
        <w:tc>
          <w:tcPr>
            <w:tcW w:w="2268" w:type="dxa"/>
          </w:tcPr>
          <w:p w14:paraId="0E894902" w14:textId="77777777" w:rsidR="00ED400F" w:rsidRDefault="00000000">
            <w:r>
              <w:t>Full perceptual battery</w:t>
            </w:r>
          </w:p>
        </w:tc>
        <w:tc>
          <w:tcPr>
            <w:tcW w:w="1077" w:type="dxa"/>
          </w:tcPr>
          <w:p w14:paraId="43C295D6" w14:textId="77777777" w:rsidR="00ED400F" w:rsidRDefault="00000000">
            <w:r>
              <w:t>—</w:t>
            </w:r>
          </w:p>
        </w:tc>
        <w:tc>
          <w:tcPr>
            <w:tcW w:w="1984" w:type="dxa"/>
          </w:tcPr>
          <w:p w14:paraId="1AFB10DB" w14:textId="77777777" w:rsidR="00ED400F" w:rsidRDefault="00000000">
            <w:r>
              <w:t>V1–V9</w:t>
            </w:r>
          </w:p>
        </w:tc>
        <w:tc>
          <w:tcPr>
            <w:tcW w:w="510" w:type="dxa"/>
          </w:tcPr>
          <w:p w14:paraId="2CC25A6E" w14:textId="77777777" w:rsidR="00ED400F" w:rsidRDefault="00000000">
            <w:r>
              <w:t>9</w:t>
            </w:r>
          </w:p>
        </w:tc>
        <w:tc>
          <w:tcPr>
            <w:tcW w:w="794" w:type="dxa"/>
          </w:tcPr>
          <w:p w14:paraId="371402A1" w14:textId="77777777" w:rsidR="00ED400F" w:rsidRDefault="00000000">
            <w:r>
              <w:t>0.86</w:t>
            </w:r>
          </w:p>
        </w:tc>
        <w:tc>
          <w:tcPr>
            <w:tcW w:w="964" w:type="dxa"/>
          </w:tcPr>
          <w:p w14:paraId="15B5BE12" w14:textId="77777777" w:rsidR="00ED400F" w:rsidRDefault="00000000">
            <w:r>
              <w:t>0.40</w:t>
            </w:r>
          </w:p>
        </w:tc>
      </w:tr>
    </w:tbl>
    <w:p w14:paraId="360EEC9D" w14:textId="77777777" w:rsidR="002B63F6" w:rsidRDefault="002B63F6"/>
    <w:p w14:paraId="75981BAC" w14:textId="77777777" w:rsidR="00E31C25" w:rsidRDefault="00E31C25" w:rsidP="00E31C25">
      <w:r>
        <w:t>Three observations follow. The Technology Acceptance Model's famous construct 'perceived-usefulness' does well (α = 0.88 across V2, V3, V4 and V7, well above any threshold conventionally regarded as acceptable and corrected item-total correlation in the range of 0.63 to 0.83). The wider acceptance is the composite adding the behavioural-intention item (V9) which performs marginally better still, at α = 0.89. Perceived usefulness statements in Chapter Four are thus based on a construct that acts like a scale.</w:t>
      </w:r>
    </w:p>
    <w:p w14:paraId="676A911D" w14:textId="77777777" w:rsidR="00E31C25" w:rsidRDefault="00E31C25" w:rsidP="00E31C25">
      <w:r>
        <w:t>The relational-risk construct is the exception. For the two-item combination of V5 (over-reliance diminishes genuine connection) and V6 (generative AI threatens to diminish trust), α = 0.54 falls below the acceptable threshold, with a mean inter-item correlation of 0.38. Adding V8 raises alpha only slightly, to 0.68, as Table 3.2 shows. This is a weakness, reported rather than concealed, and it can also be interpreted. On a two-item scale a low alpha suggests the items measure different things, and the qualitative findings (Section 4.5) point that way: respondents draw a clear distinction between the behavioural risk that over-reliance erodes connection and the organisational risk of damaged trust. That is a distinction between related propositions rather than a measurement failure, and the low alpha is evidence of it. V5 and V6 are therefore reported and analysed separately in Chapter Four, and no composite relatedness score is formed from them.</w:t>
      </w:r>
    </w:p>
    <w:p w14:paraId="7E4DFAA5" w14:textId="77777777" w:rsidR="00E31C25" w:rsidRDefault="00E31C25" w:rsidP="00E31C25">
      <w:r>
        <w:t xml:space="preserve">This dissertation accompanies a specific consequence for the claims made. Perceived usefulness statements can be interpreted at construct level as legitimate. Relational risk </w:t>
      </w:r>
      <w:r>
        <w:lastRenderedPageBreak/>
        <w:t>statements are only reported on item level. Reliability at these sample sizes is itself vague and the alpha values stated above are only an indication of behaviour in this scale and should not be interpreted as fixed estimates of population.</w:t>
      </w:r>
    </w:p>
    <w:p w14:paraId="1095887A" w14:textId="77777777" w:rsidR="002B63F6" w:rsidRDefault="00E31C25" w:rsidP="00E31C25">
      <w:r>
        <w:t>In addition to internal consistency, the Likert items had an informal pilot test with a limited number of post-graduate associates prior to implementation to examine wording and minimise the threat of double-barreled and loaded questions. As a way of building the trustworthiness of the qualitative analysis, a reflexive analytic log was kept to record coding decisions, and discussion of emerging themes with the research supervisor helped to guard against premature closure (when themes simply confirmed theoretical expectations).</w:t>
      </w:r>
    </w:p>
    <w:p w14:paraId="53A15F99" w14:textId="77777777" w:rsidR="002B63F6" w:rsidRDefault="00000000">
      <w:pPr>
        <w:pStyle w:val="Heading2"/>
      </w:pPr>
      <w:r>
        <w:t>3.8 Researcher Positionality and Reflexivity</w:t>
      </w:r>
    </w:p>
    <w:p w14:paraId="70DD6205" w14:textId="77777777" w:rsidR="00E31C25" w:rsidRDefault="00E31C25" w:rsidP="00E31C25">
      <w:r>
        <w:t>Stating the researcher's own positionality in regard to the research topic as was done here is in line with reflexive thematic analysis tradition (</w:t>
      </w:r>
      <w:hyperlink w:anchor="ref_Braun2022" w:tooltip="Braun, V. and Clarke, V. (2022) Thematic Analysis: A Practical Guide. London: SAGE.">
        <w:r>
          <w:rPr>
            <w:color w:val="1F4E79"/>
          </w:rPr>
          <w:t>Braun and Clarke, 2022</w:t>
        </w:r>
      </w:hyperlink>
      <w:r>
        <w:t>). The researcher's personal experience of using generative AI tools for academic tasks and being an insider in the same management institute where the managers being studied have their work, enabled the researcher to have some first-hand knowledge of the phenomena being studied. This knowledge had several pragmatic benefits, such as the ability to frame survey questions and qualitative probes in terms comprehensible to the respondents. It also, however, had the possibility of unconscious confirmation bias in it, as this study's theoretical declaration of applying the TAM / SDT framework before the data is collected.</w:t>
      </w:r>
    </w:p>
    <w:p w14:paraId="78065A2A" w14:textId="77777777" w:rsidR="002B63F6" w:rsidRDefault="00E31C25" w:rsidP="00E31C25">
      <w:r>
        <w:t>Several safeguards were adopted to reduce this risk. The reflexive analytic log kept throughout the thematic analysis (Section 3.6) recorded codes that did not simply confirm existing theoretical expectations, and the underlying extracts were deliberately re-examined. Discussion with the supervisor, Dr Bilal Ahmed Abbasi, guarded against premature thematic closure. The instrument itself was structured to allow disconfirming evidence to surface: the open-ended items deliberately avoided TAM and SDT vocabulary so that ideas falling outside either construct could be voiced. That affordance produced Theme 3, Conditional Trust and the Governance Gap, which the initial framework had not predicted.</w:t>
      </w:r>
    </w:p>
    <w:p w14:paraId="26BE034E" w14:textId="77777777" w:rsidR="002B63F6" w:rsidRDefault="00000000">
      <w:pPr>
        <w:pStyle w:val="Heading2"/>
      </w:pPr>
      <w:r>
        <w:lastRenderedPageBreak/>
        <w:t>3.9 Software, Materials, and Data Management</w:t>
      </w:r>
    </w:p>
    <w:p w14:paraId="62919F86" w14:textId="77777777" w:rsidR="002B63F6" w:rsidRDefault="00E31C25">
      <w:r w:rsidRPr="00E31C25">
        <w:t xml:space="preserve">The quantitative data were collected, collated and analysed, using standard spreadsheet software, the descriptive statistics (frequencies, percentages, means and standard deviations) are presented in Table 3.2 which were compiled directly from the 42 respondent response matrix described earlier in Section 3.3. Phase-based coding was applied manually to qualitative responses, utilising an ordered reflexive log to mark the decision making process in relation to coding and any grouping of themes, a proportionate approach given the size of the qualitative data set and as outlined in </w:t>
      </w:r>
      <w:hyperlink w:anchor="ref_Braun2022" w:tooltip="Braun, V. and Clarke, V. (2022) Thematic Analysis: A Practical Guide. London: SAGE.">
        <w:r w:rsidRPr="00E31C25">
          <w:rPr>
            <w:color w:val="1F4E79"/>
          </w:rPr>
          <w:t>Braun and Clarke (2022)</w:t>
        </w:r>
      </w:hyperlink>
      <w:r w:rsidRPr="00E31C25">
        <w:t>. All data were kept on university approved, password protected data with the researcher and research supervisor having access, with a data retention and disposal plan agreed upon as part of ethics approval (see section 3.3).</w:t>
      </w:r>
    </w:p>
    <w:p w14:paraId="07A1CFDE" w14:textId="77777777" w:rsidR="002B63F6" w:rsidRDefault="00000000">
      <w:pPr>
        <w:pStyle w:val="Heading2"/>
      </w:pPr>
      <w:r>
        <w:t>3.10 Methodological Limitations</w:t>
      </w:r>
    </w:p>
    <w:p w14:paraId="65B0389C" w14:textId="77777777" w:rsidR="002B63F6" w:rsidRDefault="00E31C25">
      <w:r w:rsidRPr="00E31C25">
        <w:t>Four methodological limitations apply, each revisited in Chapter Six. First, the cross-sectional design captures perceptions at a single moment in a field moving at unusual speed; the HEPI survey series discussed in Chapter Two shows how far basic perceptions can shift within twelve months. Second, the sample is drawn from one institution and, although a substantial proportion of respondents have direct hybrid experience, it remains a student sample reasoning about a management practice most have not yet formally exercised. Third, a sample of 42 limits the precision of any reported proportion and confines sub-group comparison to an interpretive register. Fourth, as noted in Section 3.7, the two-item relational-risk scale did not reach the conventional reliability threshold, so its items are reported separately rather than as a scale. None of these undermines the exploratory purpose of the study, and none unduly constrains what its findings can support.</w:t>
      </w:r>
    </w:p>
    <w:p w14:paraId="3478A505" w14:textId="77777777" w:rsidR="002B63F6" w:rsidRDefault="00000000">
      <w:pPr>
        <w:pStyle w:val="Heading1"/>
        <w:pageBreakBefore/>
      </w:pPr>
      <w:r>
        <w:lastRenderedPageBreak/>
        <w:t>Chapter 4: Findings and Data Analysis</w:t>
      </w:r>
    </w:p>
    <w:p w14:paraId="135F7D52" w14:textId="77777777" w:rsidR="002B63F6" w:rsidRDefault="00000000">
      <w:pPr>
        <w:pStyle w:val="Heading2"/>
      </w:pPr>
      <w:r>
        <w:t>4.1 Demographic Profile of the Sample (N = 42)</w:t>
      </w:r>
    </w:p>
    <w:p w14:paraId="515777B9" w14:textId="77777777" w:rsidR="002B63F6" w:rsidRDefault="00000000">
      <w:r>
        <w:t>The survey generated 42 complete responses. All figures reported in this chapter are calculated directly from that dataset, with absolute counts stated alongside every percentage so that the number of individuals underlying each proportion remains visible throughout. Table 4.1 sets out the demographic composition of the sample.</w:t>
      </w:r>
    </w:p>
    <w:p w14:paraId="2398D23E" w14:textId="77777777" w:rsidR="002B63F6" w:rsidRDefault="00000000">
      <w:pPr>
        <w:keepNext/>
        <w:spacing w:before="200" w:after="80"/>
        <w:jc w:val="left"/>
      </w:pPr>
      <w:r>
        <w:rPr>
          <w:b/>
          <w:sz w:val="20"/>
        </w:rPr>
        <w:t>Table 4.1: Demographic Profile of Respondents (N = 42)</w:t>
      </w:r>
    </w:p>
    <w:tbl>
      <w:tblPr>
        <w:tblStyle w:val="TableGrid"/>
        <w:tblW w:w="0" w:type="auto"/>
        <w:jc w:val="center"/>
        <w:tblLook w:val="04A0" w:firstRow="1" w:lastRow="0" w:firstColumn="1" w:lastColumn="0" w:noHBand="0" w:noVBand="1"/>
      </w:tblPr>
      <w:tblGrid>
        <w:gridCol w:w="2124"/>
        <w:gridCol w:w="2124"/>
        <w:gridCol w:w="2123"/>
        <w:gridCol w:w="2124"/>
      </w:tblGrid>
      <w:tr w:rsidR="002B63F6" w14:paraId="77AA28DF" w14:textId="77777777">
        <w:trPr>
          <w:tblHeader/>
          <w:jc w:val="center"/>
        </w:trPr>
        <w:tc>
          <w:tcPr>
            <w:tcW w:w="2126" w:type="dxa"/>
            <w:shd w:val="clear" w:color="auto" w:fill="DCDCDC"/>
          </w:tcPr>
          <w:p w14:paraId="38C66CCA" w14:textId="77777777" w:rsidR="002B63F6" w:rsidRDefault="00000000">
            <w:pPr>
              <w:spacing w:after="20" w:line="240" w:lineRule="auto"/>
              <w:jc w:val="left"/>
            </w:pPr>
            <w:r>
              <w:rPr>
                <w:b/>
                <w:sz w:val="18"/>
              </w:rPr>
              <w:t>Demographic Variable</w:t>
            </w:r>
          </w:p>
        </w:tc>
        <w:tc>
          <w:tcPr>
            <w:tcW w:w="2126" w:type="dxa"/>
            <w:shd w:val="clear" w:color="auto" w:fill="DCDCDC"/>
          </w:tcPr>
          <w:p w14:paraId="2F485A2D" w14:textId="77777777" w:rsidR="002B63F6" w:rsidRDefault="00000000">
            <w:pPr>
              <w:spacing w:after="20" w:line="240" w:lineRule="auto"/>
              <w:jc w:val="left"/>
            </w:pPr>
            <w:r>
              <w:rPr>
                <w:b/>
                <w:sz w:val="18"/>
              </w:rPr>
              <w:t>Category</w:t>
            </w:r>
          </w:p>
        </w:tc>
        <w:tc>
          <w:tcPr>
            <w:tcW w:w="2126" w:type="dxa"/>
            <w:shd w:val="clear" w:color="auto" w:fill="DCDCDC"/>
          </w:tcPr>
          <w:p w14:paraId="05B82D31" w14:textId="77777777" w:rsidR="002B63F6" w:rsidRDefault="00000000">
            <w:pPr>
              <w:spacing w:after="20" w:line="240" w:lineRule="auto"/>
              <w:jc w:val="left"/>
            </w:pPr>
            <w:r>
              <w:rPr>
                <w:b/>
                <w:sz w:val="18"/>
              </w:rPr>
              <w:t>Count (n)</w:t>
            </w:r>
          </w:p>
        </w:tc>
        <w:tc>
          <w:tcPr>
            <w:tcW w:w="2126" w:type="dxa"/>
            <w:shd w:val="clear" w:color="auto" w:fill="DCDCDC"/>
          </w:tcPr>
          <w:p w14:paraId="05AA772A" w14:textId="77777777" w:rsidR="002B63F6" w:rsidRDefault="00000000">
            <w:pPr>
              <w:spacing w:after="20" w:line="240" w:lineRule="auto"/>
              <w:jc w:val="left"/>
            </w:pPr>
            <w:r>
              <w:rPr>
                <w:b/>
                <w:sz w:val="18"/>
              </w:rPr>
              <w:t>Percentage (%)</w:t>
            </w:r>
          </w:p>
        </w:tc>
      </w:tr>
      <w:tr w:rsidR="002B63F6" w14:paraId="038CFA4F" w14:textId="77777777">
        <w:trPr>
          <w:jc w:val="center"/>
        </w:trPr>
        <w:tc>
          <w:tcPr>
            <w:tcW w:w="2126" w:type="dxa"/>
          </w:tcPr>
          <w:p w14:paraId="55EEF011" w14:textId="77777777" w:rsidR="002B63F6" w:rsidRDefault="00000000">
            <w:pPr>
              <w:spacing w:after="20" w:line="240" w:lineRule="auto"/>
              <w:jc w:val="left"/>
            </w:pPr>
            <w:r>
              <w:rPr>
                <w:sz w:val="18"/>
              </w:rPr>
              <w:t>Level of Study</w:t>
            </w:r>
          </w:p>
        </w:tc>
        <w:tc>
          <w:tcPr>
            <w:tcW w:w="2126" w:type="dxa"/>
          </w:tcPr>
          <w:p w14:paraId="4A7C9C29" w14:textId="77777777" w:rsidR="002B63F6" w:rsidRDefault="00000000">
            <w:pPr>
              <w:spacing w:after="20" w:line="240" w:lineRule="auto"/>
              <w:jc w:val="left"/>
            </w:pPr>
            <w:r>
              <w:rPr>
                <w:sz w:val="18"/>
              </w:rPr>
              <w:t>Postgraduate Taught (Masters)</w:t>
            </w:r>
          </w:p>
        </w:tc>
        <w:tc>
          <w:tcPr>
            <w:tcW w:w="2126" w:type="dxa"/>
          </w:tcPr>
          <w:p w14:paraId="297F9E86" w14:textId="77777777" w:rsidR="002B63F6" w:rsidRDefault="00000000">
            <w:pPr>
              <w:spacing w:after="20" w:line="240" w:lineRule="auto"/>
              <w:jc w:val="left"/>
            </w:pPr>
            <w:r>
              <w:rPr>
                <w:sz w:val="18"/>
              </w:rPr>
              <w:t>33</w:t>
            </w:r>
          </w:p>
        </w:tc>
        <w:tc>
          <w:tcPr>
            <w:tcW w:w="2126" w:type="dxa"/>
          </w:tcPr>
          <w:p w14:paraId="1FF1350D" w14:textId="77777777" w:rsidR="002B63F6" w:rsidRDefault="00000000">
            <w:pPr>
              <w:spacing w:after="20" w:line="240" w:lineRule="auto"/>
              <w:jc w:val="left"/>
            </w:pPr>
            <w:r>
              <w:rPr>
                <w:sz w:val="18"/>
              </w:rPr>
              <w:t>78.6</w:t>
            </w:r>
          </w:p>
        </w:tc>
      </w:tr>
      <w:tr w:rsidR="002B63F6" w14:paraId="5620F83B" w14:textId="77777777">
        <w:trPr>
          <w:jc w:val="center"/>
        </w:trPr>
        <w:tc>
          <w:tcPr>
            <w:tcW w:w="2126" w:type="dxa"/>
          </w:tcPr>
          <w:p w14:paraId="526B6038" w14:textId="77777777" w:rsidR="002B63F6" w:rsidRDefault="002B63F6">
            <w:pPr>
              <w:spacing w:after="20" w:line="240" w:lineRule="auto"/>
              <w:jc w:val="left"/>
            </w:pPr>
          </w:p>
        </w:tc>
        <w:tc>
          <w:tcPr>
            <w:tcW w:w="2126" w:type="dxa"/>
          </w:tcPr>
          <w:p w14:paraId="7C573508" w14:textId="77777777" w:rsidR="002B63F6" w:rsidRDefault="00000000">
            <w:pPr>
              <w:spacing w:after="20" w:line="240" w:lineRule="auto"/>
              <w:jc w:val="left"/>
            </w:pPr>
            <w:r>
              <w:rPr>
                <w:sz w:val="18"/>
              </w:rPr>
              <w:t>Postgraduate Research (PhD/</w:t>
            </w:r>
            <w:proofErr w:type="spellStart"/>
            <w:r>
              <w:rPr>
                <w:sz w:val="18"/>
              </w:rPr>
              <w:t>MRes</w:t>
            </w:r>
            <w:proofErr w:type="spellEnd"/>
            <w:r>
              <w:rPr>
                <w:sz w:val="18"/>
              </w:rPr>
              <w:t>)</w:t>
            </w:r>
          </w:p>
        </w:tc>
        <w:tc>
          <w:tcPr>
            <w:tcW w:w="2126" w:type="dxa"/>
          </w:tcPr>
          <w:p w14:paraId="389A7B4D" w14:textId="77777777" w:rsidR="002B63F6" w:rsidRDefault="00000000">
            <w:pPr>
              <w:spacing w:after="20" w:line="240" w:lineRule="auto"/>
              <w:jc w:val="left"/>
            </w:pPr>
            <w:r>
              <w:rPr>
                <w:sz w:val="18"/>
              </w:rPr>
              <w:t>7</w:t>
            </w:r>
          </w:p>
        </w:tc>
        <w:tc>
          <w:tcPr>
            <w:tcW w:w="2126" w:type="dxa"/>
          </w:tcPr>
          <w:p w14:paraId="19791B82" w14:textId="77777777" w:rsidR="002B63F6" w:rsidRDefault="00000000">
            <w:pPr>
              <w:spacing w:after="20" w:line="240" w:lineRule="auto"/>
              <w:jc w:val="left"/>
            </w:pPr>
            <w:r>
              <w:rPr>
                <w:sz w:val="18"/>
              </w:rPr>
              <w:t>16.7</w:t>
            </w:r>
          </w:p>
        </w:tc>
      </w:tr>
      <w:tr w:rsidR="002B63F6" w14:paraId="5365F079" w14:textId="77777777">
        <w:trPr>
          <w:jc w:val="center"/>
        </w:trPr>
        <w:tc>
          <w:tcPr>
            <w:tcW w:w="2126" w:type="dxa"/>
          </w:tcPr>
          <w:p w14:paraId="49DFDD81" w14:textId="77777777" w:rsidR="002B63F6" w:rsidRDefault="002B63F6">
            <w:pPr>
              <w:spacing w:after="20" w:line="240" w:lineRule="auto"/>
              <w:jc w:val="left"/>
            </w:pPr>
          </w:p>
        </w:tc>
        <w:tc>
          <w:tcPr>
            <w:tcW w:w="2126" w:type="dxa"/>
          </w:tcPr>
          <w:p w14:paraId="2C41712F" w14:textId="77777777" w:rsidR="002B63F6" w:rsidRDefault="00000000">
            <w:pPr>
              <w:spacing w:after="20" w:line="240" w:lineRule="auto"/>
              <w:jc w:val="left"/>
            </w:pPr>
            <w:r>
              <w:rPr>
                <w:sz w:val="18"/>
              </w:rPr>
              <w:t>Undergraduate / Other</w:t>
            </w:r>
          </w:p>
        </w:tc>
        <w:tc>
          <w:tcPr>
            <w:tcW w:w="2126" w:type="dxa"/>
          </w:tcPr>
          <w:p w14:paraId="659FF150" w14:textId="77777777" w:rsidR="002B63F6" w:rsidRDefault="00000000">
            <w:pPr>
              <w:spacing w:after="20" w:line="240" w:lineRule="auto"/>
              <w:jc w:val="left"/>
            </w:pPr>
            <w:r>
              <w:rPr>
                <w:sz w:val="18"/>
              </w:rPr>
              <w:t>2</w:t>
            </w:r>
          </w:p>
        </w:tc>
        <w:tc>
          <w:tcPr>
            <w:tcW w:w="2126" w:type="dxa"/>
          </w:tcPr>
          <w:p w14:paraId="43F970B7" w14:textId="77777777" w:rsidR="002B63F6" w:rsidRDefault="00000000">
            <w:pPr>
              <w:spacing w:after="20" w:line="240" w:lineRule="auto"/>
              <w:jc w:val="left"/>
            </w:pPr>
            <w:r>
              <w:rPr>
                <w:sz w:val="18"/>
              </w:rPr>
              <w:t>4.8</w:t>
            </w:r>
          </w:p>
        </w:tc>
      </w:tr>
      <w:tr w:rsidR="002B63F6" w14:paraId="2238D44B" w14:textId="77777777">
        <w:trPr>
          <w:jc w:val="center"/>
        </w:trPr>
        <w:tc>
          <w:tcPr>
            <w:tcW w:w="2126" w:type="dxa"/>
          </w:tcPr>
          <w:p w14:paraId="08C7438D" w14:textId="77777777" w:rsidR="002B63F6" w:rsidRDefault="00000000">
            <w:pPr>
              <w:spacing w:after="20" w:line="240" w:lineRule="auto"/>
              <w:jc w:val="left"/>
            </w:pPr>
            <w:r>
              <w:rPr>
                <w:sz w:val="18"/>
              </w:rPr>
              <w:t>Field of Study</w:t>
            </w:r>
          </w:p>
        </w:tc>
        <w:tc>
          <w:tcPr>
            <w:tcW w:w="2126" w:type="dxa"/>
          </w:tcPr>
          <w:p w14:paraId="5F7739C9" w14:textId="77777777" w:rsidR="002B63F6" w:rsidRDefault="00000000">
            <w:pPr>
              <w:spacing w:after="20" w:line="240" w:lineRule="auto"/>
              <w:jc w:val="left"/>
            </w:pPr>
            <w:r>
              <w:rPr>
                <w:sz w:val="18"/>
              </w:rPr>
              <w:t>Business / Management / HRM / Finance</w:t>
            </w:r>
          </w:p>
        </w:tc>
        <w:tc>
          <w:tcPr>
            <w:tcW w:w="2126" w:type="dxa"/>
          </w:tcPr>
          <w:p w14:paraId="7BF0AB62" w14:textId="77777777" w:rsidR="002B63F6" w:rsidRDefault="00000000">
            <w:pPr>
              <w:spacing w:after="20" w:line="240" w:lineRule="auto"/>
              <w:jc w:val="left"/>
            </w:pPr>
            <w:r>
              <w:rPr>
                <w:sz w:val="18"/>
              </w:rPr>
              <w:t>35</w:t>
            </w:r>
          </w:p>
        </w:tc>
        <w:tc>
          <w:tcPr>
            <w:tcW w:w="2126" w:type="dxa"/>
          </w:tcPr>
          <w:p w14:paraId="5AEBC6DC" w14:textId="77777777" w:rsidR="002B63F6" w:rsidRDefault="00000000">
            <w:pPr>
              <w:spacing w:after="20" w:line="240" w:lineRule="auto"/>
              <w:jc w:val="left"/>
            </w:pPr>
            <w:r>
              <w:rPr>
                <w:sz w:val="18"/>
              </w:rPr>
              <w:t>83.3</w:t>
            </w:r>
          </w:p>
        </w:tc>
      </w:tr>
      <w:tr w:rsidR="002B63F6" w14:paraId="7DFCCDC9" w14:textId="77777777">
        <w:trPr>
          <w:jc w:val="center"/>
        </w:trPr>
        <w:tc>
          <w:tcPr>
            <w:tcW w:w="2126" w:type="dxa"/>
          </w:tcPr>
          <w:p w14:paraId="79350A13" w14:textId="77777777" w:rsidR="002B63F6" w:rsidRDefault="002B63F6">
            <w:pPr>
              <w:spacing w:after="20" w:line="240" w:lineRule="auto"/>
              <w:jc w:val="left"/>
            </w:pPr>
          </w:p>
        </w:tc>
        <w:tc>
          <w:tcPr>
            <w:tcW w:w="2126" w:type="dxa"/>
          </w:tcPr>
          <w:p w14:paraId="02D06A06" w14:textId="77777777" w:rsidR="002B63F6" w:rsidRDefault="00000000">
            <w:pPr>
              <w:spacing w:after="20" w:line="240" w:lineRule="auto"/>
              <w:jc w:val="left"/>
            </w:pPr>
            <w:r>
              <w:rPr>
                <w:sz w:val="18"/>
              </w:rPr>
              <w:t>Non-Business / Other</w:t>
            </w:r>
          </w:p>
        </w:tc>
        <w:tc>
          <w:tcPr>
            <w:tcW w:w="2126" w:type="dxa"/>
          </w:tcPr>
          <w:p w14:paraId="10802A0B" w14:textId="77777777" w:rsidR="002B63F6" w:rsidRDefault="00000000">
            <w:pPr>
              <w:spacing w:after="20" w:line="240" w:lineRule="auto"/>
              <w:jc w:val="left"/>
            </w:pPr>
            <w:r>
              <w:rPr>
                <w:sz w:val="18"/>
              </w:rPr>
              <w:t>7</w:t>
            </w:r>
          </w:p>
        </w:tc>
        <w:tc>
          <w:tcPr>
            <w:tcW w:w="2126" w:type="dxa"/>
          </w:tcPr>
          <w:p w14:paraId="1FD9B4E1" w14:textId="77777777" w:rsidR="002B63F6" w:rsidRDefault="00000000">
            <w:pPr>
              <w:spacing w:after="20" w:line="240" w:lineRule="auto"/>
              <w:jc w:val="left"/>
            </w:pPr>
            <w:r>
              <w:rPr>
                <w:sz w:val="18"/>
              </w:rPr>
              <w:t>16.7</w:t>
            </w:r>
          </w:p>
        </w:tc>
      </w:tr>
      <w:tr w:rsidR="002B63F6" w14:paraId="1AAB87FB" w14:textId="77777777">
        <w:trPr>
          <w:jc w:val="center"/>
        </w:trPr>
        <w:tc>
          <w:tcPr>
            <w:tcW w:w="2126" w:type="dxa"/>
          </w:tcPr>
          <w:p w14:paraId="666FA51C" w14:textId="77777777" w:rsidR="002B63F6" w:rsidRDefault="00000000">
            <w:pPr>
              <w:spacing w:after="20" w:line="240" w:lineRule="auto"/>
              <w:jc w:val="left"/>
            </w:pPr>
            <w:r>
              <w:rPr>
                <w:sz w:val="18"/>
              </w:rPr>
              <w:t>Age Group</w:t>
            </w:r>
          </w:p>
        </w:tc>
        <w:tc>
          <w:tcPr>
            <w:tcW w:w="2126" w:type="dxa"/>
          </w:tcPr>
          <w:p w14:paraId="641DFE35" w14:textId="77777777" w:rsidR="002B63F6" w:rsidRDefault="00000000">
            <w:pPr>
              <w:spacing w:after="20" w:line="240" w:lineRule="auto"/>
              <w:jc w:val="left"/>
            </w:pPr>
            <w:r>
              <w:rPr>
                <w:sz w:val="18"/>
              </w:rPr>
              <w:t>18–25</w:t>
            </w:r>
          </w:p>
        </w:tc>
        <w:tc>
          <w:tcPr>
            <w:tcW w:w="2126" w:type="dxa"/>
          </w:tcPr>
          <w:p w14:paraId="6DAE2BB1" w14:textId="77777777" w:rsidR="002B63F6" w:rsidRDefault="00000000">
            <w:pPr>
              <w:spacing w:after="20" w:line="240" w:lineRule="auto"/>
              <w:jc w:val="left"/>
            </w:pPr>
            <w:r>
              <w:rPr>
                <w:sz w:val="18"/>
              </w:rPr>
              <w:t>3</w:t>
            </w:r>
          </w:p>
        </w:tc>
        <w:tc>
          <w:tcPr>
            <w:tcW w:w="2126" w:type="dxa"/>
          </w:tcPr>
          <w:p w14:paraId="4DCF097B" w14:textId="77777777" w:rsidR="002B63F6" w:rsidRDefault="00000000">
            <w:pPr>
              <w:spacing w:after="20" w:line="240" w:lineRule="auto"/>
              <w:jc w:val="left"/>
            </w:pPr>
            <w:r>
              <w:rPr>
                <w:sz w:val="18"/>
              </w:rPr>
              <w:t>7.1</w:t>
            </w:r>
          </w:p>
        </w:tc>
      </w:tr>
      <w:tr w:rsidR="002B63F6" w14:paraId="53A10AFB" w14:textId="77777777">
        <w:trPr>
          <w:jc w:val="center"/>
        </w:trPr>
        <w:tc>
          <w:tcPr>
            <w:tcW w:w="2126" w:type="dxa"/>
          </w:tcPr>
          <w:p w14:paraId="418C68EC" w14:textId="77777777" w:rsidR="002B63F6" w:rsidRDefault="002B63F6">
            <w:pPr>
              <w:spacing w:after="20" w:line="240" w:lineRule="auto"/>
              <w:jc w:val="left"/>
            </w:pPr>
          </w:p>
        </w:tc>
        <w:tc>
          <w:tcPr>
            <w:tcW w:w="2126" w:type="dxa"/>
          </w:tcPr>
          <w:p w14:paraId="42A1FD2D" w14:textId="77777777" w:rsidR="002B63F6" w:rsidRDefault="00000000">
            <w:pPr>
              <w:spacing w:after="20" w:line="240" w:lineRule="auto"/>
              <w:jc w:val="left"/>
            </w:pPr>
            <w:r>
              <w:rPr>
                <w:sz w:val="18"/>
              </w:rPr>
              <w:t>26–30</w:t>
            </w:r>
          </w:p>
        </w:tc>
        <w:tc>
          <w:tcPr>
            <w:tcW w:w="2126" w:type="dxa"/>
          </w:tcPr>
          <w:p w14:paraId="5B7A8036" w14:textId="77777777" w:rsidR="002B63F6" w:rsidRDefault="00000000">
            <w:pPr>
              <w:spacing w:after="20" w:line="240" w:lineRule="auto"/>
              <w:jc w:val="left"/>
            </w:pPr>
            <w:r>
              <w:rPr>
                <w:sz w:val="18"/>
              </w:rPr>
              <w:t>4</w:t>
            </w:r>
          </w:p>
        </w:tc>
        <w:tc>
          <w:tcPr>
            <w:tcW w:w="2126" w:type="dxa"/>
          </w:tcPr>
          <w:p w14:paraId="059581CB" w14:textId="77777777" w:rsidR="002B63F6" w:rsidRDefault="00000000">
            <w:pPr>
              <w:spacing w:after="20" w:line="240" w:lineRule="auto"/>
              <w:jc w:val="left"/>
            </w:pPr>
            <w:r>
              <w:rPr>
                <w:sz w:val="18"/>
              </w:rPr>
              <w:t>9.5</w:t>
            </w:r>
          </w:p>
        </w:tc>
      </w:tr>
      <w:tr w:rsidR="002B63F6" w14:paraId="210ED9CF" w14:textId="77777777">
        <w:trPr>
          <w:jc w:val="center"/>
        </w:trPr>
        <w:tc>
          <w:tcPr>
            <w:tcW w:w="2126" w:type="dxa"/>
          </w:tcPr>
          <w:p w14:paraId="642F2EE6" w14:textId="77777777" w:rsidR="002B63F6" w:rsidRDefault="002B63F6">
            <w:pPr>
              <w:spacing w:after="20" w:line="240" w:lineRule="auto"/>
              <w:jc w:val="left"/>
            </w:pPr>
          </w:p>
        </w:tc>
        <w:tc>
          <w:tcPr>
            <w:tcW w:w="2126" w:type="dxa"/>
          </w:tcPr>
          <w:p w14:paraId="01272718" w14:textId="77777777" w:rsidR="002B63F6" w:rsidRDefault="00000000">
            <w:pPr>
              <w:spacing w:after="20" w:line="240" w:lineRule="auto"/>
              <w:jc w:val="left"/>
            </w:pPr>
            <w:r>
              <w:rPr>
                <w:sz w:val="18"/>
              </w:rPr>
              <w:t>31–40</w:t>
            </w:r>
          </w:p>
        </w:tc>
        <w:tc>
          <w:tcPr>
            <w:tcW w:w="2126" w:type="dxa"/>
          </w:tcPr>
          <w:p w14:paraId="561368A8" w14:textId="77777777" w:rsidR="002B63F6" w:rsidRDefault="00000000">
            <w:pPr>
              <w:spacing w:after="20" w:line="240" w:lineRule="auto"/>
              <w:jc w:val="left"/>
            </w:pPr>
            <w:r>
              <w:rPr>
                <w:sz w:val="18"/>
              </w:rPr>
              <w:t>22</w:t>
            </w:r>
          </w:p>
        </w:tc>
        <w:tc>
          <w:tcPr>
            <w:tcW w:w="2126" w:type="dxa"/>
          </w:tcPr>
          <w:p w14:paraId="41A2E3ED" w14:textId="77777777" w:rsidR="002B63F6" w:rsidRDefault="00000000">
            <w:pPr>
              <w:spacing w:after="20" w:line="240" w:lineRule="auto"/>
              <w:jc w:val="left"/>
            </w:pPr>
            <w:r>
              <w:rPr>
                <w:sz w:val="18"/>
              </w:rPr>
              <w:t>52.4</w:t>
            </w:r>
          </w:p>
        </w:tc>
      </w:tr>
      <w:tr w:rsidR="002B63F6" w14:paraId="698E541C" w14:textId="77777777">
        <w:trPr>
          <w:jc w:val="center"/>
        </w:trPr>
        <w:tc>
          <w:tcPr>
            <w:tcW w:w="2126" w:type="dxa"/>
          </w:tcPr>
          <w:p w14:paraId="51C6A474" w14:textId="77777777" w:rsidR="002B63F6" w:rsidRDefault="002B63F6">
            <w:pPr>
              <w:spacing w:after="20" w:line="240" w:lineRule="auto"/>
              <w:jc w:val="left"/>
            </w:pPr>
          </w:p>
        </w:tc>
        <w:tc>
          <w:tcPr>
            <w:tcW w:w="2126" w:type="dxa"/>
          </w:tcPr>
          <w:p w14:paraId="4C9FD034" w14:textId="77777777" w:rsidR="002B63F6" w:rsidRDefault="00000000">
            <w:pPr>
              <w:spacing w:after="20" w:line="240" w:lineRule="auto"/>
              <w:jc w:val="left"/>
            </w:pPr>
            <w:r>
              <w:rPr>
                <w:sz w:val="18"/>
              </w:rPr>
              <w:t>41 or above</w:t>
            </w:r>
          </w:p>
        </w:tc>
        <w:tc>
          <w:tcPr>
            <w:tcW w:w="2126" w:type="dxa"/>
          </w:tcPr>
          <w:p w14:paraId="2A034178" w14:textId="77777777" w:rsidR="002B63F6" w:rsidRDefault="00000000">
            <w:pPr>
              <w:spacing w:after="20" w:line="240" w:lineRule="auto"/>
              <w:jc w:val="left"/>
            </w:pPr>
            <w:r>
              <w:rPr>
                <w:sz w:val="18"/>
              </w:rPr>
              <w:t>13</w:t>
            </w:r>
          </w:p>
        </w:tc>
        <w:tc>
          <w:tcPr>
            <w:tcW w:w="2126" w:type="dxa"/>
          </w:tcPr>
          <w:p w14:paraId="59F3659E" w14:textId="77777777" w:rsidR="002B63F6" w:rsidRDefault="00000000">
            <w:pPr>
              <w:spacing w:after="20" w:line="240" w:lineRule="auto"/>
              <w:jc w:val="left"/>
            </w:pPr>
            <w:r>
              <w:rPr>
                <w:sz w:val="18"/>
              </w:rPr>
              <w:t>31.0</w:t>
            </w:r>
          </w:p>
        </w:tc>
      </w:tr>
      <w:tr w:rsidR="002B63F6" w14:paraId="72620AAC" w14:textId="77777777">
        <w:trPr>
          <w:jc w:val="center"/>
        </w:trPr>
        <w:tc>
          <w:tcPr>
            <w:tcW w:w="2126" w:type="dxa"/>
          </w:tcPr>
          <w:p w14:paraId="143D9DBA" w14:textId="77777777" w:rsidR="002B63F6" w:rsidRDefault="00000000">
            <w:pPr>
              <w:spacing w:after="20" w:line="240" w:lineRule="auto"/>
              <w:jc w:val="left"/>
            </w:pPr>
            <w:r>
              <w:rPr>
                <w:sz w:val="18"/>
              </w:rPr>
              <w:t>Hybrid/Remote Work Experience</w:t>
            </w:r>
          </w:p>
        </w:tc>
        <w:tc>
          <w:tcPr>
            <w:tcW w:w="2126" w:type="dxa"/>
          </w:tcPr>
          <w:p w14:paraId="1AD89D19" w14:textId="77777777" w:rsidR="002B63F6" w:rsidRDefault="00000000">
            <w:pPr>
              <w:spacing w:after="20" w:line="240" w:lineRule="auto"/>
              <w:jc w:val="left"/>
            </w:pPr>
            <w:r>
              <w:rPr>
                <w:sz w:val="18"/>
              </w:rPr>
              <w:t>Currently in a hybrid or remote role</w:t>
            </w:r>
          </w:p>
        </w:tc>
        <w:tc>
          <w:tcPr>
            <w:tcW w:w="2126" w:type="dxa"/>
          </w:tcPr>
          <w:p w14:paraId="030F883A" w14:textId="77777777" w:rsidR="002B63F6" w:rsidRDefault="00000000">
            <w:pPr>
              <w:spacing w:after="20" w:line="240" w:lineRule="auto"/>
              <w:jc w:val="left"/>
            </w:pPr>
            <w:r>
              <w:rPr>
                <w:sz w:val="18"/>
              </w:rPr>
              <w:t>8</w:t>
            </w:r>
          </w:p>
        </w:tc>
        <w:tc>
          <w:tcPr>
            <w:tcW w:w="2126" w:type="dxa"/>
          </w:tcPr>
          <w:p w14:paraId="05E9B8C5" w14:textId="77777777" w:rsidR="002B63F6" w:rsidRDefault="00000000">
            <w:pPr>
              <w:spacing w:after="20" w:line="240" w:lineRule="auto"/>
              <w:jc w:val="left"/>
            </w:pPr>
            <w:r>
              <w:rPr>
                <w:sz w:val="18"/>
              </w:rPr>
              <w:t>19.0</w:t>
            </w:r>
          </w:p>
        </w:tc>
      </w:tr>
      <w:tr w:rsidR="002B63F6" w14:paraId="4499C6D5" w14:textId="77777777">
        <w:trPr>
          <w:jc w:val="center"/>
        </w:trPr>
        <w:tc>
          <w:tcPr>
            <w:tcW w:w="2126" w:type="dxa"/>
          </w:tcPr>
          <w:p w14:paraId="364066A8" w14:textId="77777777" w:rsidR="002B63F6" w:rsidRDefault="002B63F6">
            <w:pPr>
              <w:spacing w:after="20" w:line="240" w:lineRule="auto"/>
              <w:jc w:val="left"/>
            </w:pPr>
          </w:p>
        </w:tc>
        <w:tc>
          <w:tcPr>
            <w:tcW w:w="2126" w:type="dxa"/>
          </w:tcPr>
          <w:p w14:paraId="5FAF013D" w14:textId="77777777" w:rsidR="002B63F6" w:rsidRDefault="00000000">
            <w:pPr>
              <w:spacing w:after="20" w:line="240" w:lineRule="auto"/>
              <w:jc w:val="left"/>
            </w:pPr>
            <w:r>
              <w:rPr>
                <w:sz w:val="18"/>
              </w:rPr>
              <w:t>Previously in a hybrid or remote role</w:t>
            </w:r>
          </w:p>
        </w:tc>
        <w:tc>
          <w:tcPr>
            <w:tcW w:w="2126" w:type="dxa"/>
          </w:tcPr>
          <w:p w14:paraId="57CF6291" w14:textId="77777777" w:rsidR="002B63F6" w:rsidRDefault="00000000">
            <w:pPr>
              <w:spacing w:after="20" w:line="240" w:lineRule="auto"/>
              <w:jc w:val="left"/>
            </w:pPr>
            <w:r>
              <w:rPr>
                <w:sz w:val="18"/>
              </w:rPr>
              <w:t>24</w:t>
            </w:r>
          </w:p>
        </w:tc>
        <w:tc>
          <w:tcPr>
            <w:tcW w:w="2126" w:type="dxa"/>
          </w:tcPr>
          <w:p w14:paraId="4A05339C" w14:textId="77777777" w:rsidR="002B63F6" w:rsidRDefault="00000000">
            <w:pPr>
              <w:spacing w:after="20" w:line="240" w:lineRule="auto"/>
              <w:jc w:val="left"/>
            </w:pPr>
            <w:r>
              <w:rPr>
                <w:sz w:val="18"/>
              </w:rPr>
              <w:t>57.1</w:t>
            </w:r>
          </w:p>
        </w:tc>
      </w:tr>
      <w:tr w:rsidR="002B63F6" w14:paraId="2836DDA4" w14:textId="77777777">
        <w:trPr>
          <w:jc w:val="center"/>
        </w:trPr>
        <w:tc>
          <w:tcPr>
            <w:tcW w:w="2126" w:type="dxa"/>
          </w:tcPr>
          <w:p w14:paraId="5A6DA714" w14:textId="77777777" w:rsidR="002B63F6" w:rsidRDefault="002B63F6">
            <w:pPr>
              <w:spacing w:after="20" w:line="240" w:lineRule="auto"/>
              <w:jc w:val="left"/>
            </w:pPr>
          </w:p>
        </w:tc>
        <w:tc>
          <w:tcPr>
            <w:tcW w:w="2126" w:type="dxa"/>
          </w:tcPr>
          <w:p w14:paraId="3BAF91F8" w14:textId="77777777" w:rsidR="002B63F6" w:rsidRDefault="00000000">
            <w:pPr>
              <w:spacing w:after="20" w:line="240" w:lineRule="auto"/>
              <w:jc w:val="left"/>
            </w:pPr>
            <w:r>
              <w:rPr>
                <w:sz w:val="18"/>
              </w:rPr>
              <w:t>No prior experience</w:t>
            </w:r>
          </w:p>
        </w:tc>
        <w:tc>
          <w:tcPr>
            <w:tcW w:w="2126" w:type="dxa"/>
          </w:tcPr>
          <w:p w14:paraId="597F998E" w14:textId="77777777" w:rsidR="002B63F6" w:rsidRDefault="00000000">
            <w:pPr>
              <w:spacing w:after="20" w:line="240" w:lineRule="auto"/>
              <w:jc w:val="left"/>
            </w:pPr>
            <w:r>
              <w:rPr>
                <w:sz w:val="18"/>
              </w:rPr>
              <w:t>8</w:t>
            </w:r>
          </w:p>
        </w:tc>
        <w:tc>
          <w:tcPr>
            <w:tcW w:w="2126" w:type="dxa"/>
          </w:tcPr>
          <w:p w14:paraId="0F32BAD9" w14:textId="77777777" w:rsidR="002B63F6" w:rsidRDefault="00000000">
            <w:pPr>
              <w:spacing w:after="20" w:line="240" w:lineRule="auto"/>
              <w:jc w:val="left"/>
            </w:pPr>
            <w:r>
              <w:rPr>
                <w:sz w:val="18"/>
              </w:rPr>
              <w:t>19.0</w:t>
            </w:r>
          </w:p>
        </w:tc>
      </w:tr>
      <w:tr w:rsidR="002B63F6" w14:paraId="5C6E71BE" w14:textId="77777777">
        <w:trPr>
          <w:jc w:val="center"/>
        </w:trPr>
        <w:tc>
          <w:tcPr>
            <w:tcW w:w="2126" w:type="dxa"/>
          </w:tcPr>
          <w:p w14:paraId="5BE1A901" w14:textId="77777777" w:rsidR="002B63F6" w:rsidRDefault="002B63F6">
            <w:pPr>
              <w:spacing w:after="20" w:line="240" w:lineRule="auto"/>
              <w:jc w:val="left"/>
            </w:pPr>
          </w:p>
        </w:tc>
        <w:tc>
          <w:tcPr>
            <w:tcW w:w="2126" w:type="dxa"/>
          </w:tcPr>
          <w:p w14:paraId="7B1D6FB0" w14:textId="77777777" w:rsidR="002B63F6" w:rsidRDefault="00000000">
            <w:pPr>
              <w:spacing w:after="20" w:line="240" w:lineRule="auto"/>
              <w:jc w:val="left"/>
            </w:pPr>
            <w:r>
              <w:rPr>
                <w:sz w:val="18"/>
              </w:rPr>
              <w:t>Prefer not to say</w:t>
            </w:r>
          </w:p>
        </w:tc>
        <w:tc>
          <w:tcPr>
            <w:tcW w:w="2126" w:type="dxa"/>
          </w:tcPr>
          <w:p w14:paraId="3352BB75" w14:textId="77777777" w:rsidR="002B63F6" w:rsidRDefault="00000000">
            <w:pPr>
              <w:spacing w:after="20" w:line="240" w:lineRule="auto"/>
              <w:jc w:val="left"/>
            </w:pPr>
            <w:r>
              <w:rPr>
                <w:sz w:val="18"/>
              </w:rPr>
              <w:t>2</w:t>
            </w:r>
          </w:p>
        </w:tc>
        <w:tc>
          <w:tcPr>
            <w:tcW w:w="2126" w:type="dxa"/>
          </w:tcPr>
          <w:p w14:paraId="07EE4F8C" w14:textId="77777777" w:rsidR="002B63F6" w:rsidRDefault="00000000">
            <w:pPr>
              <w:spacing w:after="20" w:line="240" w:lineRule="auto"/>
              <w:jc w:val="left"/>
            </w:pPr>
            <w:r>
              <w:rPr>
                <w:sz w:val="18"/>
              </w:rPr>
              <w:t>4.8</w:t>
            </w:r>
          </w:p>
        </w:tc>
      </w:tr>
    </w:tbl>
    <w:p w14:paraId="140E7598" w14:textId="77777777" w:rsidR="002B63F6" w:rsidRDefault="002B63F6">
      <w:pPr>
        <w:spacing w:after="160"/>
      </w:pPr>
    </w:p>
    <w:p w14:paraId="09C20D75" w14:textId="77777777" w:rsidR="00AC7F24" w:rsidRDefault="00AC7F24" w:rsidP="00AC7F24">
      <w:r>
        <w:t>Three features of this profile carry interpretive weight for the analysis that follows. First, the sample is heavily postgraduate: 33 of the 42 respondents (78.6 per cent) were on postgraduate taught courses, seven (16.7 per cent) were postgraduate researchers and two (4.8 per cent) were at undergraduate or other levels. Second, 35 respondents (83.3 per cent) were studying business, management, human resource management, finance or a related field. The sample is therefore composed largely of people who already hold a managerial frame of reference and command its vocabulary, so responses to questions about hybrid leadership are likely to be more managerially informed than those of a broader student population.</w:t>
      </w:r>
    </w:p>
    <w:p w14:paraId="748AEEAF" w14:textId="77777777" w:rsidR="00AC7F24" w:rsidRDefault="00AC7F24" w:rsidP="00AC7F24">
      <w:r>
        <w:t xml:space="preserve">Third, and most important for interpreting the results, the sample is mature and experienced. Thirty-five respondents (83.3 per cent) were aged 31 or older, 22 of them (52.4 per cent) in the 31-40 band. Thirty-two respondents (76.2 per cent) had direct </w:t>
      </w:r>
      <w:r>
        <w:lastRenderedPageBreak/>
        <w:t>experience of hybrid or remote working: eight (19.0 per cent) were currently in such a role and 24 (57.1 per cent) had held one previously. Eight (19.0 per cent) reported no prior experience and two (4.8 per cent) did not respond.</w:t>
      </w:r>
    </w:p>
    <w:p w14:paraId="10F39DB9" w14:textId="77777777" w:rsidR="002B63F6" w:rsidRDefault="00AC7F24" w:rsidP="00AC7F24">
      <w:r>
        <w:t>This composition makes it difficult to describe the study simply as one of 'student expectations' in the customary sense. Just over three-quarters of respondents were drawing on personal experience of the working arrangements under discussion rather than speculating about them. That cuts both ways: it grounds the perceptual data in conditions respondents have actually lived, but it also places the sample at some distance from the school-leaver cohort that dominates much of the generational literature reviewed in Chapter Two. Both implications are pursued in Chapter Five. The eight respondents without hybrid experience, roughly a fifth of the sample, also permit the limited experienced-inexperienced comparison reported in Section 4.6.</w:t>
      </w:r>
    </w:p>
    <w:p w14:paraId="6CF67648" w14:textId="77777777" w:rsidR="002B63F6" w:rsidRDefault="00000000">
      <w:pPr>
        <w:pStyle w:val="Heading2"/>
      </w:pPr>
      <w:r>
        <w:t>4.2 Usage Analysis and Tool Preferences (RQ1)</w:t>
      </w:r>
    </w:p>
    <w:p w14:paraId="46248B36" w14:textId="77777777" w:rsidR="002B63F6" w:rsidRDefault="00000000">
      <w:r>
        <w:t>Research Question 1 asked which generative AI tools students use and how frequently they use them. Respondents were invited to select all tools they had ever used, so the percentages in Table 4.2 are calculated against the full sample of 42 and do not sum to 100.</w:t>
      </w:r>
    </w:p>
    <w:p w14:paraId="02FD758E" w14:textId="77777777" w:rsidR="002B63F6" w:rsidRDefault="00000000">
      <w:pPr>
        <w:keepNext/>
        <w:spacing w:before="200" w:after="80"/>
        <w:jc w:val="left"/>
      </w:pPr>
      <w:r>
        <w:rPr>
          <w:b/>
          <w:sz w:val="20"/>
        </w:rPr>
        <w:t>Table 4.2: Generative AI Tool Adoption (multiple response, N = 42)</w:t>
      </w:r>
    </w:p>
    <w:tbl>
      <w:tblPr>
        <w:tblStyle w:val="TableGrid"/>
        <w:tblW w:w="0" w:type="auto"/>
        <w:jc w:val="center"/>
        <w:tblLook w:val="04A0" w:firstRow="1" w:lastRow="0" w:firstColumn="1" w:lastColumn="0" w:noHBand="0" w:noVBand="1"/>
      </w:tblPr>
      <w:tblGrid>
        <w:gridCol w:w="2832"/>
        <w:gridCol w:w="2831"/>
        <w:gridCol w:w="2832"/>
      </w:tblGrid>
      <w:tr w:rsidR="002B63F6" w14:paraId="10C7DE9C" w14:textId="77777777">
        <w:trPr>
          <w:tblHeader/>
          <w:jc w:val="center"/>
        </w:trPr>
        <w:tc>
          <w:tcPr>
            <w:tcW w:w="2835" w:type="dxa"/>
            <w:shd w:val="clear" w:color="auto" w:fill="DCDCDC"/>
          </w:tcPr>
          <w:p w14:paraId="50938162" w14:textId="77777777" w:rsidR="002B63F6" w:rsidRDefault="00000000">
            <w:pPr>
              <w:spacing w:after="20" w:line="240" w:lineRule="auto"/>
              <w:jc w:val="left"/>
            </w:pPr>
            <w:r>
              <w:rPr>
                <w:b/>
                <w:sz w:val="18"/>
              </w:rPr>
              <w:t>Tool</w:t>
            </w:r>
          </w:p>
        </w:tc>
        <w:tc>
          <w:tcPr>
            <w:tcW w:w="2835" w:type="dxa"/>
            <w:shd w:val="clear" w:color="auto" w:fill="DCDCDC"/>
          </w:tcPr>
          <w:p w14:paraId="45D75A4E" w14:textId="77777777" w:rsidR="002B63F6" w:rsidRDefault="00000000">
            <w:pPr>
              <w:spacing w:after="20" w:line="240" w:lineRule="auto"/>
              <w:jc w:val="left"/>
            </w:pPr>
            <w:r>
              <w:rPr>
                <w:b/>
                <w:sz w:val="18"/>
              </w:rPr>
              <w:t>Users (n)</w:t>
            </w:r>
          </w:p>
        </w:tc>
        <w:tc>
          <w:tcPr>
            <w:tcW w:w="2835" w:type="dxa"/>
            <w:shd w:val="clear" w:color="auto" w:fill="DCDCDC"/>
          </w:tcPr>
          <w:p w14:paraId="71B03AAC" w14:textId="77777777" w:rsidR="002B63F6" w:rsidRDefault="00000000">
            <w:pPr>
              <w:spacing w:after="20" w:line="240" w:lineRule="auto"/>
              <w:jc w:val="left"/>
            </w:pPr>
            <w:r>
              <w:rPr>
                <w:b/>
                <w:sz w:val="18"/>
              </w:rPr>
              <w:t>Percentage of sample (%)</w:t>
            </w:r>
          </w:p>
        </w:tc>
      </w:tr>
      <w:tr w:rsidR="002B63F6" w14:paraId="3BE61CF1" w14:textId="77777777">
        <w:trPr>
          <w:jc w:val="center"/>
        </w:trPr>
        <w:tc>
          <w:tcPr>
            <w:tcW w:w="2835" w:type="dxa"/>
          </w:tcPr>
          <w:p w14:paraId="5EB3BF8A" w14:textId="77777777" w:rsidR="002B63F6" w:rsidRDefault="00000000">
            <w:pPr>
              <w:spacing w:after="20" w:line="240" w:lineRule="auto"/>
              <w:jc w:val="left"/>
            </w:pPr>
            <w:r>
              <w:rPr>
                <w:sz w:val="18"/>
              </w:rPr>
              <w:t>ChatGPT</w:t>
            </w:r>
          </w:p>
        </w:tc>
        <w:tc>
          <w:tcPr>
            <w:tcW w:w="2835" w:type="dxa"/>
          </w:tcPr>
          <w:p w14:paraId="30C80C2B" w14:textId="77777777" w:rsidR="002B63F6" w:rsidRDefault="00000000">
            <w:pPr>
              <w:spacing w:after="20" w:line="240" w:lineRule="auto"/>
              <w:jc w:val="left"/>
            </w:pPr>
            <w:r>
              <w:rPr>
                <w:sz w:val="18"/>
              </w:rPr>
              <w:t>40</w:t>
            </w:r>
          </w:p>
        </w:tc>
        <w:tc>
          <w:tcPr>
            <w:tcW w:w="2835" w:type="dxa"/>
          </w:tcPr>
          <w:p w14:paraId="05878AD7" w14:textId="77777777" w:rsidR="002B63F6" w:rsidRDefault="00000000">
            <w:pPr>
              <w:spacing w:after="20" w:line="240" w:lineRule="auto"/>
              <w:jc w:val="left"/>
            </w:pPr>
            <w:r>
              <w:rPr>
                <w:sz w:val="18"/>
              </w:rPr>
              <w:t>95.2</w:t>
            </w:r>
          </w:p>
        </w:tc>
      </w:tr>
      <w:tr w:rsidR="002B63F6" w14:paraId="5A88CEFC" w14:textId="77777777">
        <w:trPr>
          <w:jc w:val="center"/>
        </w:trPr>
        <w:tc>
          <w:tcPr>
            <w:tcW w:w="2835" w:type="dxa"/>
          </w:tcPr>
          <w:p w14:paraId="05F1244B" w14:textId="77777777" w:rsidR="002B63F6" w:rsidRDefault="00000000">
            <w:pPr>
              <w:spacing w:after="20" w:line="240" w:lineRule="auto"/>
              <w:jc w:val="left"/>
            </w:pPr>
            <w:r>
              <w:rPr>
                <w:sz w:val="18"/>
              </w:rPr>
              <w:t>Microsoft Copilot</w:t>
            </w:r>
          </w:p>
        </w:tc>
        <w:tc>
          <w:tcPr>
            <w:tcW w:w="2835" w:type="dxa"/>
          </w:tcPr>
          <w:p w14:paraId="0F0A0374" w14:textId="77777777" w:rsidR="002B63F6" w:rsidRDefault="00000000">
            <w:pPr>
              <w:spacing w:after="20" w:line="240" w:lineRule="auto"/>
              <w:jc w:val="left"/>
            </w:pPr>
            <w:r>
              <w:rPr>
                <w:sz w:val="18"/>
              </w:rPr>
              <w:t>23</w:t>
            </w:r>
          </w:p>
        </w:tc>
        <w:tc>
          <w:tcPr>
            <w:tcW w:w="2835" w:type="dxa"/>
          </w:tcPr>
          <w:p w14:paraId="0E332115" w14:textId="77777777" w:rsidR="002B63F6" w:rsidRDefault="00000000">
            <w:pPr>
              <w:spacing w:after="20" w:line="240" w:lineRule="auto"/>
              <w:jc w:val="left"/>
            </w:pPr>
            <w:r>
              <w:rPr>
                <w:sz w:val="18"/>
              </w:rPr>
              <w:t>54.8</w:t>
            </w:r>
          </w:p>
        </w:tc>
      </w:tr>
      <w:tr w:rsidR="002B63F6" w14:paraId="7B600BAF" w14:textId="77777777">
        <w:trPr>
          <w:jc w:val="center"/>
        </w:trPr>
        <w:tc>
          <w:tcPr>
            <w:tcW w:w="2835" w:type="dxa"/>
          </w:tcPr>
          <w:p w14:paraId="4D7987C4" w14:textId="77777777" w:rsidR="002B63F6" w:rsidRDefault="00000000">
            <w:pPr>
              <w:spacing w:after="20" w:line="240" w:lineRule="auto"/>
              <w:jc w:val="left"/>
            </w:pPr>
            <w:r>
              <w:rPr>
                <w:sz w:val="18"/>
              </w:rPr>
              <w:t>Google Gemini</w:t>
            </w:r>
          </w:p>
        </w:tc>
        <w:tc>
          <w:tcPr>
            <w:tcW w:w="2835" w:type="dxa"/>
          </w:tcPr>
          <w:p w14:paraId="4A5A4B76" w14:textId="77777777" w:rsidR="002B63F6" w:rsidRDefault="00000000">
            <w:pPr>
              <w:spacing w:after="20" w:line="240" w:lineRule="auto"/>
              <w:jc w:val="left"/>
            </w:pPr>
            <w:r>
              <w:rPr>
                <w:sz w:val="18"/>
              </w:rPr>
              <w:t>17</w:t>
            </w:r>
          </w:p>
        </w:tc>
        <w:tc>
          <w:tcPr>
            <w:tcW w:w="2835" w:type="dxa"/>
          </w:tcPr>
          <w:p w14:paraId="050DBEDE" w14:textId="77777777" w:rsidR="002B63F6" w:rsidRDefault="00000000">
            <w:pPr>
              <w:spacing w:after="20" w:line="240" w:lineRule="auto"/>
              <w:jc w:val="left"/>
            </w:pPr>
            <w:r>
              <w:rPr>
                <w:sz w:val="18"/>
              </w:rPr>
              <w:t>40.5</w:t>
            </w:r>
          </w:p>
        </w:tc>
      </w:tr>
      <w:tr w:rsidR="002B63F6" w14:paraId="6AF05680" w14:textId="77777777">
        <w:trPr>
          <w:jc w:val="center"/>
        </w:trPr>
        <w:tc>
          <w:tcPr>
            <w:tcW w:w="2835" w:type="dxa"/>
          </w:tcPr>
          <w:p w14:paraId="2EAD2BE4" w14:textId="77777777" w:rsidR="002B63F6" w:rsidRDefault="00000000">
            <w:pPr>
              <w:spacing w:after="20" w:line="240" w:lineRule="auto"/>
              <w:jc w:val="left"/>
            </w:pPr>
            <w:r>
              <w:rPr>
                <w:sz w:val="18"/>
              </w:rPr>
              <w:t>Claude</w:t>
            </w:r>
          </w:p>
        </w:tc>
        <w:tc>
          <w:tcPr>
            <w:tcW w:w="2835" w:type="dxa"/>
          </w:tcPr>
          <w:p w14:paraId="44799249" w14:textId="77777777" w:rsidR="002B63F6" w:rsidRDefault="00000000">
            <w:pPr>
              <w:spacing w:after="20" w:line="240" w:lineRule="auto"/>
              <w:jc w:val="left"/>
            </w:pPr>
            <w:r>
              <w:rPr>
                <w:sz w:val="18"/>
              </w:rPr>
              <w:t>9</w:t>
            </w:r>
          </w:p>
        </w:tc>
        <w:tc>
          <w:tcPr>
            <w:tcW w:w="2835" w:type="dxa"/>
          </w:tcPr>
          <w:p w14:paraId="06EDC6CD" w14:textId="77777777" w:rsidR="002B63F6" w:rsidRDefault="00000000">
            <w:pPr>
              <w:spacing w:after="20" w:line="240" w:lineRule="auto"/>
              <w:jc w:val="left"/>
            </w:pPr>
            <w:r>
              <w:rPr>
                <w:sz w:val="18"/>
              </w:rPr>
              <w:t>21.4</w:t>
            </w:r>
          </w:p>
        </w:tc>
      </w:tr>
      <w:tr w:rsidR="002B63F6" w14:paraId="71B7D01C" w14:textId="77777777">
        <w:trPr>
          <w:jc w:val="center"/>
        </w:trPr>
        <w:tc>
          <w:tcPr>
            <w:tcW w:w="2835" w:type="dxa"/>
          </w:tcPr>
          <w:p w14:paraId="213356E6" w14:textId="77777777" w:rsidR="002B63F6" w:rsidRDefault="00000000">
            <w:pPr>
              <w:spacing w:after="20" w:line="240" w:lineRule="auto"/>
              <w:jc w:val="left"/>
            </w:pPr>
            <w:r>
              <w:rPr>
                <w:sz w:val="18"/>
              </w:rPr>
              <w:t>Perplexity AI</w:t>
            </w:r>
          </w:p>
        </w:tc>
        <w:tc>
          <w:tcPr>
            <w:tcW w:w="2835" w:type="dxa"/>
          </w:tcPr>
          <w:p w14:paraId="49998CB2" w14:textId="77777777" w:rsidR="002B63F6" w:rsidRDefault="00000000">
            <w:pPr>
              <w:spacing w:after="20" w:line="240" w:lineRule="auto"/>
              <w:jc w:val="left"/>
            </w:pPr>
            <w:r>
              <w:rPr>
                <w:sz w:val="18"/>
              </w:rPr>
              <w:t>8</w:t>
            </w:r>
          </w:p>
        </w:tc>
        <w:tc>
          <w:tcPr>
            <w:tcW w:w="2835" w:type="dxa"/>
          </w:tcPr>
          <w:p w14:paraId="22B76C05" w14:textId="77777777" w:rsidR="002B63F6" w:rsidRDefault="00000000">
            <w:pPr>
              <w:spacing w:after="20" w:line="240" w:lineRule="auto"/>
              <w:jc w:val="left"/>
            </w:pPr>
            <w:r>
              <w:rPr>
                <w:sz w:val="18"/>
              </w:rPr>
              <w:t>19.0</w:t>
            </w:r>
          </w:p>
        </w:tc>
      </w:tr>
      <w:tr w:rsidR="002B63F6" w14:paraId="4CE2138C" w14:textId="77777777">
        <w:trPr>
          <w:jc w:val="center"/>
        </w:trPr>
        <w:tc>
          <w:tcPr>
            <w:tcW w:w="2835" w:type="dxa"/>
          </w:tcPr>
          <w:p w14:paraId="33B7A946" w14:textId="77777777" w:rsidR="002B63F6" w:rsidRDefault="00000000">
            <w:pPr>
              <w:spacing w:after="20" w:line="240" w:lineRule="auto"/>
              <w:jc w:val="left"/>
            </w:pPr>
            <w:proofErr w:type="spellStart"/>
            <w:r>
              <w:rPr>
                <w:sz w:val="18"/>
              </w:rPr>
              <w:t>DeepAI</w:t>
            </w:r>
            <w:proofErr w:type="spellEnd"/>
          </w:p>
        </w:tc>
        <w:tc>
          <w:tcPr>
            <w:tcW w:w="2835" w:type="dxa"/>
          </w:tcPr>
          <w:p w14:paraId="27E5B9DF" w14:textId="77777777" w:rsidR="002B63F6" w:rsidRDefault="00000000">
            <w:pPr>
              <w:spacing w:after="20" w:line="240" w:lineRule="auto"/>
              <w:jc w:val="left"/>
            </w:pPr>
            <w:r>
              <w:rPr>
                <w:sz w:val="18"/>
              </w:rPr>
              <w:t>1</w:t>
            </w:r>
          </w:p>
        </w:tc>
        <w:tc>
          <w:tcPr>
            <w:tcW w:w="2835" w:type="dxa"/>
          </w:tcPr>
          <w:p w14:paraId="331878E1" w14:textId="77777777" w:rsidR="002B63F6" w:rsidRDefault="00000000">
            <w:pPr>
              <w:spacing w:after="20" w:line="240" w:lineRule="auto"/>
              <w:jc w:val="left"/>
            </w:pPr>
            <w:r>
              <w:rPr>
                <w:sz w:val="18"/>
              </w:rPr>
              <w:t>2.4</w:t>
            </w:r>
          </w:p>
        </w:tc>
      </w:tr>
    </w:tbl>
    <w:p w14:paraId="1814CA76" w14:textId="77777777" w:rsidR="002B63F6" w:rsidRDefault="002B63F6">
      <w:pPr>
        <w:spacing w:after="160"/>
      </w:pPr>
    </w:p>
    <w:p w14:paraId="70A7DA38" w14:textId="77777777" w:rsidR="002B63F6" w:rsidRDefault="00000000">
      <w:r>
        <w:t>ChatGPT is close to universal within the sample, used by 40 of the 42 respondents (95.2 per cent). Microsoft Copilot follows at 23 users (54.8 per cent) and Google Gemini at 17 (40.5 per cent), with Claude (nine users, 21.4 per cent) and Perplexity AI (eight users, 19.0 per cent) occupying a clearly secondary position. The distribution is consistent with a market in which one general-purpose assistant has achieved category-defining status while a second tier of platforms competes for specialised or institutionally mediated use.</w:t>
      </w:r>
    </w:p>
    <w:p w14:paraId="726B8FE0" w14:textId="77777777" w:rsidR="002B63F6" w:rsidRDefault="00000000">
      <w:r>
        <w:t xml:space="preserve">Copilot’s relatively strong showing matters for a study of hybrid work. Unlike ChatGPT, which respondents predominantly meet as a consumer product, Copilot is typically </w:t>
      </w:r>
      <w:r>
        <w:lastRenderedPageBreak/>
        <w:t>encountered inside the Microsoft 365 environment that also hosts the collaboration infrastructure — Teams, Outlook, SharePoint — through which hybrid work is conducted. That more than half the sample has used it suggests generative AI is reaching this cohort not only as a personal study aid but as an embedded feature of the enterprise software estate they will manage within. The lower adoption of Claude and Perplexity AI plausibly reflects their more specialised professional and research positioning.</w:t>
      </w:r>
    </w:p>
    <w:p w14:paraId="237B7631" w14:textId="77777777" w:rsidR="002B63F6" w:rsidRDefault="00000000">
      <w:r>
        <w:t>Frequency of use indicates routinisation rather than experimentation. Twelve respondents (28.6 per cent) reported daily use and 18 (42.9 per cent) several times per week, so 30 (71.4 per cent) engage with these tools at least several times weekly. Adding the four (9.5 per cent) reporting weekly use brings the total using generative AI at least once a week to 34 (81.0 per cent). Six respondents (14.3 per cent) reported monthly use and two (4.8 per cent) rare use; none reported never having used them. The perceptual items in Section 4.3 should therefore be read against a baseline of established habitual use.</w:t>
      </w:r>
    </w:p>
    <w:p w14:paraId="52720C58" w14:textId="77777777" w:rsidR="002B63F6" w:rsidRDefault="00000000">
      <w:r>
        <w:t>The purposes for which respondents use these tools cluster around comprehension and composition rather than decision-making. Explaining complex concepts was the most frequently selected purpose (26 respondents, 61.9 per cent), followed by generating ideas or structuring assignments (18, 42.9 per cent), personal productivity (17, 40.5 per cent), summarising reading materials (15, 35.7 per cent), job applications and CV preparation (13, 31.0 per cent) and drafting or editing written work (nine, 21.4 per cent). This profile matters for the argument developed in Chapter Five: the sample’s established pattern of use is one in which generative AI clarifies, condenses and structures material that the user then acts upon, rather than one in which the tool substitutes for the user’s judgement. The task-boundary logic identified in Section 4.5 is thus already visible in respondents’ behaviour before it is articulated as a normative position.</w:t>
      </w:r>
    </w:p>
    <w:p w14:paraId="7C505DF0" w14:textId="77777777" w:rsidR="002B63F6" w:rsidRDefault="00000000">
      <w:pPr>
        <w:pStyle w:val="Heading2"/>
      </w:pPr>
      <w:r>
        <w:t>4.3 Descriptive Evaluation of the Perceptual Likert Battery (RQ2 and RQ3)</w:t>
      </w:r>
    </w:p>
    <w:p w14:paraId="3230B574" w14:textId="77777777" w:rsidR="002B63F6" w:rsidRDefault="00000000">
      <w:r>
        <w:t>Research Questions 2 and 3 addressed respondents’ perceptions of generative AI’s contribution to hybrid leadership and to employee engagement. Nine items were administered on a five-point Likert scale anchored at 1 (Strongly Disagree) and 5 (Strongly Agree). Table 4.3 reports the full response distribution for each item as counts and percentages, together with the item mean and standard deviation.</w:t>
      </w:r>
    </w:p>
    <w:p w14:paraId="11ADE0F6" w14:textId="77777777" w:rsidR="002B63F6" w:rsidRDefault="00000000">
      <w:pPr>
        <w:keepNext/>
        <w:spacing w:before="200" w:after="80"/>
        <w:jc w:val="left"/>
      </w:pPr>
      <w:r>
        <w:rPr>
          <w:b/>
          <w:sz w:val="20"/>
        </w:rPr>
        <w:lastRenderedPageBreak/>
        <w:t>Table 4.3: Distribution, Mean and Standard Deviation of Perceptual Items (N = 42)</w:t>
      </w:r>
    </w:p>
    <w:tbl>
      <w:tblPr>
        <w:tblStyle w:val="TableGrid"/>
        <w:tblW w:w="0" w:type="auto"/>
        <w:jc w:val="center"/>
        <w:tblLook w:val="04A0" w:firstRow="1" w:lastRow="0" w:firstColumn="1" w:lastColumn="0" w:noHBand="0" w:noVBand="1"/>
      </w:tblPr>
      <w:tblGrid>
        <w:gridCol w:w="1187"/>
        <w:gridCol w:w="1042"/>
        <w:gridCol w:w="1045"/>
        <w:gridCol w:w="1045"/>
        <w:gridCol w:w="1045"/>
        <w:gridCol w:w="1045"/>
        <w:gridCol w:w="1046"/>
        <w:gridCol w:w="1040"/>
      </w:tblGrid>
      <w:tr w:rsidR="002B63F6" w14:paraId="3934296E" w14:textId="77777777">
        <w:trPr>
          <w:tblHeader/>
          <w:jc w:val="center"/>
        </w:trPr>
        <w:tc>
          <w:tcPr>
            <w:tcW w:w="1063" w:type="dxa"/>
            <w:shd w:val="clear" w:color="auto" w:fill="DCDCDC"/>
          </w:tcPr>
          <w:p w14:paraId="569BEB39" w14:textId="77777777" w:rsidR="002B63F6" w:rsidRDefault="00000000">
            <w:pPr>
              <w:spacing w:after="20" w:line="240" w:lineRule="auto"/>
              <w:jc w:val="left"/>
            </w:pPr>
            <w:r>
              <w:rPr>
                <w:b/>
                <w:sz w:val="18"/>
              </w:rPr>
              <w:t>Item</w:t>
            </w:r>
          </w:p>
        </w:tc>
        <w:tc>
          <w:tcPr>
            <w:tcW w:w="1063" w:type="dxa"/>
            <w:shd w:val="clear" w:color="auto" w:fill="DCDCDC"/>
          </w:tcPr>
          <w:p w14:paraId="369BC9D7" w14:textId="77777777" w:rsidR="002B63F6" w:rsidRDefault="00000000">
            <w:pPr>
              <w:spacing w:after="20" w:line="240" w:lineRule="auto"/>
              <w:jc w:val="left"/>
            </w:pPr>
            <w:r>
              <w:rPr>
                <w:b/>
                <w:sz w:val="18"/>
              </w:rPr>
              <w:t>SD n (%)</w:t>
            </w:r>
          </w:p>
        </w:tc>
        <w:tc>
          <w:tcPr>
            <w:tcW w:w="1063" w:type="dxa"/>
            <w:shd w:val="clear" w:color="auto" w:fill="DCDCDC"/>
          </w:tcPr>
          <w:p w14:paraId="119B18AC" w14:textId="77777777" w:rsidR="002B63F6" w:rsidRDefault="00000000">
            <w:pPr>
              <w:spacing w:after="20" w:line="240" w:lineRule="auto"/>
              <w:jc w:val="left"/>
            </w:pPr>
            <w:r>
              <w:rPr>
                <w:b/>
                <w:sz w:val="18"/>
              </w:rPr>
              <w:t>D n (%)</w:t>
            </w:r>
          </w:p>
        </w:tc>
        <w:tc>
          <w:tcPr>
            <w:tcW w:w="1063" w:type="dxa"/>
            <w:shd w:val="clear" w:color="auto" w:fill="DCDCDC"/>
          </w:tcPr>
          <w:p w14:paraId="060E309E" w14:textId="77777777" w:rsidR="002B63F6" w:rsidRDefault="00000000">
            <w:pPr>
              <w:spacing w:after="20" w:line="240" w:lineRule="auto"/>
              <w:jc w:val="left"/>
            </w:pPr>
            <w:r>
              <w:rPr>
                <w:b/>
                <w:sz w:val="18"/>
              </w:rPr>
              <w:t xml:space="preserve">N </w:t>
            </w:r>
            <w:proofErr w:type="spellStart"/>
            <w:r>
              <w:rPr>
                <w:b/>
                <w:sz w:val="18"/>
              </w:rPr>
              <w:t>n</w:t>
            </w:r>
            <w:proofErr w:type="spellEnd"/>
            <w:r>
              <w:rPr>
                <w:b/>
                <w:sz w:val="18"/>
              </w:rPr>
              <w:t xml:space="preserve"> (%)</w:t>
            </w:r>
          </w:p>
        </w:tc>
        <w:tc>
          <w:tcPr>
            <w:tcW w:w="1063" w:type="dxa"/>
            <w:shd w:val="clear" w:color="auto" w:fill="DCDCDC"/>
          </w:tcPr>
          <w:p w14:paraId="696BBE5D" w14:textId="77777777" w:rsidR="002B63F6" w:rsidRDefault="00000000">
            <w:pPr>
              <w:spacing w:after="20" w:line="240" w:lineRule="auto"/>
              <w:jc w:val="left"/>
            </w:pPr>
            <w:r>
              <w:rPr>
                <w:b/>
                <w:sz w:val="18"/>
              </w:rPr>
              <w:t>A n (%)</w:t>
            </w:r>
          </w:p>
        </w:tc>
        <w:tc>
          <w:tcPr>
            <w:tcW w:w="1063" w:type="dxa"/>
            <w:shd w:val="clear" w:color="auto" w:fill="DCDCDC"/>
          </w:tcPr>
          <w:p w14:paraId="6572F2FD" w14:textId="77777777" w:rsidR="002B63F6" w:rsidRDefault="00000000">
            <w:pPr>
              <w:spacing w:after="20" w:line="240" w:lineRule="auto"/>
              <w:jc w:val="left"/>
            </w:pPr>
            <w:r>
              <w:rPr>
                <w:b/>
                <w:sz w:val="18"/>
              </w:rPr>
              <w:t>SA n (%)</w:t>
            </w:r>
          </w:p>
        </w:tc>
        <w:tc>
          <w:tcPr>
            <w:tcW w:w="1063" w:type="dxa"/>
            <w:shd w:val="clear" w:color="auto" w:fill="DCDCDC"/>
          </w:tcPr>
          <w:p w14:paraId="05E0C1C2" w14:textId="77777777" w:rsidR="002B63F6" w:rsidRDefault="00000000">
            <w:pPr>
              <w:spacing w:after="20" w:line="240" w:lineRule="auto"/>
              <w:jc w:val="left"/>
            </w:pPr>
            <w:r>
              <w:rPr>
                <w:b/>
                <w:sz w:val="18"/>
              </w:rPr>
              <w:t>Mean</w:t>
            </w:r>
          </w:p>
        </w:tc>
        <w:tc>
          <w:tcPr>
            <w:tcW w:w="1063" w:type="dxa"/>
            <w:shd w:val="clear" w:color="auto" w:fill="DCDCDC"/>
          </w:tcPr>
          <w:p w14:paraId="1A75EDE5" w14:textId="77777777" w:rsidR="002B63F6" w:rsidRDefault="00000000">
            <w:pPr>
              <w:spacing w:after="20" w:line="240" w:lineRule="auto"/>
              <w:jc w:val="left"/>
            </w:pPr>
            <w:r>
              <w:rPr>
                <w:b/>
                <w:sz w:val="18"/>
              </w:rPr>
              <w:t>SD</w:t>
            </w:r>
          </w:p>
        </w:tc>
      </w:tr>
      <w:tr w:rsidR="002B63F6" w14:paraId="28E01004" w14:textId="77777777">
        <w:trPr>
          <w:jc w:val="center"/>
        </w:trPr>
        <w:tc>
          <w:tcPr>
            <w:tcW w:w="1063" w:type="dxa"/>
          </w:tcPr>
          <w:p w14:paraId="2126467E" w14:textId="77777777" w:rsidR="002B63F6" w:rsidRDefault="00000000">
            <w:pPr>
              <w:spacing w:after="20" w:line="240" w:lineRule="auto"/>
              <w:jc w:val="left"/>
            </w:pPr>
            <w:r>
              <w:rPr>
                <w:sz w:val="18"/>
              </w:rPr>
              <w:t>V1: Confidence and familiarity with GenAI platforms</w:t>
            </w:r>
          </w:p>
        </w:tc>
        <w:tc>
          <w:tcPr>
            <w:tcW w:w="1063" w:type="dxa"/>
          </w:tcPr>
          <w:p w14:paraId="546B07F8" w14:textId="77777777" w:rsidR="002B63F6" w:rsidRDefault="00000000">
            <w:pPr>
              <w:spacing w:after="20" w:line="240" w:lineRule="auto"/>
              <w:jc w:val="left"/>
            </w:pPr>
            <w:r>
              <w:rPr>
                <w:sz w:val="18"/>
              </w:rPr>
              <w:t>0 (0.0)</w:t>
            </w:r>
          </w:p>
        </w:tc>
        <w:tc>
          <w:tcPr>
            <w:tcW w:w="1063" w:type="dxa"/>
          </w:tcPr>
          <w:p w14:paraId="291D97C7" w14:textId="77777777" w:rsidR="002B63F6" w:rsidRDefault="00000000">
            <w:pPr>
              <w:spacing w:after="20" w:line="240" w:lineRule="auto"/>
              <w:jc w:val="left"/>
            </w:pPr>
            <w:r>
              <w:rPr>
                <w:sz w:val="18"/>
              </w:rPr>
              <w:t>2 (4.8)</w:t>
            </w:r>
          </w:p>
        </w:tc>
        <w:tc>
          <w:tcPr>
            <w:tcW w:w="1063" w:type="dxa"/>
          </w:tcPr>
          <w:p w14:paraId="6F54693C" w14:textId="77777777" w:rsidR="002B63F6" w:rsidRDefault="00000000">
            <w:pPr>
              <w:spacing w:after="20" w:line="240" w:lineRule="auto"/>
              <w:jc w:val="left"/>
            </w:pPr>
            <w:r>
              <w:rPr>
                <w:sz w:val="18"/>
              </w:rPr>
              <w:t>10 (23.8)</w:t>
            </w:r>
          </w:p>
        </w:tc>
        <w:tc>
          <w:tcPr>
            <w:tcW w:w="1063" w:type="dxa"/>
          </w:tcPr>
          <w:p w14:paraId="145608A1" w14:textId="77777777" w:rsidR="002B63F6" w:rsidRDefault="00000000">
            <w:pPr>
              <w:spacing w:after="20" w:line="240" w:lineRule="auto"/>
              <w:jc w:val="left"/>
            </w:pPr>
            <w:r>
              <w:rPr>
                <w:sz w:val="18"/>
              </w:rPr>
              <w:t>19 (45.2)</w:t>
            </w:r>
          </w:p>
        </w:tc>
        <w:tc>
          <w:tcPr>
            <w:tcW w:w="1063" w:type="dxa"/>
          </w:tcPr>
          <w:p w14:paraId="4395B645" w14:textId="77777777" w:rsidR="002B63F6" w:rsidRDefault="00000000">
            <w:pPr>
              <w:spacing w:after="20" w:line="240" w:lineRule="auto"/>
              <w:jc w:val="left"/>
            </w:pPr>
            <w:r>
              <w:rPr>
                <w:sz w:val="18"/>
              </w:rPr>
              <w:t>11 (26.2)</w:t>
            </w:r>
          </w:p>
        </w:tc>
        <w:tc>
          <w:tcPr>
            <w:tcW w:w="1063" w:type="dxa"/>
          </w:tcPr>
          <w:p w14:paraId="617E4E3B" w14:textId="77777777" w:rsidR="002B63F6" w:rsidRDefault="00000000">
            <w:pPr>
              <w:spacing w:after="20" w:line="240" w:lineRule="auto"/>
              <w:jc w:val="left"/>
            </w:pPr>
            <w:r>
              <w:rPr>
                <w:sz w:val="18"/>
              </w:rPr>
              <w:t>3.93</w:t>
            </w:r>
          </w:p>
        </w:tc>
        <w:tc>
          <w:tcPr>
            <w:tcW w:w="1063" w:type="dxa"/>
          </w:tcPr>
          <w:p w14:paraId="458C0D1E" w14:textId="77777777" w:rsidR="002B63F6" w:rsidRDefault="00000000">
            <w:pPr>
              <w:spacing w:after="20" w:line="240" w:lineRule="auto"/>
              <w:jc w:val="left"/>
            </w:pPr>
            <w:r>
              <w:rPr>
                <w:sz w:val="18"/>
              </w:rPr>
              <w:t>0.84</w:t>
            </w:r>
          </w:p>
        </w:tc>
      </w:tr>
      <w:tr w:rsidR="002B63F6" w14:paraId="1B31B6E6" w14:textId="77777777">
        <w:trPr>
          <w:jc w:val="center"/>
        </w:trPr>
        <w:tc>
          <w:tcPr>
            <w:tcW w:w="1063" w:type="dxa"/>
          </w:tcPr>
          <w:p w14:paraId="36D3344F" w14:textId="77777777" w:rsidR="002B63F6" w:rsidRDefault="00000000">
            <w:pPr>
              <w:spacing w:after="20" w:line="240" w:lineRule="auto"/>
              <w:jc w:val="left"/>
            </w:pPr>
            <w:r>
              <w:rPr>
                <w:sz w:val="18"/>
              </w:rPr>
              <w:t>V2: GenAI helps leaders communicate with hybrid teams</w:t>
            </w:r>
          </w:p>
        </w:tc>
        <w:tc>
          <w:tcPr>
            <w:tcW w:w="1063" w:type="dxa"/>
          </w:tcPr>
          <w:p w14:paraId="5F8A7FC8" w14:textId="77777777" w:rsidR="002B63F6" w:rsidRDefault="00000000">
            <w:pPr>
              <w:spacing w:after="20" w:line="240" w:lineRule="auto"/>
              <w:jc w:val="left"/>
            </w:pPr>
            <w:r>
              <w:rPr>
                <w:sz w:val="18"/>
              </w:rPr>
              <w:t>2 (4.8)</w:t>
            </w:r>
          </w:p>
        </w:tc>
        <w:tc>
          <w:tcPr>
            <w:tcW w:w="1063" w:type="dxa"/>
          </w:tcPr>
          <w:p w14:paraId="5F5507A0" w14:textId="77777777" w:rsidR="002B63F6" w:rsidRDefault="00000000">
            <w:pPr>
              <w:spacing w:after="20" w:line="240" w:lineRule="auto"/>
              <w:jc w:val="left"/>
            </w:pPr>
            <w:r>
              <w:rPr>
                <w:sz w:val="18"/>
              </w:rPr>
              <w:t>2 (4.8)</w:t>
            </w:r>
          </w:p>
        </w:tc>
        <w:tc>
          <w:tcPr>
            <w:tcW w:w="1063" w:type="dxa"/>
          </w:tcPr>
          <w:p w14:paraId="5C127B83" w14:textId="77777777" w:rsidR="002B63F6" w:rsidRDefault="00000000">
            <w:pPr>
              <w:spacing w:after="20" w:line="240" w:lineRule="auto"/>
              <w:jc w:val="left"/>
            </w:pPr>
            <w:r>
              <w:rPr>
                <w:sz w:val="18"/>
              </w:rPr>
              <w:t>11 (26.2)</w:t>
            </w:r>
          </w:p>
        </w:tc>
        <w:tc>
          <w:tcPr>
            <w:tcW w:w="1063" w:type="dxa"/>
          </w:tcPr>
          <w:p w14:paraId="4C192A21" w14:textId="77777777" w:rsidR="002B63F6" w:rsidRDefault="00000000">
            <w:pPr>
              <w:spacing w:after="20" w:line="240" w:lineRule="auto"/>
              <w:jc w:val="left"/>
            </w:pPr>
            <w:r>
              <w:rPr>
                <w:sz w:val="18"/>
              </w:rPr>
              <w:t>14 (33.3)</w:t>
            </w:r>
          </w:p>
        </w:tc>
        <w:tc>
          <w:tcPr>
            <w:tcW w:w="1063" w:type="dxa"/>
          </w:tcPr>
          <w:p w14:paraId="7C721026" w14:textId="77777777" w:rsidR="002B63F6" w:rsidRDefault="00000000">
            <w:pPr>
              <w:spacing w:after="20" w:line="240" w:lineRule="auto"/>
              <w:jc w:val="left"/>
            </w:pPr>
            <w:r>
              <w:rPr>
                <w:sz w:val="18"/>
              </w:rPr>
              <w:t>13 (31.0)</w:t>
            </w:r>
          </w:p>
        </w:tc>
        <w:tc>
          <w:tcPr>
            <w:tcW w:w="1063" w:type="dxa"/>
          </w:tcPr>
          <w:p w14:paraId="3EE26BAE" w14:textId="77777777" w:rsidR="002B63F6" w:rsidRDefault="00000000">
            <w:pPr>
              <w:spacing w:after="20" w:line="240" w:lineRule="auto"/>
              <w:jc w:val="left"/>
            </w:pPr>
            <w:r>
              <w:rPr>
                <w:sz w:val="18"/>
              </w:rPr>
              <w:t>3.81</w:t>
            </w:r>
          </w:p>
        </w:tc>
        <w:tc>
          <w:tcPr>
            <w:tcW w:w="1063" w:type="dxa"/>
          </w:tcPr>
          <w:p w14:paraId="0F49BF04" w14:textId="77777777" w:rsidR="002B63F6" w:rsidRDefault="00000000">
            <w:pPr>
              <w:spacing w:after="20" w:line="240" w:lineRule="auto"/>
              <w:jc w:val="left"/>
            </w:pPr>
            <w:r>
              <w:rPr>
                <w:sz w:val="18"/>
              </w:rPr>
              <w:t>1.09</w:t>
            </w:r>
          </w:p>
        </w:tc>
      </w:tr>
      <w:tr w:rsidR="002B63F6" w14:paraId="7FBBE40A" w14:textId="77777777">
        <w:trPr>
          <w:jc w:val="center"/>
        </w:trPr>
        <w:tc>
          <w:tcPr>
            <w:tcW w:w="1063" w:type="dxa"/>
          </w:tcPr>
          <w:p w14:paraId="5D42631B" w14:textId="77777777" w:rsidR="002B63F6" w:rsidRDefault="00000000">
            <w:pPr>
              <w:spacing w:after="20" w:line="240" w:lineRule="auto"/>
              <w:jc w:val="left"/>
            </w:pPr>
            <w:r>
              <w:rPr>
                <w:sz w:val="18"/>
              </w:rPr>
              <w:t>V3: GenAI improves ability to motivate remote staff</w:t>
            </w:r>
          </w:p>
        </w:tc>
        <w:tc>
          <w:tcPr>
            <w:tcW w:w="1063" w:type="dxa"/>
          </w:tcPr>
          <w:p w14:paraId="56E0DC92" w14:textId="77777777" w:rsidR="002B63F6" w:rsidRDefault="00000000">
            <w:pPr>
              <w:spacing w:after="20" w:line="240" w:lineRule="auto"/>
              <w:jc w:val="left"/>
            </w:pPr>
            <w:r>
              <w:rPr>
                <w:sz w:val="18"/>
              </w:rPr>
              <w:t>1 (2.4)</w:t>
            </w:r>
          </w:p>
        </w:tc>
        <w:tc>
          <w:tcPr>
            <w:tcW w:w="1063" w:type="dxa"/>
          </w:tcPr>
          <w:p w14:paraId="0B7ABE1C" w14:textId="77777777" w:rsidR="002B63F6" w:rsidRDefault="00000000">
            <w:pPr>
              <w:spacing w:after="20" w:line="240" w:lineRule="auto"/>
              <w:jc w:val="left"/>
            </w:pPr>
            <w:r>
              <w:rPr>
                <w:sz w:val="18"/>
              </w:rPr>
              <w:t>5 (11.9)</w:t>
            </w:r>
          </w:p>
        </w:tc>
        <w:tc>
          <w:tcPr>
            <w:tcW w:w="1063" w:type="dxa"/>
          </w:tcPr>
          <w:p w14:paraId="7EDBEF51" w14:textId="77777777" w:rsidR="002B63F6" w:rsidRDefault="00000000">
            <w:pPr>
              <w:spacing w:after="20" w:line="240" w:lineRule="auto"/>
              <w:jc w:val="left"/>
            </w:pPr>
            <w:r>
              <w:rPr>
                <w:sz w:val="18"/>
              </w:rPr>
              <w:t>11 (26.2)</w:t>
            </w:r>
          </w:p>
        </w:tc>
        <w:tc>
          <w:tcPr>
            <w:tcW w:w="1063" w:type="dxa"/>
          </w:tcPr>
          <w:p w14:paraId="5678EAA3" w14:textId="77777777" w:rsidR="002B63F6" w:rsidRDefault="00000000">
            <w:pPr>
              <w:spacing w:after="20" w:line="240" w:lineRule="auto"/>
              <w:jc w:val="left"/>
            </w:pPr>
            <w:r>
              <w:rPr>
                <w:sz w:val="18"/>
              </w:rPr>
              <w:t>17 (40.5)</w:t>
            </w:r>
          </w:p>
        </w:tc>
        <w:tc>
          <w:tcPr>
            <w:tcW w:w="1063" w:type="dxa"/>
          </w:tcPr>
          <w:p w14:paraId="77CE64ED" w14:textId="77777777" w:rsidR="002B63F6" w:rsidRDefault="00000000">
            <w:pPr>
              <w:spacing w:after="20" w:line="240" w:lineRule="auto"/>
              <w:jc w:val="left"/>
            </w:pPr>
            <w:r>
              <w:rPr>
                <w:sz w:val="18"/>
              </w:rPr>
              <w:t>8 (19.0)</w:t>
            </w:r>
          </w:p>
        </w:tc>
        <w:tc>
          <w:tcPr>
            <w:tcW w:w="1063" w:type="dxa"/>
          </w:tcPr>
          <w:p w14:paraId="4402BFA6" w14:textId="77777777" w:rsidR="002B63F6" w:rsidRDefault="00000000">
            <w:pPr>
              <w:spacing w:after="20" w:line="240" w:lineRule="auto"/>
              <w:jc w:val="left"/>
            </w:pPr>
            <w:r>
              <w:rPr>
                <w:sz w:val="18"/>
              </w:rPr>
              <w:t>3.62</w:t>
            </w:r>
          </w:p>
        </w:tc>
        <w:tc>
          <w:tcPr>
            <w:tcW w:w="1063" w:type="dxa"/>
          </w:tcPr>
          <w:p w14:paraId="387F1E58" w14:textId="77777777" w:rsidR="002B63F6" w:rsidRDefault="00000000">
            <w:pPr>
              <w:spacing w:after="20" w:line="240" w:lineRule="auto"/>
              <w:jc w:val="left"/>
            </w:pPr>
            <w:r>
              <w:rPr>
                <w:sz w:val="18"/>
              </w:rPr>
              <w:t>1.01</w:t>
            </w:r>
          </w:p>
        </w:tc>
      </w:tr>
      <w:tr w:rsidR="002B63F6" w14:paraId="37515246" w14:textId="77777777">
        <w:trPr>
          <w:jc w:val="center"/>
        </w:trPr>
        <w:tc>
          <w:tcPr>
            <w:tcW w:w="1063" w:type="dxa"/>
          </w:tcPr>
          <w:p w14:paraId="66285E2C" w14:textId="77777777" w:rsidR="002B63F6" w:rsidRDefault="00000000">
            <w:pPr>
              <w:spacing w:after="20" w:line="240" w:lineRule="auto"/>
              <w:jc w:val="left"/>
            </w:pPr>
            <w:r>
              <w:rPr>
                <w:sz w:val="18"/>
              </w:rPr>
              <w:t>V4: GenAI supports personalised feedback in hybrid settings</w:t>
            </w:r>
          </w:p>
        </w:tc>
        <w:tc>
          <w:tcPr>
            <w:tcW w:w="1063" w:type="dxa"/>
          </w:tcPr>
          <w:p w14:paraId="35B1B8A5" w14:textId="77777777" w:rsidR="002B63F6" w:rsidRDefault="00000000">
            <w:pPr>
              <w:spacing w:after="20" w:line="240" w:lineRule="auto"/>
              <w:jc w:val="left"/>
            </w:pPr>
            <w:r>
              <w:rPr>
                <w:sz w:val="18"/>
              </w:rPr>
              <w:t>2 (4.8)</w:t>
            </w:r>
          </w:p>
        </w:tc>
        <w:tc>
          <w:tcPr>
            <w:tcW w:w="1063" w:type="dxa"/>
          </w:tcPr>
          <w:p w14:paraId="7E0552AD" w14:textId="77777777" w:rsidR="002B63F6" w:rsidRDefault="00000000">
            <w:pPr>
              <w:spacing w:after="20" w:line="240" w:lineRule="auto"/>
              <w:jc w:val="left"/>
            </w:pPr>
            <w:r>
              <w:rPr>
                <w:sz w:val="18"/>
              </w:rPr>
              <w:t>4 (9.5)</w:t>
            </w:r>
          </w:p>
        </w:tc>
        <w:tc>
          <w:tcPr>
            <w:tcW w:w="1063" w:type="dxa"/>
          </w:tcPr>
          <w:p w14:paraId="2D41B4A7" w14:textId="77777777" w:rsidR="002B63F6" w:rsidRDefault="00000000">
            <w:pPr>
              <w:spacing w:after="20" w:line="240" w:lineRule="auto"/>
              <w:jc w:val="left"/>
            </w:pPr>
            <w:r>
              <w:rPr>
                <w:sz w:val="18"/>
              </w:rPr>
              <w:t>12 (28.6)</w:t>
            </w:r>
          </w:p>
        </w:tc>
        <w:tc>
          <w:tcPr>
            <w:tcW w:w="1063" w:type="dxa"/>
          </w:tcPr>
          <w:p w14:paraId="4CBC439B" w14:textId="77777777" w:rsidR="002B63F6" w:rsidRDefault="00000000">
            <w:pPr>
              <w:spacing w:after="20" w:line="240" w:lineRule="auto"/>
              <w:jc w:val="left"/>
            </w:pPr>
            <w:r>
              <w:rPr>
                <w:sz w:val="18"/>
              </w:rPr>
              <w:t>14 (33.3)</w:t>
            </w:r>
          </w:p>
        </w:tc>
        <w:tc>
          <w:tcPr>
            <w:tcW w:w="1063" w:type="dxa"/>
          </w:tcPr>
          <w:p w14:paraId="6D7A8273" w14:textId="77777777" w:rsidR="002B63F6" w:rsidRDefault="00000000">
            <w:pPr>
              <w:spacing w:after="20" w:line="240" w:lineRule="auto"/>
              <w:jc w:val="left"/>
            </w:pPr>
            <w:r>
              <w:rPr>
                <w:sz w:val="18"/>
              </w:rPr>
              <w:t>10 (23.8)</w:t>
            </w:r>
          </w:p>
        </w:tc>
        <w:tc>
          <w:tcPr>
            <w:tcW w:w="1063" w:type="dxa"/>
          </w:tcPr>
          <w:p w14:paraId="0FEB5A42" w14:textId="77777777" w:rsidR="002B63F6" w:rsidRDefault="00000000">
            <w:pPr>
              <w:spacing w:after="20" w:line="240" w:lineRule="auto"/>
              <w:jc w:val="left"/>
            </w:pPr>
            <w:r>
              <w:rPr>
                <w:sz w:val="18"/>
              </w:rPr>
              <w:t>3.62</w:t>
            </w:r>
          </w:p>
        </w:tc>
        <w:tc>
          <w:tcPr>
            <w:tcW w:w="1063" w:type="dxa"/>
          </w:tcPr>
          <w:p w14:paraId="52F25FC8" w14:textId="77777777" w:rsidR="002B63F6" w:rsidRDefault="00000000">
            <w:pPr>
              <w:spacing w:after="20" w:line="240" w:lineRule="auto"/>
              <w:jc w:val="left"/>
            </w:pPr>
            <w:r>
              <w:rPr>
                <w:sz w:val="18"/>
              </w:rPr>
              <w:t>1.10</w:t>
            </w:r>
          </w:p>
        </w:tc>
      </w:tr>
      <w:tr w:rsidR="002B63F6" w14:paraId="0A1B5F6F" w14:textId="77777777">
        <w:trPr>
          <w:jc w:val="center"/>
        </w:trPr>
        <w:tc>
          <w:tcPr>
            <w:tcW w:w="1063" w:type="dxa"/>
          </w:tcPr>
          <w:p w14:paraId="45CE205F" w14:textId="77777777" w:rsidR="002B63F6" w:rsidRDefault="00000000">
            <w:pPr>
              <w:spacing w:after="20" w:line="240" w:lineRule="auto"/>
              <w:jc w:val="left"/>
            </w:pPr>
            <w:r>
              <w:rPr>
                <w:sz w:val="18"/>
              </w:rPr>
              <w:t>V5: Over-reliance reduces authentic human connection</w:t>
            </w:r>
          </w:p>
        </w:tc>
        <w:tc>
          <w:tcPr>
            <w:tcW w:w="1063" w:type="dxa"/>
          </w:tcPr>
          <w:p w14:paraId="0FBCA74B" w14:textId="77777777" w:rsidR="002B63F6" w:rsidRDefault="00000000">
            <w:pPr>
              <w:spacing w:after="20" w:line="240" w:lineRule="auto"/>
              <w:jc w:val="left"/>
            </w:pPr>
            <w:r>
              <w:rPr>
                <w:sz w:val="18"/>
              </w:rPr>
              <w:t>2 (4.8)</w:t>
            </w:r>
          </w:p>
        </w:tc>
        <w:tc>
          <w:tcPr>
            <w:tcW w:w="1063" w:type="dxa"/>
          </w:tcPr>
          <w:p w14:paraId="536AA65C" w14:textId="77777777" w:rsidR="002B63F6" w:rsidRDefault="00000000">
            <w:pPr>
              <w:spacing w:after="20" w:line="240" w:lineRule="auto"/>
              <w:jc w:val="left"/>
            </w:pPr>
            <w:r>
              <w:rPr>
                <w:sz w:val="18"/>
              </w:rPr>
              <w:t>1 (2.4)</w:t>
            </w:r>
          </w:p>
        </w:tc>
        <w:tc>
          <w:tcPr>
            <w:tcW w:w="1063" w:type="dxa"/>
          </w:tcPr>
          <w:p w14:paraId="3D7D0784" w14:textId="77777777" w:rsidR="002B63F6" w:rsidRDefault="00000000">
            <w:pPr>
              <w:spacing w:after="20" w:line="240" w:lineRule="auto"/>
              <w:jc w:val="left"/>
            </w:pPr>
            <w:r>
              <w:rPr>
                <w:sz w:val="18"/>
              </w:rPr>
              <w:t>8 (19.0)</w:t>
            </w:r>
          </w:p>
        </w:tc>
        <w:tc>
          <w:tcPr>
            <w:tcW w:w="1063" w:type="dxa"/>
          </w:tcPr>
          <w:p w14:paraId="0096229B" w14:textId="77777777" w:rsidR="002B63F6" w:rsidRDefault="00000000">
            <w:pPr>
              <w:spacing w:after="20" w:line="240" w:lineRule="auto"/>
              <w:jc w:val="left"/>
            </w:pPr>
            <w:r>
              <w:rPr>
                <w:sz w:val="18"/>
              </w:rPr>
              <w:t>18 (42.9)</w:t>
            </w:r>
          </w:p>
        </w:tc>
        <w:tc>
          <w:tcPr>
            <w:tcW w:w="1063" w:type="dxa"/>
          </w:tcPr>
          <w:p w14:paraId="1ABA4B02" w14:textId="77777777" w:rsidR="002B63F6" w:rsidRDefault="00000000">
            <w:pPr>
              <w:spacing w:after="20" w:line="240" w:lineRule="auto"/>
              <w:jc w:val="left"/>
            </w:pPr>
            <w:r>
              <w:rPr>
                <w:sz w:val="18"/>
              </w:rPr>
              <w:t>13 (31.0)</w:t>
            </w:r>
          </w:p>
        </w:tc>
        <w:tc>
          <w:tcPr>
            <w:tcW w:w="1063" w:type="dxa"/>
          </w:tcPr>
          <w:p w14:paraId="77DC5621" w14:textId="77777777" w:rsidR="002B63F6" w:rsidRDefault="00000000">
            <w:pPr>
              <w:spacing w:after="20" w:line="240" w:lineRule="auto"/>
              <w:jc w:val="left"/>
            </w:pPr>
            <w:r>
              <w:rPr>
                <w:sz w:val="18"/>
              </w:rPr>
              <w:t>3.93</w:t>
            </w:r>
          </w:p>
        </w:tc>
        <w:tc>
          <w:tcPr>
            <w:tcW w:w="1063" w:type="dxa"/>
          </w:tcPr>
          <w:p w14:paraId="5AE1237D" w14:textId="77777777" w:rsidR="002B63F6" w:rsidRDefault="00000000">
            <w:pPr>
              <w:spacing w:after="20" w:line="240" w:lineRule="auto"/>
              <w:jc w:val="left"/>
            </w:pPr>
            <w:r>
              <w:rPr>
                <w:sz w:val="18"/>
              </w:rPr>
              <w:t>1.02</w:t>
            </w:r>
          </w:p>
        </w:tc>
      </w:tr>
      <w:tr w:rsidR="002B63F6" w14:paraId="56AA55B3" w14:textId="77777777">
        <w:trPr>
          <w:jc w:val="center"/>
        </w:trPr>
        <w:tc>
          <w:tcPr>
            <w:tcW w:w="1063" w:type="dxa"/>
          </w:tcPr>
          <w:p w14:paraId="5728E3D0" w14:textId="77777777" w:rsidR="002B63F6" w:rsidRDefault="00000000">
            <w:pPr>
              <w:spacing w:after="20" w:line="240" w:lineRule="auto"/>
              <w:jc w:val="left"/>
            </w:pPr>
            <w:r>
              <w:rPr>
                <w:sz w:val="18"/>
              </w:rPr>
              <w:t>V6: GenAI risks reducing trust between leaders and staff</w:t>
            </w:r>
          </w:p>
        </w:tc>
        <w:tc>
          <w:tcPr>
            <w:tcW w:w="1063" w:type="dxa"/>
          </w:tcPr>
          <w:p w14:paraId="56B88F22" w14:textId="77777777" w:rsidR="002B63F6" w:rsidRDefault="00000000">
            <w:pPr>
              <w:spacing w:after="20" w:line="240" w:lineRule="auto"/>
              <w:jc w:val="left"/>
            </w:pPr>
            <w:r>
              <w:rPr>
                <w:sz w:val="18"/>
              </w:rPr>
              <w:t>2 (4.8)</w:t>
            </w:r>
          </w:p>
        </w:tc>
        <w:tc>
          <w:tcPr>
            <w:tcW w:w="1063" w:type="dxa"/>
          </w:tcPr>
          <w:p w14:paraId="0157ECC3" w14:textId="77777777" w:rsidR="002B63F6" w:rsidRDefault="00000000">
            <w:pPr>
              <w:spacing w:after="20" w:line="240" w:lineRule="auto"/>
              <w:jc w:val="left"/>
            </w:pPr>
            <w:r>
              <w:rPr>
                <w:sz w:val="18"/>
              </w:rPr>
              <w:t>8 (19.0)</w:t>
            </w:r>
          </w:p>
        </w:tc>
        <w:tc>
          <w:tcPr>
            <w:tcW w:w="1063" w:type="dxa"/>
          </w:tcPr>
          <w:p w14:paraId="2522AD6A" w14:textId="77777777" w:rsidR="002B63F6" w:rsidRDefault="00000000">
            <w:pPr>
              <w:spacing w:after="20" w:line="240" w:lineRule="auto"/>
              <w:jc w:val="left"/>
            </w:pPr>
            <w:r>
              <w:rPr>
                <w:sz w:val="18"/>
              </w:rPr>
              <w:t>15 (35.7)</w:t>
            </w:r>
          </w:p>
        </w:tc>
        <w:tc>
          <w:tcPr>
            <w:tcW w:w="1063" w:type="dxa"/>
          </w:tcPr>
          <w:p w14:paraId="3E63744E" w14:textId="77777777" w:rsidR="002B63F6" w:rsidRDefault="00000000">
            <w:pPr>
              <w:spacing w:after="20" w:line="240" w:lineRule="auto"/>
              <w:jc w:val="left"/>
            </w:pPr>
            <w:r>
              <w:rPr>
                <w:sz w:val="18"/>
              </w:rPr>
              <w:t>9 (21.4)</w:t>
            </w:r>
          </w:p>
        </w:tc>
        <w:tc>
          <w:tcPr>
            <w:tcW w:w="1063" w:type="dxa"/>
          </w:tcPr>
          <w:p w14:paraId="0871AD8B" w14:textId="77777777" w:rsidR="002B63F6" w:rsidRDefault="00000000">
            <w:pPr>
              <w:spacing w:after="20" w:line="240" w:lineRule="auto"/>
              <w:jc w:val="left"/>
            </w:pPr>
            <w:r>
              <w:rPr>
                <w:sz w:val="18"/>
              </w:rPr>
              <w:t>8 (19.0)</w:t>
            </w:r>
          </w:p>
        </w:tc>
        <w:tc>
          <w:tcPr>
            <w:tcW w:w="1063" w:type="dxa"/>
          </w:tcPr>
          <w:p w14:paraId="0C1B5729" w14:textId="77777777" w:rsidR="002B63F6" w:rsidRDefault="00000000">
            <w:pPr>
              <w:spacing w:after="20" w:line="240" w:lineRule="auto"/>
              <w:jc w:val="left"/>
            </w:pPr>
            <w:r>
              <w:rPr>
                <w:sz w:val="18"/>
              </w:rPr>
              <w:t>3.31</w:t>
            </w:r>
          </w:p>
        </w:tc>
        <w:tc>
          <w:tcPr>
            <w:tcW w:w="1063" w:type="dxa"/>
          </w:tcPr>
          <w:p w14:paraId="0FEB7313" w14:textId="77777777" w:rsidR="002B63F6" w:rsidRDefault="00000000">
            <w:pPr>
              <w:spacing w:after="20" w:line="240" w:lineRule="auto"/>
              <w:jc w:val="left"/>
            </w:pPr>
            <w:r>
              <w:rPr>
                <w:sz w:val="18"/>
              </w:rPr>
              <w:t>1.14</w:t>
            </w:r>
          </w:p>
        </w:tc>
      </w:tr>
      <w:tr w:rsidR="002B63F6" w14:paraId="329FB5FB" w14:textId="77777777">
        <w:trPr>
          <w:jc w:val="center"/>
        </w:trPr>
        <w:tc>
          <w:tcPr>
            <w:tcW w:w="1063" w:type="dxa"/>
          </w:tcPr>
          <w:p w14:paraId="5FA69DE6" w14:textId="77777777" w:rsidR="002B63F6" w:rsidRDefault="00000000">
            <w:pPr>
              <w:spacing w:after="20" w:line="240" w:lineRule="auto"/>
              <w:jc w:val="left"/>
            </w:pPr>
            <w:r>
              <w:rPr>
                <w:sz w:val="18"/>
              </w:rPr>
              <w:t>V7: GenAI could help reduce digital burnout for leaders</w:t>
            </w:r>
          </w:p>
        </w:tc>
        <w:tc>
          <w:tcPr>
            <w:tcW w:w="1063" w:type="dxa"/>
          </w:tcPr>
          <w:p w14:paraId="160473A6" w14:textId="77777777" w:rsidR="002B63F6" w:rsidRDefault="00000000">
            <w:pPr>
              <w:spacing w:after="20" w:line="240" w:lineRule="auto"/>
              <w:jc w:val="left"/>
            </w:pPr>
            <w:r>
              <w:rPr>
                <w:sz w:val="18"/>
              </w:rPr>
              <w:t>1 (2.4)</w:t>
            </w:r>
          </w:p>
        </w:tc>
        <w:tc>
          <w:tcPr>
            <w:tcW w:w="1063" w:type="dxa"/>
          </w:tcPr>
          <w:p w14:paraId="43D55AC8" w14:textId="77777777" w:rsidR="002B63F6" w:rsidRDefault="00000000">
            <w:pPr>
              <w:spacing w:after="20" w:line="240" w:lineRule="auto"/>
              <w:jc w:val="left"/>
            </w:pPr>
            <w:r>
              <w:rPr>
                <w:sz w:val="18"/>
              </w:rPr>
              <w:t>1 (2.4)</w:t>
            </w:r>
          </w:p>
        </w:tc>
        <w:tc>
          <w:tcPr>
            <w:tcW w:w="1063" w:type="dxa"/>
          </w:tcPr>
          <w:p w14:paraId="6B087C53" w14:textId="77777777" w:rsidR="002B63F6" w:rsidRDefault="00000000">
            <w:pPr>
              <w:spacing w:after="20" w:line="240" w:lineRule="auto"/>
              <w:jc w:val="left"/>
            </w:pPr>
            <w:r>
              <w:rPr>
                <w:sz w:val="18"/>
              </w:rPr>
              <w:t>12 (28.6)</w:t>
            </w:r>
          </w:p>
        </w:tc>
        <w:tc>
          <w:tcPr>
            <w:tcW w:w="1063" w:type="dxa"/>
          </w:tcPr>
          <w:p w14:paraId="3F967BE8" w14:textId="77777777" w:rsidR="002B63F6" w:rsidRDefault="00000000">
            <w:pPr>
              <w:spacing w:after="20" w:line="240" w:lineRule="auto"/>
              <w:jc w:val="left"/>
            </w:pPr>
            <w:r>
              <w:rPr>
                <w:sz w:val="18"/>
              </w:rPr>
              <w:t>14 (33.3)</w:t>
            </w:r>
          </w:p>
        </w:tc>
        <w:tc>
          <w:tcPr>
            <w:tcW w:w="1063" w:type="dxa"/>
          </w:tcPr>
          <w:p w14:paraId="0B1C4196" w14:textId="77777777" w:rsidR="002B63F6" w:rsidRDefault="00000000">
            <w:pPr>
              <w:spacing w:after="20" w:line="240" w:lineRule="auto"/>
              <w:jc w:val="left"/>
            </w:pPr>
            <w:r>
              <w:rPr>
                <w:sz w:val="18"/>
              </w:rPr>
              <w:t>14 (33.3)</w:t>
            </w:r>
          </w:p>
        </w:tc>
        <w:tc>
          <w:tcPr>
            <w:tcW w:w="1063" w:type="dxa"/>
          </w:tcPr>
          <w:p w14:paraId="560CC3D9" w14:textId="77777777" w:rsidR="002B63F6" w:rsidRDefault="00000000">
            <w:pPr>
              <w:spacing w:after="20" w:line="240" w:lineRule="auto"/>
              <w:jc w:val="left"/>
            </w:pPr>
            <w:r>
              <w:rPr>
                <w:sz w:val="18"/>
              </w:rPr>
              <w:t>3.93</w:t>
            </w:r>
          </w:p>
        </w:tc>
        <w:tc>
          <w:tcPr>
            <w:tcW w:w="1063" w:type="dxa"/>
          </w:tcPr>
          <w:p w14:paraId="42C24A0D" w14:textId="77777777" w:rsidR="002B63F6" w:rsidRDefault="00000000">
            <w:pPr>
              <w:spacing w:after="20" w:line="240" w:lineRule="auto"/>
              <w:jc w:val="left"/>
            </w:pPr>
            <w:r>
              <w:rPr>
                <w:sz w:val="18"/>
              </w:rPr>
              <w:t>0.97</w:t>
            </w:r>
          </w:p>
        </w:tc>
      </w:tr>
      <w:tr w:rsidR="002B63F6" w14:paraId="1D2DD2CB" w14:textId="77777777">
        <w:trPr>
          <w:jc w:val="center"/>
        </w:trPr>
        <w:tc>
          <w:tcPr>
            <w:tcW w:w="1063" w:type="dxa"/>
          </w:tcPr>
          <w:p w14:paraId="34152F2F" w14:textId="77777777" w:rsidR="002B63F6" w:rsidRDefault="00000000">
            <w:pPr>
              <w:spacing w:after="20" w:line="240" w:lineRule="auto"/>
              <w:jc w:val="left"/>
            </w:pPr>
            <w:r>
              <w:rPr>
                <w:sz w:val="18"/>
              </w:rPr>
              <w:t>V8: Human leadership skills remain more important than AI</w:t>
            </w:r>
          </w:p>
        </w:tc>
        <w:tc>
          <w:tcPr>
            <w:tcW w:w="1063" w:type="dxa"/>
          </w:tcPr>
          <w:p w14:paraId="2BBFDF1D" w14:textId="77777777" w:rsidR="002B63F6" w:rsidRDefault="00000000">
            <w:pPr>
              <w:spacing w:after="20" w:line="240" w:lineRule="auto"/>
              <w:jc w:val="left"/>
            </w:pPr>
            <w:r>
              <w:rPr>
                <w:sz w:val="18"/>
              </w:rPr>
              <w:t>1 (2.4)</w:t>
            </w:r>
          </w:p>
        </w:tc>
        <w:tc>
          <w:tcPr>
            <w:tcW w:w="1063" w:type="dxa"/>
          </w:tcPr>
          <w:p w14:paraId="7ADF287C" w14:textId="77777777" w:rsidR="002B63F6" w:rsidRDefault="00000000">
            <w:pPr>
              <w:spacing w:after="20" w:line="240" w:lineRule="auto"/>
              <w:jc w:val="left"/>
            </w:pPr>
            <w:r>
              <w:rPr>
                <w:sz w:val="18"/>
              </w:rPr>
              <w:t>1 (2.4)</w:t>
            </w:r>
          </w:p>
        </w:tc>
        <w:tc>
          <w:tcPr>
            <w:tcW w:w="1063" w:type="dxa"/>
          </w:tcPr>
          <w:p w14:paraId="5E210BCA" w14:textId="77777777" w:rsidR="002B63F6" w:rsidRDefault="00000000">
            <w:pPr>
              <w:spacing w:after="20" w:line="240" w:lineRule="auto"/>
              <w:jc w:val="left"/>
            </w:pPr>
            <w:r>
              <w:rPr>
                <w:sz w:val="18"/>
              </w:rPr>
              <w:t>9 (21.4)</w:t>
            </w:r>
          </w:p>
        </w:tc>
        <w:tc>
          <w:tcPr>
            <w:tcW w:w="1063" w:type="dxa"/>
          </w:tcPr>
          <w:p w14:paraId="34CE3035" w14:textId="77777777" w:rsidR="002B63F6" w:rsidRDefault="00000000">
            <w:pPr>
              <w:spacing w:after="20" w:line="240" w:lineRule="auto"/>
              <w:jc w:val="left"/>
            </w:pPr>
            <w:r>
              <w:rPr>
                <w:sz w:val="18"/>
              </w:rPr>
              <w:t>7 (16.7)</w:t>
            </w:r>
          </w:p>
        </w:tc>
        <w:tc>
          <w:tcPr>
            <w:tcW w:w="1063" w:type="dxa"/>
          </w:tcPr>
          <w:p w14:paraId="651C2357" w14:textId="77777777" w:rsidR="002B63F6" w:rsidRDefault="00000000">
            <w:pPr>
              <w:spacing w:after="20" w:line="240" w:lineRule="auto"/>
              <w:jc w:val="left"/>
            </w:pPr>
            <w:r>
              <w:rPr>
                <w:sz w:val="18"/>
              </w:rPr>
              <w:t>24 (57.1)</w:t>
            </w:r>
          </w:p>
        </w:tc>
        <w:tc>
          <w:tcPr>
            <w:tcW w:w="1063" w:type="dxa"/>
          </w:tcPr>
          <w:p w14:paraId="0384A264" w14:textId="77777777" w:rsidR="002B63F6" w:rsidRDefault="00000000">
            <w:pPr>
              <w:spacing w:after="20" w:line="240" w:lineRule="auto"/>
              <w:jc w:val="left"/>
            </w:pPr>
            <w:r>
              <w:rPr>
                <w:sz w:val="18"/>
              </w:rPr>
              <w:t>4.24</w:t>
            </w:r>
          </w:p>
        </w:tc>
        <w:tc>
          <w:tcPr>
            <w:tcW w:w="1063" w:type="dxa"/>
          </w:tcPr>
          <w:p w14:paraId="12568B61" w14:textId="77777777" w:rsidR="002B63F6" w:rsidRDefault="00000000">
            <w:pPr>
              <w:spacing w:after="20" w:line="240" w:lineRule="auto"/>
              <w:jc w:val="left"/>
            </w:pPr>
            <w:r>
              <w:rPr>
                <w:sz w:val="18"/>
              </w:rPr>
              <w:t>1.03</w:t>
            </w:r>
          </w:p>
        </w:tc>
      </w:tr>
      <w:tr w:rsidR="002B63F6" w14:paraId="2518E3BD" w14:textId="77777777">
        <w:trPr>
          <w:jc w:val="center"/>
        </w:trPr>
        <w:tc>
          <w:tcPr>
            <w:tcW w:w="1063" w:type="dxa"/>
          </w:tcPr>
          <w:p w14:paraId="01FC8553" w14:textId="77777777" w:rsidR="002B63F6" w:rsidRDefault="00000000">
            <w:pPr>
              <w:spacing w:after="20" w:line="240" w:lineRule="auto"/>
              <w:jc w:val="left"/>
            </w:pPr>
            <w:r>
              <w:rPr>
                <w:sz w:val="18"/>
              </w:rPr>
              <w:t>V9: GenAI more likely to help than harm engagement overall</w:t>
            </w:r>
          </w:p>
        </w:tc>
        <w:tc>
          <w:tcPr>
            <w:tcW w:w="1063" w:type="dxa"/>
          </w:tcPr>
          <w:p w14:paraId="4F9370E2" w14:textId="77777777" w:rsidR="002B63F6" w:rsidRDefault="00000000">
            <w:pPr>
              <w:spacing w:after="20" w:line="240" w:lineRule="auto"/>
              <w:jc w:val="left"/>
            </w:pPr>
            <w:r>
              <w:rPr>
                <w:sz w:val="18"/>
              </w:rPr>
              <w:t>1 (2.4)</w:t>
            </w:r>
          </w:p>
        </w:tc>
        <w:tc>
          <w:tcPr>
            <w:tcW w:w="1063" w:type="dxa"/>
          </w:tcPr>
          <w:p w14:paraId="665E5CA0" w14:textId="77777777" w:rsidR="002B63F6" w:rsidRDefault="00000000">
            <w:pPr>
              <w:spacing w:after="20" w:line="240" w:lineRule="auto"/>
              <w:jc w:val="left"/>
            </w:pPr>
            <w:r>
              <w:rPr>
                <w:sz w:val="18"/>
              </w:rPr>
              <w:t>0 (0.0)</w:t>
            </w:r>
          </w:p>
        </w:tc>
        <w:tc>
          <w:tcPr>
            <w:tcW w:w="1063" w:type="dxa"/>
          </w:tcPr>
          <w:p w14:paraId="4D1464C1" w14:textId="77777777" w:rsidR="002B63F6" w:rsidRDefault="00000000">
            <w:pPr>
              <w:spacing w:after="20" w:line="240" w:lineRule="auto"/>
              <w:jc w:val="left"/>
            </w:pPr>
            <w:r>
              <w:rPr>
                <w:sz w:val="18"/>
              </w:rPr>
              <w:t>13 (31.0)</w:t>
            </w:r>
          </w:p>
        </w:tc>
        <w:tc>
          <w:tcPr>
            <w:tcW w:w="1063" w:type="dxa"/>
          </w:tcPr>
          <w:p w14:paraId="226A18E8" w14:textId="77777777" w:rsidR="002B63F6" w:rsidRDefault="00000000">
            <w:pPr>
              <w:spacing w:after="20" w:line="240" w:lineRule="auto"/>
              <w:jc w:val="left"/>
            </w:pPr>
            <w:r>
              <w:rPr>
                <w:sz w:val="18"/>
              </w:rPr>
              <w:t>11 (26.2)</w:t>
            </w:r>
          </w:p>
        </w:tc>
        <w:tc>
          <w:tcPr>
            <w:tcW w:w="1063" w:type="dxa"/>
          </w:tcPr>
          <w:p w14:paraId="5B4A391F" w14:textId="77777777" w:rsidR="002B63F6" w:rsidRDefault="00000000">
            <w:pPr>
              <w:spacing w:after="20" w:line="240" w:lineRule="auto"/>
              <w:jc w:val="left"/>
            </w:pPr>
            <w:r>
              <w:rPr>
                <w:sz w:val="18"/>
              </w:rPr>
              <w:t>17 (40.5)</w:t>
            </w:r>
          </w:p>
        </w:tc>
        <w:tc>
          <w:tcPr>
            <w:tcW w:w="1063" w:type="dxa"/>
          </w:tcPr>
          <w:p w14:paraId="497E46FB" w14:textId="77777777" w:rsidR="002B63F6" w:rsidRDefault="00000000">
            <w:pPr>
              <w:spacing w:after="20" w:line="240" w:lineRule="auto"/>
              <w:jc w:val="left"/>
            </w:pPr>
            <w:r>
              <w:rPr>
                <w:sz w:val="18"/>
              </w:rPr>
              <w:t>4.02</w:t>
            </w:r>
          </w:p>
        </w:tc>
        <w:tc>
          <w:tcPr>
            <w:tcW w:w="1063" w:type="dxa"/>
          </w:tcPr>
          <w:p w14:paraId="0C75FA88" w14:textId="77777777" w:rsidR="002B63F6" w:rsidRDefault="00000000">
            <w:pPr>
              <w:spacing w:after="20" w:line="240" w:lineRule="auto"/>
              <w:jc w:val="left"/>
            </w:pPr>
            <w:r>
              <w:rPr>
                <w:sz w:val="18"/>
              </w:rPr>
              <w:t>0.98</w:t>
            </w:r>
          </w:p>
        </w:tc>
      </w:tr>
    </w:tbl>
    <w:p w14:paraId="46E58334" w14:textId="77777777" w:rsidR="002B63F6" w:rsidRDefault="002B63F6">
      <w:pPr>
        <w:spacing w:after="160"/>
      </w:pPr>
    </w:p>
    <w:p w14:paraId="6DE74EE9" w14:textId="77777777" w:rsidR="00AC7F24" w:rsidRDefault="00AC7F24" w:rsidP="00AC7F24">
      <w:r>
        <w:t xml:space="preserve">All nine items returned a mean above the scale mid-point of 3.00, reflecting positive sentiment across the constructs or affirmation of the risk in the risk-framed items. Taken together, the battery describes a group comfortable with its own competence (V1, 3.93), broadly convinced of the benefit of generative AI for hybrid leadership (V2, 3.81; V7, </w:t>
      </w:r>
      <w:r>
        <w:lastRenderedPageBreak/>
        <w:t>3.93), alert to its relational costs (V5, 3.93) and firmly of the view that leadership skills remain paramount (V8, 4.24, the highest score in the instrument).</w:t>
      </w:r>
    </w:p>
    <w:p w14:paraId="5DCB257F" w14:textId="77777777" w:rsidR="002B63F6" w:rsidRDefault="00AC7F24" w:rsidP="00AC7F24">
      <w:r>
        <w:t>Two features of the distribution deserve emphasis before the items themselves. First, the standard deviations range from 0.84 on V1 to 1.14 on V6. Dispersion is lowest on the item about respondents’ own competence and highest on the item about trust, as would be expected if respondents feel they know their own capability but are less certain how the technology would be received in organisational relationships they cannot observe. Second, the two highest-scoring items (V8, 4.24 and V9, 4.02) appear to be in conflict: respondents agree both that humans should remain the primary actors and that generative AI can enhance engagement. What matters for this study is that respondents do not experience this as a contradiction. The resolution is developed in Section 4.5 and Chapter Five as task-boundary logic.</w:t>
      </w:r>
    </w:p>
    <w:p w14:paraId="556A65DB" w14:textId="77777777" w:rsidR="002B63F6" w:rsidRDefault="00000000">
      <w:pPr>
        <w:pStyle w:val="Heading2"/>
      </w:pPr>
      <w:r>
        <w:t>4.4 Item-by-Item Interpretation of the Perceptual Battery</w:t>
      </w:r>
    </w:p>
    <w:p w14:paraId="6DD271E6" w14:textId="77777777" w:rsidR="00AC7F24" w:rsidRDefault="00AC7F24" w:rsidP="00AC7F24">
      <w:r>
        <w:t xml:space="preserve">V1 (mean 3.93, SD 0.84) reflects </w:t>
      </w:r>
      <w:proofErr w:type="spellStart"/>
      <w:r>
        <w:t>self rated</w:t>
      </w:r>
      <w:proofErr w:type="spellEnd"/>
      <w:r>
        <w:t xml:space="preserve"> confidence/familiarity. The item shows a high baseline (Technology Acceptance Model – ease of use) that is broadly accepted as 30 out of 42 (71.4 per cent) respondents agree or strongly agree that they perceive the item as easy to use, with no respondent indicating ‘Strongly Disagree.’ The small standard deviation suggests that this confidence is widespread throughout the sample and not restricted to a ‘computer-savvy' minority.</w:t>
      </w:r>
    </w:p>
    <w:p w14:paraId="3D68819C" w14:textId="77777777" w:rsidR="00AC7F24" w:rsidRDefault="00AC7F24" w:rsidP="00AC7F24">
      <w:r>
        <w:t xml:space="preserve">V2 (mean 3.81, SD 1.09) refers to communication of hybrid team. Twenty-seven (64.3 per cent) agreed or strongly agreed, but the item also had a relatively large dispersion and received four (9.5 per cent) disagreeing responses signifying that whilst the communicative value of generative AI was generally </w:t>
      </w:r>
      <w:proofErr w:type="spellStart"/>
      <w:r>
        <w:t>profferred</w:t>
      </w:r>
      <w:proofErr w:type="spellEnd"/>
      <w:r>
        <w:t>, this value is not attributed to AI in all contexts.</w:t>
      </w:r>
    </w:p>
    <w:p w14:paraId="6D411DA7" w14:textId="77777777" w:rsidR="00AC7F24" w:rsidRDefault="00AC7F24" w:rsidP="00AC7F24">
      <w:r>
        <w:t xml:space="preserve">V3 and V4 are the joint lowest-scoring items, each returning a mean of 3.62, with standard deviations of 1.01 and 1.10. Both concern motivational and interpersonal functions — motivating remote employees and providing individual feedback — and both attracted comparatively high disagreement, six respondents (14.3 per cent) on each. That both sit measurably below V2 and V7 is analytically significant: respondents distinguish between generative AI as a communicative and administrative tool, with which they are more at </w:t>
      </w:r>
      <w:r>
        <w:lastRenderedPageBreak/>
        <w:t>ease, and generative AI as a motivational tool, with which they are less so. This gradient anticipates the task-boundary logic set out below.</w:t>
      </w:r>
    </w:p>
    <w:p w14:paraId="761B83A7" w14:textId="77777777" w:rsidR="00AC7F24" w:rsidRDefault="00AC7F24" w:rsidP="00AC7F24">
      <w:r>
        <w:t>V5 (mean 3.93, SD 1.02) agrees that '(extremely) over-reliance decreases the authentic human connection'. Thirty-one (73.8 per cent) responded that they agreed or strongly agreed. What is striking is this relational concern gets the same score as the confidence of the respondents themselves (V1) and the score of the burnout-reduction benefit (V7). The sample does not counterpose the advantages of the technology with the relationship costs but as much as it believes in the first, it believes in the second.</w:t>
      </w:r>
    </w:p>
    <w:p w14:paraId="1896A4C4" w14:textId="77777777" w:rsidR="00AC7F24" w:rsidRDefault="00AC7F24" w:rsidP="00AC7F24">
      <w:r>
        <w:t>The lowest-scoring item in the battery (V6) is the only one whose modal response is neutral, chosen by 15 respondents (35.7 per cent), and it carries the largest standard deviation. The contrast with V5 is instructive. Respondents are settled in their belief that over-reliance harms the authenticity of connection (V5, mean 3.93); they are far less settled on whether generative AI diminishes trust between leader and staff, which returns a mean of 3.31. The first concerns a behavioural risk individuals can readily visualise, the second an organisational outcome contingent on how deployment is handled. The high rate of neutral sentiment is therefore best read as conditionality rather than indifference: a trust that depends on transparency and oversight being in place, as the qualitative data in Section 4.5 confirm.</w:t>
      </w:r>
    </w:p>
    <w:p w14:paraId="663BB9DC" w14:textId="77777777" w:rsidR="00AC7F24" w:rsidRDefault="00AC7F24" w:rsidP="00AC7F24">
      <w:r>
        <w:t>V7 (mean 3.93, SD 0.97) also shows that there is overall agreement that generative AI could help hybrid leaders to mitigate digital burnout, with 28 (66.7 per cent) agreeing or strongly agreeing, and just two (4.8 per cent) disagreeing. It is one of the most consensual positive items in the instrument and is closely linked to the theme of administrative-relief which dominates the qualitative benefit-responses.</w:t>
      </w:r>
    </w:p>
    <w:p w14:paraId="1C5611C7" w14:textId="77777777" w:rsidR="00AC7F24" w:rsidRDefault="00AC7F24" w:rsidP="00AC7F24">
      <w:r>
        <w:t>V8 returns the highest score in the battery, a mean of 4.24 (SD 1.03). Twenty-four respondents (57.1 per cent) strongly agreed and 31 (73.8 per cent) agreed or strongly agreed that human leadership skills such as emotional intelligence will remain more important than AI. What matters is not only the direction of the response but its intensity: this is the only item on which a clear majority of the sample chose the extreme response category.</w:t>
      </w:r>
    </w:p>
    <w:p w14:paraId="2CF4C581" w14:textId="77777777" w:rsidR="002B63F6" w:rsidRDefault="00AC7F24" w:rsidP="00AC7F24">
      <w:r>
        <w:t xml:space="preserve">The summary behavioural-intention item on the instrument (V9, mean 4.02, SD 0.98) indicates that overall, 28 respondents (66.7 per cent) agree that generative AI is a helpful </w:t>
      </w:r>
      <w:r>
        <w:lastRenderedPageBreak/>
        <w:t>tool, with one respondent (2.4 per cent) at the Strongly Disagree extreme and none at Disagree. One with the other suggests the main empirical point of the study: this group expects for good and wants human preeminence—and does so without apparent trouble in itself.</w:t>
      </w:r>
    </w:p>
    <w:p w14:paraId="4549A0E8" w14:textId="77777777" w:rsidR="002B63F6" w:rsidRDefault="00000000">
      <w:pPr>
        <w:pStyle w:val="Heading2"/>
      </w:pPr>
      <w:r>
        <w:t>4.5 Qualitative Thematic Architecture (RQ4)</w:t>
      </w:r>
    </w:p>
    <w:p w14:paraId="34AEC337" w14:textId="77777777" w:rsidR="00AC7F24" w:rsidRDefault="00AC7F24" w:rsidP="00AC7F24">
      <w:r>
        <w:t>Research Question 4 asked what conditions respondents see as necessary for the use of generative AI in responsible hybrid leadership. Free-text responses were gathered to three prompts — perceived benefits, perceived concerns, and recommendations for future leaders and organisations — together with an optional closing comment. Thirty-nine respondents answered all three prompts. One answer to the benefits prompt contained only a name entered in error and was discarded, leaving 38 valid responses to that prompt. Eighteen optional closing comments were received, of which five were substantive.</w:t>
      </w:r>
    </w:p>
    <w:p w14:paraId="2F83F424" w14:textId="77777777" w:rsidR="002B63F6" w:rsidRDefault="00AC7F24" w:rsidP="00AC7F24">
      <w:r>
        <w:t xml:space="preserve">Coding was done through the six phases of reflexive thematic analysis outlined by </w:t>
      </w:r>
      <w:hyperlink w:anchor="ref_Braun2022" w:tooltip="Braun, V. and Clarke, V. (2022) Thematic Analysis: A Practical Guide. London: SAGE.">
        <w:r>
          <w:rPr>
            <w:color w:val="1F4E79"/>
          </w:rPr>
          <w:t>Braun and Clarke (2022)</w:t>
        </w:r>
      </w:hyperlink>
      <w:r>
        <w:t xml:space="preserve"> (see Section 3.6) starting with deductive codes from the Technology Acceptance Model and the Self-Determination Theory, and allowing for inductive codes to also develop if the participants' data failed to align with the a priori codes. Due to a small sample size, coding frequencies are only given as the number of respondents who had a coded answer for each category and are included as a sense of relative salience on a non-numerical basis. These frequencies are reported in Table 4.4.</w:t>
      </w:r>
    </w:p>
    <w:p w14:paraId="7439D6C7" w14:textId="77777777" w:rsidR="002B63F6" w:rsidRDefault="00000000">
      <w:pPr>
        <w:keepNext/>
        <w:spacing w:before="200" w:after="80"/>
        <w:jc w:val="left"/>
      </w:pPr>
      <w:r>
        <w:rPr>
          <w:b/>
          <w:sz w:val="20"/>
        </w:rPr>
        <w:t>Table 4.4: Coding Frequencies Across the Three Free-Text Prompts</w:t>
      </w:r>
    </w:p>
    <w:tbl>
      <w:tblPr>
        <w:tblStyle w:val="TableGrid"/>
        <w:tblW w:w="0" w:type="auto"/>
        <w:jc w:val="center"/>
        <w:tblLook w:val="04A0" w:firstRow="1" w:lastRow="0" w:firstColumn="1" w:lastColumn="0" w:noHBand="0" w:noVBand="1"/>
      </w:tblPr>
      <w:tblGrid>
        <w:gridCol w:w="2126"/>
        <w:gridCol w:w="2124"/>
        <w:gridCol w:w="2123"/>
        <w:gridCol w:w="2122"/>
      </w:tblGrid>
      <w:tr w:rsidR="002B63F6" w14:paraId="0FA10577" w14:textId="77777777">
        <w:trPr>
          <w:tblHeader/>
          <w:jc w:val="center"/>
        </w:trPr>
        <w:tc>
          <w:tcPr>
            <w:tcW w:w="2126" w:type="dxa"/>
            <w:shd w:val="clear" w:color="auto" w:fill="DCDCDC"/>
          </w:tcPr>
          <w:p w14:paraId="69F177FE" w14:textId="77777777" w:rsidR="002B63F6" w:rsidRDefault="00000000">
            <w:pPr>
              <w:spacing w:after="20" w:line="240" w:lineRule="auto"/>
              <w:jc w:val="left"/>
            </w:pPr>
            <w:r>
              <w:rPr>
                <w:b/>
                <w:sz w:val="18"/>
              </w:rPr>
              <w:t>Prompt</w:t>
            </w:r>
          </w:p>
        </w:tc>
        <w:tc>
          <w:tcPr>
            <w:tcW w:w="2126" w:type="dxa"/>
            <w:shd w:val="clear" w:color="auto" w:fill="DCDCDC"/>
          </w:tcPr>
          <w:p w14:paraId="6F953418" w14:textId="77777777" w:rsidR="002B63F6" w:rsidRDefault="00000000">
            <w:pPr>
              <w:spacing w:after="20" w:line="240" w:lineRule="auto"/>
              <w:jc w:val="left"/>
            </w:pPr>
            <w:r>
              <w:rPr>
                <w:b/>
                <w:sz w:val="18"/>
              </w:rPr>
              <w:t>Code</w:t>
            </w:r>
          </w:p>
        </w:tc>
        <w:tc>
          <w:tcPr>
            <w:tcW w:w="2126" w:type="dxa"/>
            <w:shd w:val="clear" w:color="auto" w:fill="DCDCDC"/>
          </w:tcPr>
          <w:p w14:paraId="49FC8157" w14:textId="77777777" w:rsidR="002B63F6" w:rsidRDefault="00000000">
            <w:pPr>
              <w:spacing w:after="20" w:line="240" w:lineRule="auto"/>
              <w:jc w:val="left"/>
            </w:pPr>
            <w:r>
              <w:rPr>
                <w:b/>
                <w:sz w:val="18"/>
              </w:rPr>
              <w:t>Respondents (n)</w:t>
            </w:r>
          </w:p>
        </w:tc>
        <w:tc>
          <w:tcPr>
            <w:tcW w:w="2126" w:type="dxa"/>
            <w:shd w:val="clear" w:color="auto" w:fill="DCDCDC"/>
          </w:tcPr>
          <w:p w14:paraId="76FAD3EC" w14:textId="77777777" w:rsidR="002B63F6" w:rsidRDefault="00000000">
            <w:pPr>
              <w:spacing w:after="20" w:line="240" w:lineRule="auto"/>
              <w:jc w:val="left"/>
            </w:pPr>
            <w:r>
              <w:rPr>
                <w:b/>
                <w:sz w:val="18"/>
              </w:rPr>
              <w:t>% of responses to prompt</w:t>
            </w:r>
          </w:p>
        </w:tc>
      </w:tr>
      <w:tr w:rsidR="002B63F6" w14:paraId="683B4A46" w14:textId="77777777">
        <w:trPr>
          <w:jc w:val="center"/>
        </w:trPr>
        <w:tc>
          <w:tcPr>
            <w:tcW w:w="2126" w:type="dxa"/>
          </w:tcPr>
          <w:p w14:paraId="2F5B5C1B" w14:textId="77777777" w:rsidR="002B63F6" w:rsidRDefault="00000000">
            <w:pPr>
              <w:spacing w:after="20" w:line="240" w:lineRule="auto"/>
              <w:jc w:val="left"/>
            </w:pPr>
            <w:r>
              <w:rPr>
                <w:sz w:val="18"/>
              </w:rPr>
              <w:t>Benefits (n = 38)</w:t>
            </w:r>
          </w:p>
        </w:tc>
        <w:tc>
          <w:tcPr>
            <w:tcW w:w="2126" w:type="dxa"/>
          </w:tcPr>
          <w:p w14:paraId="5EE94249" w14:textId="77777777" w:rsidR="002B63F6" w:rsidRDefault="00000000">
            <w:pPr>
              <w:spacing w:after="20" w:line="240" w:lineRule="auto"/>
              <w:jc w:val="left"/>
            </w:pPr>
            <w:r>
              <w:rPr>
                <w:sz w:val="18"/>
              </w:rPr>
              <w:t>Efficiency, time saving and workload reduction</w:t>
            </w:r>
          </w:p>
        </w:tc>
        <w:tc>
          <w:tcPr>
            <w:tcW w:w="2126" w:type="dxa"/>
          </w:tcPr>
          <w:p w14:paraId="35A0D97D" w14:textId="77777777" w:rsidR="002B63F6" w:rsidRDefault="00000000">
            <w:pPr>
              <w:spacing w:after="20" w:line="240" w:lineRule="auto"/>
              <w:jc w:val="left"/>
            </w:pPr>
            <w:r>
              <w:rPr>
                <w:sz w:val="18"/>
              </w:rPr>
              <w:t>18</w:t>
            </w:r>
          </w:p>
        </w:tc>
        <w:tc>
          <w:tcPr>
            <w:tcW w:w="2126" w:type="dxa"/>
          </w:tcPr>
          <w:p w14:paraId="76C46A9F" w14:textId="77777777" w:rsidR="002B63F6" w:rsidRDefault="00000000">
            <w:pPr>
              <w:spacing w:after="20" w:line="240" w:lineRule="auto"/>
              <w:jc w:val="left"/>
            </w:pPr>
            <w:r>
              <w:rPr>
                <w:sz w:val="18"/>
              </w:rPr>
              <w:t>47.4</w:t>
            </w:r>
          </w:p>
        </w:tc>
      </w:tr>
      <w:tr w:rsidR="002B63F6" w14:paraId="7C9E00A2" w14:textId="77777777">
        <w:trPr>
          <w:jc w:val="center"/>
        </w:trPr>
        <w:tc>
          <w:tcPr>
            <w:tcW w:w="2126" w:type="dxa"/>
          </w:tcPr>
          <w:p w14:paraId="459D4AA7" w14:textId="77777777" w:rsidR="002B63F6" w:rsidRDefault="002B63F6">
            <w:pPr>
              <w:spacing w:after="20" w:line="240" w:lineRule="auto"/>
              <w:jc w:val="left"/>
            </w:pPr>
          </w:p>
        </w:tc>
        <w:tc>
          <w:tcPr>
            <w:tcW w:w="2126" w:type="dxa"/>
          </w:tcPr>
          <w:p w14:paraId="3E45BFBC" w14:textId="77777777" w:rsidR="002B63F6" w:rsidRDefault="00000000">
            <w:pPr>
              <w:spacing w:after="20" w:line="240" w:lineRule="auto"/>
              <w:jc w:val="left"/>
            </w:pPr>
            <w:r>
              <w:rPr>
                <w:sz w:val="18"/>
              </w:rPr>
              <w:t>Comprehension and idea generation</w:t>
            </w:r>
          </w:p>
        </w:tc>
        <w:tc>
          <w:tcPr>
            <w:tcW w:w="2126" w:type="dxa"/>
          </w:tcPr>
          <w:p w14:paraId="14D96BB0" w14:textId="77777777" w:rsidR="002B63F6" w:rsidRDefault="00000000">
            <w:pPr>
              <w:spacing w:after="20" w:line="240" w:lineRule="auto"/>
              <w:jc w:val="left"/>
            </w:pPr>
            <w:r>
              <w:rPr>
                <w:sz w:val="18"/>
              </w:rPr>
              <w:t>14</w:t>
            </w:r>
          </w:p>
        </w:tc>
        <w:tc>
          <w:tcPr>
            <w:tcW w:w="2126" w:type="dxa"/>
          </w:tcPr>
          <w:p w14:paraId="7404F0FD" w14:textId="77777777" w:rsidR="002B63F6" w:rsidRDefault="00000000">
            <w:pPr>
              <w:spacing w:after="20" w:line="240" w:lineRule="auto"/>
              <w:jc w:val="left"/>
            </w:pPr>
            <w:r>
              <w:rPr>
                <w:sz w:val="18"/>
              </w:rPr>
              <w:t>36.8</w:t>
            </w:r>
          </w:p>
        </w:tc>
      </w:tr>
      <w:tr w:rsidR="002B63F6" w14:paraId="55BF78F9" w14:textId="77777777">
        <w:trPr>
          <w:jc w:val="center"/>
        </w:trPr>
        <w:tc>
          <w:tcPr>
            <w:tcW w:w="2126" w:type="dxa"/>
          </w:tcPr>
          <w:p w14:paraId="548B4840" w14:textId="77777777" w:rsidR="002B63F6" w:rsidRDefault="002B63F6">
            <w:pPr>
              <w:spacing w:after="20" w:line="240" w:lineRule="auto"/>
              <w:jc w:val="left"/>
            </w:pPr>
          </w:p>
        </w:tc>
        <w:tc>
          <w:tcPr>
            <w:tcW w:w="2126" w:type="dxa"/>
          </w:tcPr>
          <w:p w14:paraId="7E5FB3C3" w14:textId="77777777" w:rsidR="002B63F6" w:rsidRDefault="00000000">
            <w:pPr>
              <w:spacing w:after="20" w:line="240" w:lineRule="auto"/>
              <w:jc w:val="left"/>
            </w:pPr>
            <w:r>
              <w:rPr>
                <w:sz w:val="18"/>
              </w:rPr>
              <w:t>Communication, summarising and drafting</w:t>
            </w:r>
          </w:p>
        </w:tc>
        <w:tc>
          <w:tcPr>
            <w:tcW w:w="2126" w:type="dxa"/>
          </w:tcPr>
          <w:p w14:paraId="38802AFD" w14:textId="77777777" w:rsidR="002B63F6" w:rsidRDefault="00000000">
            <w:pPr>
              <w:spacing w:after="20" w:line="240" w:lineRule="auto"/>
              <w:jc w:val="left"/>
            </w:pPr>
            <w:r>
              <w:rPr>
                <w:sz w:val="18"/>
              </w:rPr>
              <w:t>12</w:t>
            </w:r>
          </w:p>
        </w:tc>
        <w:tc>
          <w:tcPr>
            <w:tcW w:w="2126" w:type="dxa"/>
          </w:tcPr>
          <w:p w14:paraId="27FDFC29" w14:textId="77777777" w:rsidR="002B63F6" w:rsidRDefault="00000000">
            <w:pPr>
              <w:spacing w:after="20" w:line="240" w:lineRule="auto"/>
              <w:jc w:val="left"/>
            </w:pPr>
            <w:r>
              <w:rPr>
                <w:sz w:val="18"/>
              </w:rPr>
              <w:t>31.6</w:t>
            </w:r>
          </w:p>
        </w:tc>
      </w:tr>
      <w:tr w:rsidR="002B63F6" w14:paraId="6AAD8439" w14:textId="77777777">
        <w:trPr>
          <w:jc w:val="center"/>
        </w:trPr>
        <w:tc>
          <w:tcPr>
            <w:tcW w:w="2126" w:type="dxa"/>
          </w:tcPr>
          <w:p w14:paraId="2D90DE9F" w14:textId="77777777" w:rsidR="002B63F6" w:rsidRDefault="002B63F6">
            <w:pPr>
              <w:spacing w:after="20" w:line="240" w:lineRule="auto"/>
              <w:jc w:val="left"/>
            </w:pPr>
          </w:p>
        </w:tc>
        <w:tc>
          <w:tcPr>
            <w:tcW w:w="2126" w:type="dxa"/>
          </w:tcPr>
          <w:p w14:paraId="29B93E66" w14:textId="77777777" w:rsidR="002B63F6" w:rsidRDefault="00000000">
            <w:pPr>
              <w:spacing w:after="20" w:line="240" w:lineRule="auto"/>
              <w:jc w:val="left"/>
            </w:pPr>
            <w:r>
              <w:rPr>
                <w:sz w:val="18"/>
              </w:rPr>
              <w:t>Personalised engagement at scale</w:t>
            </w:r>
          </w:p>
        </w:tc>
        <w:tc>
          <w:tcPr>
            <w:tcW w:w="2126" w:type="dxa"/>
          </w:tcPr>
          <w:p w14:paraId="429B9137" w14:textId="77777777" w:rsidR="002B63F6" w:rsidRDefault="00000000">
            <w:pPr>
              <w:spacing w:after="20" w:line="240" w:lineRule="auto"/>
              <w:jc w:val="left"/>
            </w:pPr>
            <w:r>
              <w:rPr>
                <w:sz w:val="18"/>
              </w:rPr>
              <w:t>10</w:t>
            </w:r>
          </w:p>
        </w:tc>
        <w:tc>
          <w:tcPr>
            <w:tcW w:w="2126" w:type="dxa"/>
          </w:tcPr>
          <w:p w14:paraId="651ED3BA" w14:textId="77777777" w:rsidR="002B63F6" w:rsidRDefault="00000000">
            <w:pPr>
              <w:spacing w:after="20" w:line="240" w:lineRule="auto"/>
              <w:jc w:val="left"/>
            </w:pPr>
            <w:r>
              <w:rPr>
                <w:sz w:val="18"/>
              </w:rPr>
              <w:t>26.3</w:t>
            </w:r>
          </w:p>
        </w:tc>
      </w:tr>
      <w:tr w:rsidR="002B63F6" w14:paraId="51FFFF3B" w14:textId="77777777">
        <w:trPr>
          <w:jc w:val="center"/>
        </w:trPr>
        <w:tc>
          <w:tcPr>
            <w:tcW w:w="2126" w:type="dxa"/>
          </w:tcPr>
          <w:p w14:paraId="1DB67000" w14:textId="77777777" w:rsidR="002B63F6" w:rsidRDefault="00000000">
            <w:pPr>
              <w:spacing w:after="20" w:line="240" w:lineRule="auto"/>
              <w:jc w:val="left"/>
            </w:pPr>
            <w:r>
              <w:rPr>
                <w:sz w:val="18"/>
              </w:rPr>
              <w:t>Concerns (n = 39)</w:t>
            </w:r>
          </w:p>
        </w:tc>
        <w:tc>
          <w:tcPr>
            <w:tcW w:w="2126" w:type="dxa"/>
          </w:tcPr>
          <w:p w14:paraId="7AF37C0D" w14:textId="77777777" w:rsidR="002B63F6" w:rsidRDefault="00000000">
            <w:pPr>
              <w:spacing w:after="20" w:line="240" w:lineRule="auto"/>
              <w:jc w:val="left"/>
            </w:pPr>
            <w:r>
              <w:rPr>
                <w:sz w:val="18"/>
              </w:rPr>
              <w:t>Over-reliance and dependence</w:t>
            </w:r>
          </w:p>
        </w:tc>
        <w:tc>
          <w:tcPr>
            <w:tcW w:w="2126" w:type="dxa"/>
          </w:tcPr>
          <w:p w14:paraId="69EAE692" w14:textId="77777777" w:rsidR="002B63F6" w:rsidRDefault="00000000">
            <w:pPr>
              <w:spacing w:after="20" w:line="240" w:lineRule="auto"/>
              <w:jc w:val="left"/>
            </w:pPr>
            <w:r>
              <w:rPr>
                <w:sz w:val="18"/>
              </w:rPr>
              <w:t>13</w:t>
            </w:r>
          </w:p>
        </w:tc>
        <w:tc>
          <w:tcPr>
            <w:tcW w:w="2126" w:type="dxa"/>
          </w:tcPr>
          <w:p w14:paraId="739C65F3" w14:textId="77777777" w:rsidR="002B63F6" w:rsidRDefault="00000000">
            <w:pPr>
              <w:spacing w:after="20" w:line="240" w:lineRule="auto"/>
              <w:jc w:val="left"/>
            </w:pPr>
            <w:r>
              <w:rPr>
                <w:sz w:val="18"/>
              </w:rPr>
              <w:t>33.3</w:t>
            </w:r>
          </w:p>
        </w:tc>
      </w:tr>
      <w:tr w:rsidR="002B63F6" w14:paraId="32E6E0E3" w14:textId="77777777">
        <w:trPr>
          <w:jc w:val="center"/>
        </w:trPr>
        <w:tc>
          <w:tcPr>
            <w:tcW w:w="2126" w:type="dxa"/>
          </w:tcPr>
          <w:p w14:paraId="64EF6042" w14:textId="77777777" w:rsidR="002B63F6" w:rsidRDefault="002B63F6">
            <w:pPr>
              <w:spacing w:after="20" w:line="240" w:lineRule="auto"/>
              <w:jc w:val="left"/>
            </w:pPr>
          </w:p>
        </w:tc>
        <w:tc>
          <w:tcPr>
            <w:tcW w:w="2126" w:type="dxa"/>
          </w:tcPr>
          <w:p w14:paraId="4E4CBE69" w14:textId="77777777" w:rsidR="002B63F6" w:rsidRDefault="00000000">
            <w:pPr>
              <w:spacing w:after="20" w:line="240" w:lineRule="auto"/>
              <w:jc w:val="left"/>
            </w:pPr>
            <w:r>
              <w:rPr>
                <w:sz w:val="18"/>
              </w:rPr>
              <w:t>Loss of human connection and authenticity</w:t>
            </w:r>
          </w:p>
        </w:tc>
        <w:tc>
          <w:tcPr>
            <w:tcW w:w="2126" w:type="dxa"/>
          </w:tcPr>
          <w:p w14:paraId="71319457" w14:textId="77777777" w:rsidR="002B63F6" w:rsidRDefault="00000000">
            <w:pPr>
              <w:spacing w:after="20" w:line="240" w:lineRule="auto"/>
              <w:jc w:val="left"/>
            </w:pPr>
            <w:r>
              <w:rPr>
                <w:sz w:val="18"/>
              </w:rPr>
              <w:t>11</w:t>
            </w:r>
          </w:p>
        </w:tc>
        <w:tc>
          <w:tcPr>
            <w:tcW w:w="2126" w:type="dxa"/>
          </w:tcPr>
          <w:p w14:paraId="1614B16A" w14:textId="77777777" w:rsidR="002B63F6" w:rsidRDefault="00000000">
            <w:pPr>
              <w:spacing w:after="20" w:line="240" w:lineRule="auto"/>
              <w:jc w:val="left"/>
            </w:pPr>
            <w:r>
              <w:rPr>
                <w:sz w:val="18"/>
              </w:rPr>
              <w:t>28.2</w:t>
            </w:r>
          </w:p>
        </w:tc>
      </w:tr>
      <w:tr w:rsidR="002B63F6" w14:paraId="63E5D6EB" w14:textId="77777777">
        <w:trPr>
          <w:jc w:val="center"/>
        </w:trPr>
        <w:tc>
          <w:tcPr>
            <w:tcW w:w="2126" w:type="dxa"/>
          </w:tcPr>
          <w:p w14:paraId="5E4E32D7" w14:textId="77777777" w:rsidR="002B63F6" w:rsidRDefault="002B63F6">
            <w:pPr>
              <w:spacing w:after="20" w:line="240" w:lineRule="auto"/>
              <w:jc w:val="left"/>
            </w:pPr>
          </w:p>
        </w:tc>
        <w:tc>
          <w:tcPr>
            <w:tcW w:w="2126" w:type="dxa"/>
          </w:tcPr>
          <w:p w14:paraId="79013BCB" w14:textId="77777777" w:rsidR="002B63F6" w:rsidRDefault="00000000">
            <w:pPr>
              <w:spacing w:after="20" w:line="240" w:lineRule="auto"/>
              <w:jc w:val="left"/>
            </w:pPr>
            <w:r>
              <w:rPr>
                <w:sz w:val="18"/>
              </w:rPr>
              <w:t>Deskilling and reduced critical thinking</w:t>
            </w:r>
          </w:p>
        </w:tc>
        <w:tc>
          <w:tcPr>
            <w:tcW w:w="2126" w:type="dxa"/>
          </w:tcPr>
          <w:p w14:paraId="3F5FC4D8" w14:textId="77777777" w:rsidR="002B63F6" w:rsidRDefault="00000000">
            <w:pPr>
              <w:spacing w:after="20" w:line="240" w:lineRule="auto"/>
              <w:jc w:val="left"/>
            </w:pPr>
            <w:r>
              <w:rPr>
                <w:sz w:val="18"/>
              </w:rPr>
              <w:t>11</w:t>
            </w:r>
          </w:p>
        </w:tc>
        <w:tc>
          <w:tcPr>
            <w:tcW w:w="2126" w:type="dxa"/>
          </w:tcPr>
          <w:p w14:paraId="580F7419" w14:textId="77777777" w:rsidR="002B63F6" w:rsidRDefault="00000000">
            <w:pPr>
              <w:spacing w:after="20" w:line="240" w:lineRule="auto"/>
              <w:jc w:val="left"/>
            </w:pPr>
            <w:r>
              <w:rPr>
                <w:sz w:val="18"/>
              </w:rPr>
              <w:t>28.2</w:t>
            </w:r>
          </w:p>
        </w:tc>
      </w:tr>
      <w:tr w:rsidR="002B63F6" w14:paraId="06D0BBE6" w14:textId="77777777">
        <w:trPr>
          <w:jc w:val="center"/>
        </w:trPr>
        <w:tc>
          <w:tcPr>
            <w:tcW w:w="2126" w:type="dxa"/>
          </w:tcPr>
          <w:p w14:paraId="0372EE89" w14:textId="77777777" w:rsidR="002B63F6" w:rsidRDefault="002B63F6">
            <w:pPr>
              <w:spacing w:after="20" w:line="240" w:lineRule="auto"/>
              <w:jc w:val="left"/>
            </w:pPr>
          </w:p>
        </w:tc>
        <w:tc>
          <w:tcPr>
            <w:tcW w:w="2126" w:type="dxa"/>
          </w:tcPr>
          <w:p w14:paraId="6B35A63A" w14:textId="77777777" w:rsidR="002B63F6" w:rsidRDefault="00000000">
            <w:pPr>
              <w:spacing w:after="20" w:line="240" w:lineRule="auto"/>
              <w:jc w:val="left"/>
            </w:pPr>
            <w:r>
              <w:rPr>
                <w:sz w:val="18"/>
              </w:rPr>
              <w:t>Accuracy, bias and hallucination</w:t>
            </w:r>
          </w:p>
        </w:tc>
        <w:tc>
          <w:tcPr>
            <w:tcW w:w="2126" w:type="dxa"/>
          </w:tcPr>
          <w:p w14:paraId="04370293" w14:textId="77777777" w:rsidR="002B63F6" w:rsidRDefault="00000000">
            <w:pPr>
              <w:spacing w:after="20" w:line="240" w:lineRule="auto"/>
              <w:jc w:val="left"/>
            </w:pPr>
            <w:r>
              <w:rPr>
                <w:sz w:val="18"/>
              </w:rPr>
              <w:t>10</w:t>
            </w:r>
          </w:p>
        </w:tc>
        <w:tc>
          <w:tcPr>
            <w:tcW w:w="2126" w:type="dxa"/>
          </w:tcPr>
          <w:p w14:paraId="4D6A6C7C" w14:textId="77777777" w:rsidR="002B63F6" w:rsidRDefault="00000000">
            <w:pPr>
              <w:spacing w:after="20" w:line="240" w:lineRule="auto"/>
              <w:jc w:val="left"/>
            </w:pPr>
            <w:r>
              <w:rPr>
                <w:sz w:val="18"/>
              </w:rPr>
              <w:t>25.6</w:t>
            </w:r>
          </w:p>
        </w:tc>
      </w:tr>
      <w:tr w:rsidR="002B63F6" w14:paraId="660310CA" w14:textId="77777777">
        <w:trPr>
          <w:jc w:val="center"/>
        </w:trPr>
        <w:tc>
          <w:tcPr>
            <w:tcW w:w="2126" w:type="dxa"/>
          </w:tcPr>
          <w:p w14:paraId="10C51AC8" w14:textId="77777777" w:rsidR="002B63F6" w:rsidRDefault="002B63F6">
            <w:pPr>
              <w:spacing w:after="20" w:line="240" w:lineRule="auto"/>
              <w:jc w:val="left"/>
            </w:pPr>
          </w:p>
        </w:tc>
        <w:tc>
          <w:tcPr>
            <w:tcW w:w="2126" w:type="dxa"/>
          </w:tcPr>
          <w:p w14:paraId="74A13548" w14:textId="77777777" w:rsidR="002B63F6" w:rsidRDefault="00000000">
            <w:pPr>
              <w:spacing w:after="20" w:line="240" w:lineRule="auto"/>
              <w:jc w:val="left"/>
            </w:pPr>
            <w:r>
              <w:rPr>
                <w:sz w:val="18"/>
              </w:rPr>
              <w:t>Privacy and data security</w:t>
            </w:r>
          </w:p>
        </w:tc>
        <w:tc>
          <w:tcPr>
            <w:tcW w:w="2126" w:type="dxa"/>
          </w:tcPr>
          <w:p w14:paraId="6786080F" w14:textId="77777777" w:rsidR="002B63F6" w:rsidRDefault="00000000">
            <w:pPr>
              <w:spacing w:after="20" w:line="240" w:lineRule="auto"/>
              <w:jc w:val="left"/>
            </w:pPr>
            <w:r>
              <w:rPr>
                <w:sz w:val="18"/>
              </w:rPr>
              <w:t>5</w:t>
            </w:r>
          </w:p>
        </w:tc>
        <w:tc>
          <w:tcPr>
            <w:tcW w:w="2126" w:type="dxa"/>
          </w:tcPr>
          <w:p w14:paraId="1BF01FDD" w14:textId="77777777" w:rsidR="002B63F6" w:rsidRDefault="00000000">
            <w:pPr>
              <w:spacing w:after="20" w:line="240" w:lineRule="auto"/>
              <w:jc w:val="left"/>
            </w:pPr>
            <w:r>
              <w:rPr>
                <w:sz w:val="18"/>
              </w:rPr>
              <w:t>12.8</w:t>
            </w:r>
          </w:p>
        </w:tc>
      </w:tr>
      <w:tr w:rsidR="002B63F6" w14:paraId="33D3877E" w14:textId="77777777">
        <w:trPr>
          <w:jc w:val="center"/>
        </w:trPr>
        <w:tc>
          <w:tcPr>
            <w:tcW w:w="2126" w:type="dxa"/>
          </w:tcPr>
          <w:p w14:paraId="1EA7F55E" w14:textId="77777777" w:rsidR="00ED400F" w:rsidRDefault="00000000">
            <w:r>
              <w:lastRenderedPageBreak/>
              <w:t>Recommendations (n = 39)</w:t>
            </w:r>
          </w:p>
        </w:tc>
        <w:tc>
          <w:tcPr>
            <w:tcW w:w="2126" w:type="dxa"/>
          </w:tcPr>
          <w:p w14:paraId="2C7CE4C7" w14:textId="77777777" w:rsidR="002B63F6" w:rsidRDefault="00000000">
            <w:pPr>
              <w:spacing w:after="20" w:line="240" w:lineRule="auto"/>
              <w:jc w:val="left"/>
            </w:pPr>
            <w:r>
              <w:rPr>
                <w:sz w:val="18"/>
              </w:rPr>
              <w:t>Human oversight; augment rather than replace</w:t>
            </w:r>
          </w:p>
        </w:tc>
        <w:tc>
          <w:tcPr>
            <w:tcW w:w="2126" w:type="dxa"/>
          </w:tcPr>
          <w:p w14:paraId="4E6160A9" w14:textId="77777777" w:rsidR="002B63F6" w:rsidRDefault="00000000">
            <w:pPr>
              <w:spacing w:after="20" w:line="240" w:lineRule="auto"/>
              <w:jc w:val="left"/>
            </w:pPr>
            <w:r>
              <w:rPr>
                <w:sz w:val="18"/>
              </w:rPr>
              <w:t>15</w:t>
            </w:r>
          </w:p>
        </w:tc>
        <w:tc>
          <w:tcPr>
            <w:tcW w:w="2126" w:type="dxa"/>
          </w:tcPr>
          <w:p w14:paraId="08C62058" w14:textId="77777777" w:rsidR="00ED400F" w:rsidRDefault="00000000">
            <w:r>
              <w:t>38.5</w:t>
            </w:r>
          </w:p>
        </w:tc>
      </w:tr>
      <w:tr w:rsidR="002B63F6" w14:paraId="3BC27A91" w14:textId="77777777">
        <w:trPr>
          <w:jc w:val="center"/>
        </w:trPr>
        <w:tc>
          <w:tcPr>
            <w:tcW w:w="2126" w:type="dxa"/>
          </w:tcPr>
          <w:p w14:paraId="5501B71A" w14:textId="77777777" w:rsidR="002B63F6" w:rsidRDefault="002B63F6">
            <w:pPr>
              <w:spacing w:after="20" w:line="240" w:lineRule="auto"/>
              <w:jc w:val="left"/>
            </w:pPr>
          </w:p>
        </w:tc>
        <w:tc>
          <w:tcPr>
            <w:tcW w:w="2126" w:type="dxa"/>
          </w:tcPr>
          <w:p w14:paraId="3DDA417A" w14:textId="77777777" w:rsidR="002B63F6" w:rsidRDefault="00000000">
            <w:pPr>
              <w:spacing w:after="20" w:line="240" w:lineRule="auto"/>
              <w:jc w:val="left"/>
            </w:pPr>
            <w:r>
              <w:rPr>
                <w:sz w:val="18"/>
              </w:rPr>
              <w:t>Boundaries and limits on use</w:t>
            </w:r>
          </w:p>
        </w:tc>
        <w:tc>
          <w:tcPr>
            <w:tcW w:w="2126" w:type="dxa"/>
          </w:tcPr>
          <w:p w14:paraId="790EC7C6" w14:textId="77777777" w:rsidR="002B63F6" w:rsidRDefault="00000000">
            <w:pPr>
              <w:spacing w:after="20" w:line="240" w:lineRule="auto"/>
              <w:jc w:val="left"/>
            </w:pPr>
            <w:r>
              <w:rPr>
                <w:sz w:val="18"/>
              </w:rPr>
              <w:t>10</w:t>
            </w:r>
          </w:p>
        </w:tc>
        <w:tc>
          <w:tcPr>
            <w:tcW w:w="2126" w:type="dxa"/>
          </w:tcPr>
          <w:p w14:paraId="4712EAB2" w14:textId="77777777" w:rsidR="00ED400F" w:rsidRDefault="00000000">
            <w:r>
              <w:t>25.6</w:t>
            </w:r>
          </w:p>
        </w:tc>
      </w:tr>
      <w:tr w:rsidR="002B63F6" w14:paraId="7B1473D4" w14:textId="77777777">
        <w:trPr>
          <w:jc w:val="center"/>
        </w:trPr>
        <w:tc>
          <w:tcPr>
            <w:tcW w:w="2126" w:type="dxa"/>
          </w:tcPr>
          <w:p w14:paraId="2EE4E697" w14:textId="77777777" w:rsidR="002B63F6" w:rsidRDefault="002B63F6">
            <w:pPr>
              <w:spacing w:after="20" w:line="240" w:lineRule="auto"/>
              <w:jc w:val="left"/>
            </w:pPr>
          </w:p>
        </w:tc>
        <w:tc>
          <w:tcPr>
            <w:tcW w:w="2126" w:type="dxa"/>
          </w:tcPr>
          <w:p w14:paraId="1E6F077F" w14:textId="77777777" w:rsidR="002B63F6" w:rsidRDefault="00000000">
            <w:pPr>
              <w:spacing w:after="20" w:line="240" w:lineRule="auto"/>
              <w:jc w:val="left"/>
            </w:pPr>
            <w:r>
              <w:rPr>
                <w:sz w:val="18"/>
              </w:rPr>
              <w:t>Transparency, governance and policy</w:t>
            </w:r>
          </w:p>
        </w:tc>
        <w:tc>
          <w:tcPr>
            <w:tcW w:w="2126" w:type="dxa"/>
          </w:tcPr>
          <w:p w14:paraId="247F6868" w14:textId="77777777" w:rsidR="002B63F6" w:rsidRDefault="00000000">
            <w:pPr>
              <w:spacing w:after="20" w:line="240" w:lineRule="auto"/>
              <w:jc w:val="left"/>
            </w:pPr>
            <w:r>
              <w:rPr>
                <w:sz w:val="18"/>
              </w:rPr>
              <w:t>9</w:t>
            </w:r>
          </w:p>
        </w:tc>
        <w:tc>
          <w:tcPr>
            <w:tcW w:w="2126" w:type="dxa"/>
          </w:tcPr>
          <w:p w14:paraId="46D52C62" w14:textId="77777777" w:rsidR="00ED400F" w:rsidRDefault="00000000">
            <w:r>
              <w:t>23.1</w:t>
            </w:r>
          </w:p>
        </w:tc>
      </w:tr>
      <w:tr w:rsidR="002B63F6" w14:paraId="52955FCE" w14:textId="77777777">
        <w:trPr>
          <w:jc w:val="center"/>
        </w:trPr>
        <w:tc>
          <w:tcPr>
            <w:tcW w:w="2126" w:type="dxa"/>
          </w:tcPr>
          <w:p w14:paraId="5AAC901D" w14:textId="77777777" w:rsidR="002B63F6" w:rsidRDefault="002B63F6">
            <w:pPr>
              <w:spacing w:after="20" w:line="240" w:lineRule="auto"/>
              <w:jc w:val="left"/>
            </w:pPr>
          </w:p>
        </w:tc>
        <w:tc>
          <w:tcPr>
            <w:tcW w:w="2126" w:type="dxa"/>
          </w:tcPr>
          <w:p w14:paraId="29218B5E" w14:textId="77777777" w:rsidR="002B63F6" w:rsidRDefault="00000000">
            <w:pPr>
              <w:spacing w:after="20" w:line="240" w:lineRule="auto"/>
              <w:jc w:val="left"/>
            </w:pPr>
            <w:r>
              <w:rPr>
                <w:sz w:val="18"/>
              </w:rPr>
              <w:t>Training and AI literacy</w:t>
            </w:r>
          </w:p>
        </w:tc>
        <w:tc>
          <w:tcPr>
            <w:tcW w:w="2126" w:type="dxa"/>
          </w:tcPr>
          <w:p w14:paraId="06EC5F08" w14:textId="77777777" w:rsidR="002B63F6" w:rsidRDefault="00000000">
            <w:pPr>
              <w:spacing w:after="20" w:line="240" w:lineRule="auto"/>
              <w:jc w:val="left"/>
            </w:pPr>
            <w:r>
              <w:rPr>
                <w:sz w:val="18"/>
              </w:rPr>
              <w:t>7</w:t>
            </w:r>
          </w:p>
        </w:tc>
        <w:tc>
          <w:tcPr>
            <w:tcW w:w="2126" w:type="dxa"/>
          </w:tcPr>
          <w:p w14:paraId="35066D21" w14:textId="77777777" w:rsidR="00ED400F" w:rsidRDefault="00000000">
            <w:r>
              <w:t>17.9</w:t>
            </w:r>
          </w:p>
        </w:tc>
      </w:tr>
    </w:tbl>
    <w:p w14:paraId="4789535A" w14:textId="77777777" w:rsidR="002B63F6" w:rsidRDefault="002B63F6">
      <w:pPr>
        <w:spacing w:after="160"/>
      </w:pPr>
    </w:p>
    <w:p w14:paraId="7A4F84A6" w14:textId="77777777" w:rsidR="00AC7F24" w:rsidRDefault="00AC7F24" w:rsidP="00AC7F24">
      <w:r>
        <w:t>These codes were used to develop three themes.</w:t>
      </w:r>
    </w:p>
    <w:p w14:paraId="57A0D628" w14:textId="77777777" w:rsidR="00AC7F24" w:rsidRDefault="00AC7F24" w:rsidP="00AC7F24">
      <w:r>
        <w:t>Theme 1: operational efficiency and administrative relief. Most benefits cited are operational. Efficiency, speed and workload reduction were coded in 18 of 38 responses (47.4 per cent), and the tasks named were almost invariably administrative: summarising lengthy email exchanges, drawing points and assigned tasks out of successive meetings, drafting and organising documents, and converting dense material into simpler text. One respondent said generative AI helps them “summarise long emails and keep track of work to be done… It also helps to track meeting highlights and tasks assigned”, while another valued being able to “make clear and fast communication by organising drafts, summarising and translating contents to make it simple”. A more ambitious use appears once, “scalable knowledge synthesis from vast data sources, enabling faster strategy adaptation”, but the dominant theme is a lightening of the administrative load rather than an enhancement of judgement. The theme maps onto perceived usefulness in Technology Acceptance Model terms and supports the quantitative endorsement of V7.</w:t>
      </w:r>
    </w:p>
    <w:p w14:paraId="50448E21" w14:textId="77777777" w:rsidR="00AC7F24" w:rsidRDefault="00AC7F24" w:rsidP="00AC7F24">
      <w:r>
        <w:t xml:space="preserve">Theme 2: the relatedness deficit and authentic connection. Where the benefits respondents cite are strategic, the concerns are relational and emotional. Loss of human connection and authenticity was coded in 11 of 39 responses (28.2 per cent), deskilling and reduced critical thinking in 11 of 39 (28.2 per cent), and over-reliance and dependence in 13 of 39 (33.3 per cent). The construction of these concerns is what is remarkable: they express boundary-setting rather than technophobia. One respondent summed it up: “This will help preserve the efficiency and effectiveness of work, but AI, as a tool, needs to be used within its realm as it doesn’t have the emotional intelligence that a leader must have.” Another separated the technology from its misuse: “Generative AI isn’t an issue per se, more the issue is the over-reliance of generative AI.” A third located the risk in what may be called outsourced empathy, the perception that teams are delegating empathy, feedback </w:t>
      </w:r>
      <w:r>
        <w:lastRenderedPageBreak/>
        <w:t>or decisions to AI: “When people think that you’re outsourcing empathy, feedback or decisions to AI, it negatively impacts your relationship.”</w:t>
      </w:r>
    </w:p>
    <w:p w14:paraId="710D5A68" w14:textId="77777777" w:rsidR="00AC7F24" w:rsidRDefault="00AC7F24" w:rsidP="00AC7F24">
      <w:r>
        <w:t>These responses illustrate the relatedness deficit anticipated by SDT. There is no objection to competence support from generative AI; some respondents actively want it. They are not resisting mediated output, nor the apparatus of performance and promotion. What they object to is the mediation of relatedness — mentoring, conflict resolution, recognition, and the judgement that accompanies performance and promotion. The theme is therefore better understood as a boundary than as an objection, and it is this that resolves the apparent tension between V8 and V9 noted in Section 4.3.</w:t>
      </w:r>
    </w:p>
    <w:p w14:paraId="2852407E" w14:textId="77777777" w:rsidR="00AC7F24" w:rsidRDefault="00AC7F24" w:rsidP="00AC7F24">
      <w:r>
        <w:t>Theme 3: conditional trust and the governance gap. Respondents’ recommendations are consistent and markedly institutional. Human oversight, with generative AI treated as augmentative rather than as a replacement, was coded in 15 of the 39 responses (38.5 per cent), more than any other single code in the qualitative data set. The next most frequent were boundaries and limits on use (10 responses, 25.6 per cent), transparency, governance and policy (9 responses, 23.1 per cent), and training and AI literacy (7 responses, 17.9 per cent). Respondents ask that leaders communicate where AI is and is not being used, so as to “keep humans accountable for the outcomes they achieve”; that clear ethical guidelines be implemented; that teams be trained in proper use; that data protection and privacy be prioritised; and that human oversight be kept at the front line, with a call on leaders to “lead with transparency… tell the team when and how you’re using AI”.</w:t>
      </w:r>
    </w:p>
    <w:p w14:paraId="7680ED39" w14:textId="77777777" w:rsidR="002B63F6" w:rsidRDefault="00AC7F24" w:rsidP="00AC7F24">
      <w:r>
        <w:t>This theme is in part inductive. The deductive frame treated trust as a construct but did not look specifically for the institutional conditions of trust, which respondents raised consistently. In these answers trust is not something respondents simply do or do not have in the technology; it is an outcome contingent on transparency, disclosure, human accountability and organisational policy. This bears directly on the anomalous concentration of neutral responses on V6 reported in Section 4.4: respondents cannot say whether generative AI diminishes trust because, in their experience, the governance that would settle the question is still being built. One respondent looked to the university for balance: “We need to better prepare for the use of AI in the university, so that leaders are not brushed aside and become the sole 'humans'.”</w:t>
      </w:r>
    </w:p>
    <w:p w14:paraId="4B19A08A" w14:textId="77777777" w:rsidR="002B63F6" w:rsidRDefault="00000000">
      <w:pPr>
        <w:pStyle w:val="Heading2"/>
      </w:pPr>
      <w:r>
        <w:lastRenderedPageBreak/>
        <w:t>4.6 Interpretive Cross-Tabulation by Age and Prior Hybrid Experience</w:t>
      </w:r>
    </w:p>
    <w:p w14:paraId="3130994A" w14:textId="77777777" w:rsidR="002B63F6" w:rsidRDefault="00AC7F24">
      <w:r w:rsidRPr="00AC7F24">
        <w:t>However, due to the sample's demographic characteristics, limited sub-group comparisons are made. These are reported for interpretive purposes only and are considered to be light droughts. The cell sizes are small (ten respondents without disclosed hybrid experience, and seven respondents aged 30 or under) and no significance testing is conducted, or would be appropriate. Any score differences below about a half scale point are not considered significant.</w:t>
      </w:r>
    </w:p>
    <w:p w14:paraId="3075667A" w14:textId="77777777" w:rsidR="002B63F6" w:rsidRDefault="00000000">
      <w:pPr>
        <w:keepNext/>
        <w:spacing w:before="200" w:after="80"/>
        <w:jc w:val="left"/>
      </w:pPr>
      <w:r>
        <w:rPr>
          <w:b/>
          <w:sz w:val="20"/>
        </w:rPr>
        <w:t>Table 4.5: Item Means by Age Band and by Prior Hybrid Experience</w:t>
      </w:r>
    </w:p>
    <w:tbl>
      <w:tblPr>
        <w:tblStyle w:val="TableGrid"/>
        <w:tblW w:w="0" w:type="auto"/>
        <w:jc w:val="center"/>
        <w:tblLook w:val="04A0" w:firstRow="1" w:lastRow="0" w:firstColumn="1" w:lastColumn="0" w:noHBand="0" w:noVBand="1"/>
      </w:tblPr>
      <w:tblGrid>
        <w:gridCol w:w="1700"/>
        <w:gridCol w:w="1698"/>
        <w:gridCol w:w="1698"/>
        <w:gridCol w:w="1699"/>
        <w:gridCol w:w="1700"/>
      </w:tblGrid>
      <w:tr w:rsidR="002B63F6" w14:paraId="4C4366E7" w14:textId="77777777">
        <w:trPr>
          <w:tblHeader/>
          <w:jc w:val="center"/>
        </w:trPr>
        <w:tc>
          <w:tcPr>
            <w:tcW w:w="1701" w:type="dxa"/>
            <w:shd w:val="clear" w:color="auto" w:fill="DCDCDC"/>
          </w:tcPr>
          <w:p w14:paraId="22E931CF" w14:textId="77777777" w:rsidR="002B63F6" w:rsidRDefault="00000000">
            <w:pPr>
              <w:spacing w:after="20" w:line="240" w:lineRule="auto"/>
              <w:jc w:val="left"/>
            </w:pPr>
            <w:r>
              <w:rPr>
                <w:b/>
                <w:sz w:val="18"/>
              </w:rPr>
              <w:t>Item</w:t>
            </w:r>
          </w:p>
        </w:tc>
        <w:tc>
          <w:tcPr>
            <w:tcW w:w="1701" w:type="dxa"/>
            <w:shd w:val="clear" w:color="auto" w:fill="DCDCDC"/>
          </w:tcPr>
          <w:p w14:paraId="6728A3B8" w14:textId="77777777" w:rsidR="002B63F6" w:rsidRDefault="00000000">
            <w:pPr>
              <w:spacing w:after="20" w:line="240" w:lineRule="auto"/>
              <w:jc w:val="left"/>
            </w:pPr>
            <w:r>
              <w:rPr>
                <w:b/>
                <w:sz w:val="18"/>
              </w:rPr>
              <w:t>30 or under (n = 7)</w:t>
            </w:r>
          </w:p>
        </w:tc>
        <w:tc>
          <w:tcPr>
            <w:tcW w:w="1701" w:type="dxa"/>
            <w:shd w:val="clear" w:color="auto" w:fill="DCDCDC"/>
          </w:tcPr>
          <w:p w14:paraId="1D1DBBAA" w14:textId="77777777" w:rsidR="002B63F6" w:rsidRDefault="00000000">
            <w:pPr>
              <w:spacing w:after="20" w:line="240" w:lineRule="auto"/>
              <w:jc w:val="left"/>
            </w:pPr>
            <w:r>
              <w:rPr>
                <w:b/>
                <w:sz w:val="18"/>
              </w:rPr>
              <w:t>31 or above (n = 35)</w:t>
            </w:r>
          </w:p>
        </w:tc>
        <w:tc>
          <w:tcPr>
            <w:tcW w:w="1701" w:type="dxa"/>
            <w:shd w:val="clear" w:color="auto" w:fill="DCDCDC"/>
          </w:tcPr>
          <w:p w14:paraId="18B518DD" w14:textId="77777777" w:rsidR="002B63F6" w:rsidRDefault="00000000">
            <w:pPr>
              <w:spacing w:after="20" w:line="240" w:lineRule="auto"/>
              <w:jc w:val="left"/>
            </w:pPr>
            <w:r>
              <w:rPr>
                <w:b/>
                <w:sz w:val="18"/>
              </w:rPr>
              <w:t>Has hybrid experience (n = 32)</w:t>
            </w:r>
          </w:p>
        </w:tc>
        <w:tc>
          <w:tcPr>
            <w:tcW w:w="1701" w:type="dxa"/>
            <w:shd w:val="clear" w:color="auto" w:fill="DCDCDC"/>
          </w:tcPr>
          <w:p w14:paraId="7687A149" w14:textId="77777777" w:rsidR="002B63F6" w:rsidRDefault="00000000">
            <w:pPr>
              <w:spacing w:after="20" w:line="240" w:lineRule="auto"/>
              <w:jc w:val="left"/>
            </w:pPr>
            <w:r>
              <w:rPr>
                <w:b/>
                <w:sz w:val="18"/>
              </w:rPr>
              <w:t>No/undisclosed experience (n = 10)</w:t>
            </w:r>
          </w:p>
        </w:tc>
      </w:tr>
      <w:tr w:rsidR="002B63F6" w14:paraId="144BC142" w14:textId="77777777">
        <w:trPr>
          <w:jc w:val="center"/>
        </w:trPr>
        <w:tc>
          <w:tcPr>
            <w:tcW w:w="1701" w:type="dxa"/>
          </w:tcPr>
          <w:p w14:paraId="50CF8FA6" w14:textId="77777777" w:rsidR="002B63F6" w:rsidRDefault="00000000">
            <w:pPr>
              <w:spacing w:after="20" w:line="240" w:lineRule="auto"/>
              <w:jc w:val="left"/>
            </w:pPr>
            <w:r>
              <w:rPr>
                <w:sz w:val="18"/>
              </w:rPr>
              <w:t>V1 Confidence</w:t>
            </w:r>
          </w:p>
        </w:tc>
        <w:tc>
          <w:tcPr>
            <w:tcW w:w="1701" w:type="dxa"/>
          </w:tcPr>
          <w:p w14:paraId="45C6A414" w14:textId="77777777" w:rsidR="002B63F6" w:rsidRDefault="00000000">
            <w:pPr>
              <w:spacing w:after="20" w:line="240" w:lineRule="auto"/>
              <w:jc w:val="left"/>
            </w:pPr>
            <w:r>
              <w:rPr>
                <w:sz w:val="18"/>
              </w:rPr>
              <w:t>4.43</w:t>
            </w:r>
          </w:p>
        </w:tc>
        <w:tc>
          <w:tcPr>
            <w:tcW w:w="1701" w:type="dxa"/>
          </w:tcPr>
          <w:p w14:paraId="709165C2" w14:textId="77777777" w:rsidR="002B63F6" w:rsidRDefault="00000000">
            <w:pPr>
              <w:spacing w:after="20" w:line="240" w:lineRule="auto"/>
              <w:jc w:val="left"/>
            </w:pPr>
            <w:r>
              <w:rPr>
                <w:sz w:val="18"/>
              </w:rPr>
              <w:t>3.83</w:t>
            </w:r>
          </w:p>
        </w:tc>
        <w:tc>
          <w:tcPr>
            <w:tcW w:w="1701" w:type="dxa"/>
          </w:tcPr>
          <w:p w14:paraId="14F9C328" w14:textId="77777777" w:rsidR="002B63F6" w:rsidRDefault="00000000">
            <w:pPr>
              <w:spacing w:after="20" w:line="240" w:lineRule="auto"/>
              <w:jc w:val="left"/>
            </w:pPr>
            <w:r>
              <w:rPr>
                <w:sz w:val="18"/>
              </w:rPr>
              <w:t>3.88</w:t>
            </w:r>
          </w:p>
        </w:tc>
        <w:tc>
          <w:tcPr>
            <w:tcW w:w="1701" w:type="dxa"/>
          </w:tcPr>
          <w:p w14:paraId="4CC09CCA" w14:textId="77777777" w:rsidR="002B63F6" w:rsidRDefault="00000000">
            <w:pPr>
              <w:spacing w:after="20" w:line="240" w:lineRule="auto"/>
              <w:jc w:val="left"/>
            </w:pPr>
            <w:r>
              <w:rPr>
                <w:sz w:val="18"/>
              </w:rPr>
              <w:t>4.10</w:t>
            </w:r>
          </w:p>
        </w:tc>
      </w:tr>
      <w:tr w:rsidR="002B63F6" w14:paraId="4B2D5C45" w14:textId="77777777">
        <w:trPr>
          <w:jc w:val="center"/>
        </w:trPr>
        <w:tc>
          <w:tcPr>
            <w:tcW w:w="1701" w:type="dxa"/>
          </w:tcPr>
          <w:p w14:paraId="3941CC94" w14:textId="77777777" w:rsidR="002B63F6" w:rsidRDefault="00000000">
            <w:pPr>
              <w:spacing w:after="20" w:line="240" w:lineRule="auto"/>
              <w:jc w:val="left"/>
            </w:pPr>
            <w:r>
              <w:rPr>
                <w:sz w:val="18"/>
              </w:rPr>
              <w:t>V2 Communication</w:t>
            </w:r>
          </w:p>
        </w:tc>
        <w:tc>
          <w:tcPr>
            <w:tcW w:w="1701" w:type="dxa"/>
          </w:tcPr>
          <w:p w14:paraId="2C522E2C" w14:textId="77777777" w:rsidR="002B63F6" w:rsidRDefault="00000000">
            <w:pPr>
              <w:spacing w:after="20" w:line="240" w:lineRule="auto"/>
              <w:jc w:val="left"/>
            </w:pPr>
            <w:r>
              <w:rPr>
                <w:sz w:val="18"/>
              </w:rPr>
              <w:t>4.14</w:t>
            </w:r>
          </w:p>
        </w:tc>
        <w:tc>
          <w:tcPr>
            <w:tcW w:w="1701" w:type="dxa"/>
          </w:tcPr>
          <w:p w14:paraId="67C210BE" w14:textId="77777777" w:rsidR="002B63F6" w:rsidRDefault="00000000">
            <w:pPr>
              <w:spacing w:after="20" w:line="240" w:lineRule="auto"/>
              <w:jc w:val="left"/>
            </w:pPr>
            <w:r>
              <w:rPr>
                <w:sz w:val="18"/>
              </w:rPr>
              <w:t>3.74</w:t>
            </w:r>
          </w:p>
        </w:tc>
        <w:tc>
          <w:tcPr>
            <w:tcW w:w="1701" w:type="dxa"/>
          </w:tcPr>
          <w:p w14:paraId="1B094329" w14:textId="77777777" w:rsidR="002B63F6" w:rsidRDefault="00000000">
            <w:pPr>
              <w:spacing w:after="20" w:line="240" w:lineRule="auto"/>
              <w:jc w:val="left"/>
            </w:pPr>
            <w:r>
              <w:rPr>
                <w:sz w:val="18"/>
              </w:rPr>
              <w:t>3.88</w:t>
            </w:r>
          </w:p>
        </w:tc>
        <w:tc>
          <w:tcPr>
            <w:tcW w:w="1701" w:type="dxa"/>
          </w:tcPr>
          <w:p w14:paraId="4D623238" w14:textId="77777777" w:rsidR="002B63F6" w:rsidRDefault="00000000">
            <w:pPr>
              <w:spacing w:after="20" w:line="240" w:lineRule="auto"/>
              <w:jc w:val="left"/>
            </w:pPr>
            <w:r>
              <w:rPr>
                <w:sz w:val="18"/>
              </w:rPr>
              <w:t>3.60</w:t>
            </w:r>
          </w:p>
        </w:tc>
      </w:tr>
      <w:tr w:rsidR="002B63F6" w14:paraId="0A700C48" w14:textId="77777777">
        <w:trPr>
          <w:jc w:val="center"/>
        </w:trPr>
        <w:tc>
          <w:tcPr>
            <w:tcW w:w="1701" w:type="dxa"/>
          </w:tcPr>
          <w:p w14:paraId="26399950" w14:textId="77777777" w:rsidR="002B63F6" w:rsidRDefault="00000000">
            <w:pPr>
              <w:spacing w:after="20" w:line="240" w:lineRule="auto"/>
              <w:jc w:val="left"/>
            </w:pPr>
            <w:r>
              <w:rPr>
                <w:sz w:val="18"/>
              </w:rPr>
              <w:t>V3 Motivation</w:t>
            </w:r>
          </w:p>
        </w:tc>
        <w:tc>
          <w:tcPr>
            <w:tcW w:w="1701" w:type="dxa"/>
          </w:tcPr>
          <w:p w14:paraId="0ABB482A" w14:textId="77777777" w:rsidR="002B63F6" w:rsidRDefault="00000000">
            <w:pPr>
              <w:spacing w:after="20" w:line="240" w:lineRule="auto"/>
              <w:jc w:val="left"/>
            </w:pPr>
            <w:r>
              <w:rPr>
                <w:sz w:val="18"/>
              </w:rPr>
              <w:t>3.86</w:t>
            </w:r>
          </w:p>
        </w:tc>
        <w:tc>
          <w:tcPr>
            <w:tcW w:w="1701" w:type="dxa"/>
          </w:tcPr>
          <w:p w14:paraId="4DCC2C47" w14:textId="77777777" w:rsidR="002B63F6" w:rsidRDefault="00000000">
            <w:pPr>
              <w:spacing w:after="20" w:line="240" w:lineRule="auto"/>
              <w:jc w:val="left"/>
            </w:pPr>
            <w:r>
              <w:rPr>
                <w:sz w:val="18"/>
              </w:rPr>
              <w:t>3.57</w:t>
            </w:r>
          </w:p>
        </w:tc>
        <w:tc>
          <w:tcPr>
            <w:tcW w:w="1701" w:type="dxa"/>
          </w:tcPr>
          <w:p w14:paraId="2CCB8266" w14:textId="77777777" w:rsidR="002B63F6" w:rsidRDefault="00000000">
            <w:pPr>
              <w:spacing w:after="20" w:line="240" w:lineRule="auto"/>
              <w:jc w:val="left"/>
            </w:pPr>
            <w:r>
              <w:rPr>
                <w:sz w:val="18"/>
              </w:rPr>
              <w:t>3.81</w:t>
            </w:r>
          </w:p>
        </w:tc>
        <w:tc>
          <w:tcPr>
            <w:tcW w:w="1701" w:type="dxa"/>
          </w:tcPr>
          <w:p w14:paraId="16565E65" w14:textId="77777777" w:rsidR="002B63F6" w:rsidRDefault="00000000">
            <w:pPr>
              <w:spacing w:after="20" w:line="240" w:lineRule="auto"/>
              <w:jc w:val="left"/>
            </w:pPr>
            <w:r>
              <w:rPr>
                <w:sz w:val="18"/>
              </w:rPr>
              <w:t>3.00</w:t>
            </w:r>
          </w:p>
        </w:tc>
      </w:tr>
      <w:tr w:rsidR="002B63F6" w14:paraId="5269F9A7" w14:textId="77777777">
        <w:trPr>
          <w:jc w:val="center"/>
        </w:trPr>
        <w:tc>
          <w:tcPr>
            <w:tcW w:w="1701" w:type="dxa"/>
          </w:tcPr>
          <w:p w14:paraId="0793D37E" w14:textId="77777777" w:rsidR="002B63F6" w:rsidRDefault="00000000">
            <w:pPr>
              <w:spacing w:after="20" w:line="240" w:lineRule="auto"/>
              <w:jc w:val="left"/>
            </w:pPr>
            <w:r>
              <w:rPr>
                <w:sz w:val="18"/>
              </w:rPr>
              <w:t>V4 Personalised feedback</w:t>
            </w:r>
          </w:p>
        </w:tc>
        <w:tc>
          <w:tcPr>
            <w:tcW w:w="1701" w:type="dxa"/>
          </w:tcPr>
          <w:p w14:paraId="4D253821" w14:textId="77777777" w:rsidR="002B63F6" w:rsidRDefault="00000000">
            <w:pPr>
              <w:spacing w:after="20" w:line="240" w:lineRule="auto"/>
              <w:jc w:val="left"/>
            </w:pPr>
            <w:r>
              <w:rPr>
                <w:sz w:val="18"/>
              </w:rPr>
              <w:t>4.14</w:t>
            </w:r>
          </w:p>
        </w:tc>
        <w:tc>
          <w:tcPr>
            <w:tcW w:w="1701" w:type="dxa"/>
          </w:tcPr>
          <w:p w14:paraId="27E71C09" w14:textId="77777777" w:rsidR="002B63F6" w:rsidRDefault="00000000">
            <w:pPr>
              <w:spacing w:after="20" w:line="240" w:lineRule="auto"/>
              <w:jc w:val="left"/>
            </w:pPr>
            <w:r>
              <w:rPr>
                <w:sz w:val="18"/>
              </w:rPr>
              <w:t>3.51</w:t>
            </w:r>
          </w:p>
        </w:tc>
        <w:tc>
          <w:tcPr>
            <w:tcW w:w="1701" w:type="dxa"/>
          </w:tcPr>
          <w:p w14:paraId="682B5B23" w14:textId="77777777" w:rsidR="002B63F6" w:rsidRDefault="00000000">
            <w:pPr>
              <w:spacing w:after="20" w:line="240" w:lineRule="auto"/>
              <w:jc w:val="left"/>
            </w:pPr>
            <w:r>
              <w:rPr>
                <w:sz w:val="18"/>
              </w:rPr>
              <w:t>3.78</w:t>
            </w:r>
          </w:p>
        </w:tc>
        <w:tc>
          <w:tcPr>
            <w:tcW w:w="1701" w:type="dxa"/>
          </w:tcPr>
          <w:p w14:paraId="62542DB2" w14:textId="77777777" w:rsidR="002B63F6" w:rsidRDefault="00000000">
            <w:pPr>
              <w:spacing w:after="20" w:line="240" w:lineRule="auto"/>
              <w:jc w:val="left"/>
            </w:pPr>
            <w:r>
              <w:rPr>
                <w:sz w:val="18"/>
              </w:rPr>
              <w:t>3.10</w:t>
            </w:r>
          </w:p>
        </w:tc>
      </w:tr>
      <w:tr w:rsidR="002B63F6" w14:paraId="7311A1BF" w14:textId="77777777">
        <w:trPr>
          <w:jc w:val="center"/>
        </w:trPr>
        <w:tc>
          <w:tcPr>
            <w:tcW w:w="1701" w:type="dxa"/>
          </w:tcPr>
          <w:p w14:paraId="469B5C66" w14:textId="77777777" w:rsidR="002B63F6" w:rsidRDefault="00000000">
            <w:pPr>
              <w:spacing w:after="20" w:line="240" w:lineRule="auto"/>
              <w:jc w:val="left"/>
            </w:pPr>
            <w:r>
              <w:rPr>
                <w:sz w:val="18"/>
              </w:rPr>
              <w:t>V5 Relational risk</w:t>
            </w:r>
          </w:p>
        </w:tc>
        <w:tc>
          <w:tcPr>
            <w:tcW w:w="1701" w:type="dxa"/>
          </w:tcPr>
          <w:p w14:paraId="5134A200" w14:textId="77777777" w:rsidR="002B63F6" w:rsidRDefault="00000000">
            <w:pPr>
              <w:spacing w:after="20" w:line="240" w:lineRule="auto"/>
              <w:jc w:val="left"/>
            </w:pPr>
            <w:r>
              <w:rPr>
                <w:sz w:val="18"/>
              </w:rPr>
              <w:t>3.86</w:t>
            </w:r>
          </w:p>
        </w:tc>
        <w:tc>
          <w:tcPr>
            <w:tcW w:w="1701" w:type="dxa"/>
          </w:tcPr>
          <w:p w14:paraId="6B37B7E2" w14:textId="77777777" w:rsidR="002B63F6" w:rsidRDefault="00000000">
            <w:pPr>
              <w:spacing w:after="20" w:line="240" w:lineRule="auto"/>
              <w:jc w:val="left"/>
            </w:pPr>
            <w:r>
              <w:rPr>
                <w:sz w:val="18"/>
              </w:rPr>
              <w:t>3.94</w:t>
            </w:r>
          </w:p>
        </w:tc>
        <w:tc>
          <w:tcPr>
            <w:tcW w:w="1701" w:type="dxa"/>
          </w:tcPr>
          <w:p w14:paraId="539649CB" w14:textId="77777777" w:rsidR="002B63F6" w:rsidRDefault="00000000">
            <w:pPr>
              <w:spacing w:after="20" w:line="240" w:lineRule="auto"/>
              <w:jc w:val="left"/>
            </w:pPr>
            <w:r>
              <w:rPr>
                <w:sz w:val="18"/>
              </w:rPr>
              <w:t>3.97</w:t>
            </w:r>
          </w:p>
        </w:tc>
        <w:tc>
          <w:tcPr>
            <w:tcW w:w="1701" w:type="dxa"/>
          </w:tcPr>
          <w:p w14:paraId="4799D1C7" w14:textId="77777777" w:rsidR="002B63F6" w:rsidRDefault="00000000">
            <w:pPr>
              <w:spacing w:after="20" w:line="240" w:lineRule="auto"/>
              <w:jc w:val="left"/>
            </w:pPr>
            <w:r>
              <w:rPr>
                <w:sz w:val="18"/>
              </w:rPr>
              <w:t>3.80</w:t>
            </w:r>
          </w:p>
        </w:tc>
      </w:tr>
      <w:tr w:rsidR="002B63F6" w14:paraId="2C93C5D9" w14:textId="77777777">
        <w:trPr>
          <w:jc w:val="center"/>
        </w:trPr>
        <w:tc>
          <w:tcPr>
            <w:tcW w:w="1701" w:type="dxa"/>
          </w:tcPr>
          <w:p w14:paraId="06771028" w14:textId="77777777" w:rsidR="002B63F6" w:rsidRDefault="00000000">
            <w:pPr>
              <w:spacing w:after="20" w:line="240" w:lineRule="auto"/>
              <w:jc w:val="left"/>
            </w:pPr>
            <w:r>
              <w:rPr>
                <w:sz w:val="18"/>
              </w:rPr>
              <w:t>V6 Trust risk</w:t>
            </w:r>
          </w:p>
        </w:tc>
        <w:tc>
          <w:tcPr>
            <w:tcW w:w="1701" w:type="dxa"/>
          </w:tcPr>
          <w:p w14:paraId="20B37413" w14:textId="77777777" w:rsidR="002B63F6" w:rsidRDefault="00000000">
            <w:pPr>
              <w:spacing w:after="20" w:line="240" w:lineRule="auto"/>
              <w:jc w:val="left"/>
            </w:pPr>
            <w:r>
              <w:rPr>
                <w:sz w:val="18"/>
              </w:rPr>
              <w:t>3.00</w:t>
            </w:r>
          </w:p>
        </w:tc>
        <w:tc>
          <w:tcPr>
            <w:tcW w:w="1701" w:type="dxa"/>
          </w:tcPr>
          <w:p w14:paraId="1F78B075" w14:textId="77777777" w:rsidR="002B63F6" w:rsidRDefault="00000000">
            <w:pPr>
              <w:spacing w:after="20" w:line="240" w:lineRule="auto"/>
              <w:jc w:val="left"/>
            </w:pPr>
            <w:r>
              <w:rPr>
                <w:sz w:val="18"/>
              </w:rPr>
              <w:t>3.37</w:t>
            </w:r>
          </w:p>
        </w:tc>
        <w:tc>
          <w:tcPr>
            <w:tcW w:w="1701" w:type="dxa"/>
          </w:tcPr>
          <w:p w14:paraId="74162AC7" w14:textId="77777777" w:rsidR="002B63F6" w:rsidRDefault="00000000">
            <w:pPr>
              <w:spacing w:after="20" w:line="240" w:lineRule="auto"/>
              <w:jc w:val="left"/>
            </w:pPr>
            <w:r>
              <w:rPr>
                <w:sz w:val="18"/>
              </w:rPr>
              <w:t>3.25</w:t>
            </w:r>
          </w:p>
        </w:tc>
        <w:tc>
          <w:tcPr>
            <w:tcW w:w="1701" w:type="dxa"/>
          </w:tcPr>
          <w:p w14:paraId="11740FEE" w14:textId="77777777" w:rsidR="002B63F6" w:rsidRDefault="00000000">
            <w:pPr>
              <w:spacing w:after="20" w:line="240" w:lineRule="auto"/>
              <w:jc w:val="left"/>
            </w:pPr>
            <w:r>
              <w:rPr>
                <w:sz w:val="18"/>
              </w:rPr>
              <w:t>3.50</w:t>
            </w:r>
          </w:p>
        </w:tc>
      </w:tr>
      <w:tr w:rsidR="002B63F6" w14:paraId="44B658D3" w14:textId="77777777">
        <w:trPr>
          <w:jc w:val="center"/>
        </w:trPr>
        <w:tc>
          <w:tcPr>
            <w:tcW w:w="1701" w:type="dxa"/>
          </w:tcPr>
          <w:p w14:paraId="3C19EC00" w14:textId="77777777" w:rsidR="002B63F6" w:rsidRDefault="00000000">
            <w:pPr>
              <w:spacing w:after="20" w:line="240" w:lineRule="auto"/>
              <w:jc w:val="left"/>
            </w:pPr>
            <w:r>
              <w:rPr>
                <w:sz w:val="18"/>
              </w:rPr>
              <w:t>V7 Burnout reduction</w:t>
            </w:r>
          </w:p>
        </w:tc>
        <w:tc>
          <w:tcPr>
            <w:tcW w:w="1701" w:type="dxa"/>
          </w:tcPr>
          <w:p w14:paraId="497F917E" w14:textId="77777777" w:rsidR="002B63F6" w:rsidRDefault="00000000">
            <w:pPr>
              <w:spacing w:after="20" w:line="240" w:lineRule="auto"/>
              <w:jc w:val="left"/>
            </w:pPr>
            <w:r>
              <w:rPr>
                <w:sz w:val="18"/>
              </w:rPr>
              <w:t>4.71</w:t>
            </w:r>
          </w:p>
        </w:tc>
        <w:tc>
          <w:tcPr>
            <w:tcW w:w="1701" w:type="dxa"/>
          </w:tcPr>
          <w:p w14:paraId="3DFD7247" w14:textId="77777777" w:rsidR="002B63F6" w:rsidRDefault="00000000">
            <w:pPr>
              <w:spacing w:after="20" w:line="240" w:lineRule="auto"/>
              <w:jc w:val="left"/>
            </w:pPr>
            <w:r>
              <w:rPr>
                <w:sz w:val="18"/>
              </w:rPr>
              <w:t>3.77</w:t>
            </w:r>
          </w:p>
        </w:tc>
        <w:tc>
          <w:tcPr>
            <w:tcW w:w="1701" w:type="dxa"/>
          </w:tcPr>
          <w:p w14:paraId="3F15F006" w14:textId="77777777" w:rsidR="002B63F6" w:rsidRDefault="00000000">
            <w:pPr>
              <w:spacing w:after="20" w:line="240" w:lineRule="auto"/>
              <w:jc w:val="left"/>
            </w:pPr>
            <w:r>
              <w:rPr>
                <w:sz w:val="18"/>
              </w:rPr>
              <w:t>3.97</w:t>
            </w:r>
          </w:p>
        </w:tc>
        <w:tc>
          <w:tcPr>
            <w:tcW w:w="1701" w:type="dxa"/>
          </w:tcPr>
          <w:p w14:paraId="47A5F50A" w14:textId="77777777" w:rsidR="002B63F6" w:rsidRDefault="00000000">
            <w:pPr>
              <w:spacing w:after="20" w:line="240" w:lineRule="auto"/>
              <w:jc w:val="left"/>
            </w:pPr>
            <w:r>
              <w:rPr>
                <w:sz w:val="18"/>
              </w:rPr>
              <w:t>3.80</w:t>
            </w:r>
          </w:p>
        </w:tc>
      </w:tr>
      <w:tr w:rsidR="002B63F6" w14:paraId="6438AAA9" w14:textId="77777777">
        <w:trPr>
          <w:jc w:val="center"/>
        </w:trPr>
        <w:tc>
          <w:tcPr>
            <w:tcW w:w="1701" w:type="dxa"/>
          </w:tcPr>
          <w:p w14:paraId="227A687A" w14:textId="77777777" w:rsidR="002B63F6" w:rsidRDefault="00000000">
            <w:pPr>
              <w:spacing w:after="20" w:line="240" w:lineRule="auto"/>
              <w:jc w:val="left"/>
            </w:pPr>
            <w:r>
              <w:rPr>
                <w:sz w:val="18"/>
              </w:rPr>
              <w:t>V8 Human primacy</w:t>
            </w:r>
          </w:p>
        </w:tc>
        <w:tc>
          <w:tcPr>
            <w:tcW w:w="1701" w:type="dxa"/>
          </w:tcPr>
          <w:p w14:paraId="4D06D148" w14:textId="77777777" w:rsidR="002B63F6" w:rsidRDefault="00000000">
            <w:pPr>
              <w:spacing w:after="20" w:line="240" w:lineRule="auto"/>
              <w:jc w:val="left"/>
            </w:pPr>
            <w:r>
              <w:rPr>
                <w:sz w:val="18"/>
              </w:rPr>
              <w:t>4.29</w:t>
            </w:r>
          </w:p>
        </w:tc>
        <w:tc>
          <w:tcPr>
            <w:tcW w:w="1701" w:type="dxa"/>
          </w:tcPr>
          <w:p w14:paraId="1997A381" w14:textId="77777777" w:rsidR="002B63F6" w:rsidRDefault="00000000">
            <w:pPr>
              <w:spacing w:after="20" w:line="240" w:lineRule="auto"/>
              <w:jc w:val="left"/>
            </w:pPr>
            <w:r>
              <w:rPr>
                <w:sz w:val="18"/>
              </w:rPr>
              <w:t>4.23</w:t>
            </w:r>
          </w:p>
        </w:tc>
        <w:tc>
          <w:tcPr>
            <w:tcW w:w="1701" w:type="dxa"/>
          </w:tcPr>
          <w:p w14:paraId="6968585D" w14:textId="77777777" w:rsidR="002B63F6" w:rsidRDefault="00000000">
            <w:pPr>
              <w:spacing w:after="20" w:line="240" w:lineRule="auto"/>
              <w:jc w:val="left"/>
            </w:pPr>
            <w:r>
              <w:rPr>
                <w:sz w:val="18"/>
              </w:rPr>
              <w:t>4.31</w:t>
            </w:r>
          </w:p>
        </w:tc>
        <w:tc>
          <w:tcPr>
            <w:tcW w:w="1701" w:type="dxa"/>
          </w:tcPr>
          <w:p w14:paraId="6312D315" w14:textId="77777777" w:rsidR="002B63F6" w:rsidRDefault="00000000">
            <w:pPr>
              <w:spacing w:after="20" w:line="240" w:lineRule="auto"/>
              <w:jc w:val="left"/>
            </w:pPr>
            <w:r>
              <w:rPr>
                <w:sz w:val="18"/>
              </w:rPr>
              <w:t>4.00</w:t>
            </w:r>
          </w:p>
        </w:tc>
      </w:tr>
      <w:tr w:rsidR="002B63F6" w14:paraId="08CB22E5" w14:textId="77777777">
        <w:trPr>
          <w:jc w:val="center"/>
        </w:trPr>
        <w:tc>
          <w:tcPr>
            <w:tcW w:w="1701" w:type="dxa"/>
          </w:tcPr>
          <w:p w14:paraId="6CF81405" w14:textId="77777777" w:rsidR="002B63F6" w:rsidRDefault="00000000">
            <w:pPr>
              <w:spacing w:after="20" w:line="240" w:lineRule="auto"/>
              <w:jc w:val="left"/>
            </w:pPr>
            <w:r>
              <w:rPr>
                <w:sz w:val="18"/>
              </w:rPr>
              <w:t>V9 Net benefit</w:t>
            </w:r>
          </w:p>
        </w:tc>
        <w:tc>
          <w:tcPr>
            <w:tcW w:w="1701" w:type="dxa"/>
          </w:tcPr>
          <w:p w14:paraId="042502F9" w14:textId="77777777" w:rsidR="002B63F6" w:rsidRDefault="00000000">
            <w:pPr>
              <w:spacing w:after="20" w:line="240" w:lineRule="auto"/>
              <w:jc w:val="left"/>
            </w:pPr>
            <w:r>
              <w:rPr>
                <w:sz w:val="18"/>
              </w:rPr>
              <w:t>4.14</w:t>
            </w:r>
          </w:p>
        </w:tc>
        <w:tc>
          <w:tcPr>
            <w:tcW w:w="1701" w:type="dxa"/>
          </w:tcPr>
          <w:p w14:paraId="1AEFC760" w14:textId="77777777" w:rsidR="002B63F6" w:rsidRDefault="00000000">
            <w:pPr>
              <w:spacing w:after="20" w:line="240" w:lineRule="auto"/>
              <w:jc w:val="left"/>
            </w:pPr>
            <w:r>
              <w:rPr>
                <w:sz w:val="18"/>
              </w:rPr>
              <w:t>4.00</w:t>
            </w:r>
          </w:p>
        </w:tc>
        <w:tc>
          <w:tcPr>
            <w:tcW w:w="1701" w:type="dxa"/>
          </w:tcPr>
          <w:p w14:paraId="7BC07B33" w14:textId="77777777" w:rsidR="002B63F6" w:rsidRDefault="00000000">
            <w:pPr>
              <w:spacing w:after="20" w:line="240" w:lineRule="auto"/>
              <w:jc w:val="left"/>
            </w:pPr>
            <w:r>
              <w:rPr>
                <w:sz w:val="18"/>
              </w:rPr>
              <w:t>4.12</w:t>
            </w:r>
          </w:p>
        </w:tc>
        <w:tc>
          <w:tcPr>
            <w:tcW w:w="1701" w:type="dxa"/>
          </w:tcPr>
          <w:p w14:paraId="22433EC0" w14:textId="77777777" w:rsidR="002B63F6" w:rsidRDefault="00000000">
            <w:pPr>
              <w:spacing w:after="20" w:line="240" w:lineRule="auto"/>
              <w:jc w:val="left"/>
            </w:pPr>
            <w:r>
              <w:rPr>
                <w:sz w:val="18"/>
              </w:rPr>
              <w:t>3.70</w:t>
            </w:r>
          </w:p>
        </w:tc>
      </w:tr>
    </w:tbl>
    <w:p w14:paraId="7406682E" w14:textId="77777777" w:rsidR="002B63F6" w:rsidRDefault="002B63F6">
      <w:pPr>
        <w:spacing w:after="160"/>
      </w:pPr>
    </w:p>
    <w:p w14:paraId="34D7A75F" w14:textId="77777777" w:rsidR="00BE36A7" w:rsidRDefault="00BE36A7" w:rsidP="00BE36A7">
      <w:r>
        <w:t>The age comparison runs counter to what the generational literature reviewed in Section 2.8 would predict, though the very small number of younger respondents demands caution. Respondents aged 30 and below reported slightly higher confidence (4.43 against 3.83) and markedly higher expectations of reduced burnout (4.71 against 3.77), while those aged 31 and over reported marginally greater concern on both risk items, V5 (3.94 against 3.86) and V6 (3.37 against 3.00). Agreement on human primacy (V8) was almost identical across the bands, at 4.29 and 4.23. Whatever separates the age groups in this sample, it is not the conviction that leadership remains a human function.</w:t>
      </w:r>
    </w:p>
    <w:p w14:paraId="503CA853" w14:textId="77777777" w:rsidR="00BE36A7" w:rsidRDefault="00BE36A7" w:rsidP="00BE36A7">
      <w:r>
        <w:t>The experience comparison is analytically more interesting and points consistently in one direction. Respondents with direct experience of hybrid or remote working rated generative AI more favourably on every applied leadership function: motivation (3.81 against 3.00), personalised feedback (3.78 against 3.10), communication with hybrid teams (3.88 against 3.60) and net benefit (4.12 against 3.70). The two largest gaps in the whole cross-tabulation, V3 at 0.81 and V4 at 0.68, both concern the motivational and feedback functions about which the sample as a whole was most uncertain in Section 4.4.</w:t>
      </w:r>
    </w:p>
    <w:p w14:paraId="42125690" w14:textId="77777777" w:rsidR="002B63F6" w:rsidRDefault="00BE36A7" w:rsidP="00BE36A7">
      <w:r>
        <w:lastRenderedPageBreak/>
        <w:t>Experience of hybrid working appears to bear positively on the assessment of generative AI’s leadership uses, and most of all on the applications least familiar to respondents without first-hand experience. One reading, explored in Section 5.4, is that respondents who have worked in distributed teams have met the coordination problems these tools address — dispersed context, delayed feedback, asymmetric visibility — and therefore appraise the technology against that experience rather than as an abstract solution to a management problem. The data are consistent with that reading but do not establish it. The gaps of 0.81 and 0.68 scale points fall within the range attributable to sampling variation at these cell sizes, and the two groups differ in age composition, so age and experience cannot be separated here. Experienced respondents also returned 4.31 on human primacy, the highest figure anywhere in the cross-tabulation. Whatever experience does, it does not appear to blunt the edges: these respondents recognise what the technology can carry and remain at least as firm about what it cannot.</w:t>
      </w:r>
    </w:p>
    <w:p w14:paraId="548FA70E" w14:textId="77777777" w:rsidR="002B63F6" w:rsidRDefault="00000000">
      <w:pPr>
        <w:pStyle w:val="Heading2"/>
      </w:pPr>
      <w:r>
        <w:t>4.7 Integration of the Quantitative and Qualitative Findings</w:t>
      </w:r>
    </w:p>
    <w:p w14:paraId="2608AEA3" w14:textId="77777777" w:rsidR="00BE36A7" w:rsidRDefault="00BE36A7" w:rsidP="00BE36A7">
      <w:r>
        <w:t>The convergent parallel design set out in Section 3.2 requires the two strands to be compared for convergence, complementarity and dissonance. On the principal findings the strands sit close together. The quantitative endorsement of administrative and communicative usefulness (means of 3.81 and 3.93) is paralleled by the dominance of efficiency and administrative-relief codes in the qualitative benefits data (18 of 38 responses). The quantitative emphasis on human primacy (V8, mean 4.24, 57.1 per cent strongly agreeing) matches the relational boundary-setting that runs through the qualitative concerns and recommendations. The quantitative gradient from motivational items (V3, V4) to communicative ones (V2, V7) is mirrored in the free-text data, where administrative tasks are named far more often than motivational ones.</w:t>
      </w:r>
    </w:p>
    <w:p w14:paraId="362061EE" w14:textId="77777777" w:rsidR="00BE36A7" w:rsidRDefault="00BE36A7" w:rsidP="00BE36A7">
      <w:r>
        <w:t>In one respect the strands are complementary rather than convergent. The quantitative data cannot explain the concentration of neutral responses on V6, the highest neutral value in the instrument; the qualitative strand can. Of the 39 recommendations, 38.5 per cent hold that trust is available only where human oversight forms part of the governance arrangement. What appears as quantitative ambivalence is, on the qualitative evidence, considered conditionality rather than absence of view. The convergent parallel design was chosen precisely for this kind of interpretive gain.</w:t>
      </w:r>
    </w:p>
    <w:p w14:paraId="1359C294" w14:textId="77777777" w:rsidR="002B63F6" w:rsidRDefault="00BE36A7" w:rsidP="00BE36A7">
      <w:r>
        <w:lastRenderedPageBreak/>
        <w:t>No substantive conflict emerged between the strands. The only hint of internal tension, high affirmation of both net benefit (V9, 4.02) and human primacy (V8, 4.24), is dissolved rather than deepened by the qualitative data: respondents do not treat these as competing claims but attach them to different classes of task. Taken together, the two strands support the study’s central thread, that this group holds a twofold expectation — that generative AI can serve the administrative and analytical functions of leadership under human control, provided the relational and judgemental aspects are secured by explicit governance.</w:t>
      </w:r>
    </w:p>
    <w:p w14:paraId="758A5671" w14:textId="77777777" w:rsidR="002B63F6" w:rsidRDefault="00000000">
      <w:pPr>
        <w:pStyle w:val="Heading1"/>
        <w:pageBreakBefore/>
      </w:pPr>
      <w:r>
        <w:lastRenderedPageBreak/>
        <w:t>Chapter 5: Discussion</w:t>
      </w:r>
    </w:p>
    <w:p w14:paraId="57233379" w14:textId="77777777" w:rsidR="002B63F6" w:rsidRDefault="00000000">
      <w:pPr>
        <w:pStyle w:val="Heading2"/>
      </w:pPr>
      <w:r>
        <w:t>5.1 Reconciliation of the Efficiency Vector with TAM Frameworks</w:t>
      </w:r>
    </w:p>
    <w:p w14:paraId="7C7A7DB3" w14:textId="77777777" w:rsidR="00BE36A7" w:rsidRDefault="00BE36A7" w:rsidP="00BE36A7">
      <w:r>
        <w:t xml:space="preserve">As presented and analysed in the quantitative results found in Chapter 4, the responses from the upcoming technology professionals indicate a high level of technology acceptance, which directly backs up </w:t>
      </w:r>
      <w:hyperlink r:id="rId78" w:tooltip="Davis, F.D. (1989) ‘Perceived usefulness, perceived ease of use, and user acceptance of information technology’, MIS Quarterly, 13(3), pp. 319-340. Available at: https://doi.org/10.2307/249008 (Accessed: 26 August 2026).">
        <w:r>
          <w:rPr>
            <w:color w:val="1F4E79"/>
          </w:rPr>
          <w:t>Davis's (1989)</w:t>
        </w:r>
      </w:hyperlink>
      <w:r>
        <w:t xml:space="preserve"> Technology Acceptance Model (TAM) core assumptions. TAM primarily states that the acceptance and assimilation of a digital innovation is largely influenced by the individual's Perceived Usefulness (PU) and Perceived Ease of use (PEOU). These high mean values for general technology acceptance (μ = 4.02 for V9) suggest that participants perceive generative AI as more than just a passing fad but a valuable proposition for enhancing today's business landscapes. The perceived usefulness of AI in reducing administrative workload and controlling data overload in hybrid workplaces is moderately correlated with this positive perspective (r = 0.49 between V7 and V9).</w:t>
      </w:r>
    </w:p>
    <w:p w14:paraId="02352694" w14:textId="77777777" w:rsidR="00BE36A7" w:rsidRDefault="00BE36A7" w:rsidP="00BE36A7">
      <w:r>
        <w:t>However, with the high Perceived Ease of Use (PEU) of modern Large Language Models (LLM), the nature of user experience with software is shifting. Older enterprise data platforms typically involve special technical expertise, complicated query skills or inflexible user interfaces. Generative AI overcomes these challenges by enabling users to communicate with data in human language. This accessible interface is important to know the reason that the upcoming workforce has high level of confidence (for V1 = 3.93) in self‐reporting. These tools are easy to adopt and users can focus on how to implement the technology and reap practical benefits rather than how to use the software. This is a fully consistent finding in that perceived usefulness in the extended TAM2 model is demonstrated to be influenced by social and CII processes, and not just causable by direct experience with a particular task-technology fit (</w:t>
      </w:r>
      <w:hyperlink r:id="rId79" w:tooltip="Venkatesh, V. and Davis, F.D. (2000) ‘A theoretical extension of the technology acceptance model: four longitudinal field studies’, Management Science, 46(2), pp. 186-204. Available at: https://doi.org/10.1287/mnsc.46.2.186.11926 (Accessed: 26 August 2026">
        <w:r>
          <w:rPr>
            <w:color w:val="1F4E79"/>
          </w:rPr>
          <w:t>Venkatesh and Davis, 2000</w:t>
        </w:r>
      </w:hyperlink>
      <w:r>
        <w:t>): the widespread, socially-reinforced GenAI exposure reported in the national HEPI survey series also coupling well with the idea that this exposure will influence students' perceived usefulness judgements beyond what direct personal experimentation in its absence could achieve.</w:t>
      </w:r>
    </w:p>
    <w:p w14:paraId="4C15BAA1" w14:textId="77777777" w:rsidR="002B63F6" w:rsidRDefault="00BE36A7" w:rsidP="00BE36A7">
      <w:r>
        <w:t>One qualification applies. In the general field of TAM, usefulness dominates the prediction of the behavioural intention with ease of use working through usefulness to a large extent (</w:t>
      </w:r>
      <w:hyperlink r:id="rId80" w:tooltip="King, W.R. and He, J. (2006) ‘A meta-analysis of the technology acceptance model’, Information &amp; Management, 43(6), pp. 740-755. Available at: https://doi.org/10.1016/j.im.2006.05.003 (Accessed: 26 August 2026).">
        <w:r>
          <w:rPr>
            <w:color w:val="1F4E79"/>
          </w:rPr>
          <w:t>King and He, 2006</w:t>
        </w:r>
      </w:hyperlink>
      <w:r>
        <w:t xml:space="preserve">). No distinction is made between the two in the present data. V7, which is the item most directly related to the instrumental usefulness of the </w:t>
      </w:r>
      <w:r>
        <w:lastRenderedPageBreak/>
        <w:t>instrument with regard to hybrid leadership, has the same mean as does V1, that is, the item most closely related to the ease of use item with regard to confidence. In this sample the two are not distinguished but rather seem to help each other. The most plausible explanation is that the population studied was of early adopters with relatively high prior familiarity with the technology compared to the populations that were studied in the classical TAM literature.</w:t>
      </w:r>
    </w:p>
    <w:p w14:paraId="78A59B89" w14:textId="77777777" w:rsidR="002B63F6" w:rsidRDefault="00000000">
      <w:pPr>
        <w:pStyle w:val="Heading2"/>
      </w:pPr>
      <w:r>
        <w:t>5.2 Interrogation of the Relatedness Deficit under SDT Lenses</w:t>
      </w:r>
    </w:p>
    <w:p w14:paraId="044CE0F1" w14:textId="77777777" w:rsidR="00BE36A7" w:rsidRDefault="00BE36A7" w:rsidP="00BE36A7">
      <w:r>
        <w:t>The quantitative data show clear efficiency gains from generative AI, but they also reveal a tension in Self-Determination Theory terms. SDT holds that engagement and motivation are sustained where three basic psychological needs — autonomy, competence and relatedness — are met. The findings suggest a divided effect: benefit in operational tasks, risk in interpersonal relationships. Strong agreement that over-reliance on AI erodes genuine human interaction within teams (V5, μ = 3.93) speaks directly to that concern.</w:t>
      </w:r>
    </w:p>
    <w:p w14:paraId="145E2EEE" w14:textId="77777777" w:rsidR="00BE36A7" w:rsidRDefault="00BE36A7" w:rsidP="00BE36A7">
      <w:r>
        <w:t xml:space="preserve">This finding is of great significance in relation to the other SDT publications discussed in Chapter Two in that relatedness, along with competence and autonomy, is a requirement for continued involvement that cannot be replaced. The almost equal mean scores for V5 (relational risk) and V7 (burnout-reduction usefulness) suggest that this group has got a difficult balance to "evaluate" between efficiency and relatedness, and has not been able to simply use a "trade if" decision rule whereby, an increase in efficiency is assumed to justify some degree of relational reduction. Rather, the qualitative Theme 2 identified in Chapter Four (the Relatedness Deficit and Authentic Connection) indicates that the respondents are doing more than simply reasoning about the task-boundaries, namely reasoning in a more sophisticated way, where AI is welcomed because it is expected to keep valuable time and cognitive space that can be used for relational leadership tasks. This finding aligns with studies on the benefits of generative AI and hybrid work for employee and customer experience, which show that the benefits of GenAI in enhancing efficiency were most widely welcomed when employees and customer experiences were understood primarily to mean time freed up for more meaningful human interactions rather than reduced (see, for example, </w:t>
      </w:r>
      <w:hyperlink r:id="rId81" w:tooltip="Trinh, N., Nguyen, M., Cao, V.Q. and Ngo, L.V. (2025) ‘The impact of generative AI and hybrid work on employee and customer experience: a comprehensive approach’, Australasian Marketing Journal, online first. Available at: https://doi.org/10.1177/14413582">
        <w:r>
          <w:rPr>
            <w:color w:val="1F4E79"/>
          </w:rPr>
          <w:t>Trinh et al., 2025</w:t>
        </w:r>
      </w:hyperlink>
      <w:r>
        <w:t>).</w:t>
      </w:r>
    </w:p>
    <w:p w14:paraId="7C3B2ED5" w14:textId="77777777" w:rsidR="002B63F6" w:rsidRDefault="00BE36A7" w:rsidP="00BE36A7">
      <w:r>
        <w:t xml:space="preserve">The picture requires refinement, particularly given the lower and less consistent mean on trust erosion (V6, μ = 3.31, which carries the highest neutral response rate of any item in the battery). Read alongside qualitative Theme 3, Conditional Trust and the Governance </w:t>
      </w:r>
      <w:r>
        <w:lastRenderedPageBreak/>
        <w:t>Gap, the pattern suggests that although deploying AI may erode trust, the risk is not universal: it is mediated by the transparency and governance arrangements surrounding the deployment. This accords with a growing body of work on technology acceptance models extended to include trust and ethics, which finds that user trust in AI systems depends heavily on perceived fairness, transparency, human oversight and the availability of recourse. In practical terms, the trust risk for this cohort is, in principle, amenable to deliberate organisational policy, as Chapter Six discusses.</w:t>
      </w:r>
    </w:p>
    <w:p w14:paraId="0580A16F" w14:textId="77777777" w:rsidR="002B63F6" w:rsidRDefault="00000000">
      <w:pPr>
        <w:pStyle w:val="Heading2"/>
      </w:pPr>
      <w:r>
        <w:t>5.3 The Hybrid Leadership Paradox Revisited</w:t>
      </w:r>
    </w:p>
    <w:p w14:paraId="32BDE323" w14:textId="77777777" w:rsidR="00BE36A7" w:rsidRDefault="00BE36A7" w:rsidP="00BE36A7">
      <w:r>
        <w:t>The results of this dissertation also directly relate to the Hybrid Leadership Paradox presented in Chapter Two. That literature characterised a 'tension' which 'hybrid work' induced, between the positive effects of flexibility and the negative effects of lessening physical contact, and which existing scholarship was trying to address through deliberate structural mechanisms (communication protocols, scheduled work meetings, explicit norms) that stand in for the cues that are available in co-located teams (</w:t>
      </w:r>
      <w:hyperlink r:id="rId82" w:tooltip="Malhotra, A., Majchrzak, A. and Rosen, B. (2007) ‘Leading virtual teams’, Academy of Management Perspectives, 21(1), pp. 60-70. Available at: https://doi.org/10.5465/amp.2007.24286164 (Accessed: 26 August 2026).">
        <w:r>
          <w:rPr>
            <w:color w:val="1F4E79"/>
          </w:rPr>
          <w:t>Malhotra, Majchrzak and Rosen, 2007</w:t>
        </w:r>
      </w:hyperlink>
      <w:r>
        <w:t>). The current results indicate that the present-day generation of young workers sees a potential use of generative AI in exactly these structural processes: automating the work of time-consuming check-ins, transcripts, and progress reports (Theme 1) and keeping - at least - judgements, mentorships, and conflict management in human hands (Theme 2).</w:t>
      </w:r>
    </w:p>
    <w:p w14:paraId="39BF77F4" w14:textId="77777777" w:rsidR="00BE36A7" w:rsidRDefault="00BE36A7" w:rsidP="00BE36A7">
      <w:r>
        <w:t>Set against the mismatch account in Section 2.3, these findings suggest a route towards resolution. Hybrid leadership depends on substituting deliberately for what co-located managers receive without effort. If generative AI can absorb a sufficient share of that substitution work — structured check-ins, transcript analysis, workload pattern monitoring — it frees managerial bandwidth for the higher-order work only humans can do: noticing that something is wrong, building trust, defusing conflict. On this reading GenAI is not merely another tool available to the hybrid leader. It is a possible partial answer to the paradox, shedding coordination load, reducing the volume of information a manager must process, and recovering some of the attention that co-location once supplied. This is a proposition derived from perceptual data, not an observed organisational effect.</w:t>
      </w:r>
    </w:p>
    <w:p w14:paraId="01699500" w14:textId="77777777" w:rsidR="002B63F6" w:rsidRDefault="00BE36A7" w:rsidP="00BE36A7">
      <w:r>
        <w:t xml:space="preserve">Additionally, the pattern resonates with the Job Demands-Resources (JD-R) model for hybrid and virtual teams, where structuring can be viewed as a demand or resource based </w:t>
      </w:r>
      <w:r>
        <w:lastRenderedPageBreak/>
        <w:t>on its management approach (</w:t>
      </w:r>
      <w:hyperlink r:id="rId83" w:tooltip="Coulston, C., Shergill, S., Twumasi, R. and Duncan, M. (2025) ‘Advancing virtual and hybrid team well-being through a job demand-resources lens’, International Journal of Qualitative Studies on Health and Well-being, 20(1), article 2472460. Available at: ">
        <w:r>
          <w:rPr>
            <w:color w:val="1F4E79"/>
          </w:rPr>
          <w:t>Coulston et al., 2025</w:t>
        </w:r>
      </w:hyperlink>
      <w:r>
        <w:t>). The idea of duality seems to be understood intuitively at this stage: while the participants believe that GenAI should be used as a tool that helps them save on administrative tasks (Theme 1), they are sceptical of using it to potentially increase the workload involved in preparing for relationships if forgotten to be governed (Themes 2 and 3). The use of generative AI as a demand-or-resource variable in the JD-R framework does not seem to be well-established yet, as the literature search in Chapter Two shows. The theoretical context is provided as a proposal in order to be tested and not as an extension of the framework.</w:t>
      </w:r>
    </w:p>
    <w:p w14:paraId="4A85CDCF" w14:textId="77777777" w:rsidR="002B63F6" w:rsidRDefault="00000000">
      <w:pPr>
        <w:pStyle w:val="Heading2"/>
      </w:pPr>
      <w:r>
        <w:t>5.4 The Age and Experience Effect: Reconciling Findings with the Generational AI-Scepticism Literature</w:t>
      </w:r>
    </w:p>
    <w:p w14:paraId="0A354982" w14:textId="77777777" w:rsidR="00BE36A7" w:rsidRDefault="00BE36A7" w:rsidP="00BE36A7">
      <w:r>
        <w:t>The profile recorded here is settled and confident, and invites direct comparison to the literature on younger ‘generations’ described in Section 2.8, which portrays a much more anxious picture of perception of younger, ostensibly ‘AI-native’ cohorts. In Gallup's surveys, the share of employed Gen Z saying the risks of AI in the workforce outweigh the potential benefits rose from 37 per cent in 2025 to 48 per cent in 2026, while the share placing most trust in work completed without AI rose from 65 to 69 per cent (</w:t>
      </w:r>
      <w:hyperlink r:id="rId84" w:tooltip="Brenan, M. (2026) ‘Gen Z’s AI adoption steady, but skepticism climbs’, Gallup, 8 April. Available at: https://news.gallup.com/poll/708224/gen-adoption-steady-skepticism-climbs.aspx (Accessed: 26 August 2026).">
        <w:r>
          <w:rPr>
            <w:color w:val="1F4E79"/>
          </w:rPr>
          <w:t>Brenan, 2026</w:t>
        </w:r>
      </w:hyperlink>
      <w:r>
        <w:t>). This current sample has an appearance of a different kind. However, with similar general use, it generates a more serene and better informed picture of perceptions, as manifested in the mean for general technology acceptance (μ = 4.02) and in the non-anxious task-boundary reasoning, qualitative Theme 2.</w:t>
      </w:r>
    </w:p>
    <w:p w14:paraId="3951ADDC" w14:textId="77777777" w:rsidR="00BE36A7" w:rsidRDefault="00BE36A7" w:rsidP="00BE36A7">
      <w:r>
        <w:t>The comparison is suggestive, but only that. As Section 4.6 shows, this is a mature sample: 35 of the 42 respondents are aged 31 or over and 32 (76.2 per cent) have prior hybrid working experience, a very different composition from the school-to-early-career Gen Z groups the polling literature describes. A more testable hypothesis is that direct hybrid working experience, rather than age, explains whether a person combines acceptance of AI’s efficiency with a clearly bounded moral reckoning about its limits. This parallels a distinction often drawn in the polling literature between technical familiarity and AI wisdom (</w:t>
      </w:r>
      <w:hyperlink r:id="rId85" w:tooltip="Galagali, T. (2025) ‘Gen Z’s relationship with AI’, Forbes, 25 August. Available at: https://www.forbes.com/sites/tarungalagali/2025/08/25/ais-impact-on-generation-z/ (Accessed: 26 August 2026).">
        <w:r>
          <w:rPr>
            <w:color w:val="1F4E79"/>
          </w:rPr>
          <w:t>Galagali, 2025</w:t>
        </w:r>
      </w:hyperlink>
      <w:r>
        <w:t xml:space="preserve">). The present data cannot settle it. The two populations differ in age, employment status, career stage, national context and survey instrument, and the seven respondents under 30 here support only an internal comparison. What the data do confirm is that age predicts little within this sample: agreement on human primacy is almost identical across the age bands (4.29 and 4.23). The stronger claim, that professional experience accounts for more than age, is offered not as a </w:t>
      </w:r>
      <w:r>
        <w:lastRenderedPageBreak/>
        <w:t>conclusion of this study but as a hypothesis for the multi-institutional longitudinal work recommended in Section 6.5.</w:t>
      </w:r>
    </w:p>
    <w:p w14:paraId="0D879C27" w14:textId="77777777" w:rsidR="002B63F6" w:rsidRDefault="00BE36A7" w:rsidP="00BE36A7">
      <w:r>
        <w:t>Even at this level of caution a practical implication follows, developed in Chapter Six. Where an organisation receives a graduate intake mixing mature, professionally experienced entrants with those arriving directly from study, it should not assume uniform confidence or judgement in working with AI even where self-reported use is uniform. One need not claim that experience is a strong predictor to accept that it is a better starting point than an age-based generic programme: prior exposure to hybrid working and managerial responsibility is a defensible basis for calibrating induction and AI-literacy support.</w:t>
      </w:r>
    </w:p>
    <w:p w14:paraId="267E45BB" w14:textId="77777777" w:rsidR="002B63F6" w:rsidRDefault="00000000">
      <w:pPr>
        <w:pStyle w:val="Heading2"/>
      </w:pPr>
      <w:r>
        <w:t>5.5 Theoretical Limitations of the TAM/SDT Pairing</w:t>
      </w:r>
    </w:p>
    <w:p w14:paraId="5545EE4D" w14:textId="77777777" w:rsidR="00BE36A7" w:rsidRDefault="00BE36A7" w:rsidP="00BE36A7">
      <w:r>
        <w:t>Although the dual TAM/SDT framework has yielded analytical outcomes throughout this dissertation, questioning and addressing its limitations is important to appropriately frame the claims made in this chapter and also to explore theoretically into possible future research. However, three shortcomings are worth special mention.</w:t>
      </w:r>
    </w:p>
    <w:p w14:paraId="76D3D1DE" w14:textId="77777777" w:rsidR="00BE36A7" w:rsidRDefault="00BE36A7" w:rsidP="00BE36A7">
      <w:r>
        <w:t>Second, TAM, in both its original and extended forms, was designed to explain the adoption of bounded software — discrete systems with reasonably stable functional profiles. That describes today’s generative AI systems poorly, since their capabilities evolve continuously through iterative model updates. TAM has proved valuable across many studies, but it has yet to address the possibility that a perceived-usefulness judgement formed about one generation of a GenAI system may not transfer to a materially more capable generation released months later. Data collected at a single point in time, as here (Section 3.10), cannot answer this; the year-on-year movement in the HEPI survey series reported in Chapter Two illustrates why it matters.</w:t>
      </w:r>
    </w:p>
    <w:p w14:paraId="37271FF2" w14:textId="77777777" w:rsidR="00BE36A7" w:rsidRDefault="00BE36A7" w:rsidP="00BE36A7">
      <w:r>
        <w:t xml:space="preserve">Third, SDT’s three basic needs are framed as universal psychological needs rather than workplace-specific ones. Translating them into an AI-mediated hybrid leadership setting required interpretive latitude in the instrument set out in Table 3.1. That extension is theoretically defensible but has not undergone its own formal construct validity testing, and the reliability analysis in Section 3.7 shows it does not perform uniformly: the relatedness items do not behave as a single scale. Confirmatory factor analysis on a larger </w:t>
      </w:r>
      <w:r>
        <w:lastRenderedPageBreak/>
        <w:t>sample would establish whether V3, V4, V5, V6 and V8 load cleanly onto their intended sub-constructs or overlap.</w:t>
      </w:r>
    </w:p>
    <w:p w14:paraId="730148C6" w14:textId="77777777" w:rsidR="002B63F6" w:rsidRDefault="00BE36A7" w:rsidP="00BE36A7">
      <w:r>
        <w:t>Finally, and most importantly, the TAM–SDT combination adapted here is limited in what it can say about the organisational, structural and regulatory dynamics surveyed in the discussion of AI governance and shadow AI (Section 2.9). Socio-technical and Technology-Organisation-Environment frameworks, noted in Chapter Two but not adopted as primary framings, may be needed to explain how individual-level attitudes of the kind reported here translate, or fail to translate, into organisational practice once this cohort moves into full-time hybrid working. This is a real constraint on the claims made in this chapter: the dissertation can speak with confidence about what this cohort currently believes and expects, but only tentatively about how those beliefs will interact with the organisational structures, incentives and power relations they will meet at work.</w:t>
      </w:r>
    </w:p>
    <w:p w14:paraId="1351C72C" w14:textId="77777777" w:rsidR="002B63F6" w:rsidRDefault="00000000">
      <w:pPr>
        <w:pStyle w:val="Heading2"/>
      </w:pPr>
      <w:r>
        <w:t>5.6 Implications for the Incoming Graduate Workforce</w:t>
      </w:r>
    </w:p>
    <w:p w14:paraId="4352A48C" w14:textId="77777777" w:rsidR="002B63F6" w:rsidRDefault="00BE36A7">
      <w:r w:rsidRPr="00BE36A7">
        <w:t>As summarised above, this incoming workforce presents itself as neither naive technophile nor reflexive AI sceptic in hybrid leadership settings. Its position is considered and internally coherent, and it mirrors the dual TAM/SDT reasoning behind this dissertation: acceptance of AI’s instrumental utility alongside a firm, largely non-negotiable insistence on the continuing role of relational leadership, conditional on transparent governance of AI-derived data and insight. This carries significant implications for organisations about to employ members of this cohort, summarised in the recommendations in Chapter Six.</w:t>
      </w:r>
    </w:p>
    <w:p w14:paraId="547F663A" w14:textId="77777777" w:rsidR="002B63F6" w:rsidRDefault="00000000">
      <w:pPr>
        <w:pStyle w:val="Heading1"/>
        <w:pageBreakBefore/>
      </w:pPr>
      <w:r>
        <w:lastRenderedPageBreak/>
        <w:t>Chapter 6: Conclusion and Recommendations</w:t>
      </w:r>
    </w:p>
    <w:p w14:paraId="368190F8" w14:textId="77777777" w:rsidR="002B63F6" w:rsidRDefault="00000000">
      <w:pPr>
        <w:pStyle w:val="Heading2"/>
      </w:pPr>
      <w:r>
        <w:t>6.1 Synthesis of Key Empirical Findings</w:t>
      </w:r>
    </w:p>
    <w:p w14:paraId="23A34207" w14:textId="77777777" w:rsidR="00BE36A7" w:rsidRDefault="00BE36A7" w:rsidP="00BE36A7">
      <w:r>
        <w:t>The convergent parallel investigation grounds this research in its four research questions. Primary data were taken from York St John University business and management students (N = 42) to map where technology acceptance and basic psychological need converge in a virtualised organisational context. For Research Question 1, participants reported themselves highly digitally literate and extensively experienced with available generative AI systems. ChatGPT leads, with 40 out of 42 respondents (95.2 per cent) using it, while Microsoft Copilot has 23 users (54.8 per cent) and Google Gemini 17 (40.5 per cent). Use is regular rather than irregular: 30 respondents (71.4 per cent) use it several times a week and 34 (81.0 per cent) also use it weekly; no respondent reported never using it.</w:t>
      </w:r>
    </w:p>
    <w:p w14:paraId="4928C868" w14:textId="77777777" w:rsidR="00BE36A7" w:rsidRDefault="00BE36A7" w:rsidP="00BE36A7">
      <w:r>
        <w:t>For Research Question 2, students imagine a substantial role for GenAI in hybrid leadership, focused on minimising administrative work and facilitating communication (M = 3.93 on reducing digital burnout for leaders and M = 3.81 on helping leaders communicate with hybrid teams). In a bifurcation with Research Question 3, consensus appears behind both the positive and the risk-framed statements, each returning means of 3.93: participants endorse the efficiency and potential burnout reduction offered by GenAI as strongly as they hold that it is dangerous to human connection and authenticity. Certainty is high: no item in the battery falls below 3.31, and every item sits above the 3.00 scale mid-point.</w:t>
      </w:r>
    </w:p>
    <w:p w14:paraId="3C9D0AA9" w14:textId="77777777" w:rsidR="002B63F6" w:rsidRDefault="00BE36A7" w:rsidP="00BE36A7">
      <w:r>
        <w:t xml:space="preserve">These findings resist a single sentence because the phenomenon itself is dual. To characterise these participants simply as enthusiasts for generative AI in hybrid leadership, or simply as cautious of it, is a misrepresentation. The record shows a group who occupied both positions with equally unwavering steadiness, and who shared a commitment to drawing a tight circle around administrative and analytical roles as suitable for “automation” and relational and judgemental roles as “human owned”. This pattern runs through the quantitative component (Section 4.4), the thematic analysis (Section 4.5) and the demographic cross-tabulation (Section 4.6). Research Question 4 asked what governance recommendations follow from these answers. Respondents supplied them directly: human oversight was the most frequent code in the qualitative data (15 of 39 responses, 38.5 per cent), followed by explicit limits on use, transparency </w:t>
      </w:r>
      <w:r>
        <w:lastRenderedPageBreak/>
        <w:t>and policy, and training in AI literacy. Section 6.2 sets these out as a governance framework.</w:t>
      </w:r>
    </w:p>
    <w:p w14:paraId="6FAEB6CE" w14:textId="77777777" w:rsidR="002B63F6" w:rsidRDefault="00000000">
      <w:pPr>
        <w:pStyle w:val="Heading2"/>
      </w:pPr>
      <w:r>
        <w:t>6.2 Structural Governance Framework for Modern Enterprises</w:t>
      </w:r>
    </w:p>
    <w:p w14:paraId="1CA7ECA2" w14:textId="77777777" w:rsidR="00C34251" w:rsidRDefault="00C34251" w:rsidP="00C34251">
      <w:r>
        <w:t>Based on these results, this dissertation will suggest the following governance framework for organisations preparing for generative AI use in hybrid leadership practice:</w:t>
      </w:r>
    </w:p>
    <w:p w14:paraId="712DB6A0" w14:textId="77777777" w:rsidR="00C34251" w:rsidRDefault="00C34251" w:rsidP="00C34251">
      <w:r>
        <w:rPr>
          <w:b/>
        </w:rPr>
        <w:t>Draw Communication Boundaries.</w:t>
      </w:r>
      <w:r>
        <w:t xml:space="preserve"> There is a need for more organisations to establish clear policies and procedures to determine which tasks can be automated with AI and which require human intervention. Administrative tasks like creating technical data reports, transcribing meeting notes, and tracking project timelines can be handled by generative AI. Duties that are person-specific, by contrast, must remain led by a human: performance mentoring, wellbeing check-ins, career development reviews and team grievance procedures.</w:t>
      </w:r>
    </w:p>
    <w:p w14:paraId="01C405AD" w14:textId="77777777" w:rsidR="00C34251" w:rsidRDefault="00C34251" w:rsidP="00C34251">
      <w:r>
        <w:rPr>
          <w:b/>
        </w:rPr>
        <w:t>Create Clear, Transparent AI Governance Procedures.</w:t>
      </w:r>
      <w:r>
        <w:t xml:space="preserve"> Embracing the conditional-trust theme from Chapter Four, organisations should have clear and communicated procedures around how the insights from AI regarding team sentiment, workload or performance are generated, considered and acted upon, and make sure workers understand when and how AI-based data might factor in to decisions made by the employer as well as the importance of having internal AI generated data checked and signified as a conditional trust.</w:t>
      </w:r>
    </w:p>
    <w:p w14:paraId="581A608A" w14:textId="77777777" w:rsidR="00C34251" w:rsidRDefault="00C34251" w:rsidP="00C34251">
      <w:r>
        <w:rPr>
          <w:b/>
        </w:rPr>
        <w:t>Guard Relational Leadership Time, Do Not Automate It.</w:t>
      </w:r>
      <w:r>
        <w:t xml:space="preserve"> Rather than using GenAI to replace human employees or to decrease managerial focus on projects, as the JD-R informed discussion in Chapter Five consistently encourages, organisations must clearly promote GenAI as a tool that helps preserve the managerial attention relational leadership already requires. New entrants to the workforce will probably perceive this framing far more positively than a pure cost-reduction framing, and it aligns better with the evidence about what keeps people engaged under the framework of Self-Determination Theory.</w:t>
      </w:r>
    </w:p>
    <w:p w14:paraId="06F66BCD" w14:textId="77777777" w:rsidR="00C34251" w:rsidRDefault="00C34251" w:rsidP="00C34251">
      <w:r>
        <w:rPr>
          <w:b/>
        </w:rPr>
        <w:t>Focus on AI Literacy and Emotional Intelligence Development.</w:t>
      </w:r>
      <w:r>
        <w:t xml:space="preserve"> According to this study, emotional intelligence (μ = 4.24 for V8) remains a primary skill throughout, and should therefore not be neglected in organisational leadership development (OLDP) programmes in spite of the ongoing advancements of Artificial Intelligence.</w:t>
      </w:r>
    </w:p>
    <w:p w14:paraId="36923D8A" w14:textId="77777777" w:rsidR="00C34251" w:rsidRDefault="00C34251" w:rsidP="00C34251">
      <w:r>
        <w:rPr>
          <w:b/>
        </w:rPr>
        <w:lastRenderedPageBreak/>
        <w:t>Fill the Shadow AI Governance Gap.</w:t>
      </w:r>
      <w:r>
        <w:t xml:space="preserve"> Use of AI should be viewed as an imperative, and organisations must communicate and formalise policy decisions around it. Survey findings show that 46 per cent of office workers are already using tools like ChatGPT or other AI systems that employers have not made available, while 32 per cent who use generative AI are keeping it hidden from employers and 34 per cent of companies indicated a lack of trust in AI tools (</w:t>
      </w:r>
      <w:hyperlink r:id="rId86" w:tooltip="Ivanti (2025) 2025 Technology at Work Report: Reshaping Flexible Work. South Jordan, UT: Ivanti. Available at: https://www.ivanti.com/resources/research-reports/tech-at-work (Accessed: 26 August 2026).">
        <w:r>
          <w:rPr>
            <w:color w:val="1F4E79"/>
          </w:rPr>
          <w:t>Ivanti, 2025</w:t>
        </w:r>
      </w:hyperlink>
      <w:r>
        <w:t>). As the governance aspects of the EU AI Act become more fully applicable, if organisations do not have clear policy, the risk identified in the findings of this study — the relational and trust costs, as well as compliance risk overall — shall apply.</w:t>
      </w:r>
    </w:p>
    <w:p w14:paraId="234F951A" w14:textId="77777777" w:rsidR="002B63F6" w:rsidRDefault="00C34251" w:rsidP="00C34251">
      <w:r>
        <w:rPr>
          <w:b/>
        </w:rPr>
        <w:t>Induct by Experience, Not by Age.</w:t>
      </w:r>
      <w:r>
        <w:t xml:space="preserve"> Based on the discussion in Chapter Five (Section 5.4), it has been argued that the younger, supposedly ‘digital native' graduate entrants do not necessarily need less induction support for AI than more mature graduate entrants. For this dissertation, it is clear that it is experiences in the workplace and managerial roles specifically (and not just age or generational affiliation) that should drive onboarding and AI-literacy programmes to develop professionally experienced and well-bounded AI judgement.</w:t>
      </w:r>
    </w:p>
    <w:p w14:paraId="3F17C23D" w14:textId="77777777" w:rsidR="002B63F6" w:rsidRDefault="00000000">
      <w:pPr>
        <w:pStyle w:val="Heading2"/>
      </w:pPr>
      <w:r>
        <w:t>6.3 Implications for Higher Education Curriculum Design</w:t>
      </w:r>
    </w:p>
    <w:p w14:paraId="0D83760E" w14:textId="77777777" w:rsidR="00C34251" w:rsidRDefault="00C34251" w:rsidP="00C34251">
      <w:r>
        <w:t>The findings carry a further implication for postgraduate business and management course design generally. If a second wave of graduates arrives with a split attitude towards GenAI in hybrid leadership, positive on administrative efficiency and negative on relational leadership, curriculum designers have a chance to develop and test the formative skills of appreciation and critical thinking that graduates have historically valued. That is not to say passive approaches to AI literacy, such as courses on prompt writing or on using a certain tool. It implies educating learners to reason clearly about which functions of management should be delegated to automation, which should stay with man, and under which conditions of governance the learning from AI can be trusted.</w:t>
      </w:r>
    </w:p>
    <w:p w14:paraId="0754AD0A" w14:textId="77777777" w:rsidR="002B63F6" w:rsidRDefault="00C34251" w:rsidP="00C34251">
      <w:r>
        <w:t>This design would reflect a grim reality from the HEPI paper that meaningful proportions of students feel their institutions need to adjust to offer more structured provision and guidance on AI applications (</w:t>
      </w:r>
      <w:hyperlink r:id="rId87" w:tooltip="Stephenson, R. and Armstrong, C. (2026) Student Generative Artificial Intelligence Survey 2026. HEPI Report 199. Oxford: Higher Education Policy Institute. Available at: https://www.hepi.ac.uk/reports/student-generative-ai-survey-2026/ (Accessed: 26 Augus">
        <w:r>
          <w:rPr>
            <w:color w:val="1F4E79"/>
          </w:rPr>
          <w:t>Stephenson and Armstrong, 2026</w:t>
        </w:r>
      </w:hyperlink>
      <w:r>
        <w:t>), and also the ongoing point of a significant amount of young professionals themselves needing more support with the development of soft skills (</w:t>
      </w:r>
      <w:hyperlink r:id="rId88" w:tooltip="TalentLMS (2024) Gen Z and AI: Research on Workplace Skills. Athens: TalentLMS/Epignosis. Available at: https://www.talentlms.com/research/ai-impact-gen-z-work-skills (Accessed: 26 August 2026).">
        <w:hyperlink r:id="rId89" w:tooltip="TalentLMS (2024) Gen Z and AI: Research on Workplace Skills. Athens: TalentLMS/Epignosis. Available at: https://www.talentlms.com/research/ai-impact-gen-z-work-skills (Accessed: 26 August 2026).">
          <w:r>
            <w:rPr>
              <w:color w:val="1F4E79"/>
            </w:rPr>
            <w:t>TalentLMS, 2024</w:t>
          </w:r>
        </w:hyperlink>
      </w:hyperlink>
      <w:r>
        <w:t xml:space="preserve">). This will also help tackle the concerns around assessment integrity highlighted in Chapter Two: that is, by built into </w:t>
      </w:r>
      <w:r>
        <w:lastRenderedPageBreak/>
        <w:t>assessment design rather than as an incidental of stated learning outcomes, assessed tasks can be designed to value judgement-based competencies identified here from the get-go, making them less susceptible to AI.</w:t>
      </w:r>
    </w:p>
    <w:p w14:paraId="567F03B7" w14:textId="77777777" w:rsidR="002B63F6" w:rsidRDefault="00000000">
      <w:pPr>
        <w:pStyle w:val="Heading2"/>
      </w:pPr>
      <w:r>
        <w:t>6.4 Contribution to Knowledge</w:t>
      </w:r>
    </w:p>
    <w:p w14:paraId="61BE6E54" w14:textId="77777777" w:rsidR="00C34251" w:rsidRDefault="00C34251" w:rsidP="00C34251">
      <w:r>
        <w:t>By bringing together two streams of literature that have largely evolved in isolation, the diffusion of Generative Artificial Intelligence in higher education and prospective attitudes towards its use for hybrid leadership and employee engagement, this dissertation advances both conceptually and empirically. The claim made here is purposefully bounded. A one-institution study with 42 respondents cannot rule out comparable work elsewhere, but little, and no systematic, evidence of a comparable exercise appears in the literature reviewed in Chapter Two; this study provides that evidence at an intersection where it has so far been lacking. It builds on the Technology Acceptance Model by examining its use in a social interaction context, specifically hybrid leadership, and on Self-Determination Theory in the context of AI use for leadership, where it has not been extensively tested. This dual-framework instrument (summarised in Table 3.1), with its reliability reported in Table 3.2, can be replicated and developed by other researchers.</w:t>
      </w:r>
    </w:p>
    <w:p w14:paraId="619B671A" w14:textId="77777777" w:rsidR="002B63F6" w:rsidRDefault="00C34251" w:rsidP="00C34251">
      <w:r>
        <w:t>Four contributions follow. First, the study articulates what an empirically-based bifurcated attitude, as outlined in Chapters Four and Five, might look like: high-conviction acceptance coexisting with high-conviction relational caution, rather than a net judgement. Unidimensional studies that test the acceptability of a construct against a single behavioural intention outcome do not typically identify this. Second, it provides a task-boundary heuristic, the administrative-analytical against the relational-judgement, that the more abstract language of relatedness does not. Third, it addresses the theoretical proposition that generative AI can be either a demand or a resource, as determined by the degree of governance and framing. Fourth, it outlines a testable hypothesis: early experience of working from home could predict well-bounded and honest AI judgement better than chronological age. The current design, described in section 5.4, cannot test that proposition, which is offered as a hypothesis for the research recommended below.</w:t>
      </w:r>
    </w:p>
    <w:p w14:paraId="21CF4170" w14:textId="77777777" w:rsidR="002B63F6" w:rsidRDefault="00000000">
      <w:pPr>
        <w:pStyle w:val="Heading2"/>
      </w:pPr>
      <w:r>
        <w:t>6.5 Methodological Limitations and Trajectories for Future Inquiry</w:t>
      </w:r>
    </w:p>
    <w:p w14:paraId="270E3C3B" w14:textId="77777777" w:rsidR="00C34251" w:rsidRDefault="00C34251" w:rsidP="00C34251">
      <w:r>
        <w:t xml:space="preserve">This study offers important empirical evidence about the expectations of the emerging workforce, but its methodological approach has limitations. First, the cross-sectional </w:t>
      </w:r>
      <w:r>
        <w:lastRenderedPageBreak/>
        <w:t>design conveys participants' perspectives at one point in time and does not account for longer-term change in attitudes, while generative AI technologies and hybrid companies remain highly dynamic, as the year-on-year abundance documented in the HEPI survey series throughout this dissertation manifests. Second, the sample is drawn from a single university context (York St John University's London Campus only) and uses non-probability sampling, so the findings are indicative and theoretical in nature, and must not be taken as statistically representative of the wider UK student population. Third, the sample of 42 respondents, though satisfactory for the explorative goals outlined in Chapter One, is small enough that all the reported proportions could be poorly estimated, a shortcoming future replications with larger, independently powered samples might overcome.</w:t>
      </w:r>
    </w:p>
    <w:p w14:paraId="68297567" w14:textId="77777777" w:rsidR="002B63F6" w:rsidRDefault="00C34251" w:rsidP="00C34251">
      <w:r>
        <w:t>Three suggestions for future research extend the present study. First, a longitudinal design following the same, or a similar, cohort from their final year of study through their first two years in full-time work would test whether the attitudes to managing, or to being managed by, AI-supported hybrid teams documented here hold, intensify or change on entry to the real world of work. Second, replication across a greater number of institutions, using a mix of business-focused and non-business student cohorts rather than the 4 to 1 mix of the present sample, would meaningfully increase the generalisability of findings. Last, as conditional, governance-based trust was important in Theme 3 of the qualitative findings, the dual TAM/SDT framework would be worth expanding with the trust- and ethics-related extensions to TAM identified in Chapter Two.</w:t>
      </w:r>
    </w:p>
    <w:p w14:paraId="1989E5AF" w14:textId="77777777" w:rsidR="002B63F6" w:rsidRDefault="00000000">
      <w:pPr>
        <w:pStyle w:val="Heading2"/>
      </w:pPr>
      <w:r>
        <w:t>6.6 Reflexive Postscript on Researcher Positionality</w:t>
      </w:r>
    </w:p>
    <w:p w14:paraId="5A3D2850" w14:textId="77777777" w:rsidR="00C34251" w:rsidRDefault="00C34251" w:rsidP="00C34251">
      <w:r>
        <w:t xml:space="preserve">A reflective section is not a traditional element of a management dissertation, and must be justified rather than assumed to be here. The warrant is purely a methodological warrant. Reflexive thematic analysis is the approach used in this study, following </w:t>
      </w:r>
      <w:hyperlink w:anchor="ref_Braun2022" w:tooltip="Braun, V. and Clarke, V. (2022) Thematic Analysis: A Practical Guide. London: SAGE.">
        <w:r>
          <w:rPr>
            <w:color w:val="1F4E79"/>
          </w:rPr>
          <w:t>Braun and Clarke (2022)</w:t>
        </w:r>
      </w:hyperlink>
      <w:r>
        <w:t>, who hold that the researcher's position is not contamination to be minimised but an analytic resource, to be made visible and examined. In that system the positionality laid out in Section 3.8 is accompanied by a responsibility to share at the end of the analysis, what that positionality actually meant to the analysis. This section discharges that duty. It is thus the method description itself and not a private appendix to it, and limited to issues having an impact on the interpretation of the data.</w:t>
      </w:r>
    </w:p>
    <w:p w14:paraId="774078AC" w14:textId="77777777" w:rsidR="00C34251" w:rsidRDefault="00C34251" w:rsidP="00C34251">
      <w:r>
        <w:lastRenderedPageBreak/>
        <w:t>Two issues concerning the researcher's position influenced the analysis. The first is insider proximity. Designing the instrument as closely as possible to the language and examples familiar to the people who used it aided its design, but also risked ‘reading’ familiar language into an answer where it was not in fact present. That risk realised itself concretely in coding. The term “human touch” was entered in several free-text responses and was coded as evidence of the relatedness construct of Self-Determination Theory. Responses were later re-examined against the reflexive log and the coding adjusted where elements of output quality, rather than interpersonal connection, were involved. Theme 2 is therefore narrower than it was after the first coding pass.</w:t>
      </w:r>
    </w:p>
    <w:p w14:paraId="7F626919" w14:textId="77777777" w:rsidR="00C34251" w:rsidRDefault="00C34251" w:rsidP="00C34251">
      <w:r>
        <w:t>The second is the researcher's own use of generative AI tools in the literature review and analysis, fully explained in the researcher's declaration prior to this dissertation. That use offered a first-hand perspective on the efficiency-relatedness dilemma which participants uncovered. It also carried a clear bias that could lead to more positive readings of participants' opinions. The poor alpha on the items measuring “relational-risk” is the sort of result a confirmation-seeking analysis may be tempted to shy away from, and it is stated outright as an antidote to that temptation.</w:t>
      </w:r>
    </w:p>
    <w:p w14:paraId="7D66E5C8" w14:textId="77777777" w:rsidR="002B63F6" w:rsidRDefault="00C34251" w:rsidP="00C34251">
      <w:r>
        <w:t>The broader shift the study has produced in the researcher is a view of generative AI not as a technology to be embraced or shunned wholesale, but as a tool to be governed and bounded deliberately – an attitude the researcher intends to carry into a future management role in hybrid settings.</w:t>
      </w:r>
    </w:p>
    <w:p w14:paraId="6F8A13AD" w14:textId="77777777" w:rsidR="002B63F6" w:rsidRDefault="00000000">
      <w:pPr>
        <w:pStyle w:val="Heading2"/>
      </w:pPr>
      <w:r>
        <w:t>6.7 Concluding Remarks</w:t>
      </w:r>
    </w:p>
    <w:p w14:paraId="1F21D4F4" w14:textId="77777777" w:rsidR="00C34251" w:rsidRDefault="00C34251" w:rsidP="00C34251">
      <w:r>
        <w:t>Amid rapid transformation in university education and in leadership and employee engagement, this dissertation asked university students how they perceive the role of generative AI in contemporary leadership and employee engagement. Calculated, not alarmed — that is the remedy, on this evidence. Generative AI is embraced as a tool for decreasing administrative burden and alleviating digital burnout. It must not be misunderstood as a substitute for the emotional component of leadership or for deep relationships. The key takeaway for any organisation looking to lead this group is that hybrid leaders will not need to deploy more or newer AI capability, but rather to be intentional in how they govern it so that it fosters the human collaborative relationships on which engagement relies.</w:t>
      </w:r>
    </w:p>
    <w:p w14:paraId="6FF346EA" w14:textId="77777777" w:rsidR="002B63F6" w:rsidRDefault="00C34251" w:rsidP="00C34251">
      <w:r>
        <w:lastRenderedPageBreak/>
        <w:t>A concluding implication follows. Generative AI and hybrid leadership have been explored here as two transformation processes converging in the same institutional and organisational field. The observations made here show that such convergence need not be a tale of technology supplanting the human ability to make leadership calls. The evidence suggests instead that a more optimistic, albeit conditioned, synthesis is possible, and that a group of emerging leaders is genuinely able to hold both sides of this change in view at once and to champion the irreducibly human dimension of leadership in the face of GenAI's proven promise on efficiency. Whether such a disposition, part conscious and part preconscious, can come to live in shared organisational practice remains uncertain, but it holds enough theoretical and practical interest to warrant the sustained longitudinal study suggested in Section 6.5. While other initiatives explore the curricular dimensions of integrating generative AI for hybrid leadership, the suggestions in Section 6.2 provide a practical governance structure to ensure that organisations do not unconsciously mismanage the expectations of this cohort as the value of generative AI in hybrid leadership continues to develop.</w:t>
      </w:r>
    </w:p>
    <w:p w14:paraId="62F47AA3" w14:textId="77777777" w:rsidR="002B63F6" w:rsidRDefault="00000000">
      <w:pPr>
        <w:pStyle w:val="Heading1"/>
        <w:pageBreakBefore/>
      </w:pPr>
      <w:r>
        <w:lastRenderedPageBreak/>
        <w:t>References</w:t>
      </w:r>
    </w:p>
    <w:p w14:paraId="5811B454" w14:textId="77777777" w:rsidR="002B63F6" w:rsidRDefault="00000000">
      <w:pPr>
        <w:ind w:left="720" w:hanging="720"/>
        <w:jc w:val="left"/>
      </w:pPr>
      <w:bookmarkStart w:id="0" w:name="ref_Arowosegbe2024"/>
      <w:proofErr w:type="spellStart"/>
      <w:r>
        <w:t>Arowosegbe</w:t>
      </w:r>
      <w:proofErr w:type="spellEnd"/>
      <w:r>
        <w:t xml:space="preserve">, A., Alqahtani, J.S. and </w:t>
      </w:r>
      <w:proofErr w:type="spellStart"/>
      <w:r>
        <w:t>Oyelade</w:t>
      </w:r>
      <w:proofErr w:type="spellEnd"/>
      <w:r>
        <w:t xml:space="preserve">, T. (2024) ‘Perception of generative AI use in UK higher education’, Frontiers in Education, 9, article 1463208. Available at: </w:t>
      </w:r>
      <w:hyperlink r:id="rId90" w:tooltip="https://doi.org/10.3389/feduc.2024.1463208">
        <w:r w:rsidR="002B63F6">
          <w:rPr>
            <w:color w:val="1F4E79"/>
            <w:u w:val="single"/>
          </w:rPr>
          <w:t>https://doi.org/10.3389/feduc.2024.1463208</w:t>
        </w:r>
      </w:hyperlink>
      <w:r>
        <w:t xml:space="preserve"> (Accessed: 26 August 2026).</w:t>
      </w:r>
      <w:bookmarkEnd w:id="0"/>
    </w:p>
    <w:p w14:paraId="3A3FD0AF" w14:textId="77777777" w:rsidR="002B63F6" w:rsidRDefault="00000000">
      <w:pPr>
        <w:ind w:left="720" w:hanging="720"/>
        <w:jc w:val="left"/>
      </w:pPr>
      <w:bookmarkStart w:id="1" w:name="ref_Bakker2007"/>
      <w:r>
        <w:t xml:space="preserve">Bakker, A.B. and Demerouti, E. (2007) ‘The job demands-resources model: state of the art’, Journal of Managerial Psychology, 22(3), pp. 309-328. Available at: </w:t>
      </w:r>
      <w:hyperlink r:id="rId91" w:tooltip="https://doi.org/10.1108/02683940710733115">
        <w:r w:rsidR="002B63F6">
          <w:rPr>
            <w:color w:val="1F4E79"/>
            <w:u w:val="single"/>
          </w:rPr>
          <w:t>https://doi.org/10.1108/02683940710733115</w:t>
        </w:r>
      </w:hyperlink>
      <w:r>
        <w:t xml:space="preserve"> (Accessed: 26 August 2026).</w:t>
      </w:r>
      <w:bookmarkEnd w:id="1"/>
    </w:p>
    <w:p w14:paraId="3D359F11" w14:textId="77777777" w:rsidR="002B63F6" w:rsidRDefault="00000000">
      <w:pPr>
        <w:ind w:left="720" w:hanging="720"/>
        <w:jc w:val="left"/>
      </w:pPr>
      <w:bookmarkStart w:id="2" w:name="ref_Bevilacqua2026"/>
      <w:r>
        <w:t xml:space="preserve">Bevilacqua, S., Ferraris, A., </w:t>
      </w:r>
      <w:proofErr w:type="spellStart"/>
      <w:r>
        <w:t>Matzler</w:t>
      </w:r>
      <w:proofErr w:type="spellEnd"/>
      <w:r>
        <w:t xml:space="preserve">, K. and </w:t>
      </w:r>
      <w:proofErr w:type="spellStart"/>
      <w:r>
        <w:t>Kuděj</w:t>
      </w:r>
      <w:proofErr w:type="spellEnd"/>
      <w:r>
        <w:t xml:space="preserve">, M. (2026) ‘Strategic leadership at high altitude: investigating how AI affects the required skills of top managers’, Journal of Business Research, 205, article 115878. Available at: </w:t>
      </w:r>
      <w:hyperlink r:id="rId92" w:tooltip="https://doi.org/10.1016/j.jbusres.2025.115878">
        <w:r w:rsidR="002B63F6">
          <w:rPr>
            <w:color w:val="1F4E79"/>
            <w:u w:val="single"/>
          </w:rPr>
          <w:t>https://doi.org/10.1016/j.jbusres.2025.115878</w:t>
        </w:r>
      </w:hyperlink>
      <w:r>
        <w:t xml:space="preserve"> (Accessed: 26 August 2026).</w:t>
      </w:r>
      <w:bookmarkEnd w:id="2"/>
    </w:p>
    <w:p w14:paraId="4D2432AE" w14:textId="77777777" w:rsidR="002B63F6" w:rsidRDefault="00000000">
      <w:pPr>
        <w:ind w:left="720" w:hanging="720"/>
        <w:jc w:val="left"/>
      </w:pPr>
      <w:bookmarkStart w:id="3" w:name="ref_Bloom2023"/>
      <w:r>
        <w:t xml:space="preserve">Bloom, N., Barrero, J.M., Davis, S.J., Meyer, B.H. and Mihaylov, E. (2023) ‘Survey: remote work isn’t going away - and executives know it’, Harvard Business Review, 28 August. Available at: </w:t>
      </w:r>
      <w:hyperlink r:id="rId93" w:tooltip="https://hbr.org/2023/08/survey-remote-work-isnt-going-away-and-executives-know-it">
        <w:r w:rsidR="002B63F6">
          <w:rPr>
            <w:color w:val="1F4E79"/>
            <w:u w:val="single"/>
          </w:rPr>
          <w:t>https://hbr.org/2023/08/survey-remote-work-isnt-going-away-and-executives-know-it</w:t>
        </w:r>
      </w:hyperlink>
      <w:r>
        <w:t xml:space="preserve"> (Accessed: 26 August 2026).</w:t>
      </w:r>
      <w:bookmarkEnd w:id="3"/>
    </w:p>
    <w:p w14:paraId="00B91F72" w14:textId="77777777" w:rsidR="002B63F6" w:rsidRDefault="00000000">
      <w:pPr>
        <w:ind w:left="720" w:hanging="720"/>
        <w:jc w:val="left"/>
      </w:pPr>
      <w:bookmarkStart w:id="4" w:name="ref_Bloom2024"/>
      <w:r>
        <w:t xml:space="preserve">Bloom, N., Han, R. and Liang, J. (2024) ‘Hybrid working from home improves retention without damaging performance’, Nature, 630(8018), pp. 920-925. Available at: </w:t>
      </w:r>
      <w:hyperlink r:id="rId94" w:tooltip="https://doi.org/10.1038/s41586-024-07500-2">
        <w:r w:rsidR="002B63F6">
          <w:rPr>
            <w:color w:val="1F4E79"/>
            <w:u w:val="single"/>
          </w:rPr>
          <w:t>https://doi.org/10.1038/s41586-024-07500-2</w:t>
        </w:r>
      </w:hyperlink>
      <w:r>
        <w:t xml:space="preserve"> (Accessed: 26 August 2026).</w:t>
      </w:r>
      <w:bookmarkEnd w:id="4"/>
    </w:p>
    <w:p w14:paraId="58F810E9" w14:textId="77777777" w:rsidR="002B63F6" w:rsidRDefault="00000000">
      <w:pPr>
        <w:ind w:left="720" w:hanging="720"/>
        <w:jc w:val="left"/>
      </w:pPr>
      <w:bookmarkStart w:id="5" w:name="ref_BouisseBloigu2025"/>
      <w:proofErr w:type="spellStart"/>
      <w:r>
        <w:t>Bouisse-Bloigu</w:t>
      </w:r>
      <w:proofErr w:type="spellEnd"/>
      <w:r>
        <w:t xml:space="preserve">, I. and </w:t>
      </w:r>
      <w:proofErr w:type="spellStart"/>
      <w:r>
        <w:t>Chamakiotis</w:t>
      </w:r>
      <w:proofErr w:type="spellEnd"/>
      <w:r>
        <w:t xml:space="preserve">, P. (2025) ‘Leading hybrid virtual teams: an exploratory qualitative study’, in </w:t>
      </w:r>
      <w:proofErr w:type="spellStart"/>
      <w:r>
        <w:t>Themistocleous</w:t>
      </w:r>
      <w:proofErr w:type="spellEnd"/>
      <w:r>
        <w:t xml:space="preserve">, M., Bakas, N., </w:t>
      </w:r>
      <w:proofErr w:type="spellStart"/>
      <w:r>
        <w:t>Kokosalakis</w:t>
      </w:r>
      <w:proofErr w:type="spellEnd"/>
      <w:r>
        <w:t xml:space="preserve">, G. and Papadaki, M. (eds) Information Systems. Cham: Springer, pp. 156-165. Available at: </w:t>
      </w:r>
      <w:hyperlink r:id="rId95" w:tooltip="https://doi.org/10.1007/978-3-031-81325-2_11">
        <w:r w:rsidR="002B63F6">
          <w:rPr>
            <w:color w:val="1F4E79"/>
            <w:u w:val="single"/>
          </w:rPr>
          <w:t>https://doi.org/10.1007/978-3-031-81325-2_11</w:t>
        </w:r>
      </w:hyperlink>
      <w:r>
        <w:t xml:space="preserve"> (Accessed: 26 August 2026).</w:t>
      </w:r>
      <w:bookmarkEnd w:id="5"/>
    </w:p>
    <w:p w14:paraId="3FAD92D6" w14:textId="77777777" w:rsidR="002B63F6" w:rsidRDefault="00000000">
      <w:pPr>
        <w:ind w:left="720" w:hanging="720"/>
        <w:jc w:val="left"/>
      </w:pPr>
      <w:bookmarkStart w:id="6" w:name="ref_Braun2022"/>
      <w:r>
        <w:t>Braun, V. and Clarke, V. (2022) Thematic Analysis: A Practical Guide. London: SAGE.</w:t>
      </w:r>
      <w:bookmarkEnd w:id="6"/>
    </w:p>
    <w:p w14:paraId="00E6F908" w14:textId="77777777" w:rsidR="002B63F6" w:rsidRDefault="00000000">
      <w:pPr>
        <w:ind w:left="720" w:hanging="720"/>
        <w:jc w:val="left"/>
      </w:pPr>
      <w:bookmarkStart w:id="7" w:name="ref_Brenan2026"/>
      <w:r>
        <w:t xml:space="preserve">Brenan, M. (2026) ‘Gen Z’s AI adoption steady, but skepticism climbs’, Gallup, 8 April. Available at: </w:t>
      </w:r>
      <w:hyperlink r:id="rId96" w:tooltip="https://news.gallup.com/poll/708224/gen-adoption-steady-skepticism-climbs.aspx">
        <w:r w:rsidR="002B63F6">
          <w:rPr>
            <w:color w:val="1F4E79"/>
            <w:u w:val="single"/>
          </w:rPr>
          <w:t>https://news.gallup.com/poll/708224/gen-adoption-steady-skepticism-climbs.aspx</w:t>
        </w:r>
      </w:hyperlink>
      <w:r>
        <w:t xml:space="preserve"> (Accessed: 26 August 2026).</w:t>
      </w:r>
      <w:bookmarkEnd w:id="7"/>
    </w:p>
    <w:p w14:paraId="37EC60DA" w14:textId="77777777" w:rsidR="002B63F6" w:rsidRDefault="00000000">
      <w:pPr>
        <w:ind w:left="720" w:hanging="720"/>
        <w:jc w:val="left"/>
      </w:pPr>
      <w:bookmarkStart w:id="8" w:name="ref_CIPD2025"/>
      <w:r>
        <w:lastRenderedPageBreak/>
        <w:t xml:space="preserve">CIPD (2025) Flexible and Hybrid Working Practices in 2025. London: Chartered Institute of Personnel and Development. Available at: </w:t>
      </w:r>
      <w:hyperlink r:id="rId97" w:tooltip="https://www.cipd.org/en/knowledge/reports/flexible-hybrid-working/">
        <w:r w:rsidR="002B63F6">
          <w:rPr>
            <w:color w:val="1F4E79"/>
            <w:u w:val="single"/>
          </w:rPr>
          <w:t>https://www.cipd.org/en/knowledge/reports/flexible-hybrid-working/</w:t>
        </w:r>
      </w:hyperlink>
      <w:r>
        <w:t xml:space="preserve"> (Accessed: 26 August 2026).</w:t>
      </w:r>
      <w:bookmarkEnd w:id="8"/>
    </w:p>
    <w:p w14:paraId="024C66D6" w14:textId="77777777" w:rsidR="002B63F6" w:rsidRDefault="00000000">
      <w:pPr>
        <w:ind w:left="720" w:hanging="720"/>
        <w:jc w:val="left"/>
      </w:pPr>
      <w:bookmarkStart w:id="9" w:name="ref_Contreras2020"/>
      <w:r>
        <w:t xml:space="preserve">Contreras, F., Baykal, E. and Abid, G. (2020) ‘E-leadership and teleworking in times of COVID-19 and beyond: what we know and where do we go’, Frontiers in Psychology, 11, article 590271. Available at: </w:t>
      </w:r>
      <w:hyperlink r:id="rId98" w:tooltip="https://doi.org/10.3389/fpsyg.2020.590271">
        <w:r w:rsidR="002B63F6">
          <w:rPr>
            <w:color w:val="1F4E79"/>
            <w:u w:val="single"/>
          </w:rPr>
          <w:t>https://doi.org/10.3389/fpsyg.2020.590271</w:t>
        </w:r>
      </w:hyperlink>
      <w:r>
        <w:t xml:space="preserve"> (Accessed: 26 August 2026).</w:t>
      </w:r>
      <w:bookmarkEnd w:id="9"/>
    </w:p>
    <w:p w14:paraId="4811E44D" w14:textId="77777777" w:rsidR="002B63F6" w:rsidRDefault="00000000">
      <w:pPr>
        <w:ind w:left="720" w:hanging="720"/>
        <w:jc w:val="left"/>
      </w:pPr>
      <w:bookmarkStart w:id="10" w:name="ref_Coulston2025"/>
      <w:r>
        <w:t xml:space="preserve">Coulston, C., Shergill, S., Twumasi, R. and Duncan, M. (2025) ‘Advancing virtual and hybrid team well-being through a job demand-resources lens’, International Journal of Qualitative Studies on Health and Well-being, 20(1), article 2472460. Available at: </w:t>
      </w:r>
      <w:hyperlink r:id="rId99" w:tooltip="https://doi.org/10.1080/17482631.2025.2472460">
        <w:r w:rsidR="002B63F6">
          <w:rPr>
            <w:color w:val="1F4E79"/>
            <w:u w:val="single"/>
          </w:rPr>
          <w:t>https://doi.org/10.1080/17482631.2025.2472460</w:t>
        </w:r>
      </w:hyperlink>
      <w:r>
        <w:t xml:space="preserve"> (Accessed: 26 August 2026).</w:t>
      </w:r>
      <w:bookmarkEnd w:id="10"/>
    </w:p>
    <w:p w14:paraId="71703F87" w14:textId="77777777" w:rsidR="002B63F6" w:rsidRDefault="00000000">
      <w:pPr>
        <w:ind w:left="720" w:hanging="720"/>
        <w:jc w:val="left"/>
      </w:pPr>
      <w:bookmarkStart w:id="11" w:name="ref_Crisp2013"/>
      <w:r>
        <w:t xml:space="preserve">Crisp, C.B. and Jarvenpaa, S.L. (2013) ‘Swift trust in global virtual teams: trusting beliefs and normative actions’, Journal of Personnel Psychology, 12(1), pp. 45-56. Available at: </w:t>
      </w:r>
      <w:hyperlink r:id="rId100" w:tooltip="https://doi.org/10.1027/1866-5888/a000075">
        <w:r w:rsidR="002B63F6">
          <w:rPr>
            <w:color w:val="1F4E79"/>
            <w:u w:val="single"/>
          </w:rPr>
          <w:t>https://doi.org/10.1027/1866-5888/a000075</w:t>
        </w:r>
      </w:hyperlink>
      <w:r>
        <w:t xml:space="preserve"> (Accessed: 26 August 2026).</w:t>
      </w:r>
      <w:bookmarkEnd w:id="11"/>
    </w:p>
    <w:p w14:paraId="7A4221EA" w14:textId="77777777" w:rsidR="002B63F6" w:rsidRDefault="00000000">
      <w:pPr>
        <w:ind w:left="720" w:hanging="720"/>
        <w:jc w:val="left"/>
      </w:pPr>
      <w:bookmarkStart w:id="12" w:name="ref_Davis1989"/>
      <w:r>
        <w:t xml:space="preserve">Davis, F.D. (1989) ‘Perceived usefulness, perceived ease of use, and user acceptance of information technology’, MIS Quarterly, 13(3), pp. 319-340. Available at: </w:t>
      </w:r>
      <w:hyperlink r:id="rId101" w:tooltip="https://doi.org/10.2307/249008">
        <w:r w:rsidR="002B63F6">
          <w:rPr>
            <w:color w:val="1F4E79"/>
            <w:u w:val="single"/>
          </w:rPr>
          <w:t>https://doi.org/10.2307/249008</w:t>
        </w:r>
      </w:hyperlink>
      <w:r>
        <w:t xml:space="preserve"> (Accessed: 26 August 2026).</w:t>
      </w:r>
      <w:bookmarkEnd w:id="12"/>
    </w:p>
    <w:p w14:paraId="561C0238" w14:textId="77777777" w:rsidR="002B63F6" w:rsidRDefault="00000000">
      <w:pPr>
        <w:ind w:left="720" w:hanging="720"/>
        <w:jc w:val="left"/>
      </w:pPr>
      <w:bookmarkStart w:id="13" w:name="ref_Deci2000"/>
      <w:r>
        <w:t xml:space="preserve">Deci, E.L. and Ryan, R.M. (2000) ‘The “what” and “why” of goal pursuits: human needs and the self-determination of behavior’, Psychological Inquiry, 11(4), pp. 227-268. Available at: </w:t>
      </w:r>
      <w:hyperlink r:id="rId102" w:tooltip="https://doi.org/10.1207/S15327965PLI1104_01">
        <w:r w:rsidR="002B63F6">
          <w:rPr>
            <w:color w:val="1F4E79"/>
            <w:u w:val="single"/>
          </w:rPr>
          <w:t>https://doi.org/10.1207/S15327965PLI1104_01</w:t>
        </w:r>
      </w:hyperlink>
      <w:r>
        <w:t xml:space="preserve"> (Accessed: 26 August 2026).</w:t>
      </w:r>
      <w:bookmarkEnd w:id="13"/>
    </w:p>
    <w:p w14:paraId="0B8E140F" w14:textId="77777777" w:rsidR="002B63F6" w:rsidRDefault="00000000">
      <w:pPr>
        <w:ind w:left="720" w:hanging="720"/>
        <w:jc w:val="left"/>
      </w:pPr>
      <w:bookmarkStart w:id="14" w:name="ref_Deci2017"/>
      <w:r>
        <w:t xml:space="preserve">Deci, E.L., Olafsen, A.H. and Ryan, R.M. (2017) ‘Self-determination theory in work organizations: the state of a science’, Annual Review of Organizational Psychology and Organizational Behavior, 4, pp. 19-43. Available at: </w:t>
      </w:r>
      <w:hyperlink r:id="rId103" w:tooltip="https://doi.org/10.1146/annurev-orgpsych-032516-113108">
        <w:r w:rsidR="002B63F6">
          <w:rPr>
            <w:color w:val="1F4E79"/>
            <w:u w:val="single"/>
          </w:rPr>
          <w:t>https://doi.org/10.1146/annurev-orgpsych-032516-113108</w:t>
        </w:r>
      </w:hyperlink>
      <w:r>
        <w:t xml:space="preserve"> (Accessed: 26 August 2026).</w:t>
      </w:r>
      <w:bookmarkEnd w:id="14"/>
    </w:p>
    <w:p w14:paraId="64A444A3" w14:textId="77777777" w:rsidR="002B63F6" w:rsidRDefault="00000000">
      <w:pPr>
        <w:ind w:left="720" w:hanging="720"/>
        <w:jc w:val="left"/>
      </w:pPr>
      <w:bookmarkStart w:id="15" w:name="ref_EuropeanCommission2025"/>
      <w:r>
        <w:lastRenderedPageBreak/>
        <w:t xml:space="preserve">European Commission (2025) EU Rules on General-Purpose AI Models Start to Apply, Bringing More Transparency, Safety and Accountability. Brussels: European Commission, 1 August. Available at: </w:t>
      </w:r>
      <w:hyperlink r:id="rId104" w:tooltip="https://digital-strategy.ec.europa.eu/en/news/eu-rules-general-purpose-ai-models-start-apply-bringing-more-transparency-safety-and-accountability">
        <w:r w:rsidR="002B63F6">
          <w:rPr>
            <w:color w:val="1F4E79"/>
            <w:u w:val="single"/>
          </w:rPr>
          <w:t>https://digital-strategy.ec.europa.eu/en/news/eu-rules-general-purpose-ai-models-start-apply-bringing-more-transparency-safety-and-accountability</w:t>
        </w:r>
      </w:hyperlink>
      <w:r>
        <w:t xml:space="preserve"> (Accessed: 26 August 2026).</w:t>
      </w:r>
      <w:bookmarkEnd w:id="15"/>
    </w:p>
    <w:p w14:paraId="0CE9FC1B" w14:textId="77777777" w:rsidR="002B63F6" w:rsidRDefault="00000000">
      <w:pPr>
        <w:ind w:left="720" w:hanging="720"/>
        <w:jc w:val="left"/>
      </w:pPr>
      <w:bookmarkStart w:id="16" w:name="ref_EY2025"/>
      <w:r>
        <w:t xml:space="preserve">EY (2025) EY 2025 Work Reimagined Survey: Can AI Advance Toward Value if Workforce Tensions Linger? London: Ernst &amp; Young Global Limited. Available at: </w:t>
      </w:r>
      <w:hyperlink r:id="rId105" w:tooltip="https://www.ey.com/en_gl/insights/workforce/work-reimagined-survey">
        <w:r w:rsidR="002B63F6">
          <w:rPr>
            <w:color w:val="1F4E79"/>
            <w:u w:val="single"/>
          </w:rPr>
          <w:t>https://www.ey.com/en_gl/insights/workforce/work-reimagined-survey</w:t>
        </w:r>
      </w:hyperlink>
      <w:r>
        <w:t xml:space="preserve"> (Accessed: 26 August 2026).</w:t>
      </w:r>
      <w:bookmarkEnd w:id="16"/>
    </w:p>
    <w:p w14:paraId="077957F3" w14:textId="77777777" w:rsidR="002B63F6" w:rsidRDefault="00000000">
      <w:pPr>
        <w:ind w:left="720" w:hanging="720"/>
        <w:jc w:val="left"/>
      </w:pPr>
      <w:bookmarkStart w:id="17" w:name="ref_Fel2025"/>
      <w:r>
        <w:t xml:space="preserve">Fel, S., Kozak, J. and Horodyski, P. (2025) ‘Responsibility and AI: exploring technology acceptance models’, Journal of Innovation &amp; Knowledge, 10(6), article 100852. Available at: </w:t>
      </w:r>
      <w:hyperlink r:id="rId106" w:tooltip="https://doi.org/10.1016/j.jik.2025.100852">
        <w:r w:rsidR="002B63F6">
          <w:rPr>
            <w:color w:val="1F4E79"/>
            <w:u w:val="single"/>
          </w:rPr>
          <w:t>https://doi.org/10.1016/j.jik.2025.100852</w:t>
        </w:r>
      </w:hyperlink>
      <w:r>
        <w:t xml:space="preserve"> (Accessed: 26 August 2026).</w:t>
      </w:r>
      <w:bookmarkEnd w:id="17"/>
    </w:p>
    <w:p w14:paraId="552FCB56" w14:textId="77777777" w:rsidR="002B63F6" w:rsidRDefault="00000000">
      <w:pPr>
        <w:ind w:left="720" w:hanging="720"/>
        <w:jc w:val="left"/>
      </w:pPr>
      <w:bookmarkStart w:id="18" w:name="ref_Freeman2025"/>
      <w:r>
        <w:t xml:space="preserve">Freeman, J. (2025) Student Generative AI Survey 2025. HEPI Policy Note 61. Oxford: Higher Education Policy Institute. Available at: </w:t>
      </w:r>
      <w:hyperlink r:id="rId107" w:tooltip="https://www.hepi.ac.uk/reports/student-generative-ai-survey-2025/">
        <w:r w:rsidR="002B63F6">
          <w:rPr>
            <w:color w:val="1F4E79"/>
            <w:u w:val="single"/>
          </w:rPr>
          <w:t>https://www.hepi.ac.uk/reports/student-generative-ai-survey-2025/</w:t>
        </w:r>
      </w:hyperlink>
      <w:r>
        <w:t xml:space="preserve"> (Accessed: 26 August 2026).</w:t>
      </w:r>
      <w:bookmarkEnd w:id="18"/>
    </w:p>
    <w:p w14:paraId="259875B7" w14:textId="77777777" w:rsidR="002B63F6" w:rsidRDefault="00000000">
      <w:pPr>
        <w:ind w:left="720" w:hanging="720"/>
        <w:jc w:val="left"/>
      </w:pPr>
      <w:bookmarkStart w:id="19" w:name="ref_Gagn2005"/>
      <w:r>
        <w:t xml:space="preserve">Gagné, M. and Deci, E.L. (2005) ‘Self-determination theory and work motivation’, Journal of Organizational Behavior, 26(4), pp. 331-362. Available at: </w:t>
      </w:r>
      <w:hyperlink r:id="rId108" w:tooltip="https://doi.org/10.1002/job.322">
        <w:r w:rsidR="002B63F6">
          <w:rPr>
            <w:color w:val="1F4E79"/>
            <w:u w:val="single"/>
          </w:rPr>
          <w:t>https://doi.org/10.1002/job.322</w:t>
        </w:r>
      </w:hyperlink>
      <w:r>
        <w:t xml:space="preserve"> (Accessed: 26 August 2026).</w:t>
      </w:r>
      <w:bookmarkEnd w:id="19"/>
    </w:p>
    <w:p w14:paraId="64E8AE4B" w14:textId="77777777" w:rsidR="002B63F6" w:rsidRDefault="00000000">
      <w:pPr>
        <w:ind w:left="720" w:hanging="720"/>
        <w:jc w:val="left"/>
      </w:pPr>
      <w:bookmarkStart w:id="20" w:name="ref_Galagali2025"/>
      <w:proofErr w:type="spellStart"/>
      <w:r>
        <w:t>Galagali</w:t>
      </w:r>
      <w:proofErr w:type="spellEnd"/>
      <w:r>
        <w:t xml:space="preserve">, T. (2025) ‘Gen Z’s relationship with AI’, Forbes, 25 August. Available at: </w:t>
      </w:r>
      <w:hyperlink r:id="rId109" w:tooltip="https://www.forbes.com/sites/tarungalagali/2025/08/25/ais-impact-on-generation-z/">
        <w:r w:rsidR="002B63F6">
          <w:rPr>
            <w:color w:val="1F4E79"/>
            <w:u w:val="single"/>
          </w:rPr>
          <w:t>https://www.forbes.com/sites/tarungalagali/2025/08/25/ais-impact-on-generation-z/</w:t>
        </w:r>
      </w:hyperlink>
      <w:r>
        <w:t xml:space="preserve"> (Accessed: 26 August 2026).</w:t>
      </w:r>
      <w:bookmarkEnd w:id="20"/>
    </w:p>
    <w:p w14:paraId="4D7351A8" w14:textId="77777777" w:rsidR="002B63F6" w:rsidRDefault="00000000">
      <w:pPr>
        <w:ind w:left="720" w:hanging="720"/>
        <w:jc w:val="left"/>
      </w:pPr>
      <w:bookmarkStart w:id="21" w:name="ref_Gallup2026"/>
      <w:r>
        <w:t xml:space="preserve">Gallup (2026) State of the Global Workplace: 2026 Report. Washington, DC: Gallup Inc. Available at: </w:t>
      </w:r>
      <w:hyperlink r:id="rId110" w:tooltip="https://www.gallup.com/workplace/708071/global-employee-engagement-continues-decline.aspx">
        <w:r w:rsidR="002B63F6">
          <w:rPr>
            <w:color w:val="1F4E79"/>
            <w:u w:val="single"/>
          </w:rPr>
          <w:t>https://www.gallup.com/workplace/349484/state-of-the-global-workplace.aspx</w:t>
        </w:r>
      </w:hyperlink>
      <w:r>
        <w:t xml:space="preserve"> (Accessed: 26 August 2026).</w:t>
      </w:r>
      <w:bookmarkEnd w:id="21"/>
    </w:p>
    <w:p w14:paraId="5C106EC6" w14:textId="77777777" w:rsidR="002B63F6" w:rsidRDefault="00000000">
      <w:pPr>
        <w:ind w:left="720" w:hanging="720"/>
        <w:jc w:val="left"/>
      </w:pPr>
      <w:bookmarkStart w:id="22" w:name="ref_Gilson2015"/>
      <w:r>
        <w:t xml:space="preserve">Gilson, L.L., Maynard, M.T., Jones Young, N.C., Vartiainen, M. and </w:t>
      </w:r>
      <w:proofErr w:type="spellStart"/>
      <w:r>
        <w:t>Hakonen</w:t>
      </w:r>
      <w:proofErr w:type="spellEnd"/>
      <w:r>
        <w:t xml:space="preserve">, M. (2015) ‘Virtual teams research: 10 years, 10 themes, and 10 opportunities’, </w:t>
      </w:r>
      <w:r>
        <w:lastRenderedPageBreak/>
        <w:t xml:space="preserve">Journal of Management, 41(5), pp. 1313-1337. Available at: </w:t>
      </w:r>
      <w:hyperlink r:id="rId111" w:tooltip="https://doi.org/10.1177/0149206314559946">
        <w:r w:rsidR="002B63F6">
          <w:rPr>
            <w:color w:val="1F4E79"/>
            <w:u w:val="single"/>
          </w:rPr>
          <w:t>https://doi.org/10.1177/0149206314559946</w:t>
        </w:r>
      </w:hyperlink>
      <w:r>
        <w:t xml:space="preserve"> (Accessed: 26 August 2026).</w:t>
      </w:r>
      <w:bookmarkEnd w:id="22"/>
    </w:p>
    <w:p w14:paraId="7D768C79" w14:textId="77777777" w:rsidR="002B63F6" w:rsidRDefault="00000000">
      <w:pPr>
        <w:ind w:left="720" w:hanging="720"/>
        <w:jc w:val="left"/>
      </w:pPr>
      <w:bookmarkStart w:id="23" w:name="ref_Guest1998"/>
      <w:r>
        <w:t xml:space="preserve">Guest, D.E. (1998) ‘Is the psychological contract worth taking seriously?’, Journal of Organizational Behavior, 19(S1), pp. 649-664. Available at: </w:t>
      </w:r>
      <w:hyperlink r:id="rId112" w:tooltip="https://doi.org/10.1002/(SICI)1099-1379(1998)19:1+&lt;649::AID-JOB970&gt;3.0.CO;2-T">
        <w:r w:rsidR="002B63F6">
          <w:rPr>
            <w:color w:val="1F4E79"/>
            <w:u w:val="single"/>
          </w:rPr>
          <w:t>https://doi.org/10.1002/(SICI)1099-1379(1998)19:1+&lt;649::AID-JOB970&gt;3.0.CO;2-T</w:t>
        </w:r>
      </w:hyperlink>
      <w:r>
        <w:t xml:space="preserve"> (Accessed: 26 August 2026).</w:t>
      </w:r>
      <w:bookmarkEnd w:id="23"/>
    </w:p>
    <w:p w14:paraId="47F80966" w14:textId="77777777" w:rsidR="002B63F6" w:rsidRDefault="00000000">
      <w:pPr>
        <w:ind w:left="720" w:hanging="720"/>
        <w:jc w:val="left"/>
      </w:pPr>
      <w:bookmarkStart w:id="24" w:name="ref_Ivanti2025"/>
      <w:r>
        <w:t xml:space="preserve">Ivanti (2025) 2025 Technology at Work Report: Reshaping Flexible Work. South Jordan, UT: Ivanti. Available at: </w:t>
      </w:r>
      <w:hyperlink r:id="rId113" w:tooltip="https://www.ivanti.com/resources/research-reports/tech-at-work">
        <w:r w:rsidR="002B63F6">
          <w:rPr>
            <w:color w:val="1F4E79"/>
            <w:u w:val="single"/>
          </w:rPr>
          <w:t>https://www.ivanti.com/resources/research-reports/tech-at-work</w:t>
        </w:r>
      </w:hyperlink>
      <w:r>
        <w:t xml:space="preserve"> (Accessed: 26 August 2026).</w:t>
      </w:r>
      <w:bookmarkEnd w:id="24"/>
    </w:p>
    <w:p w14:paraId="118D693F" w14:textId="77777777" w:rsidR="002B63F6" w:rsidRDefault="00000000">
      <w:pPr>
        <w:ind w:left="720" w:hanging="720"/>
        <w:jc w:val="left"/>
      </w:pPr>
      <w:bookmarkStart w:id="25" w:name="ref_Jisc2025"/>
      <w:r>
        <w:t xml:space="preserve">Jisc (2025) Student Perceptions of AI 2025. Bristol: Jisc. Available at: </w:t>
      </w:r>
      <w:hyperlink r:id="rId114" w:tooltip="https://www.jisc.ac.uk/reports/student-perceptions-of-ai-2025">
        <w:r w:rsidR="002B63F6">
          <w:rPr>
            <w:color w:val="1F4E79"/>
            <w:u w:val="single"/>
          </w:rPr>
          <w:t>https://www.jisc.ac.uk/reports/student-perceptions-of-ai-2025</w:t>
        </w:r>
      </w:hyperlink>
      <w:r>
        <w:t xml:space="preserve"> (Accessed: 26 August 2026).</w:t>
      </w:r>
      <w:bookmarkEnd w:id="25"/>
    </w:p>
    <w:p w14:paraId="790B4B88" w14:textId="77777777" w:rsidR="002B63F6" w:rsidRDefault="00000000">
      <w:pPr>
        <w:ind w:left="720" w:hanging="720"/>
        <w:jc w:val="left"/>
      </w:pPr>
      <w:bookmarkStart w:id="26" w:name="ref_JunaSilva2026"/>
      <w:proofErr w:type="spellStart"/>
      <w:r>
        <w:t>Junça</w:t>
      </w:r>
      <w:proofErr w:type="spellEnd"/>
      <w:r>
        <w:t xml:space="preserve"> Silva, A., Pombo, R. and Rueff Lopes, R. (2026) ‘Hybrid work as a self-determining context: examining the psychological mechanisms behind job satisfaction’, The Learning Organization, 33(7), pp. 39-57. Available at: </w:t>
      </w:r>
      <w:hyperlink r:id="rId115" w:tooltip="https://doi.org/10.1108/TLO-01-2025-0021">
        <w:r w:rsidR="002B63F6">
          <w:rPr>
            <w:color w:val="1F4E79"/>
            <w:u w:val="single"/>
          </w:rPr>
          <w:t>https://doi.org/10.1108/TLO-01-2025-0021</w:t>
        </w:r>
      </w:hyperlink>
      <w:r>
        <w:t xml:space="preserve"> (Accessed: 26 August 2026).</w:t>
      </w:r>
      <w:bookmarkEnd w:id="26"/>
    </w:p>
    <w:p w14:paraId="415DA2B5" w14:textId="77777777" w:rsidR="002B63F6" w:rsidRDefault="00000000">
      <w:pPr>
        <w:ind w:left="720" w:hanging="720"/>
        <w:jc w:val="left"/>
      </w:pPr>
      <w:bookmarkStart w:id="27" w:name="ref_King2006"/>
      <w:r>
        <w:t xml:space="preserve">King, W.R. and He, J. (2006) ‘A meta-analysis of the technology acceptance model’, Information &amp; Management, 43(6), pp. 740-755. Available at: </w:t>
      </w:r>
      <w:hyperlink r:id="rId116" w:tooltip="https://doi.org/10.1016/j.im.2006.05.003">
        <w:r w:rsidR="002B63F6">
          <w:rPr>
            <w:color w:val="1F4E79"/>
            <w:u w:val="single"/>
          </w:rPr>
          <w:t>https://doi.org/10.1016/j.im.2006.05.003</w:t>
        </w:r>
      </w:hyperlink>
      <w:r>
        <w:t xml:space="preserve"> (Accessed: 26 August 2026).</w:t>
      </w:r>
      <w:bookmarkEnd w:id="27"/>
    </w:p>
    <w:p w14:paraId="4037CECC" w14:textId="77777777" w:rsidR="002B63F6" w:rsidRDefault="00000000">
      <w:pPr>
        <w:ind w:left="720" w:hanging="720"/>
        <w:jc w:val="left"/>
      </w:pPr>
      <w:bookmarkStart w:id="28" w:name="ref_Malhotra2007"/>
      <w:r>
        <w:t xml:space="preserve">Malhotra, A., Majchrzak, A. and Rosen, B. (2007) ‘Leading virtual teams’, Academy of Management Perspectives, 21(1), pp. 60-70. Available at: </w:t>
      </w:r>
      <w:hyperlink r:id="rId117" w:tooltip="https://doi.org/10.5465/amp.2007.24286164">
        <w:r w:rsidR="002B63F6">
          <w:rPr>
            <w:color w:val="1F4E79"/>
            <w:u w:val="single"/>
          </w:rPr>
          <w:t>https://doi.org/10.5465/amp.2007.24286164</w:t>
        </w:r>
      </w:hyperlink>
      <w:r>
        <w:t xml:space="preserve"> (Accessed: 26 August 2026).</w:t>
      </w:r>
      <w:bookmarkEnd w:id="28"/>
    </w:p>
    <w:p w14:paraId="3805482B" w14:textId="77777777" w:rsidR="002B63F6" w:rsidRDefault="00000000">
      <w:pPr>
        <w:ind w:left="720" w:hanging="720"/>
        <w:jc w:val="left"/>
      </w:pPr>
      <w:bookmarkStart w:id="29" w:name="ref_Maranguni2015"/>
      <w:r>
        <w:t xml:space="preserve">Marangunić, N. and </w:t>
      </w:r>
      <w:proofErr w:type="spellStart"/>
      <w:r>
        <w:t>Granić</w:t>
      </w:r>
      <w:proofErr w:type="spellEnd"/>
      <w:r>
        <w:t xml:space="preserve">, A. (2015) ‘Technology acceptance model: a literature review from 1986 to 2013’, Universal Access in the Information Society, 14(1), pp. 81-95. Available at: </w:t>
      </w:r>
      <w:hyperlink r:id="rId118" w:tooltip="https://doi.org/10.1007/s10209-014-0348-1">
        <w:r w:rsidR="002B63F6">
          <w:rPr>
            <w:color w:val="1F4E79"/>
            <w:u w:val="single"/>
          </w:rPr>
          <w:t>https://doi.org/10.1007/s10209-014-0348-1</w:t>
        </w:r>
      </w:hyperlink>
      <w:r>
        <w:t xml:space="preserve"> (Accessed: 26 August 2026).</w:t>
      </w:r>
      <w:bookmarkEnd w:id="29"/>
    </w:p>
    <w:p w14:paraId="3DAE6E37" w14:textId="77777777" w:rsidR="002B63F6" w:rsidRDefault="00000000">
      <w:pPr>
        <w:ind w:left="720" w:hanging="720"/>
        <w:jc w:val="left"/>
      </w:pPr>
      <w:bookmarkStart w:id="30" w:name="ref_Mustofa2025"/>
      <w:r>
        <w:t xml:space="preserve">Mustofa, R.H., </w:t>
      </w:r>
      <w:proofErr w:type="spellStart"/>
      <w:r>
        <w:t>Kuncoro</w:t>
      </w:r>
      <w:proofErr w:type="spellEnd"/>
      <w:r>
        <w:t xml:space="preserve">, T.G., </w:t>
      </w:r>
      <w:proofErr w:type="spellStart"/>
      <w:r>
        <w:t>Atmono</w:t>
      </w:r>
      <w:proofErr w:type="spellEnd"/>
      <w:r>
        <w:t xml:space="preserve">, D., Hermawan, H.D. and Sukirman (2025) ‘Extending the technology acceptance model: the role of subjective norms, ethics, and trust in AI tool adoption among students’, Computers and Education: </w:t>
      </w:r>
      <w:r>
        <w:lastRenderedPageBreak/>
        <w:t xml:space="preserve">Artificial Intelligence, 8, article 100379. Available at: </w:t>
      </w:r>
      <w:hyperlink r:id="rId119" w:tooltip="https://doi.org/10.1016/j.caeai.2025.100379">
        <w:r w:rsidR="002B63F6">
          <w:rPr>
            <w:color w:val="1F4E79"/>
            <w:u w:val="single"/>
          </w:rPr>
          <w:t>https://doi.org/10.1016/j.caeai.2025.100379</w:t>
        </w:r>
      </w:hyperlink>
      <w:r>
        <w:t xml:space="preserve"> (Accessed: 26 August 2026).</w:t>
      </w:r>
      <w:bookmarkEnd w:id="30"/>
    </w:p>
    <w:p w14:paraId="67C71097" w14:textId="77777777" w:rsidR="002B63F6" w:rsidRDefault="00000000">
      <w:pPr>
        <w:ind w:left="720" w:hanging="720"/>
        <w:jc w:val="left"/>
      </w:pPr>
      <w:bookmarkStart w:id="31" w:name="ref_Nemko2026"/>
      <w:r>
        <w:t xml:space="preserve">Nemko Digital (2025) Responsible AI Framework 2025: Ensure Compliance and Trust. Oslo: Nemko Group. Available at: </w:t>
      </w:r>
      <w:hyperlink r:id="rId120" w:tooltip="https://digital.nemko.com/insights/eu-ai-act-rules-on-gpai-2025-update">
        <w:r w:rsidR="002B63F6">
          <w:rPr>
            <w:color w:val="1F4E79"/>
            <w:u w:val="single"/>
          </w:rPr>
          <w:t>https://digital.nemko.com/insights/responsible-ai-framework-in-business</w:t>
        </w:r>
      </w:hyperlink>
      <w:r>
        <w:t xml:space="preserve"> (Accessed: 26 August 2026).</w:t>
      </w:r>
      <w:bookmarkEnd w:id="31"/>
    </w:p>
    <w:p w14:paraId="5AD45E2D" w14:textId="77777777" w:rsidR="002B63F6" w:rsidRDefault="00000000">
      <w:pPr>
        <w:ind w:left="720" w:hanging="720"/>
        <w:jc w:val="left"/>
      </w:pPr>
      <w:bookmarkStart w:id="32" w:name="ref_Nwoko2022"/>
      <w:r>
        <w:t xml:space="preserve">Nwoko, C. and Yazdani, K. (2022) ‘Remote working during the COVID-19 global pandemic and its implications for employee motivation: some evidence from Nigeria through the lens of self-determination theory’, Journal of Business and Management Studies, 4(2), pp. 423-447. Available at: </w:t>
      </w:r>
      <w:hyperlink r:id="rId121" w:tooltip="https://doi.org/10.32996/jbms.2022.4.2.31">
        <w:r w:rsidR="002B63F6">
          <w:rPr>
            <w:color w:val="1F4E79"/>
            <w:u w:val="single"/>
          </w:rPr>
          <w:t>https://doi.org/10.32996/jbms.2022.4.2.31</w:t>
        </w:r>
      </w:hyperlink>
      <w:r>
        <w:t xml:space="preserve"> (Accessed: 26 August 2026).</w:t>
      </w:r>
      <w:bookmarkEnd w:id="32"/>
    </w:p>
    <w:p w14:paraId="202DBEB7" w14:textId="77777777" w:rsidR="002B63F6" w:rsidRDefault="00000000">
      <w:pPr>
        <w:ind w:left="720" w:hanging="720"/>
        <w:jc w:val="left"/>
      </w:pPr>
      <w:bookmarkStart w:id="33" w:name="ref_OfficeforNationalStatist2025"/>
      <w:r>
        <w:t xml:space="preserve">Office for National Statistics (2025) Who Has Access to Hybrid Work in Great Britain? Newport: ONS, 11 June. Available at: </w:t>
      </w:r>
      <w:hyperlink r:id="rId122" w:tooltip="https://www.ons.gov.uk/employmentandlabourmarket/peopleinwork/employmentandemployeetypes/articles/whohasaccesstohybridworkingreatbritain/2025-06-11">
        <w:r w:rsidR="002B63F6">
          <w:rPr>
            <w:color w:val="1F4E79"/>
            <w:u w:val="single"/>
          </w:rPr>
          <w:t>https://www.ons.gov.uk/employmentandlabourmarket/peopleinwork/employmentandemployeetypes/articles/whohasaccesstohybridworkingreatbritain/2025-06-11</w:t>
        </w:r>
      </w:hyperlink>
      <w:r>
        <w:t xml:space="preserve"> (Accessed: 26 August 2026).</w:t>
      </w:r>
      <w:bookmarkEnd w:id="33"/>
    </w:p>
    <w:p w14:paraId="15FA2835" w14:textId="77777777" w:rsidR="002B63F6" w:rsidRDefault="00000000">
      <w:pPr>
        <w:ind w:left="720" w:hanging="720"/>
        <w:jc w:val="left"/>
      </w:pPr>
      <w:bookmarkStart w:id="34" w:name="ref_OwlLabs2025"/>
      <w:r>
        <w:t xml:space="preserve">Owl Labs (2025) State of Hybrid Work 2025: United Kingdom. Boston, MA: Owl Labs. Available at: </w:t>
      </w:r>
      <w:hyperlink r:id="rId123" w:tooltip="https://owllabs.co.uk/state-of-hybrid-work/2025">
        <w:r w:rsidR="002B63F6">
          <w:rPr>
            <w:color w:val="1F4E79"/>
            <w:u w:val="single"/>
          </w:rPr>
          <w:t>https://owllabs.co.uk/state-of-hybrid-work/2025</w:t>
        </w:r>
      </w:hyperlink>
      <w:r>
        <w:t xml:space="preserve"> (Accessed: 26 August 2026).</w:t>
      </w:r>
      <w:bookmarkEnd w:id="34"/>
    </w:p>
    <w:p w14:paraId="38E535CC" w14:textId="77777777" w:rsidR="002B63F6" w:rsidRDefault="00000000">
      <w:pPr>
        <w:ind w:left="720" w:hanging="720"/>
        <w:jc w:val="left"/>
      </w:pPr>
      <w:bookmarkStart w:id="35" w:name="ref_Pendell2025"/>
      <w:r>
        <w:t xml:space="preserve">Pendell, R. (2025) ‘The remote work paradox: higher engagement, lower wellbeing’, Gallup, 7 May. Available at: </w:t>
      </w:r>
      <w:hyperlink r:id="rId124" w:tooltip="https://www.gallup.com/workplace/660236/remote-work-paradox-engaged-distressed.aspx">
        <w:r w:rsidR="002B63F6">
          <w:rPr>
            <w:color w:val="1F4E79"/>
            <w:u w:val="single"/>
          </w:rPr>
          <w:t>https://www.gallup.com/workplace/660236/remote-work-paradox-engaged-distressed.aspx</w:t>
        </w:r>
      </w:hyperlink>
      <w:r>
        <w:t xml:space="preserve"> (Accessed: 26 August 2026).</w:t>
      </w:r>
      <w:bookmarkEnd w:id="35"/>
    </w:p>
    <w:p w14:paraId="4C4DA3F5" w14:textId="77777777" w:rsidR="002B63F6" w:rsidRDefault="00000000">
      <w:pPr>
        <w:ind w:left="720" w:hanging="720"/>
        <w:jc w:val="left"/>
      </w:pPr>
      <w:bookmarkStart w:id="36" w:name="ref_Popenici2017"/>
      <w:proofErr w:type="spellStart"/>
      <w:r>
        <w:t>Popenici</w:t>
      </w:r>
      <w:proofErr w:type="spellEnd"/>
      <w:r>
        <w:t xml:space="preserve">, S.A.D. and Kerr, S. (2017) ‘Exploring the impact of artificial intelligence on teaching and learning in higher education’, Research and Practice in Technology Enhanced Learning, 12(1), article 22. Available at: </w:t>
      </w:r>
      <w:hyperlink r:id="rId125" w:tooltip="https://doi.org/10.1186/s41039-017-0062-8">
        <w:r w:rsidR="002B63F6">
          <w:rPr>
            <w:color w:val="1F4E79"/>
            <w:u w:val="single"/>
          </w:rPr>
          <w:t>https://doi.org/10.1186/s41039-017-0062-8</w:t>
        </w:r>
      </w:hyperlink>
      <w:r>
        <w:t xml:space="preserve"> (Accessed: 26 August 2026).</w:t>
      </w:r>
      <w:bookmarkEnd w:id="36"/>
    </w:p>
    <w:p w14:paraId="5997C778" w14:textId="77777777" w:rsidR="002B63F6" w:rsidRDefault="00000000">
      <w:pPr>
        <w:ind w:left="720" w:hanging="720"/>
        <w:jc w:val="left"/>
      </w:pPr>
      <w:bookmarkStart w:id="37" w:name="ref_Prensky2001"/>
      <w:r>
        <w:t xml:space="preserve">Prensky, M. (2001) ‘Digital natives, digital immigrants, part 1’, On the Horizon, 9(5), pp. 1-6. Available at: </w:t>
      </w:r>
      <w:hyperlink r:id="rId126" w:tooltip="https://doi.org/10.1108/10748120110424816">
        <w:r w:rsidR="002B63F6">
          <w:rPr>
            <w:color w:val="1F4E79"/>
            <w:u w:val="single"/>
          </w:rPr>
          <w:t>https://doi.org/10.1108/10748120110424816</w:t>
        </w:r>
      </w:hyperlink>
      <w:r>
        <w:t xml:space="preserve"> (Accessed: 26 August 2026).</w:t>
      </w:r>
      <w:bookmarkEnd w:id="37"/>
    </w:p>
    <w:p w14:paraId="2ECC1BCA" w14:textId="77777777" w:rsidR="002B63F6" w:rsidRDefault="00000000">
      <w:pPr>
        <w:ind w:left="720" w:hanging="720"/>
        <w:jc w:val="left"/>
      </w:pPr>
      <w:bookmarkStart w:id="38" w:name="ref_PwC2025a"/>
      <w:r>
        <w:lastRenderedPageBreak/>
        <w:t xml:space="preserve">PwC (2025a) Global Workforce Hopes and Fears Survey 2025. London: PricewaterhouseCoopers. Available at: </w:t>
      </w:r>
      <w:hyperlink r:id="rId127" w:tooltip="https://www.pwc.com/gx/en/issues/workforce/hopes-and-fears.html">
        <w:r w:rsidR="002B63F6">
          <w:rPr>
            <w:color w:val="1F4E79"/>
            <w:u w:val="single"/>
          </w:rPr>
          <w:t>https://www.pwc.com/gx/en/issues/workforce/hopes-and-fears.html</w:t>
        </w:r>
      </w:hyperlink>
      <w:r>
        <w:t xml:space="preserve"> (Accessed: 26 August 2026).</w:t>
      </w:r>
      <w:bookmarkEnd w:id="38"/>
    </w:p>
    <w:p w14:paraId="6752DC03" w14:textId="77777777" w:rsidR="002B63F6" w:rsidRDefault="00000000">
      <w:pPr>
        <w:ind w:left="720" w:hanging="720"/>
        <w:jc w:val="left"/>
      </w:pPr>
      <w:bookmarkStart w:id="39" w:name="ref_PwC2025b"/>
      <w:r>
        <w:t xml:space="preserve">PwC (2025b) PwC’s 2025 Responsible AI Survey: From Policy to Practice. New York: PricewaterhouseCoopers. Available at: </w:t>
      </w:r>
      <w:hyperlink r:id="rId128" w:tooltip="https://www.pwc.com/us/en/tech-effect/ai-analytics/responsible-ai-survey.html">
        <w:r w:rsidR="002B63F6">
          <w:rPr>
            <w:color w:val="1F4E79"/>
            <w:u w:val="single"/>
          </w:rPr>
          <w:t>https://www.pwc.com/us/en/tech-effect/ai-analytics/responsible-ai-survey.html</w:t>
        </w:r>
      </w:hyperlink>
      <w:r>
        <w:t xml:space="preserve"> (Accessed: 26 August 2026).</w:t>
      </w:r>
      <w:bookmarkEnd w:id="39"/>
    </w:p>
    <w:p w14:paraId="70CF51CD" w14:textId="77777777" w:rsidR="002B63F6" w:rsidRDefault="00000000">
      <w:pPr>
        <w:ind w:left="720" w:hanging="720"/>
        <w:jc w:val="left"/>
      </w:pPr>
      <w:bookmarkStart w:id="40" w:name="ref_Rogers1962"/>
      <w:r>
        <w:t>Rogers, E.M. (1962) Diffusion of Innovations. New York: Free Press.</w:t>
      </w:r>
      <w:bookmarkEnd w:id="40"/>
    </w:p>
    <w:p w14:paraId="5C822932" w14:textId="77777777" w:rsidR="002B63F6" w:rsidRDefault="00000000">
      <w:pPr>
        <w:ind w:left="720" w:hanging="720"/>
        <w:jc w:val="left"/>
      </w:pPr>
      <w:bookmarkStart w:id="41" w:name="ref_Ryan2017"/>
      <w:r>
        <w:t>Ryan, R.M. and Deci, E.L. (2017) Self-Determination Theory: Basic Psychological Needs in Motivation, Development, and Wellness. New York: Guilford Press.</w:t>
      </w:r>
      <w:bookmarkEnd w:id="41"/>
    </w:p>
    <w:p w14:paraId="08734998" w14:textId="77777777" w:rsidR="002B63F6" w:rsidRDefault="00000000">
      <w:pPr>
        <w:ind w:left="720" w:hanging="720"/>
        <w:jc w:val="left"/>
      </w:pPr>
      <w:bookmarkStart w:id="42" w:name="ref_Stephenson2026"/>
      <w:r>
        <w:t xml:space="preserve">Stephenson, R. and Armstrong, C. (2026) Student Generative Artificial Intelligence Survey 2026. HEPI Report 199. Oxford: Higher Education Policy Institute. Available at: </w:t>
      </w:r>
      <w:hyperlink r:id="rId129" w:tooltip="https://www.hepi.ac.uk/reports/student-generative-ai-survey-2026/">
        <w:r w:rsidR="002B63F6">
          <w:rPr>
            <w:color w:val="1F4E79"/>
            <w:u w:val="single"/>
          </w:rPr>
          <w:t>https://www.hepi.ac.uk/reports/student-generative-ai-survey-2026/</w:t>
        </w:r>
      </w:hyperlink>
      <w:r>
        <w:t xml:space="preserve"> (Accessed: 26 August 2026).</w:t>
      </w:r>
      <w:bookmarkEnd w:id="42"/>
    </w:p>
    <w:p w14:paraId="49DB0B4F" w14:textId="77777777" w:rsidR="002B63F6" w:rsidRDefault="00000000">
      <w:pPr>
        <w:ind w:left="720" w:hanging="720"/>
        <w:jc w:val="left"/>
      </w:pPr>
      <w:bookmarkStart w:id="43" w:name="ref_TalentLMS2024"/>
      <w:proofErr w:type="spellStart"/>
      <w:r>
        <w:t>TalentLMS</w:t>
      </w:r>
      <w:proofErr w:type="spellEnd"/>
      <w:r>
        <w:t xml:space="preserve"> (2024) Gen Z and AI: Research on Workplace Skills. Athens: </w:t>
      </w:r>
      <w:proofErr w:type="spellStart"/>
      <w:r>
        <w:t>TalentLMS</w:t>
      </w:r>
      <w:proofErr w:type="spellEnd"/>
      <w:r>
        <w:t>/</w:t>
      </w:r>
      <w:proofErr w:type="spellStart"/>
      <w:r>
        <w:t>Epignosis</w:t>
      </w:r>
      <w:proofErr w:type="spellEnd"/>
      <w:r>
        <w:t xml:space="preserve">. Available at: </w:t>
      </w:r>
      <w:hyperlink r:id="rId130" w:tooltip="https://www.talentlms.com/research/ai-impact-gen-z-work-skills">
        <w:r w:rsidR="002B63F6">
          <w:rPr>
            <w:color w:val="1F4E79"/>
            <w:u w:val="single"/>
          </w:rPr>
          <w:t>https://www.talentlms.com/research/ai-impact-gen-z-work-skills</w:t>
        </w:r>
      </w:hyperlink>
      <w:r>
        <w:t xml:space="preserve"> (Accessed: 26 August 2026).</w:t>
      </w:r>
      <w:bookmarkEnd w:id="43"/>
    </w:p>
    <w:p w14:paraId="734DAD4A" w14:textId="77777777" w:rsidR="002B63F6" w:rsidRDefault="00000000">
      <w:pPr>
        <w:ind w:left="720" w:hanging="720"/>
        <w:jc w:val="left"/>
      </w:pPr>
      <w:bookmarkStart w:id="44" w:name="ref_Trinh2025"/>
      <w:r>
        <w:t xml:space="preserve">Trinh, N., Nguyen, M., Cao, V.Q. and Ngo, L.V. (2025) ‘The impact of generative AI and hybrid work on employee and customer experience: a comprehensive approach’, Australasian Marketing Journal, online first. Available at: </w:t>
      </w:r>
      <w:hyperlink r:id="rId131" w:tooltip="https://doi.org/10.1177/14413582251379090">
        <w:r w:rsidR="002B63F6">
          <w:rPr>
            <w:color w:val="1F4E79"/>
            <w:u w:val="single"/>
          </w:rPr>
          <w:t>https://doi.org/10.1177/14413582251379090</w:t>
        </w:r>
      </w:hyperlink>
      <w:r>
        <w:t xml:space="preserve"> (Accessed: 26 August 2026).</w:t>
      </w:r>
      <w:bookmarkEnd w:id="44"/>
    </w:p>
    <w:p w14:paraId="05FDD6B0" w14:textId="77777777" w:rsidR="002B63F6" w:rsidRDefault="00000000">
      <w:pPr>
        <w:ind w:left="720" w:hanging="720"/>
        <w:jc w:val="left"/>
      </w:pPr>
      <w:bookmarkStart w:id="45" w:name="ref_Venkatesh2000"/>
      <w:r>
        <w:t xml:space="preserve">Venkatesh, V. and Davis, F.D. (2000) ‘A theoretical extension of the technology acceptance model: four longitudinal field studies’, Management Science, 46(2), pp. 186-204. Available at: </w:t>
      </w:r>
      <w:hyperlink r:id="rId132" w:tooltip="https://doi.org/10.1287/mnsc.46.2.186.11926">
        <w:r w:rsidR="002B63F6">
          <w:rPr>
            <w:color w:val="1F4E79"/>
            <w:u w:val="single"/>
          </w:rPr>
          <w:t>https://doi.org/10.1287/mnsc.46.2.186.11926</w:t>
        </w:r>
      </w:hyperlink>
      <w:r>
        <w:t xml:space="preserve"> (Accessed: 26 August 2026).</w:t>
      </w:r>
      <w:bookmarkEnd w:id="45"/>
    </w:p>
    <w:p w14:paraId="7621D981" w14:textId="77777777" w:rsidR="002B63F6" w:rsidRDefault="00000000">
      <w:pPr>
        <w:ind w:left="720" w:hanging="720"/>
        <w:jc w:val="left"/>
      </w:pPr>
      <w:bookmarkStart w:id="46" w:name="ref_Venkatesh2003"/>
      <w:r>
        <w:t xml:space="preserve">Venkatesh, V., Morris, M.G., Davis, G.B. and Davis, F.D. (2003) ‘User acceptance of information technology: toward a unified view’, MIS Quarterly, 27(3), pp. 425-478. Available at: </w:t>
      </w:r>
      <w:hyperlink r:id="rId133" w:tooltip="https://doi.org/10.2307/30036540">
        <w:r w:rsidR="002B63F6">
          <w:rPr>
            <w:color w:val="1F4E79"/>
            <w:u w:val="single"/>
          </w:rPr>
          <w:t>https://doi.org/10.2307/30036540</w:t>
        </w:r>
      </w:hyperlink>
      <w:r>
        <w:t xml:space="preserve"> (Accessed: 26 August 2026).</w:t>
      </w:r>
      <w:bookmarkEnd w:id="46"/>
    </w:p>
    <w:p w14:paraId="0BA21337" w14:textId="77777777" w:rsidR="002B63F6" w:rsidRDefault="00000000">
      <w:pPr>
        <w:ind w:left="720" w:hanging="720"/>
        <w:jc w:val="left"/>
      </w:pPr>
      <w:bookmarkStart w:id="47" w:name="ref_WaltonFamilyFoundation2026"/>
      <w:r>
        <w:lastRenderedPageBreak/>
        <w:t xml:space="preserve">Walton Family Foundation, Gallup and GSV Ventures (2026) Voices of Gen Z: The AI Paradox - More Exposure, Less Confidence Among Gen Z. Bentonville, AR: Walton Family Foundation. Available at: </w:t>
      </w:r>
      <w:hyperlink r:id="rId134" w:tooltip="https://static.waltonfamilyfoundation.org/73/0c/1a0017594d8eb3c0a667766ae914/wff-gallup-gsv-gen-z-2026-ai-report-final.pdf">
        <w:r w:rsidR="002B63F6">
          <w:rPr>
            <w:color w:val="1F4E79"/>
            <w:u w:val="single"/>
          </w:rPr>
          <w:t>https://static.waltonfamilyfoundation.org/73/0c/1a0017594d8eb3c0a667766ae914/wff-gallup-gsv-gen-z-2026-ai-report-final.pdf</w:t>
        </w:r>
      </w:hyperlink>
      <w:r>
        <w:t xml:space="preserve"> (Accessed: 26 August 2026).</w:t>
      </w:r>
      <w:bookmarkEnd w:id="47"/>
    </w:p>
    <w:p w14:paraId="63C7E771" w14:textId="77777777" w:rsidR="002B63F6" w:rsidRDefault="00000000">
      <w:pPr>
        <w:pStyle w:val="Heading1"/>
        <w:pageBreakBefore/>
      </w:pPr>
      <w:r>
        <w:lastRenderedPageBreak/>
        <w:t>Appendix A: Survey Instrument</w:t>
      </w:r>
    </w:p>
    <w:p w14:paraId="0706B850" w14:textId="77777777" w:rsidR="002B63F6" w:rsidRDefault="00000000">
      <w:pPr>
        <w:spacing w:before="200" w:after="80"/>
      </w:pPr>
      <w:r>
        <w:rPr>
          <w:b/>
          <w:sz w:val="22"/>
        </w:rPr>
        <w:t>Section 1: Respondent Background</w:t>
      </w:r>
    </w:p>
    <w:p w14:paraId="27D99BDF" w14:textId="77777777" w:rsidR="002B63F6" w:rsidRDefault="00000000">
      <w:pPr>
        <w:spacing w:after="80"/>
      </w:pPr>
      <w:r>
        <w:rPr>
          <w:sz w:val="22"/>
        </w:rPr>
        <w:t>A1. What is your current level of study? (Postgraduate Taught (Masters) / Postgraduate Research (PhD) / Postgraduate Research (</w:t>
      </w:r>
      <w:proofErr w:type="spellStart"/>
      <w:r>
        <w:rPr>
          <w:sz w:val="22"/>
        </w:rPr>
        <w:t>MRes</w:t>
      </w:r>
      <w:proofErr w:type="spellEnd"/>
      <w:r>
        <w:rPr>
          <w:sz w:val="22"/>
        </w:rPr>
        <w:t>) / Undergraduate (Year 3 / Final year) / Other)</w:t>
      </w:r>
    </w:p>
    <w:p w14:paraId="623D8670" w14:textId="77777777" w:rsidR="002B63F6" w:rsidRDefault="00000000">
      <w:pPr>
        <w:spacing w:after="80"/>
      </w:pPr>
      <w:r>
        <w:rPr>
          <w:sz w:val="22"/>
        </w:rPr>
        <w:t>A2. What is your main field of study? (Business / Management; Human Resource Management; Marketing / Finance / Accounting; Other business-related; Non-business field)</w:t>
      </w:r>
    </w:p>
    <w:p w14:paraId="6D5B5B04" w14:textId="77777777" w:rsidR="002B63F6" w:rsidRDefault="00000000">
      <w:pPr>
        <w:spacing w:after="80"/>
      </w:pPr>
      <w:r>
        <w:rPr>
          <w:sz w:val="22"/>
        </w:rPr>
        <w:t>A3. What is your age group? (18–21 / 22–25 / 26–30 / 31–40 / 41 or above)</w:t>
      </w:r>
    </w:p>
    <w:p w14:paraId="64BF8A9B" w14:textId="77777777" w:rsidR="002B63F6" w:rsidRDefault="00000000">
      <w:pPr>
        <w:spacing w:after="80"/>
      </w:pPr>
      <w:r>
        <w:rPr>
          <w:sz w:val="22"/>
        </w:rPr>
        <w:t>A4. Have you had any experience of hybrid or remote working? (Yes, currently in a hybrid role / Yes, previously in a hybrid or remote role / No experience / Prefer not to say)</w:t>
      </w:r>
    </w:p>
    <w:p w14:paraId="23355AB7" w14:textId="77777777" w:rsidR="002B63F6" w:rsidRDefault="00000000">
      <w:r>
        <w:rPr>
          <w:i/>
          <w:sz w:val="20"/>
        </w:rPr>
        <w:t>Note: the 18–21 and 22–25 bands returned three responses in total and are reported as a single 18–25 category in Table 4.1. No other response categories were collapsed.</w:t>
      </w:r>
    </w:p>
    <w:p w14:paraId="50E5E25D" w14:textId="77777777" w:rsidR="002B63F6" w:rsidRDefault="00000000">
      <w:pPr>
        <w:spacing w:before="200" w:after="80"/>
      </w:pPr>
      <w:r>
        <w:rPr>
          <w:b/>
          <w:sz w:val="22"/>
        </w:rPr>
        <w:t>Section 2: Generative AI Usage</w:t>
      </w:r>
    </w:p>
    <w:p w14:paraId="1E29F95B" w14:textId="77777777" w:rsidR="002B63F6" w:rsidRDefault="00000000">
      <w:pPr>
        <w:spacing w:after="80"/>
      </w:pPr>
      <w:r>
        <w:rPr>
          <w:sz w:val="22"/>
        </w:rPr>
        <w:t>A5. Which generative AI tools have you ever used? (Select all that apply: ChatGPT / Claude / Google Gemini / Microsoft Copilot / Perplexity / Other)</w:t>
      </w:r>
    </w:p>
    <w:p w14:paraId="4B4FDD4B" w14:textId="77777777" w:rsidR="002B63F6" w:rsidRDefault="00000000">
      <w:pPr>
        <w:spacing w:after="80"/>
      </w:pPr>
      <w:r>
        <w:rPr>
          <w:sz w:val="22"/>
        </w:rPr>
        <w:t>A6. How frequently do you use generative AI tools? (Daily / Several times a week / Once a week / A few times a month / Rarely)</w:t>
      </w:r>
    </w:p>
    <w:p w14:paraId="51E959CA" w14:textId="77777777" w:rsidR="002B63F6" w:rsidRDefault="00000000">
      <w:pPr>
        <w:spacing w:after="80"/>
      </w:pPr>
      <w:r>
        <w:rPr>
          <w:sz w:val="22"/>
        </w:rPr>
        <w:t>A7. For what main purposes do you use generative AI? (Select all that apply: Summarising reading materials / Drafting or editing written work / Generating ideas or structuring assignments / Explaining complex concepts / Job applications or CV preparation / Personal productivity / Other)</w:t>
      </w:r>
    </w:p>
    <w:p w14:paraId="00268888" w14:textId="77777777" w:rsidR="002B63F6" w:rsidRDefault="00000000">
      <w:pPr>
        <w:spacing w:before="200" w:after="80"/>
      </w:pPr>
      <w:r>
        <w:rPr>
          <w:b/>
          <w:sz w:val="22"/>
        </w:rPr>
        <w:t>Section 3: Perceptual Items (five-point scale: 1 = Strongly Disagree to 5 = Strongly Agree)</w:t>
      </w:r>
    </w:p>
    <w:p w14:paraId="61507D54" w14:textId="77777777" w:rsidR="002B63F6" w:rsidRDefault="00000000">
      <w:pPr>
        <w:spacing w:after="80"/>
      </w:pPr>
      <w:r>
        <w:rPr>
          <w:sz w:val="22"/>
        </w:rPr>
        <w:t>V1. How familiar or confident are you with using generative AI tools?</w:t>
      </w:r>
    </w:p>
    <w:p w14:paraId="67E4FAFF" w14:textId="77777777" w:rsidR="002B63F6" w:rsidRDefault="00000000">
      <w:pPr>
        <w:spacing w:after="80"/>
      </w:pPr>
      <w:r>
        <w:rPr>
          <w:sz w:val="22"/>
        </w:rPr>
        <w:t>V2. Generative AI can help leaders communicate more effectively with hybrid teams.</w:t>
      </w:r>
    </w:p>
    <w:p w14:paraId="567DFE0C" w14:textId="77777777" w:rsidR="002B63F6" w:rsidRDefault="00000000">
      <w:pPr>
        <w:spacing w:after="80"/>
      </w:pPr>
      <w:r>
        <w:rPr>
          <w:sz w:val="22"/>
        </w:rPr>
        <w:t>V3. Generative AI can improve a leader’s ability to motivate remote team members.</w:t>
      </w:r>
    </w:p>
    <w:p w14:paraId="3A880467" w14:textId="77777777" w:rsidR="002B63F6" w:rsidRDefault="00000000">
      <w:pPr>
        <w:spacing w:after="80"/>
      </w:pPr>
      <w:r>
        <w:rPr>
          <w:sz w:val="22"/>
        </w:rPr>
        <w:t>V4. Generative AI can support personalised feedback in hybrid settings.</w:t>
      </w:r>
    </w:p>
    <w:p w14:paraId="0F1DA86E" w14:textId="77777777" w:rsidR="002B63F6" w:rsidRDefault="00000000">
      <w:pPr>
        <w:spacing w:after="80"/>
      </w:pPr>
      <w:r>
        <w:rPr>
          <w:sz w:val="22"/>
        </w:rPr>
        <w:t>V5. Over-reliance on AI by leaders may reduce authentic human connections in teams.</w:t>
      </w:r>
    </w:p>
    <w:p w14:paraId="7FD34299" w14:textId="77777777" w:rsidR="002B63F6" w:rsidRDefault="00000000">
      <w:pPr>
        <w:spacing w:after="80"/>
      </w:pPr>
      <w:r>
        <w:rPr>
          <w:sz w:val="22"/>
        </w:rPr>
        <w:t>V6. Generative AI risks reducing trust between leaders and team members.</w:t>
      </w:r>
    </w:p>
    <w:p w14:paraId="66AEE216" w14:textId="77777777" w:rsidR="002B63F6" w:rsidRDefault="00000000">
      <w:pPr>
        <w:spacing w:after="80"/>
      </w:pPr>
      <w:r>
        <w:rPr>
          <w:sz w:val="22"/>
        </w:rPr>
        <w:t>V7. Generative AI could help reduce digital burnout for hybrid leaders.</w:t>
      </w:r>
    </w:p>
    <w:p w14:paraId="5E246598" w14:textId="77777777" w:rsidR="002B63F6" w:rsidRDefault="00000000">
      <w:pPr>
        <w:spacing w:after="80"/>
      </w:pPr>
      <w:r>
        <w:rPr>
          <w:sz w:val="22"/>
        </w:rPr>
        <w:t>V8. Human leadership skills (e.g. emotional intelligence) will remain more important than AI.</w:t>
      </w:r>
    </w:p>
    <w:p w14:paraId="355A5EDF" w14:textId="77777777" w:rsidR="002B63F6" w:rsidRDefault="00000000">
      <w:pPr>
        <w:spacing w:after="80"/>
      </w:pPr>
      <w:r>
        <w:rPr>
          <w:sz w:val="22"/>
        </w:rPr>
        <w:t>V9. Overall, generative AI is more likely to help than harm employee engagement in hybrid workplaces.</w:t>
      </w:r>
    </w:p>
    <w:p w14:paraId="66F66501" w14:textId="77777777" w:rsidR="002B63F6" w:rsidRDefault="00000000">
      <w:pPr>
        <w:spacing w:before="200" w:after="80"/>
      </w:pPr>
      <w:r>
        <w:rPr>
          <w:b/>
          <w:sz w:val="22"/>
        </w:rPr>
        <w:lastRenderedPageBreak/>
        <w:t>Section 4: Open-Ended Prompts</w:t>
      </w:r>
    </w:p>
    <w:p w14:paraId="158DC8F5" w14:textId="77777777" w:rsidR="002B63F6" w:rsidRDefault="00000000">
      <w:pPr>
        <w:spacing w:after="80"/>
      </w:pPr>
      <w:r>
        <w:rPr>
          <w:sz w:val="22"/>
        </w:rPr>
        <w:t>Q1. What do you see as the main benefits of using generative AI in hybrid leadership and team engagement?</w:t>
      </w:r>
    </w:p>
    <w:p w14:paraId="7B632090" w14:textId="77777777" w:rsidR="002B63F6" w:rsidRDefault="00000000">
      <w:pPr>
        <w:spacing w:after="80"/>
      </w:pPr>
      <w:r>
        <w:rPr>
          <w:sz w:val="22"/>
        </w:rPr>
        <w:t>Q2. What are your main concerns or potential risks of leaders using generative AI in hybrid settings?</w:t>
      </w:r>
    </w:p>
    <w:p w14:paraId="24E5320B" w14:textId="77777777" w:rsidR="002B63F6" w:rsidRDefault="00000000">
      <w:pPr>
        <w:spacing w:after="80"/>
      </w:pPr>
      <w:r>
        <w:rPr>
          <w:sz w:val="22"/>
        </w:rPr>
        <w:t>Q3. What recommendations would you give to future leaders or organisations about the responsible use of generative AI in hybrid work?</w:t>
      </w:r>
    </w:p>
    <w:p w14:paraId="07BDA20C" w14:textId="77777777" w:rsidR="002B63F6" w:rsidRDefault="00000000">
      <w:pPr>
        <w:spacing w:after="80"/>
      </w:pPr>
      <w:r>
        <w:rPr>
          <w:sz w:val="22"/>
        </w:rPr>
        <w:t>Q4. Is there anything else you would like to add? (Optional)</w:t>
      </w:r>
    </w:p>
    <w:p w14:paraId="10FE55DE" w14:textId="77777777" w:rsidR="002B63F6" w:rsidRDefault="00000000">
      <w:pPr>
        <w:pStyle w:val="Heading1"/>
        <w:pageBreakBefore/>
      </w:pPr>
      <w:r>
        <w:lastRenderedPageBreak/>
        <w:t>Appendix B: Thematic Coding Framework</w:t>
      </w:r>
    </w:p>
    <w:p w14:paraId="0830DF46" w14:textId="77777777" w:rsidR="002B63F6" w:rsidRDefault="00000000">
      <w:r>
        <w:t>The table below sets out the coding structure applied during the reflexive thematic analysis described in Section 3.6. Deductive codes were derived from the Technology Acceptance Model and Self-Determination Theory; inductive codes, marked accordingly, were constructed from the data where the a priori frame did not accommodate the material. The final column reports the number of respondents whose free-text answer was coded to each category, out of the number who answered that prompt.</w:t>
      </w:r>
    </w:p>
    <w:tbl>
      <w:tblPr>
        <w:tblStyle w:val="TableGrid"/>
        <w:tblW w:w="0" w:type="auto"/>
        <w:jc w:val="center"/>
        <w:tblLook w:val="04A0" w:firstRow="1" w:lastRow="0" w:firstColumn="1" w:lastColumn="0" w:noHBand="0" w:noVBand="1"/>
      </w:tblPr>
      <w:tblGrid>
        <w:gridCol w:w="1700"/>
        <w:gridCol w:w="1698"/>
        <w:gridCol w:w="1700"/>
        <w:gridCol w:w="1700"/>
        <w:gridCol w:w="1697"/>
      </w:tblGrid>
      <w:tr w:rsidR="002B63F6" w14:paraId="6347C909" w14:textId="77777777">
        <w:trPr>
          <w:tblHeader/>
          <w:jc w:val="center"/>
        </w:trPr>
        <w:tc>
          <w:tcPr>
            <w:tcW w:w="1701" w:type="dxa"/>
            <w:shd w:val="clear" w:color="auto" w:fill="DCDCDC"/>
          </w:tcPr>
          <w:p w14:paraId="55F227B1" w14:textId="77777777" w:rsidR="002B63F6" w:rsidRDefault="00000000">
            <w:pPr>
              <w:spacing w:after="20" w:line="240" w:lineRule="auto"/>
              <w:jc w:val="left"/>
            </w:pPr>
            <w:r>
              <w:rPr>
                <w:b/>
                <w:sz w:val="18"/>
              </w:rPr>
              <w:t>Initial Code</w:t>
            </w:r>
          </w:p>
        </w:tc>
        <w:tc>
          <w:tcPr>
            <w:tcW w:w="1701" w:type="dxa"/>
            <w:shd w:val="clear" w:color="auto" w:fill="DCDCDC"/>
          </w:tcPr>
          <w:p w14:paraId="45E99208" w14:textId="77777777" w:rsidR="002B63F6" w:rsidRDefault="00000000">
            <w:pPr>
              <w:spacing w:after="20" w:line="240" w:lineRule="auto"/>
              <w:jc w:val="left"/>
            </w:pPr>
            <w:r>
              <w:rPr>
                <w:b/>
                <w:sz w:val="18"/>
              </w:rPr>
              <w:t>Origin</w:t>
            </w:r>
          </w:p>
        </w:tc>
        <w:tc>
          <w:tcPr>
            <w:tcW w:w="1701" w:type="dxa"/>
            <w:shd w:val="clear" w:color="auto" w:fill="DCDCDC"/>
          </w:tcPr>
          <w:p w14:paraId="2C9429DA" w14:textId="77777777" w:rsidR="002B63F6" w:rsidRDefault="00000000">
            <w:pPr>
              <w:spacing w:after="20" w:line="240" w:lineRule="auto"/>
              <w:jc w:val="left"/>
            </w:pPr>
            <w:r>
              <w:rPr>
                <w:b/>
                <w:sz w:val="18"/>
              </w:rPr>
              <w:t>Illustrative Data Extract Type</w:t>
            </w:r>
          </w:p>
        </w:tc>
        <w:tc>
          <w:tcPr>
            <w:tcW w:w="1701" w:type="dxa"/>
            <w:shd w:val="clear" w:color="auto" w:fill="DCDCDC"/>
          </w:tcPr>
          <w:p w14:paraId="4B166E15" w14:textId="77777777" w:rsidR="002B63F6" w:rsidRDefault="00000000">
            <w:pPr>
              <w:spacing w:after="20" w:line="240" w:lineRule="auto"/>
              <w:jc w:val="left"/>
            </w:pPr>
            <w:r>
              <w:rPr>
                <w:b/>
                <w:sz w:val="18"/>
              </w:rPr>
              <w:t>Final Theme</w:t>
            </w:r>
          </w:p>
        </w:tc>
        <w:tc>
          <w:tcPr>
            <w:tcW w:w="1701" w:type="dxa"/>
            <w:shd w:val="clear" w:color="auto" w:fill="DCDCDC"/>
          </w:tcPr>
          <w:p w14:paraId="3689E5F5" w14:textId="77777777" w:rsidR="002B63F6" w:rsidRDefault="00000000">
            <w:pPr>
              <w:spacing w:after="20" w:line="240" w:lineRule="auto"/>
              <w:jc w:val="left"/>
            </w:pPr>
            <w:r>
              <w:rPr>
                <w:b/>
                <w:sz w:val="18"/>
              </w:rPr>
              <w:t>n</w:t>
            </w:r>
          </w:p>
        </w:tc>
      </w:tr>
      <w:tr w:rsidR="002B63F6" w14:paraId="2857651D" w14:textId="77777777">
        <w:trPr>
          <w:jc w:val="center"/>
        </w:trPr>
        <w:tc>
          <w:tcPr>
            <w:tcW w:w="1701" w:type="dxa"/>
          </w:tcPr>
          <w:p w14:paraId="53F840B9" w14:textId="77777777" w:rsidR="002B63F6" w:rsidRDefault="00000000">
            <w:pPr>
              <w:spacing w:after="20" w:line="240" w:lineRule="auto"/>
              <w:jc w:val="left"/>
            </w:pPr>
            <w:r>
              <w:rPr>
                <w:sz w:val="18"/>
              </w:rPr>
              <w:t>Perceived usefulness — efficiency, time, workload</w:t>
            </w:r>
          </w:p>
        </w:tc>
        <w:tc>
          <w:tcPr>
            <w:tcW w:w="1701" w:type="dxa"/>
          </w:tcPr>
          <w:p w14:paraId="75D7ECF8" w14:textId="77777777" w:rsidR="002B63F6" w:rsidRDefault="00000000">
            <w:pPr>
              <w:spacing w:after="20" w:line="240" w:lineRule="auto"/>
              <w:jc w:val="left"/>
            </w:pPr>
            <w:r>
              <w:rPr>
                <w:sz w:val="18"/>
              </w:rPr>
              <w:t>Deductive (TAM)</w:t>
            </w:r>
          </w:p>
        </w:tc>
        <w:tc>
          <w:tcPr>
            <w:tcW w:w="1701" w:type="dxa"/>
          </w:tcPr>
          <w:p w14:paraId="77AAD848" w14:textId="77777777" w:rsidR="002B63F6" w:rsidRDefault="00000000">
            <w:pPr>
              <w:spacing w:after="20" w:line="240" w:lineRule="auto"/>
              <w:jc w:val="left"/>
            </w:pPr>
            <w:r>
              <w:rPr>
                <w:sz w:val="18"/>
              </w:rPr>
              <w:t>Summarising email threads, tracking actions, reducing admin burden</w:t>
            </w:r>
          </w:p>
        </w:tc>
        <w:tc>
          <w:tcPr>
            <w:tcW w:w="1701" w:type="dxa"/>
          </w:tcPr>
          <w:p w14:paraId="70383B76" w14:textId="77777777" w:rsidR="002B63F6" w:rsidRDefault="00000000">
            <w:pPr>
              <w:spacing w:after="20" w:line="240" w:lineRule="auto"/>
              <w:jc w:val="left"/>
            </w:pPr>
            <w:r>
              <w:rPr>
                <w:sz w:val="18"/>
              </w:rPr>
              <w:t>Theme 1: Operational Efficiency and Administrative Relief</w:t>
            </w:r>
          </w:p>
        </w:tc>
        <w:tc>
          <w:tcPr>
            <w:tcW w:w="1701" w:type="dxa"/>
          </w:tcPr>
          <w:p w14:paraId="384E2111" w14:textId="77777777" w:rsidR="002B63F6" w:rsidRDefault="00000000">
            <w:pPr>
              <w:spacing w:after="20" w:line="240" w:lineRule="auto"/>
              <w:jc w:val="left"/>
            </w:pPr>
            <w:r>
              <w:rPr>
                <w:sz w:val="18"/>
              </w:rPr>
              <w:t>18/38</w:t>
            </w:r>
          </w:p>
        </w:tc>
      </w:tr>
      <w:tr w:rsidR="002B63F6" w14:paraId="3427F7F6" w14:textId="77777777">
        <w:trPr>
          <w:jc w:val="center"/>
        </w:trPr>
        <w:tc>
          <w:tcPr>
            <w:tcW w:w="1701" w:type="dxa"/>
          </w:tcPr>
          <w:p w14:paraId="3BCEDE81" w14:textId="77777777" w:rsidR="002B63F6" w:rsidRDefault="00000000">
            <w:pPr>
              <w:spacing w:after="20" w:line="240" w:lineRule="auto"/>
              <w:jc w:val="left"/>
            </w:pPr>
            <w:r>
              <w:rPr>
                <w:sz w:val="18"/>
              </w:rPr>
              <w:t>Perceived usefulness — comprehension and ideation</w:t>
            </w:r>
          </w:p>
        </w:tc>
        <w:tc>
          <w:tcPr>
            <w:tcW w:w="1701" w:type="dxa"/>
          </w:tcPr>
          <w:p w14:paraId="0A3AD3F5" w14:textId="77777777" w:rsidR="002B63F6" w:rsidRDefault="00000000">
            <w:pPr>
              <w:spacing w:after="20" w:line="240" w:lineRule="auto"/>
              <w:jc w:val="left"/>
            </w:pPr>
            <w:r>
              <w:rPr>
                <w:sz w:val="18"/>
              </w:rPr>
              <w:t>Deductive (TAM)</w:t>
            </w:r>
          </w:p>
        </w:tc>
        <w:tc>
          <w:tcPr>
            <w:tcW w:w="1701" w:type="dxa"/>
          </w:tcPr>
          <w:p w14:paraId="0DE2105C" w14:textId="77777777" w:rsidR="002B63F6" w:rsidRDefault="00000000">
            <w:pPr>
              <w:spacing w:after="20" w:line="240" w:lineRule="auto"/>
              <w:jc w:val="left"/>
            </w:pPr>
            <w:r>
              <w:rPr>
                <w:sz w:val="18"/>
              </w:rPr>
              <w:t>Explaining complex concepts, structuring or generating ideas</w:t>
            </w:r>
          </w:p>
        </w:tc>
        <w:tc>
          <w:tcPr>
            <w:tcW w:w="1701" w:type="dxa"/>
          </w:tcPr>
          <w:p w14:paraId="349A4F4C" w14:textId="77777777" w:rsidR="002B63F6" w:rsidRDefault="00000000">
            <w:pPr>
              <w:spacing w:after="20" w:line="240" w:lineRule="auto"/>
              <w:jc w:val="left"/>
            </w:pPr>
            <w:r>
              <w:rPr>
                <w:sz w:val="18"/>
              </w:rPr>
              <w:t>Theme 1: Operational Efficiency and Administrative Relief</w:t>
            </w:r>
          </w:p>
        </w:tc>
        <w:tc>
          <w:tcPr>
            <w:tcW w:w="1701" w:type="dxa"/>
          </w:tcPr>
          <w:p w14:paraId="1EE0E117" w14:textId="77777777" w:rsidR="002B63F6" w:rsidRDefault="00000000">
            <w:pPr>
              <w:spacing w:after="20" w:line="240" w:lineRule="auto"/>
              <w:jc w:val="left"/>
            </w:pPr>
            <w:r>
              <w:rPr>
                <w:sz w:val="18"/>
              </w:rPr>
              <w:t>14/38</w:t>
            </w:r>
          </w:p>
        </w:tc>
      </w:tr>
      <w:tr w:rsidR="002B63F6" w14:paraId="58D63ACE" w14:textId="77777777">
        <w:trPr>
          <w:jc w:val="center"/>
        </w:trPr>
        <w:tc>
          <w:tcPr>
            <w:tcW w:w="1701" w:type="dxa"/>
          </w:tcPr>
          <w:p w14:paraId="7C607294" w14:textId="77777777" w:rsidR="002B63F6" w:rsidRDefault="00000000">
            <w:pPr>
              <w:spacing w:after="20" w:line="240" w:lineRule="auto"/>
              <w:jc w:val="left"/>
            </w:pPr>
            <w:r>
              <w:rPr>
                <w:sz w:val="18"/>
              </w:rPr>
              <w:t>Perceived usefulness — communication</w:t>
            </w:r>
          </w:p>
        </w:tc>
        <w:tc>
          <w:tcPr>
            <w:tcW w:w="1701" w:type="dxa"/>
          </w:tcPr>
          <w:p w14:paraId="1B188C48" w14:textId="77777777" w:rsidR="002B63F6" w:rsidRDefault="00000000">
            <w:pPr>
              <w:spacing w:after="20" w:line="240" w:lineRule="auto"/>
              <w:jc w:val="left"/>
            </w:pPr>
            <w:r>
              <w:rPr>
                <w:sz w:val="18"/>
              </w:rPr>
              <w:t>Deductive (TAM)</w:t>
            </w:r>
          </w:p>
        </w:tc>
        <w:tc>
          <w:tcPr>
            <w:tcW w:w="1701" w:type="dxa"/>
          </w:tcPr>
          <w:p w14:paraId="17CA6B05" w14:textId="77777777" w:rsidR="002B63F6" w:rsidRDefault="00000000">
            <w:pPr>
              <w:spacing w:after="20" w:line="240" w:lineRule="auto"/>
              <w:jc w:val="left"/>
            </w:pPr>
            <w:r>
              <w:rPr>
                <w:sz w:val="18"/>
              </w:rPr>
              <w:t>Organising drafts, simplifying and translating content</w:t>
            </w:r>
          </w:p>
        </w:tc>
        <w:tc>
          <w:tcPr>
            <w:tcW w:w="1701" w:type="dxa"/>
          </w:tcPr>
          <w:p w14:paraId="4B784F85" w14:textId="77777777" w:rsidR="002B63F6" w:rsidRDefault="00000000">
            <w:pPr>
              <w:spacing w:after="20" w:line="240" w:lineRule="auto"/>
              <w:jc w:val="left"/>
            </w:pPr>
            <w:r>
              <w:rPr>
                <w:sz w:val="18"/>
              </w:rPr>
              <w:t>Theme 1: Operational Efficiency and Administrative Relief</w:t>
            </w:r>
          </w:p>
        </w:tc>
        <w:tc>
          <w:tcPr>
            <w:tcW w:w="1701" w:type="dxa"/>
          </w:tcPr>
          <w:p w14:paraId="618F7DB4" w14:textId="77777777" w:rsidR="002B63F6" w:rsidRDefault="00000000">
            <w:pPr>
              <w:spacing w:after="20" w:line="240" w:lineRule="auto"/>
              <w:jc w:val="left"/>
            </w:pPr>
            <w:r>
              <w:rPr>
                <w:sz w:val="18"/>
              </w:rPr>
              <w:t>12/38</w:t>
            </w:r>
          </w:p>
        </w:tc>
      </w:tr>
      <w:tr w:rsidR="002B63F6" w14:paraId="15CB9713" w14:textId="77777777">
        <w:trPr>
          <w:jc w:val="center"/>
        </w:trPr>
        <w:tc>
          <w:tcPr>
            <w:tcW w:w="1701" w:type="dxa"/>
          </w:tcPr>
          <w:p w14:paraId="2D9AD790" w14:textId="77777777" w:rsidR="002B63F6" w:rsidRDefault="00000000">
            <w:pPr>
              <w:spacing w:after="20" w:line="240" w:lineRule="auto"/>
              <w:jc w:val="left"/>
            </w:pPr>
            <w:r>
              <w:rPr>
                <w:sz w:val="18"/>
              </w:rPr>
              <w:t>Competence support at scale</w:t>
            </w:r>
          </w:p>
        </w:tc>
        <w:tc>
          <w:tcPr>
            <w:tcW w:w="1701" w:type="dxa"/>
          </w:tcPr>
          <w:p w14:paraId="284C8A47" w14:textId="77777777" w:rsidR="002B63F6" w:rsidRDefault="00000000">
            <w:pPr>
              <w:spacing w:after="20" w:line="240" w:lineRule="auto"/>
              <w:jc w:val="left"/>
            </w:pPr>
            <w:r>
              <w:rPr>
                <w:sz w:val="18"/>
              </w:rPr>
              <w:t>Deductive (SDT)</w:t>
            </w:r>
          </w:p>
        </w:tc>
        <w:tc>
          <w:tcPr>
            <w:tcW w:w="1701" w:type="dxa"/>
          </w:tcPr>
          <w:p w14:paraId="1B618CE7" w14:textId="77777777" w:rsidR="002B63F6" w:rsidRDefault="00000000">
            <w:pPr>
              <w:spacing w:after="20" w:line="240" w:lineRule="auto"/>
              <w:jc w:val="left"/>
            </w:pPr>
            <w:r>
              <w:rPr>
                <w:sz w:val="18"/>
              </w:rPr>
              <w:t>Personalised engagement, tailored agendas and feedback</w:t>
            </w:r>
          </w:p>
        </w:tc>
        <w:tc>
          <w:tcPr>
            <w:tcW w:w="1701" w:type="dxa"/>
          </w:tcPr>
          <w:p w14:paraId="08673BDC" w14:textId="77777777" w:rsidR="002B63F6" w:rsidRDefault="00000000">
            <w:pPr>
              <w:spacing w:after="20" w:line="240" w:lineRule="auto"/>
              <w:jc w:val="left"/>
            </w:pPr>
            <w:r>
              <w:rPr>
                <w:sz w:val="18"/>
              </w:rPr>
              <w:t>Theme 1: Operational Efficiency and Administrative Relief</w:t>
            </w:r>
          </w:p>
        </w:tc>
        <w:tc>
          <w:tcPr>
            <w:tcW w:w="1701" w:type="dxa"/>
          </w:tcPr>
          <w:p w14:paraId="7B701466" w14:textId="77777777" w:rsidR="002B63F6" w:rsidRDefault="00000000">
            <w:pPr>
              <w:spacing w:after="20" w:line="240" w:lineRule="auto"/>
              <w:jc w:val="left"/>
            </w:pPr>
            <w:r>
              <w:rPr>
                <w:sz w:val="18"/>
              </w:rPr>
              <w:t>10/38</w:t>
            </w:r>
          </w:p>
        </w:tc>
      </w:tr>
      <w:tr w:rsidR="002B63F6" w14:paraId="372E4DBD" w14:textId="77777777">
        <w:trPr>
          <w:jc w:val="center"/>
        </w:trPr>
        <w:tc>
          <w:tcPr>
            <w:tcW w:w="1701" w:type="dxa"/>
          </w:tcPr>
          <w:p w14:paraId="3E6F7DDB" w14:textId="77777777" w:rsidR="002B63F6" w:rsidRDefault="00000000">
            <w:pPr>
              <w:spacing w:after="20" w:line="240" w:lineRule="auto"/>
              <w:jc w:val="left"/>
            </w:pPr>
            <w:r>
              <w:rPr>
                <w:sz w:val="18"/>
              </w:rPr>
              <w:t>Over-reliance and dependence</w:t>
            </w:r>
          </w:p>
        </w:tc>
        <w:tc>
          <w:tcPr>
            <w:tcW w:w="1701" w:type="dxa"/>
          </w:tcPr>
          <w:p w14:paraId="563C1F1D" w14:textId="77777777" w:rsidR="002B63F6" w:rsidRDefault="00000000">
            <w:pPr>
              <w:spacing w:after="20" w:line="240" w:lineRule="auto"/>
              <w:jc w:val="left"/>
            </w:pPr>
            <w:r>
              <w:rPr>
                <w:sz w:val="18"/>
              </w:rPr>
              <w:t>Inductive</w:t>
            </w:r>
          </w:p>
        </w:tc>
        <w:tc>
          <w:tcPr>
            <w:tcW w:w="1701" w:type="dxa"/>
          </w:tcPr>
          <w:p w14:paraId="5B826C3B" w14:textId="77777777" w:rsidR="002B63F6" w:rsidRDefault="00000000">
            <w:pPr>
              <w:spacing w:after="20" w:line="240" w:lineRule="auto"/>
              <w:jc w:val="left"/>
            </w:pPr>
            <w:r>
              <w:rPr>
                <w:sz w:val="18"/>
              </w:rPr>
              <w:t>Warnings against outsourcing thinking, planning or judgement</w:t>
            </w:r>
          </w:p>
        </w:tc>
        <w:tc>
          <w:tcPr>
            <w:tcW w:w="1701" w:type="dxa"/>
          </w:tcPr>
          <w:p w14:paraId="357F0553" w14:textId="77777777" w:rsidR="002B63F6" w:rsidRDefault="00000000">
            <w:pPr>
              <w:spacing w:after="20" w:line="240" w:lineRule="auto"/>
              <w:jc w:val="left"/>
            </w:pPr>
            <w:r>
              <w:rPr>
                <w:sz w:val="18"/>
              </w:rPr>
              <w:t>Theme 2: The Relatedness Deficit and Authentic Connection</w:t>
            </w:r>
          </w:p>
        </w:tc>
        <w:tc>
          <w:tcPr>
            <w:tcW w:w="1701" w:type="dxa"/>
          </w:tcPr>
          <w:p w14:paraId="64FC1E96" w14:textId="77777777" w:rsidR="002B63F6" w:rsidRDefault="00000000">
            <w:pPr>
              <w:spacing w:after="20" w:line="240" w:lineRule="auto"/>
              <w:jc w:val="left"/>
            </w:pPr>
            <w:r>
              <w:rPr>
                <w:sz w:val="18"/>
              </w:rPr>
              <w:t>13/39</w:t>
            </w:r>
          </w:p>
        </w:tc>
      </w:tr>
      <w:tr w:rsidR="002B63F6" w14:paraId="2EE8F24B" w14:textId="77777777">
        <w:trPr>
          <w:jc w:val="center"/>
        </w:trPr>
        <w:tc>
          <w:tcPr>
            <w:tcW w:w="1701" w:type="dxa"/>
          </w:tcPr>
          <w:p w14:paraId="06691F0F" w14:textId="77777777" w:rsidR="002B63F6" w:rsidRDefault="00000000">
            <w:pPr>
              <w:spacing w:after="20" w:line="240" w:lineRule="auto"/>
              <w:jc w:val="left"/>
            </w:pPr>
            <w:r>
              <w:rPr>
                <w:sz w:val="18"/>
              </w:rPr>
              <w:t>Relatedness — connection and authenticity risk</w:t>
            </w:r>
          </w:p>
        </w:tc>
        <w:tc>
          <w:tcPr>
            <w:tcW w:w="1701" w:type="dxa"/>
          </w:tcPr>
          <w:p w14:paraId="09D93C4C" w14:textId="77777777" w:rsidR="002B63F6" w:rsidRDefault="00000000">
            <w:pPr>
              <w:spacing w:after="20" w:line="240" w:lineRule="auto"/>
              <w:jc w:val="left"/>
            </w:pPr>
            <w:r>
              <w:rPr>
                <w:sz w:val="18"/>
              </w:rPr>
              <w:t>Deductive (SDT)</w:t>
            </w:r>
          </w:p>
        </w:tc>
        <w:tc>
          <w:tcPr>
            <w:tcW w:w="1701" w:type="dxa"/>
          </w:tcPr>
          <w:p w14:paraId="6DEAEBC6" w14:textId="77777777" w:rsidR="002B63F6" w:rsidRDefault="00000000">
            <w:pPr>
              <w:spacing w:after="20" w:line="240" w:lineRule="auto"/>
              <w:jc w:val="left"/>
            </w:pPr>
            <w:r>
              <w:rPr>
                <w:sz w:val="18"/>
              </w:rPr>
              <w:t>Loss of the “human touch”, empathy, rapport, emotional contact</w:t>
            </w:r>
          </w:p>
        </w:tc>
        <w:tc>
          <w:tcPr>
            <w:tcW w:w="1701" w:type="dxa"/>
          </w:tcPr>
          <w:p w14:paraId="686405A9" w14:textId="77777777" w:rsidR="002B63F6" w:rsidRDefault="00000000">
            <w:pPr>
              <w:spacing w:after="20" w:line="240" w:lineRule="auto"/>
              <w:jc w:val="left"/>
            </w:pPr>
            <w:r>
              <w:rPr>
                <w:sz w:val="18"/>
              </w:rPr>
              <w:t>Theme 2: The Relatedness Deficit and Authentic Connection</w:t>
            </w:r>
          </w:p>
        </w:tc>
        <w:tc>
          <w:tcPr>
            <w:tcW w:w="1701" w:type="dxa"/>
          </w:tcPr>
          <w:p w14:paraId="603A129D" w14:textId="77777777" w:rsidR="002B63F6" w:rsidRDefault="00000000">
            <w:pPr>
              <w:spacing w:after="20" w:line="240" w:lineRule="auto"/>
              <w:jc w:val="left"/>
            </w:pPr>
            <w:r>
              <w:rPr>
                <w:sz w:val="18"/>
              </w:rPr>
              <w:t>11/39</w:t>
            </w:r>
          </w:p>
        </w:tc>
      </w:tr>
      <w:tr w:rsidR="002B63F6" w14:paraId="1ECE477D" w14:textId="77777777">
        <w:trPr>
          <w:jc w:val="center"/>
        </w:trPr>
        <w:tc>
          <w:tcPr>
            <w:tcW w:w="1701" w:type="dxa"/>
          </w:tcPr>
          <w:p w14:paraId="39A3F83F" w14:textId="77777777" w:rsidR="002B63F6" w:rsidRDefault="00000000">
            <w:pPr>
              <w:spacing w:after="20" w:line="240" w:lineRule="auto"/>
              <w:jc w:val="left"/>
            </w:pPr>
            <w:r>
              <w:rPr>
                <w:sz w:val="18"/>
              </w:rPr>
              <w:t>Deskilling and reduced critical thinking</w:t>
            </w:r>
          </w:p>
        </w:tc>
        <w:tc>
          <w:tcPr>
            <w:tcW w:w="1701" w:type="dxa"/>
          </w:tcPr>
          <w:p w14:paraId="627749EC" w14:textId="77777777" w:rsidR="002B63F6" w:rsidRDefault="00000000">
            <w:pPr>
              <w:spacing w:after="20" w:line="240" w:lineRule="auto"/>
              <w:jc w:val="left"/>
            </w:pPr>
            <w:r>
              <w:rPr>
                <w:sz w:val="18"/>
              </w:rPr>
              <w:t>Inductive</w:t>
            </w:r>
          </w:p>
        </w:tc>
        <w:tc>
          <w:tcPr>
            <w:tcW w:w="1701" w:type="dxa"/>
          </w:tcPr>
          <w:p w14:paraId="155BD60D" w14:textId="77777777" w:rsidR="002B63F6" w:rsidRDefault="00000000">
            <w:pPr>
              <w:spacing w:after="20" w:line="240" w:lineRule="auto"/>
              <w:jc w:val="left"/>
            </w:pPr>
            <w:r>
              <w:rPr>
                <w:sz w:val="18"/>
              </w:rPr>
              <w:t>Loss of reasoning, creativity or problem-solving capability</w:t>
            </w:r>
          </w:p>
        </w:tc>
        <w:tc>
          <w:tcPr>
            <w:tcW w:w="1701" w:type="dxa"/>
          </w:tcPr>
          <w:p w14:paraId="7F2F791A" w14:textId="77777777" w:rsidR="002B63F6" w:rsidRDefault="00000000">
            <w:pPr>
              <w:spacing w:after="20" w:line="240" w:lineRule="auto"/>
              <w:jc w:val="left"/>
            </w:pPr>
            <w:r>
              <w:rPr>
                <w:sz w:val="18"/>
              </w:rPr>
              <w:t>Theme 2: The Relatedness Deficit and Authentic Connection</w:t>
            </w:r>
          </w:p>
        </w:tc>
        <w:tc>
          <w:tcPr>
            <w:tcW w:w="1701" w:type="dxa"/>
          </w:tcPr>
          <w:p w14:paraId="5B45C61E" w14:textId="77777777" w:rsidR="002B63F6" w:rsidRDefault="00000000">
            <w:pPr>
              <w:spacing w:after="20" w:line="240" w:lineRule="auto"/>
              <w:jc w:val="left"/>
            </w:pPr>
            <w:r>
              <w:rPr>
                <w:sz w:val="18"/>
              </w:rPr>
              <w:t>11/39</w:t>
            </w:r>
          </w:p>
        </w:tc>
      </w:tr>
      <w:tr w:rsidR="002B63F6" w14:paraId="7272023F" w14:textId="77777777">
        <w:trPr>
          <w:jc w:val="center"/>
        </w:trPr>
        <w:tc>
          <w:tcPr>
            <w:tcW w:w="1701" w:type="dxa"/>
          </w:tcPr>
          <w:p w14:paraId="6A995109" w14:textId="77777777" w:rsidR="002B63F6" w:rsidRDefault="00000000">
            <w:pPr>
              <w:spacing w:after="20" w:line="240" w:lineRule="auto"/>
              <w:jc w:val="left"/>
            </w:pPr>
            <w:r>
              <w:rPr>
                <w:sz w:val="18"/>
              </w:rPr>
              <w:t>Accuracy, bias and hallucination</w:t>
            </w:r>
          </w:p>
        </w:tc>
        <w:tc>
          <w:tcPr>
            <w:tcW w:w="1701" w:type="dxa"/>
          </w:tcPr>
          <w:p w14:paraId="16C6C32E" w14:textId="77777777" w:rsidR="002B63F6" w:rsidRDefault="00000000">
            <w:pPr>
              <w:spacing w:after="20" w:line="240" w:lineRule="auto"/>
              <w:jc w:val="left"/>
            </w:pPr>
            <w:r>
              <w:rPr>
                <w:sz w:val="18"/>
              </w:rPr>
              <w:t>Deductive (TAM — perceived risk)</w:t>
            </w:r>
          </w:p>
        </w:tc>
        <w:tc>
          <w:tcPr>
            <w:tcW w:w="1701" w:type="dxa"/>
          </w:tcPr>
          <w:p w14:paraId="623A6751" w14:textId="77777777" w:rsidR="002B63F6" w:rsidRDefault="00000000">
            <w:pPr>
              <w:spacing w:after="20" w:line="240" w:lineRule="auto"/>
              <w:jc w:val="left"/>
            </w:pPr>
            <w:r>
              <w:rPr>
                <w:sz w:val="18"/>
              </w:rPr>
              <w:t>Generic outputs, bias amplification, factual unreliability</w:t>
            </w:r>
          </w:p>
        </w:tc>
        <w:tc>
          <w:tcPr>
            <w:tcW w:w="1701" w:type="dxa"/>
          </w:tcPr>
          <w:p w14:paraId="759A83B0" w14:textId="77777777" w:rsidR="002B63F6" w:rsidRDefault="00000000">
            <w:pPr>
              <w:spacing w:after="20" w:line="240" w:lineRule="auto"/>
              <w:jc w:val="left"/>
            </w:pPr>
            <w:r>
              <w:rPr>
                <w:sz w:val="18"/>
              </w:rPr>
              <w:t>Theme 3: Conditional Trust and the Governance Gap</w:t>
            </w:r>
          </w:p>
        </w:tc>
        <w:tc>
          <w:tcPr>
            <w:tcW w:w="1701" w:type="dxa"/>
          </w:tcPr>
          <w:p w14:paraId="43BADB0B" w14:textId="77777777" w:rsidR="002B63F6" w:rsidRDefault="00000000">
            <w:pPr>
              <w:spacing w:after="20" w:line="240" w:lineRule="auto"/>
              <w:jc w:val="left"/>
            </w:pPr>
            <w:r>
              <w:rPr>
                <w:sz w:val="18"/>
              </w:rPr>
              <w:t>10/39</w:t>
            </w:r>
          </w:p>
        </w:tc>
      </w:tr>
      <w:tr w:rsidR="002B63F6" w14:paraId="09D5EFF0" w14:textId="77777777">
        <w:trPr>
          <w:jc w:val="center"/>
        </w:trPr>
        <w:tc>
          <w:tcPr>
            <w:tcW w:w="1701" w:type="dxa"/>
          </w:tcPr>
          <w:p w14:paraId="1ACD0F25" w14:textId="77777777" w:rsidR="002B63F6" w:rsidRDefault="00000000">
            <w:pPr>
              <w:spacing w:after="20" w:line="240" w:lineRule="auto"/>
              <w:jc w:val="left"/>
            </w:pPr>
            <w:r>
              <w:rPr>
                <w:sz w:val="18"/>
              </w:rPr>
              <w:t>Privacy and data security</w:t>
            </w:r>
          </w:p>
        </w:tc>
        <w:tc>
          <w:tcPr>
            <w:tcW w:w="1701" w:type="dxa"/>
          </w:tcPr>
          <w:p w14:paraId="47CAB36A" w14:textId="77777777" w:rsidR="002B63F6" w:rsidRDefault="00000000">
            <w:pPr>
              <w:spacing w:after="20" w:line="240" w:lineRule="auto"/>
              <w:jc w:val="left"/>
            </w:pPr>
            <w:r>
              <w:rPr>
                <w:sz w:val="18"/>
              </w:rPr>
              <w:t>Deductive (TAM — perceived risk)</w:t>
            </w:r>
          </w:p>
        </w:tc>
        <w:tc>
          <w:tcPr>
            <w:tcW w:w="1701" w:type="dxa"/>
          </w:tcPr>
          <w:p w14:paraId="4651D375" w14:textId="77777777" w:rsidR="002B63F6" w:rsidRDefault="00000000">
            <w:pPr>
              <w:spacing w:after="20" w:line="240" w:lineRule="auto"/>
              <w:jc w:val="left"/>
            </w:pPr>
            <w:r>
              <w:rPr>
                <w:sz w:val="18"/>
              </w:rPr>
              <w:t>Concerns over data input, confidentiality, sensitive information</w:t>
            </w:r>
          </w:p>
        </w:tc>
        <w:tc>
          <w:tcPr>
            <w:tcW w:w="1701" w:type="dxa"/>
          </w:tcPr>
          <w:p w14:paraId="4C2A0333" w14:textId="77777777" w:rsidR="002B63F6" w:rsidRDefault="00000000">
            <w:pPr>
              <w:spacing w:after="20" w:line="240" w:lineRule="auto"/>
              <w:jc w:val="left"/>
            </w:pPr>
            <w:r>
              <w:rPr>
                <w:sz w:val="18"/>
              </w:rPr>
              <w:t>Theme 3: Conditional Trust and the Governance Gap</w:t>
            </w:r>
          </w:p>
        </w:tc>
        <w:tc>
          <w:tcPr>
            <w:tcW w:w="1701" w:type="dxa"/>
          </w:tcPr>
          <w:p w14:paraId="02C99140" w14:textId="77777777" w:rsidR="002B63F6" w:rsidRDefault="00000000">
            <w:pPr>
              <w:spacing w:after="20" w:line="240" w:lineRule="auto"/>
              <w:jc w:val="left"/>
            </w:pPr>
            <w:r>
              <w:rPr>
                <w:sz w:val="18"/>
              </w:rPr>
              <w:t>5/39</w:t>
            </w:r>
          </w:p>
        </w:tc>
      </w:tr>
      <w:tr w:rsidR="002B63F6" w14:paraId="0D9D770B" w14:textId="77777777">
        <w:trPr>
          <w:jc w:val="center"/>
        </w:trPr>
        <w:tc>
          <w:tcPr>
            <w:tcW w:w="1701" w:type="dxa"/>
          </w:tcPr>
          <w:p w14:paraId="6F6279B1" w14:textId="77777777" w:rsidR="002B63F6" w:rsidRDefault="00000000">
            <w:pPr>
              <w:spacing w:after="20" w:line="240" w:lineRule="auto"/>
              <w:jc w:val="left"/>
            </w:pPr>
            <w:r>
              <w:rPr>
                <w:sz w:val="18"/>
              </w:rPr>
              <w:t>Human oversight; augment not replace</w:t>
            </w:r>
          </w:p>
        </w:tc>
        <w:tc>
          <w:tcPr>
            <w:tcW w:w="1701" w:type="dxa"/>
          </w:tcPr>
          <w:p w14:paraId="2FE37247" w14:textId="77777777" w:rsidR="002B63F6" w:rsidRDefault="00000000">
            <w:pPr>
              <w:spacing w:after="20" w:line="240" w:lineRule="auto"/>
              <w:jc w:val="left"/>
            </w:pPr>
            <w:r>
              <w:rPr>
                <w:sz w:val="18"/>
              </w:rPr>
              <w:t>Inductive</w:t>
            </w:r>
          </w:p>
        </w:tc>
        <w:tc>
          <w:tcPr>
            <w:tcW w:w="1701" w:type="dxa"/>
          </w:tcPr>
          <w:p w14:paraId="43A3E995" w14:textId="77777777" w:rsidR="002B63F6" w:rsidRDefault="00000000">
            <w:pPr>
              <w:spacing w:after="20" w:line="240" w:lineRule="auto"/>
              <w:jc w:val="left"/>
            </w:pPr>
            <w:r>
              <w:rPr>
                <w:sz w:val="18"/>
              </w:rPr>
              <w:t>AI as guide or aid, humans accountable for outcomes</w:t>
            </w:r>
          </w:p>
        </w:tc>
        <w:tc>
          <w:tcPr>
            <w:tcW w:w="1701" w:type="dxa"/>
          </w:tcPr>
          <w:p w14:paraId="0244C02A" w14:textId="77777777" w:rsidR="002B63F6" w:rsidRDefault="00000000">
            <w:pPr>
              <w:spacing w:after="20" w:line="240" w:lineRule="auto"/>
              <w:jc w:val="left"/>
            </w:pPr>
            <w:r>
              <w:rPr>
                <w:sz w:val="18"/>
              </w:rPr>
              <w:t>Theme 2 / Theme 3 (boundary condition)</w:t>
            </w:r>
          </w:p>
        </w:tc>
        <w:tc>
          <w:tcPr>
            <w:tcW w:w="1701" w:type="dxa"/>
          </w:tcPr>
          <w:p w14:paraId="228CC63A" w14:textId="77777777" w:rsidR="002B63F6" w:rsidRDefault="00000000">
            <w:pPr>
              <w:spacing w:after="20" w:line="240" w:lineRule="auto"/>
              <w:jc w:val="left"/>
            </w:pPr>
            <w:r>
              <w:rPr>
                <w:sz w:val="18"/>
              </w:rPr>
              <w:t>15/38</w:t>
            </w:r>
          </w:p>
        </w:tc>
      </w:tr>
      <w:tr w:rsidR="002B63F6" w14:paraId="4065EF9E" w14:textId="77777777">
        <w:trPr>
          <w:jc w:val="center"/>
        </w:trPr>
        <w:tc>
          <w:tcPr>
            <w:tcW w:w="1701" w:type="dxa"/>
          </w:tcPr>
          <w:p w14:paraId="6CEC8E8D" w14:textId="77777777" w:rsidR="002B63F6" w:rsidRDefault="00000000">
            <w:pPr>
              <w:spacing w:after="20" w:line="240" w:lineRule="auto"/>
              <w:jc w:val="left"/>
            </w:pPr>
            <w:r>
              <w:rPr>
                <w:sz w:val="18"/>
              </w:rPr>
              <w:t>Explicit boundaries and limits on use</w:t>
            </w:r>
          </w:p>
        </w:tc>
        <w:tc>
          <w:tcPr>
            <w:tcW w:w="1701" w:type="dxa"/>
          </w:tcPr>
          <w:p w14:paraId="4A25A1D8" w14:textId="77777777" w:rsidR="002B63F6" w:rsidRDefault="00000000">
            <w:pPr>
              <w:spacing w:after="20" w:line="240" w:lineRule="auto"/>
              <w:jc w:val="left"/>
            </w:pPr>
            <w:r>
              <w:rPr>
                <w:sz w:val="18"/>
              </w:rPr>
              <w:t>Inductive</w:t>
            </w:r>
          </w:p>
        </w:tc>
        <w:tc>
          <w:tcPr>
            <w:tcW w:w="1701" w:type="dxa"/>
          </w:tcPr>
          <w:p w14:paraId="20BEC798" w14:textId="77777777" w:rsidR="002B63F6" w:rsidRDefault="00000000">
            <w:pPr>
              <w:spacing w:after="20" w:line="240" w:lineRule="auto"/>
              <w:jc w:val="left"/>
            </w:pPr>
            <w:r>
              <w:rPr>
                <w:sz w:val="18"/>
              </w:rPr>
              <w:t>Naming tasks reserved for human leaders; “AI-off” periods</w:t>
            </w:r>
          </w:p>
        </w:tc>
        <w:tc>
          <w:tcPr>
            <w:tcW w:w="1701" w:type="dxa"/>
          </w:tcPr>
          <w:p w14:paraId="51FBC9D1" w14:textId="77777777" w:rsidR="002B63F6" w:rsidRDefault="00000000">
            <w:pPr>
              <w:spacing w:after="20" w:line="240" w:lineRule="auto"/>
              <w:jc w:val="left"/>
            </w:pPr>
            <w:r>
              <w:rPr>
                <w:sz w:val="18"/>
              </w:rPr>
              <w:t>Theme 2: The Relatedness Deficit and Authentic Connection</w:t>
            </w:r>
          </w:p>
        </w:tc>
        <w:tc>
          <w:tcPr>
            <w:tcW w:w="1701" w:type="dxa"/>
          </w:tcPr>
          <w:p w14:paraId="437A2839" w14:textId="77777777" w:rsidR="002B63F6" w:rsidRDefault="00000000">
            <w:pPr>
              <w:spacing w:after="20" w:line="240" w:lineRule="auto"/>
              <w:jc w:val="left"/>
            </w:pPr>
            <w:r>
              <w:rPr>
                <w:sz w:val="18"/>
              </w:rPr>
              <w:t>10/38</w:t>
            </w:r>
          </w:p>
        </w:tc>
      </w:tr>
      <w:tr w:rsidR="002B63F6" w14:paraId="7107A83F" w14:textId="77777777">
        <w:trPr>
          <w:jc w:val="center"/>
        </w:trPr>
        <w:tc>
          <w:tcPr>
            <w:tcW w:w="1701" w:type="dxa"/>
          </w:tcPr>
          <w:p w14:paraId="21A6633B" w14:textId="77777777" w:rsidR="002B63F6" w:rsidRDefault="00000000">
            <w:pPr>
              <w:spacing w:after="20" w:line="240" w:lineRule="auto"/>
              <w:jc w:val="left"/>
            </w:pPr>
            <w:r>
              <w:rPr>
                <w:sz w:val="18"/>
              </w:rPr>
              <w:lastRenderedPageBreak/>
              <w:t>Transparency, governance and policy</w:t>
            </w:r>
          </w:p>
        </w:tc>
        <w:tc>
          <w:tcPr>
            <w:tcW w:w="1701" w:type="dxa"/>
          </w:tcPr>
          <w:p w14:paraId="07399851" w14:textId="77777777" w:rsidR="002B63F6" w:rsidRDefault="00000000">
            <w:pPr>
              <w:spacing w:after="20" w:line="240" w:lineRule="auto"/>
              <w:jc w:val="left"/>
            </w:pPr>
            <w:r>
              <w:rPr>
                <w:sz w:val="18"/>
              </w:rPr>
              <w:t>Inductive</w:t>
            </w:r>
          </w:p>
        </w:tc>
        <w:tc>
          <w:tcPr>
            <w:tcW w:w="1701" w:type="dxa"/>
          </w:tcPr>
          <w:p w14:paraId="479512A6" w14:textId="77777777" w:rsidR="002B63F6" w:rsidRDefault="00000000">
            <w:pPr>
              <w:spacing w:after="20" w:line="240" w:lineRule="auto"/>
              <w:jc w:val="left"/>
            </w:pPr>
            <w:r>
              <w:rPr>
                <w:sz w:val="18"/>
              </w:rPr>
              <w:t>Disclosure of AI use, ethical guidelines, organisational policy</w:t>
            </w:r>
          </w:p>
        </w:tc>
        <w:tc>
          <w:tcPr>
            <w:tcW w:w="1701" w:type="dxa"/>
          </w:tcPr>
          <w:p w14:paraId="3CF93F20" w14:textId="77777777" w:rsidR="002B63F6" w:rsidRDefault="00000000">
            <w:pPr>
              <w:spacing w:after="20" w:line="240" w:lineRule="auto"/>
              <w:jc w:val="left"/>
            </w:pPr>
            <w:r>
              <w:rPr>
                <w:sz w:val="18"/>
              </w:rPr>
              <w:t>Theme 3: Conditional Trust and the Governance Gap</w:t>
            </w:r>
          </w:p>
        </w:tc>
        <w:tc>
          <w:tcPr>
            <w:tcW w:w="1701" w:type="dxa"/>
          </w:tcPr>
          <w:p w14:paraId="40F779C7" w14:textId="77777777" w:rsidR="002B63F6" w:rsidRDefault="00000000">
            <w:pPr>
              <w:spacing w:after="20" w:line="240" w:lineRule="auto"/>
              <w:jc w:val="left"/>
            </w:pPr>
            <w:r>
              <w:rPr>
                <w:sz w:val="18"/>
              </w:rPr>
              <w:t>9/38</w:t>
            </w:r>
          </w:p>
        </w:tc>
      </w:tr>
      <w:tr w:rsidR="002B63F6" w14:paraId="6A7B8A9B" w14:textId="77777777">
        <w:trPr>
          <w:jc w:val="center"/>
        </w:trPr>
        <w:tc>
          <w:tcPr>
            <w:tcW w:w="1701" w:type="dxa"/>
          </w:tcPr>
          <w:p w14:paraId="4DCE7ABD" w14:textId="77777777" w:rsidR="002B63F6" w:rsidRDefault="00000000">
            <w:pPr>
              <w:spacing w:after="20" w:line="240" w:lineRule="auto"/>
              <w:jc w:val="left"/>
            </w:pPr>
            <w:r>
              <w:rPr>
                <w:sz w:val="18"/>
              </w:rPr>
              <w:t>Training and AI literacy</w:t>
            </w:r>
          </w:p>
        </w:tc>
        <w:tc>
          <w:tcPr>
            <w:tcW w:w="1701" w:type="dxa"/>
          </w:tcPr>
          <w:p w14:paraId="05477643" w14:textId="77777777" w:rsidR="002B63F6" w:rsidRDefault="00000000">
            <w:pPr>
              <w:spacing w:after="20" w:line="240" w:lineRule="auto"/>
              <w:jc w:val="left"/>
            </w:pPr>
            <w:r>
              <w:rPr>
                <w:sz w:val="18"/>
              </w:rPr>
              <w:t>Inductive</w:t>
            </w:r>
          </w:p>
        </w:tc>
        <w:tc>
          <w:tcPr>
            <w:tcW w:w="1701" w:type="dxa"/>
          </w:tcPr>
          <w:p w14:paraId="21909466" w14:textId="77777777" w:rsidR="002B63F6" w:rsidRDefault="00000000">
            <w:pPr>
              <w:spacing w:after="20" w:line="240" w:lineRule="auto"/>
              <w:jc w:val="left"/>
            </w:pPr>
            <w:r>
              <w:rPr>
                <w:sz w:val="18"/>
              </w:rPr>
              <w:t>Calls for education in critical evaluation of AI outputs</w:t>
            </w:r>
          </w:p>
        </w:tc>
        <w:tc>
          <w:tcPr>
            <w:tcW w:w="1701" w:type="dxa"/>
          </w:tcPr>
          <w:p w14:paraId="4299DF67" w14:textId="77777777" w:rsidR="002B63F6" w:rsidRDefault="00000000">
            <w:pPr>
              <w:spacing w:after="20" w:line="240" w:lineRule="auto"/>
              <w:jc w:val="left"/>
            </w:pPr>
            <w:r>
              <w:rPr>
                <w:sz w:val="18"/>
              </w:rPr>
              <w:t>Theme 3: Conditional Trust and the Governance Gap</w:t>
            </w:r>
          </w:p>
        </w:tc>
        <w:tc>
          <w:tcPr>
            <w:tcW w:w="1701" w:type="dxa"/>
          </w:tcPr>
          <w:p w14:paraId="241C3DCC" w14:textId="77777777" w:rsidR="002B63F6" w:rsidRDefault="00000000">
            <w:pPr>
              <w:spacing w:after="20" w:line="240" w:lineRule="auto"/>
              <w:jc w:val="left"/>
            </w:pPr>
            <w:r>
              <w:rPr>
                <w:sz w:val="18"/>
              </w:rPr>
              <w:t>7/38</w:t>
            </w:r>
          </w:p>
        </w:tc>
      </w:tr>
    </w:tbl>
    <w:p w14:paraId="208151CC" w14:textId="77777777" w:rsidR="002B63F6" w:rsidRDefault="002B63F6">
      <w:pPr>
        <w:spacing w:after="160"/>
      </w:pPr>
    </w:p>
    <w:p w14:paraId="1C2BD1C2" w14:textId="77777777" w:rsidR="002B63F6" w:rsidRDefault="00000000">
      <w:pPr>
        <w:pStyle w:val="Heading1"/>
        <w:pageBreakBefore/>
      </w:pPr>
      <w:r>
        <w:lastRenderedPageBreak/>
        <w:t>Appendix C: Participant Information and Consent Summary</w:t>
      </w:r>
    </w:p>
    <w:p w14:paraId="581AC05D" w14:textId="77777777" w:rsidR="002B63F6" w:rsidRDefault="0097047F">
      <w:r w:rsidRPr="0097047F">
        <w:t>Before the surveys began, participants were told: (</w:t>
      </w:r>
      <w:proofErr w:type="spellStart"/>
      <w:r w:rsidRPr="0097047F">
        <w:t>i</w:t>
      </w:r>
      <w:proofErr w:type="spellEnd"/>
      <w:r w:rsidRPr="0097047F">
        <w:t xml:space="preserve">) the purpose of the study and its academic setting in the </w:t>
      </w:r>
      <w:proofErr w:type="spellStart"/>
      <w:r w:rsidRPr="0097047F">
        <w:t>MRes</w:t>
      </w:r>
      <w:proofErr w:type="spellEnd"/>
      <w:r w:rsidRPr="0097047F">
        <w:t xml:space="preserve"> (Management Studies) at York St John University; (ii) their participation was voluntary and they could stop giving answers at any time prior to the data being assembled without risking any penalties; (iii) their answers would be anonymous, that no personally identifying information would be sought or recorded; (iv) how the data, including illustrative anonymised quotations, would be used in the submitted dissertation and future academic outputs; (v) the researcher's contact details and those of his/her research supervisor in case of any queries arising afterwards. Informed consent was obtained electronically from all participants taking part in the study and before they answered the survey instrument provided in Appendix A.</w:t>
      </w:r>
    </w:p>
    <w:p w14:paraId="1552952B" w14:textId="77777777" w:rsidR="002B63F6" w:rsidRDefault="00000000">
      <w:pPr>
        <w:pStyle w:val="Heading1"/>
      </w:pPr>
      <w:r>
        <w:t>Declaration on the Use of Generative Artificial Intelligence</w:t>
      </w:r>
    </w:p>
    <w:p w14:paraId="1C313CE2" w14:textId="77777777" w:rsidR="0097047F" w:rsidRDefault="0097047F" w:rsidP="0097047F">
      <w:r>
        <w:t>This declaration is drawn up in keeping with the academic honesty policy of York St John University and is given in spirit of transparency which this dissertation urges in others. The subject of this study is attitude towards generative AI, therefore there is a matter of consistency and compliance when it comes to publicly declaring the use of AI.</w:t>
      </w:r>
    </w:p>
    <w:p w14:paraId="27F96EAA" w14:textId="77777777" w:rsidR="0097047F" w:rsidRDefault="0097047F" w:rsidP="0097047F">
      <w:r>
        <w:t>In the context of preparing this dissertation, generative AI was employed in three well-defined ways. The first was for literature organisation; that of the survey and policy literature reviewed in Chapter Two were cross-referenced and organised with the help provided. The researcher has then found all the sources, read them and checked them in their original form and no source is mentioned that he/she has not read directly. Second, to prepare for language and clarity: support for identifying overlong sentences in authors' draft chapters and inconsistent terminology within these chapters. Third, for verification of algorithms in the descriptive statistics reported in Chapter Four which were all independently reworked from the raw data response matrix.</w:t>
      </w:r>
    </w:p>
    <w:p w14:paraId="27172AF4" w14:textId="77777777" w:rsidR="002B63F6" w:rsidRDefault="0097047F" w:rsidP="0097047F">
      <w:r>
        <w:t xml:space="preserve">This dissertation was not written by generative AI either for generating the research design, gathering or coding primary data used in the research, for the thematic analysis, or to formulate the analytical arguments, interpretations, and conclusions in this dissertation. The reflexive thematic analysis described in Chapter Four was conducted manually by the researcher, according to the steps outlined in Section 3.6 and is available </w:t>
      </w:r>
      <w:r>
        <w:lastRenderedPageBreak/>
        <w:t>for inspection upon request. The analytical voice, interpretations drawn from the findings and suggested governance construct outlined in Chapter Six is the researcher's own.</w:t>
      </w:r>
    </w:p>
    <w:sectPr w:rsidR="002B63F6" w:rsidSect="00034616">
      <w:footerReference w:type="default" r:id="rId135"/>
      <w:footerReference w:type="first" r:id="rId136"/>
      <w:pgSz w:w="11906" w:h="16838"/>
      <w:pgMar w:top="1417" w:right="1417" w:bottom="1417" w:left="198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E774E" w14:textId="77777777" w:rsidR="00D741B4" w:rsidRDefault="00D741B4">
      <w:pPr>
        <w:spacing w:after="0" w:line="240" w:lineRule="auto"/>
      </w:pPr>
      <w:r>
        <w:separator/>
      </w:r>
    </w:p>
  </w:endnote>
  <w:endnote w:type="continuationSeparator" w:id="0">
    <w:p w14:paraId="25B16C8C" w14:textId="77777777" w:rsidR="00D741B4" w:rsidRDefault="00D74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0423B" w14:textId="77777777" w:rsidR="002B63F6" w:rsidRDefault="00000000">
    <w:pPr>
      <w:pStyle w:val="Footer"/>
      <w:jc w:val="center"/>
    </w:pPr>
    <w:r>
      <w:rPr>
        <w:sz w:val="20"/>
      </w:rPr>
      <w:fldChar w:fldCharType="begin"/>
    </w:r>
    <w:r>
      <w:rPr>
        <w:sz w:val="20"/>
      </w:rPr>
      <w:instrText>PAGE</w:instrText>
    </w:r>
    <w:r>
      <w:rPr>
        <w:sz w:val="20"/>
      </w:rPr>
      <w:fldChar w:fldCharType="separate"/>
    </w:r>
    <w:r>
      <w:rPr>
        <w:sz w:val="20"/>
      </w:rPr>
      <w:t>1</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A413" w14:textId="77777777" w:rsidR="00526C77" w:rsidRDefault="00526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E2D6F" w14:textId="77777777" w:rsidR="00D741B4" w:rsidRDefault="00D741B4">
      <w:pPr>
        <w:spacing w:after="0" w:line="240" w:lineRule="auto"/>
      </w:pPr>
      <w:r>
        <w:separator/>
      </w:r>
    </w:p>
  </w:footnote>
  <w:footnote w:type="continuationSeparator" w:id="0">
    <w:p w14:paraId="696526DA" w14:textId="77777777" w:rsidR="00D741B4" w:rsidRDefault="00D741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5075223">
    <w:abstractNumId w:val="8"/>
  </w:num>
  <w:num w:numId="2" w16cid:durableId="562568160">
    <w:abstractNumId w:val="6"/>
  </w:num>
  <w:num w:numId="3" w16cid:durableId="1568957901">
    <w:abstractNumId w:val="5"/>
  </w:num>
  <w:num w:numId="4" w16cid:durableId="121770656">
    <w:abstractNumId w:val="4"/>
  </w:num>
  <w:num w:numId="5" w16cid:durableId="755400073">
    <w:abstractNumId w:val="7"/>
  </w:num>
  <w:num w:numId="6" w16cid:durableId="779689225">
    <w:abstractNumId w:val="3"/>
  </w:num>
  <w:num w:numId="7" w16cid:durableId="1043939608">
    <w:abstractNumId w:val="2"/>
  </w:num>
  <w:num w:numId="8" w16cid:durableId="721290005">
    <w:abstractNumId w:val="1"/>
  </w:num>
  <w:num w:numId="9" w16cid:durableId="1828131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2871"/>
    <w:rsid w:val="0006063C"/>
    <w:rsid w:val="00135D83"/>
    <w:rsid w:val="00145DB8"/>
    <w:rsid w:val="0015074B"/>
    <w:rsid w:val="0015538D"/>
    <w:rsid w:val="00187D74"/>
    <w:rsid w:val="001E1737"/>
    <w:rsid w:val="001E3A33"/>
    <w:rsid w:val="00263408"/>
    <w:rsid w:val="00265D05"/>
    <w:rsid w:val="00267724"/>
    <w:rsid w:val="0029639D"/>
    <w:rsid w:val="002B63F6"/>
    <w:rsid w:val="002E24BB"/>
    <w:rsid w:val="003021C0"/>
    <w:rsid w:val="00326F90"/>
    <w:rsid w:val="00377667"/>
    <w:rsid w:val="00463FDE"/>
    <w:rsid w:val="00473E7D"/>
    <w:rsid w:val="00526C77"/>
    <w:rsid w:val="006042CD"/>
    <w:rsid w:val="00637C75"/>
    <w:rsid w:val="0070271D"/>
    <w:rsid w:val="00725633"/>
    <w:rsid w:val="007C160A"/>
    <w:rsid w:val="0085416F"/>
    <w:rsid w:val="00867782"/>
    <w:rsid w:val="0087228F"/>
    <w:rsid w:val="00931A80"/>
    <w:rsid w:val="0097047F"/>
    <w:rsid w:val="00AA1D8D"/>
    <w:rsid w:val="00AC7F24"/>
    <w:rsid w:val="00AD0C24"/>
    <w:rsid w:val="00B014FC"/>
    <w:rsid w:val="00B47730"/>
    <w:rsid w:val="00B51D99"/>
    <w:rsid w:val="00BE36A7"/>
    <w:rsid w:val="00C34251"/>
    <w:rsid w:val="00C975D0"/>
    <w:rsid w:val="00CA41CE"/>
    <w:rsid w:val="00CB0664"/>
    <w:rsid w:val="00CB2352"/>
    <w:rsid w:val="00CD4005"/>
    <w:rsid w:val="00CD4290"/>
    <w:rsid w:val="00CE04E4"/>
    <w:rsid w:val="00D741B4"/>
    <w:rsid w:val="00DB1A13"/>
    <w:rsid w:val="00DC092C"/>
    <w:rsid w:val="00E31C25"/>
    <w:rsid w:val="00ED400F"/>
    <w:rsid w:val="00FC693F"/>
    <w:rsid w:val="00FD0B77"/>
    <w:rsid w:val="00FD0E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61A95C"/>
  <w14:defaultImageDpi w14:val="300"/>
  <w15:docId w15:val="{37942111-8834-460D-936C-0FFF6606C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360" w:lineRule="auto"/>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320" w:after="160" w:line="240" w:lineRule="auto"/>
      <w:jc w:val="left"/>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320" w:after="160" w:line="240" w:lineRule="auto"/>
      <w:jc w:val="left"/>
      <w:outlineLvl w:val="1"/>
    </w:pPr>
    <w:rPr>
      <w:rFonts w:asciiTheme="majorHAnsi" w:eastAsiaTheme="majorEastAsia" w:hAnsiTheme="majorHAnsi" w:cstheme="majorBid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20" w:after="160" w:line="240" w:lineRule="auto"/>
      <w:jc w:val="left"/>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473E7D"/>
    <w:rPr>
      <w:rFonts w:cs="Times New Roman"/>
      <w:szCs w:val="24"/>
    </w:rPr>
  </w:style>
  <w:style w:type="character" w:styleId="Hyperlink">
    <w:name w:val="Hyperlink"/>
    <w:basedOn w:val="DefaultParagraphFont"/>
    <w:uiPriority w:val="99"/>
    <w:unhideWhenUsed/>
    <w:rsid w:val="001369BC"/>
    <w:rPr>
      <w:color w:val="0000FF" w:themeColor="hyperlink"/>
      <w:u w:val="single"/>
    </w:rPr>
  </w:style>
  <w:style w:type="character" w:customStyle="1" w:styleId="contentcontrolboundarysink">
    <w:name w:val="contentcontrolboundarysink"/>
    <w:basedOn w:val="DefaultParagraphFont"/>
    <w:rsid w:val="00CA6668"/>
  </w:style>
  <w:style w:type="character" w:customStyle="1" w:styleId="eop">
    <w:name w:val="eop"/>
    <w:basedOn w:val="DefaultParagraphFont"/>
    <w:rsid w:val="00CA6668"/>
  </w:style>
  <w:style w:type="character" w:customStyle="1" w:styleId="normaltextrun">
    <w:name w:val="normaltextrun"/>
    <w:basedOn w:val="DefaultParagraphFont"/>
    <w:rsid w:val="00CA6668"/>
  </w:style>
  <w:style w:type="paragraph" w:customStyle="1" w:styleId="paragraph">
    <w:name w:val="paragraph"/>
    <w:basedOn w:val="Normal"/>
    <w:uiPriority w:val="1"/>
    <w:rsid w:val="4641C846"/>
    <w:pPr>
      <w:spacing w:beforeAutospacing="1"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5465/amp.2007.24286164" TargetMode="External"/><Relationship Id="rId21" Type="http://schemas.openxmlformats.org/officeDocument/2006/relationships/hyperlink" Target="https://doi.org/10.1002/(SICI)1099-1379(1998)19:1+%3c649::AID-JOB970%3e3.0.CO;2-T" TargetMode="External"/><Relationship Id="rId42" Type="http://schemas.openxmlformats.org/officeDocument/2006/relationships/hyperlink" Target="https://doi.org/10.5465/amp.2007.24286164" TargetMode="External"/><Relationship Id="rId63" Type="http://schemas.openxmlformats.org/officeDocument/2006/relationships/hyperlink" Target="https://www.cipd.org/en/knowledge/reports/flexible-hybrid-working/" TargetMode="External"/><Relationship Id="rId84" Type="http://schemas.openxmlformats.org/officeDocument/2006/relationships/hyperlink" Target="https://news.gallup.com/poll/708224/gen-adoption-steady-skepticism-climbs.aspx" TargetMode="External"/><Relationship Id="rId138" Type="http://schemas.openxmlformats.org/officeDocument/2006/relationships/theme" Target="theme/theme1.xml"/><Relationship Id="rId16" Type="http://schemas.openxmlformats.org/officeDocument/2006/relationships/hyperlink" Target="https://doi.org/10.2307/249008" TargetMode="External"/><Relationship Id="rId107" Type="http://schemas.openxmlformats.org/officeDocument/2006/relationships/hyperlink" Target="https://www.hepi.ac.uk/reports/student-generative-ai-survey-2025/" TargetMode="External"/><Relationship Id="rId11" Type="http://schemas.openxmlformats.org/officeDocument/2006/relationships/hyperlink" Target="https://www.hepi.ac.uk/reports/student-generative-ai-survey-2025/" TargetMode="External"/><Relationship Id="rId32" Type="http://schemas.openxmlformats.org/officeDocument/2006/relationships/hyperlink" Target="https://doi.org/10.1016/j.jik.2025.100852" TargetMode="External"/><Relationship Id="rId37" Type="http://schemas.openxmlformats.org/officeDocument/2006/relationships/hyperlink" Target="https://doi.org/10.1146/annurev-orgpsych-032516-113108" TargetMode="External"/><Relationship Id="rId53" Type="http://schemas.openxmlformats.org/officeDocument/2006/relationships/hyperlink" Target="https://www.gallup.com/workplace/660236/remote-work-paradox-engaged-distressed.aspx" TargetMode="External"/><Relationship Id="rId58" Type="http://schemas.openxmlformats.org/officeDocument/2006/relationships/hyperlink" Target="https://doi.org/10.3389/feduc.2024.1463208" TargetMode="External"/><Relationship Id="rId74" Type="http://schemas.openxmlformats.org/officeDocument/2006/relationships/hyperlink" Target="https://www.ivanti.com/resources/research-reports/tech-at-work" TargetMode="External"/><Relationship Id="rId79" Type="http://schemas.openxmlformats.org/officeDocument/2006/relationships/hyperlink" Target="https://doi.org/10.1287/mnsc.46.2.186.11926" TargetMode="External"/><Relationship Id="rId102" Type="http://schemas.openxmlformats.org/officeDocument/2006/relationships/hyperlink" Target="https://doi.org/10.1207/S15327965PLI1104_01" TargetMode="External"/><Relationship Id="rId123" Type="http://schemas.openxmlformats.org/officeDocument/2006/relationships/hyperlink" Target="https://owllabs.co.uk/state-of-hybrid-work/2025" TargetMode="External"/><Relationship Id="rId128" Type="http://schemas.openxmlformats.org/officeDocument/2006/relationships/hyperlink" Target="https://www.pwc.com/us/en/tech-effect/ai-analytics/responsible-ai-survey.html" TargetMode="External"/><Relationship Id="rId5" Type="http://schemas.openxmlformats.org/officeDocument/2006/relationships/webSettings" Target="webSettings.xml"/><Relationship Id="rId90" Type="http://schemas.openxmlformats.org/officeDocument/2006/relationships/hyperlink" Target="https://doi.org/10.3389/feduc.2024.1463208" TargetMode="External"/><Relationship Id="rId95" Type="http://schemas.openxmlformats.org/officeDocument/2006/relationships/hyperlink" Target="https://doi.org/10.1007/978-3-031-81325-2_11" TargetMode="External"/><Relationship Id="rId22" Type="http://schemas.openxmlformats.org/officeDocument/2006/relationships/hyperlink" Target="https://www.hepi.ac.uk/reports/student-generative-ai-survey-2026/" TargetMode="External"/><Relationship Id="rId27" Type="http://schemas.openxmlformats.org/officeDocument/2006/relationships/hyperlink" Target="https://www.pwc.com/gx/en/issues/workforce/hopes-and-fears.html" TargetMode="External"/><Relationship Id="rId43" Type="http://schemas.openxmlformats.org/officeDocument/2006/relationships/hyperlink" Target="https://doi.org/10.1177/0149206314559946" TargetMode="External"/><Relationship Id="rId48" Type="http://schemas.openxmlformats.org/officeDocument/2006/relationships/hyperlink" Target="https://doi.org/10.1080/17482631.2025.2472460" TargetMode="External"/><Relationship Id="rId64" Type="http://schemas.openxmlformats.org/officeDocument/2006/relationships/hyperlink" Target="https://doi.org/10.1038/s41586-024-07500-2" TargetMode="External"/><Relationship Id="rId69" Type="http://schemas.openxmlformats.org/officeDocument/2006/relationships/hyperlink" Target="https://www.forbes.com/sites/tarungalagali/2025/08/25/ais-impact-on-generation-z/" TargetMode="External"/><Relationship Id="rId113" Type="http://schemas.openxmlformats.org/officeDocument/2006/relationships/hyperlink" Target="https://www.ivanti.com/resources/research-reports/tech-at-work" TargetMode="External"/><Relationship Id="rId118" Type="http://schemas.openxmlformats.org/officeDocument/2006/relationships/hyperlink" Target="https://doi.org/10.1007/s10209-014-0348-1" TargetMode="External"/><Relationship Id="rId134" Type="http://schemas.openxmlformats.org/officeDocument/2006/relationships/hyperlink" Target="https://static.waltonfamilyfoundation.org/73/0c/1a0017594d8eb3c0a667766ae914/wff-gallup-gsv-gen-z-2026-ai-report-final.pdf" TargetMode="External"/><Relationship Id="rId80" Type="http://schemas.openxmlformats.org/officeDocument/2006/relationships/hyperlink" Target="https://doi.org/10.1016/j.im.2006.05.003" TargetMode="External"/><Relationship Id="rId85" Type="http://schemas.openxmlformats.org/officeDocument/2006/relationships/hyperlink" Target="https://www.forbes.com/sites/tarungalagali/2025/08/25/ais-impact-on-generation-z/" TargetMode="External"/><Relationship Id="rId12" Type="http://schemas.openxmlformats.org/officeDocument/2006/relationships/hyperlink" Target="https://www.hepi.ac.uk/reports/student-generative-ai-survey-2026/" TargetMode="External"/><Relationship Id="rId17" Type="http://schemas.openxmlformats.org/officeDocument/2006/relationships/hyperlink" Target="https://doi.org/10.1287/mnsc.46.2.186.11926" TargetMode="External"/><Relationship Id="rId33" Type="http://schemas.openxmlformats.org/officeDocument/2006/relationships/hyperlink" Target="https://doi.org/10.1016/j.caeai.2025.100379" TargetMode="External"/><Relationship Id="rId38" Type="http://schemas.openxmlformats.org/officeDocument/2006/relationships/hyperlink" Target="https://doi.org/10.32996/jbms.2022.4.2.31" TargetMode="External"/><Relationship Id="rId59" Type="http://schemas.openxmlformats.org/officeDocument/2006/relationships/hyperlink" Target="https://doi.org/10.3389/feduc.2024.1463208" TargetMode="External"/><Relationship Id="rId103" Type="http://schemas.openxmlformats.org/officeDocument/2006/relationships/hyperlink" Target="https://doi.org/10.1146/annurev-orgpsych-032516-113108" TargetMode="External"/><Relationship Id="rId108" Type="http://schemas.openxmlformats.org/officeDocument/2006/relationships/hyperlink" Target="https://doi.org/10.1002/job.322" TargetMode="External"/><Relationship Id="rId124" Type="http://schemas.openxmlformats.org/officeDocument/2006/relationships/hyperlink" Target="https://www.gallup.com/workplace/660236/remote-work-paradox-engaged-distressed.aspx" TargetMode="External"/><Relationship Id="rId129" Type="http://schemas.openxmlformats.org/officeDocument/2006/relationships/hyperlink" Target="https://www.hepi.ac.uk/reports/student-generative-ai-survey-2026/" TargetMode="External"/><Relationship Id="rId54" Type="http://schemas.openxmlformats.org/officeDocument/2006/relationships/hyperlink" Target="https://owllabs.co.uk/state-of-hybrid-work/2025" TargetMode="External"/><Relationship Id="rId70" Type="http://schemas.openxmlformats.org/officeDocument/2006/relationships/hyperlink" Target="https://www.talentlms.com/research/ai-impact-gen-z-work-skills" TargetMode="External"/><Relationship Id="rId75" Type="http://schemas.openxmlformats.org/officeDocument/2006/relationships/hyperlink" Target="https://www.pwc.com/us/en/tech-effect/ai-analytics/responsible-ai-survey.html" TargetMode="External"/><Relationship Id="rId91" Type="http://schemas.openxmlformats.org/officeDocument/2006/relationships/hyperlink" Target="https://doi.org/10.1108/02683940710733115" TargetMode="External"/><Relationship Id="rId96" Type="http://schemas.openxmlformats.org/officeDocument/2006/relationships/hyperlink" Target="https://news.gallup.com/poll/708224/gen-adoption-steady-skepticism-climbs.aspx"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hepi.ac.uk/reports/student-generative-ai-survey-2026/" TargetMode="External"/><Relationship Id="rId28" Type="http://schemas.openxmlformats.org/officeDocument/2006/relationships/hyperlink" Target="https://doi.org/10.2307/249008" TargetMode="External"/><Relationship Id="rId49" Type="http://schemas.openxmlformats.org/officeDocument/2006/relationships/hyperlink" Target="https://www.ons.gov.uk/employmentandlabourmarket/peopleinwork/employmentandemployeetypes/articles/whohasaccesstohybridworkingreatbritain/2025-06-11" TargetMode="External"/><Relationship Id="rId114" Type="http://schemas.openxmlformats.org/officeDocument/2006/relationships/hyperlink" Target="https://www.jisc.ac.uk/reports/student-perceptions-of-ai-2025" TargetMode="External"/><Relationship Id="rId119" Type="http://schemas.openxmlformats.org/officeDocument/2006/relationships/hyperlink" Target="https://doi.org/10.1016/j.caeai.2025.100379" TargetMode="External"/><Relationship Id="rId44" Type="http://schemas.openxmlformats.org/officeDocument/2006/relationships/hyperlink" Target="https://doi.org/10.1027/1866-5888/a000075" TargetMode="External"/><Relationship Id="rId60" Type="http://schemas.openxmlformats.org/officeDocument/2006/relationships/hyperlink" Target="https://www.jisc.ac.uk/reports/student-perceptions-of-ai-2025" TargetMode="External"/><Relationship Id="rId65" Type="http://schemas.openxmlformats.org/officeDocument/2006/relationships/hyperlink" Target="https://doi.org/10.1108/TLO-01-2025-0021" TargetMode="External"/><Relationship Id="rId81" Type="http://schemas.openxmlformats.org/officeDocument/2006/relationships/hyperlink" Target="https://doi.org/10.1177/14413582251379090" TargetMode="External"/><Relationship Id="rId86" Type="http://schemas.openxmlformats.org/officeDocument/2006/relationships/hyperlink" Target="https://www.ivanti.com/resources/research-reports/tech-at-work" TargetMode="External"/><Relationship Id="rId130" Type="http://schemas.openxmlformats.org/officeDocument/2006/relationships/hyperlink" Target="https://www.talentlms.com/research/ai-impact-gen-z-work-skills" TargetMode="External"/><Relationship Id="rId135" Type="http://schemas.openxmlformats.org/officeDocument/2006/relationships/footer" Target="footer1.xml"/><Relationship Id="rId13" Type="http://schemas.openxmlformats.org/officeDocument/2006/relationships/hyperlink" Target="https://www.hepi.ac.uk/reports/student-generative-ai-survey-2026/" TargetMode="External"/><Relationship Id="rId18" Type="http://schemas.openxmlformats.org/officeDocument/2006/relationships/hyperlink" Target="https://doi.org/10.1207/S15327965PLI1104_01" TargetMode="External"/><Relationship Id="rId39" Type="http://schemas.openxmlformats.org/officeDocument/2006/relationships/hyperlink" Target="https://doi.org/10.1108/TLO-01-2025-0021" TargetMode="External"/><Relationship Id="rId109" Type="http://schemas.openxmlformats.org/officeDocument/2006/relationships/hyperlink" Target="https://www.forbes.com/sites/tarungalagali/2025/08/25/ais-impact-on-generation-z/" TargetMode="External"/><Relationship Id="rId34" Type="http://schemas.openxmlformats.org/officeDocument/2006/relationships/hyperlink" Target="https://doi.org/10.2307/249008" TargetMode="External"/><Relationship Id="rId50" Type="http://schemas.openxmlformats.org/officeDocument/2006/relationships/hyperlink" Target="https://www.ons.gov.uk/employmentandlabourmarket/peopleinwork/employmentandemployeetypes/articles/whohasaccesstohybridworkingreatbritain/2025-06-11" TargetMode="External"/><Relationship Id="rId55" Type="http://schemas.openxmlformats.org/officeDocument/2006/relationships/hyperlink" Target="https://hbr.org/2023/08/survey-remote-work-isnt-going-away-and-executives-know-it" TargetMode="External"/><Relationship Id="rId76" Type="http://schemas.openxmlformats.org/officeDocument/2006/relationships/hyperlink" Target="https://doi.org/10.2307/249008" TargetMode="External"/><Relationship Id="rId97" Type="http://schemas.openxmlformats.org/officeDocument/2006/relationships/hyperlink" Target="https://www.cipd.org/en/knowledge/reports/flexible-hybrid-working/" TargetMode="External"/><Relationship Id="rId104" Type="http://schemas.openxmlformats.org/officeDocument/2006/relationships/hyperlink" Target="https://digital-strategy.ec.europa.eu/en/news/eu-rules-general-purpose-ai-models-start-apply-bringing-more-transparency-safety-and-accountability" TargetMode="External"/><Relationship Id="rId120" Type="http://schemas.openxmlformats.org/officeDocument/2006/relationships/hyperlink" Target="https://digital.nemko.com/insights/responsible-ai-framework-in-business" TargetMode="External"/><Relationship Id="rId125" Type="http://schemas.openxmlformats.org/officeDocument/2006/relationships/hyperlink" Target="https://doi.org/10.1186/s41039-017-0062-8" TargetMode="External"/><Relationship Id="rId7" Type="http://schemas.openxmlformats.org/officeDocument/2006/relationships/endnotes" Target="endnotes.xml"/><Relationship Id="rId71" Type="http://schemas.openxmlformats.org/officeDocument/2006/relationships/hyperlink" Target="https://digital-strategy.ec.europa.eu/en/news/eu-rules-general-purpose-ai-models-start-apply-bringing-more-transparency-safety-and-accountability" TargetMode="External"/><Relationship Id="rId92" Type="http://schemas.openxmlformats.org/officeDocument/2006/relationships/hyperlink" Target="https://doi.org/10.1016/j.jbusres.2025.115878" TargetMode="External"/><Relationship Id="rId2" Type="http://schemas.openxmlformats.org/officeDocument/2006/relationships/numbering" Target="numbering.xml"/><Relationship Id="rId29" Type="http://schemas.openxmlformats.org/officeDocument/2006/relationships/hyperlink" Target="https://doi.org/10.1007/s10209-014-0348-1" TargetMode="External"/><Relationship Id="rId24" Type="http://schemas.openxmlformats.org/officeDocument/2006/relationships/hyperlink" Target="https://doi.org/10.1186/s41039-017-0062-8" TargetMode="External"/><Relationship Id="rId40" Type="http://schemas.openxmlformats.org/officeDocument/2006/relationships/hyperlink" Target="https://doi.org/10.1002/job.322" TargetMode="External"/><Relationship Id="rId45" Type="http://schemas.openxmlformats.org/officeDocument/2006/relationships/hyperlink" Target="https://doi.org/10.3389/fpsyg.2020.590271" TargetMode="External"/><Relationship Id="rId66" Type="http://schemas.openxmlformats.org/officeDocument/2006/relationships/hyperlink" Target="https://static.waltonfamilyfoundation.org/73/0c/1a0017594d8eb3c0a667766ae914/wff-gallup-gsv-gen-z-2026-ai-report-final.pdf" TargetMode="External"/><Relationship Id="rId87" Type="http://schemas.openxmlformats.org/officeDocument/2006/relationships/hyperlink" Target="https://www.hepi.ac.uk/reports/student-generative-ai-survey-2026/" TargetMode="External"/><Relationship Id="rId110" Type="http://schemas.openxmlformats.org/officeDocument/2006/relationships/hyperlink" Target="https://www.gallup.com/workplace/349484/state-of-the-global-workplace.aspx" TargetMode="External"/><Relationship Id="rId115" Type="http://schemas.openxmlformats.org/officeDocument/2006/relationships/hyperlink" Target="https://doi.org/10.1108/TLO-01-2025-0021" TargetMode="External"/><Relationship Id="rId131" Type="http://schemas.openxmlformats.org/officeDocument/2006/relationships/hyperlink" Target="https://doi.org/10.1177/14413582251379090" TargetMode="External"/><Relationship Id="rId136" Type="http://schemas.openxmlformats.org/officeDocument/2006/relationships/footer" Target="footer2.xml"/><Relationship Id="rId61" Type="http://schemas.openxmlformats.org/officeDocument/2006/relationships/hyperlink" Target="https://doi.org/10.1016/j.jbusres.2025.115878" TargetMode="External"/><Relationship Id="rId82" Type="http://schemas.openxmlformats.org/officeDocument/2006/relationships/hyperlink" Target="https://doi.org/10.5465/amp.2007.24286164" TargetMode="External"/><Relationship Id="rId19" Type="http://schemas.openxmlformats.org/officeDocument/2006/relationships/hyperlink" Target="https://doi.org/10.1080/17482631.2025.2472460" TargetMode="External"/><Relationship Id="rId14" Type="http://schemas.openxmlformats.org/officeDocument/2006/relationships/hyperlink" Target="https://doi.org/10.1186/s41039-017-0062-8" TargetMode="External"/><Relationship Id="rId30" Type="http://schemas.openxmlformats.org/officeDocument/2006/relationships/hyperlink" Target="https://doi.org/10.1007/s10209-014-0348-1" TargetMode="External"/><Relationship Id="rId35" Type="http://schemas.openxmlformats.org/officeDocument/2006/relationships/hyperlink" Target="https://doi.org/10.2307/30036540" TargetMode="External"/><Relationship Id="rId56" Type="http://schemas.openxmlformats.org/officeDocument/2006/relationships/hyperlink" Target="https://doi.org/10.1177/14413582251379090" TargetMode="External"/><Relationship Id="rId77" Type="http://schemas.openxmlformats.org/officeDocument/2006/relationships/hyperlink" Target="https://doi.org/10.1207/S15327965PLI1104_01" TargetMode="External"/><Relationship Id="rId100" Type="http://schemas.openxmlformats.org/officeDocument/2006/relationships/hyperlink" Target="https://doi.org/10.1027/1866-5888/a000075" TargetMode="External"/><Relationship Id="rId105" Type="http://schemas.openxmlformats.org/officeDocument/2006/relationships/hyperlink" Target="https://www.ey.com/en_gl/insights/workforce/work-reimagined-survey" TargetMode="External"/><Relationship Id="rId126" Type="http://schemas.openxmlformats.org/officeDocument/2006/relationships/hyperlink" Target="https://doi.org/10.1108/10748120110424816" TargetMode="External"/><Relationship Id="rId8" Type="http://schemas.openxmlformats.org/officeDocument/2006/relationships/hyperlink" Target="https://doi.org/10.2307/249008" TargetMode="External"/><Relationship Id="rId51" Type="http://schemas.openxmlformats.org/officeDocument/2006/relationships/hyperlink" Target="https://www.cipd.org/en/knowledge/reports/flexible-hybrid-working/" TargetMode="External"/><Relationship Id="rId72" Type="http://schemas.openxmlformats.org/officeDocument/2006/relationships/hyperlink" Target="https://digital.nemko.com/insights/responsible-ai-framework-in-business" TargetMode="External"/><Relationship Id="rId93" Type="http://schemas.openxmlformats.org/officeDocument/2006/relationships/hyperlink" Target="https://hbr.org/2023/08/survey-remote-work-isnt-going-away-and-executives-know-it" TargetMode="External"/><Relationship Id="rId98" Type="http://schemas.openxmlformats.org/officeDocument/2006/relationships/hyperlink" Target="https://doi.org/10.3389/fpsyg.2020.590271" TargetMode="External"/><Relationship Id="rId121" Type="http://schemas.openxmlformats.org/officeDocument/2006/relationships/hyperlink" Target="https://doi.org/10.32996/jbms.2022.4.2.31" TargetMode="External"/><Relationship Id="rId3" Type="http://schemas.openxmlformats.org/officeDocument/2006/relationships/styles" Target="styles.xml"/><Relationship Id="rId25" Type="http://schemas.openxmlformats.org/officeDocument/2006/relationships/hyperlink" Target="https://doi.org/10.1186/s41039-017-0062-8" TargetMode="External"/><Relationship Id="rId46" Type="http://schemas.openxmlformats.org/officeDocument/2006/relationships/hyperlink" Target="https://doi.org/10.1007/978-3-031-81325-2_11" TargetMode="External"/><Relationship Id="rId67" Type="http://schemas.openxmlformats.org/officeDocument/2006/relationships/hyperlink" Target="https://news.gallup.com/poll/708224/gen-adoption-steady-skepticism-climbs.aspx" TargetMode="External"/><Relationship Id="rId116" Type="http://schemas.openxmlformats.org/officeDocument/2006/relationships/hyperlink" Target="https://doi.org/10.1016/j.im.2006.05.003" TargetMode="External"/><Relationship Id="rId137" Type="http://schemas.openxmlformats.org/officeDocument/2006/relationships/fontTable" Target="fontTable.xml"/><Relationship Id="rId20" Type="http://schemas.openxmlformats.org/officeDocument/2006/relationships/hyperlink" Target="https://doi.org/10.1207/S15327965PLI1104_01" TargetMode="External"/><Relationship Id="rId41" Type="http://schemas.openxmlformats.org/officeDocument/2006/relationships/hyperlink" Target="https://doi.org/10.1002/job.322" TargetMode="External"/><Relationship Id="rId62" Type="http://schemas.openxmlformats.org/officeDocument/2006/relationships/hyperlink" Target="https://doi.org/10.1002/(SICI)1099-1379(1998)19:1+%3c649::AID-JOB970%3e3.0.CO;2-T" TargetMode="External"/><Relationship Id="rId83" Type="http://schemas.openxmlformats.org/officeDocument/2006/relationships/hyperlink" Target="https://doi.org/10.1080/17482631.2025.2472460" TargetMode="External"/><Relationship Id="rId88" Type="http://schemas.openxmlformats.org/officeDocument/2006/relationships/hyperlink" Target="https://www.talentlms.com/research/ai-impact-gen-z-work-skills" TargetMode="External"/><Relationship Id="rId111" Type="http://schemas.openxmlformats.org/officeDocument/2006/relationships/hyperlink" Target="https://doi.org/10.1177/0149206314559946" TargetMode="External"/><Relationship Id="rId132" Type="http://schemas.openxmlformats.org/officeDocument/2006/relationships/hyperlink" Target="https://doi.org/10.1287/mnsc.46.2.186.11926" TargetMode="External"/><Relationship Id="rId15" Type="http://schemas.openxmlformats.org/officeDocument/2006/relationships/hyperlink" Target="https://doi.org/10.1186/s41039-017-0062-8" TargetMode="External"/><Relationship Id="rId36" Type="http://schemas.openxmlformats.org/officeDocument/2006/relationships/hyperlink" Target="https://doi.org/10.1207/S15327965PLI1104_01" TargetMode="External"/><Relationship Id="rId57" Type="http://schemas.openxmlformats.org/officeDocument/2006/relationships/hyperlink" Target="https://doi.org/10.1016/j.jbusres.2025.115878" TargetMode="External"/><Relationship Id="rId106" Type="http://schemas.openxmlformats.org/officeDocument/2006/relationships/hyperlink" Target="https://doi.org/10.1016/j.jik.2025.100852" TargetMode="External"/><Relationship Id="rId127" Type="http://schemas.openxmlformats.org/officeDocument/2006/relationships/hyperlink" Target="https://www.pwc.com/gx/en/issues/workforce/hopes-and-fears.html" TargetMode="External"/><Relationship Id="rId10" Type="http://schemas.openxmlformats.org/officeDocument/2006/relationships/hyperlink" Target="https://doi.org/10.1207/S15327965PLI1104_01" TargetMode="External"/><Relationship Id="rId31" Type="http://schemas.openxmlformats.org/officeDocument/2006/relationships/hyperlink" Target="https://doi.org/10.1016/j.im.2006.05.003" TargetMode="External"/><Relationship Id="rId52" Type="http://schemas.openxmlformats.org/officeDocument/2006/relationships/hyperlink" Target="https://www.gallup.com/workplace/349484/state-of-the-global-workplace.aspx" TargetMode="External"/><Relationship Id="rId73" Type="http://schemas.openxmlformats.org/officeDocument/2006/relationships/hyperlink" Target="https://www.ivanti.com/resources/research-reports/tech-at-work" TargetMode="External"/><Relationship Id="rId78" Type="http://schemas.openxmlformats.org/officeDocument/2006/relationships/hyperlink" Target="https://doi.org/10.2307/249008" TargetMode="External"/><Relationship Id="rId94" Type="http://schemas.openxmlformats.org/officeDocument/2006/relationships/hyperlink" Target="https://doi.org/10.1038/s41586-024-07500-2" TargetMode="External"/><Relationship Id="rId99" Type="http://schemas.openxmlformats.org/officeDocument/2006/relationships/hyperlink" Target="https://doi.org/10.1080/17482631.2025.2472460" TargetMode="External"/><Relationship Id="rId101" Type="http://schemas.openxmlformats.org/officeDocument/2006/relationships/hyperlink" Target="https://doi.org/10.2307/249008" TargetMode="External"/><Relationship Id="rId122" Type="http://schemas.openxmlformats.org/officeDocument/2006/relationships/hyperlink" Target="https://www.ons.gov.uk/employmentandlabourmarket/peopleinwork/employmentandemployeetypes/articles/whohasaccesstohybridworkingreatbritain/2025-06-11" TargetMode="External"/><Relationship Id="rId4" Type="http://schemas.openxmlformats.org/officeDocument/2006/relationships/settings" Target="settings.xml"/><Relationship Id="rId9" Type="http://schemas.openxmlformats.org/officeDocument/2006/relationships/hyperlink" Target="https://doi.org/10.1287/mnsc.46.2.186.11926" TargetMode="External"/><Relationship Id="rId26" Type="http://schemas.openxmlformats.org/officeDocument/2006/relationships/hyperlink" Target="https://www.ey.com/en_gl/insights/workforce/work-reimagined-survey" TargetMode="External"/><Relationship Id="rId47" Type="http://schemas.openxmlformats.org/officeDocument/2006/relationships/hyperlink" Target="https://doi.org/10.1108/02683940710733115" TargetMode="External"/><Relationship Id="rId68" Type="http://schemas.openxmlformats.org/officeDocument/2006/relationships/hyperlink" Target="https://doi.org/10.1108/10748120110424816" TargetMode="External"/><Relationship Id="rId89" Type="http://schemas.openxmlformats.org/officeDocument/2006/relationships/hyperlink" Target="https://www.talentlms.com/research/ai-impact-gen-z-work-skills" TargetMode="External"/><Relationship Id="rId112" Type="http://schemas.openxmlformats.org/officeDocument/2006/relationships/hyperlink" Target="https://doi.org/10.1002/(SICI)1099-1379(1998)19:1+%3c649::AID-JOB970%3e3.0.CO;2-T" TargetMode="External"/><Relationship Id="rId133" Type="http://schemas.openxmlformats.org/officeDocument/2006/relationships/hyperlink" Target="https://doi.org/10.2307/300365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28544</Words>
  <Characters>162703</Characters>
  <Application>Microsoft Office Word</Application>
  <DocSecurity>0</DocSecurity>
  <Lines>1355</Lines>
  <Paragraphs>381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190866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Students' Perceptions of Generative AI's Role in Hybrid Leadership and Employee Engagement: A Mixed-Methods Study of York St John University London Campus Students</dc:title>
  <dc:subject>Generative AI; hybrid leadership; employee engagement; technology acceptance; self-determination theory</dc:subject>
  <dc:creator>Chinedu Douglas Obi</dc:creator>
  <cp:keywords/>
  <dc:description>MRes thesis, Master of Research in Management Studies, York St John University, 2026.</dc:description>
  <cp:lastModifiedBy>CHINEDU OBI</cp:lastModifiedBy>
  <cp:revision>2</cp:revision>
  <dcterms:created xsi:type="dcterms:W3CDTF">2026-10-04T18:46:00Z</dcterms:created>
  <dcterms:modified xsi:type="dcterms:W3CDTF">2026-10-04T18:46:00Z</dcterms:modified>
  <cp:category>Thesis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c18dbb1d-2f6a-47c1-aa0b-45466806abbd</vt:lpwstr>
  </property>
</Properties>
</file>