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DF342" w14:textId="77777777" w:rsidR="00251A9F" w:rsidRPr="00251A9F" w:rsidRDefault="00251A9F" w:rsidP="00251A9F">
      <w:pPr>
        <w:spacing w:line="360" w:lineRule="auto"/>
        <w:jc w:val="center"/>
        <w:rPr>
          <w:rFonts w:ascii="Times New Roman" w:hAnsi="Times New Roman"/>
          <w:b/>
          <w:bCs/>
          <w:i/>
          <w:iCs/>
          <w:u w:val="single"/>
        </w:rPr>
      </w:pPr>
      <w:bookmarkStart w:id="0" w:name="_Hlk239594835"/>
      <w:r w:rsidRPr="00251A9F">
        <w:rPr>
          <w:rFonts w:ascii="Times New Roman" w:hAnsi="Times New Roman"/>
          <w:b/>
          <w:bCs/>
          <w:i/>
          <w:iCs/>
          <w:u w:val="single"/>
        </w:rPr>
        <w:t xml:space="preserve">Are Accountants Ready for Sustainability Reporting? </w:t>
      </w:r>
    </w:p>
    <w:p w14:paraId="1F7A0FE8" w14:textId="77777777" w:rsidR="00251A9F" w:rsidRDefault="00251A9F" w:rsidP="00251A9F">
      <w:pPr>
        <w:spacing w:line="360" w:lineRule="auto"/>
        <w:jc w:val="center"/>
        <w:rPr>
          <w:rFonts w:ascii="Times New Roman" w:hAnsi="Times New Roman"/>
          <w:b/>
          <w:bCs/>
          <w:i/>
          <w:iCs/>
          <w:u w:val="single"/>
        </w:rPr>
      </w:pPr>
      <w:r w:rsidRPr="00251A9F">
        <w:rPr>
          <w:rFonts w:ascii="Times New Roman" w:hAnsi="Times New Roman"/>
          <w:b/>
          <w:bCs/>
          <w:i/>
          <w:iCs/>
          <w:u w:val="single"/>
        </w:rPr>
        <w:t>Evidence from Pakistan</w:t>
      </w:r>
    </w:p>
    <w:bookmarkEnd w:id="0"/>
    <w:p w14:paraId="28C10476" w14:textId="77777777" w:rsidR="00251A9F" w:rsidRPr="00251A9F" w:rsidRDefault="00251A9F" w:rsidP="00251A9F">
      <w:pPr>
        <w:spacing w:line="360" w:lineRule="auto"/>
        <w:rPr>
          <w:rFonts w:ascii="Times New Roman" w:hAnsi="Times New Roman"/>
          <w:b/>
          <w:bCs/>
          <w:i/>
          <w:iCs/>
          <w:u w:val="single"/>
        </w:rPr>
      </w:pPr>
    </w:p>
    <w:p w14:paraId="0FD4D9CB" w14:textId="77777777" w:rsidR="00251A9F" w:rsidRDefault="00251A9F" w:rsidP="00251A9F">
      <w:pPr>
        <w:spacing w:line="360" w:lineRule="auto"/>
        <w:jc w:val="center"/>
        <w:rPr>
          <w:rFonts w:ascii="Times New Roman" w:hAnsi="Times New Roman"/>
          <w:b/>
          <w:bCs/>
          <w:u w:val="single"/>
        </w:rPr>
      </w:pPr>
      <w:r w:rsidRPr="00251A9F">
        <w:rPr>
          <w:rFonts w:ascii="Times New Roman" w:hAnsi="Times New Roman"/>
          <w:b/>
          <w:bCs/>
          <w:u w:val="single"/>
        </w:rPr>
        <w:t>ABSTRACT</w:t>
      </w:r>
    </w:p>
    <w:p w14:paraId="26D31B49" w14:textId="77777777" w:rsidR="00BB629C" w:rsidRPr="00251A9F" w:rsidRDefault="00BB629C" w:rsidP="00251A9F">
      <w:pPr>
        <w:spacing w:line="360" w:lineRule="auto"/>
        <w:jc w:val="center"/>
        <w:rPr>
          <w:rFonts w:ascii="Times New Roman" w:hAnsi="Times New Roman"/>
          <w:b/>
          <w:bCs/>
          <w:u w:val="single"/>
        </w:rPr>
      </w:pPr>
    </w:p>
    <w:p w14:paraId="5A7ED6F0" w14:textId="77777777" w:rsidR="00251A9F" w:rsidRPr="00251A9F" w:rsidRDefault="00251A9F" w:rsidP="00251A9F">
      <w:pPr>
        <w:spacing w:line="360" w:lineRule="auto"/>
        <w:rPr>
          <w:rFonts w:ascii="Times New Roman" w:hAnsi="Times New Roman"/>
        </w:rPr>
      </w:pPr>
      <w:r w:rsidRPr="00251A9F">
        <w:rPr>
          <w:rFonts w:ascii="Times New Roman" w:hAnsi="Times New Roman"/>
        </w:rPr>
        <w:t>Sustainability reporting is becoming an important part of the accounting profession, but there is limited research on how ready accountants in developing economies like Pakistan in reality feel to take on this responsibility. This study looked at accountants' readiness for sustainability reporting in Pakistan and tried to explain it using five factors: regulatory awareness, technical competence, perceived confidence, organisational support, and sustainability-specific training.</w:t>
      </w:r>
    </w:p>
    <w:p w14:paraId="173E4764" w14:textId="77777777" w:rsidR="00251A9F" w:rsidRPr="00251A9F" w:rsidRDefault="00251A9F" w:rsidP="00251A9F">
      <w:pPr>
        <w:spacing w:line="360" w:lineRule="auto"/>
        <w:rPr>
          <w:rFonts w:ascii="Times New Roman" w:hAnsi="Times New Roman"/>
        </w:rPr>
      </w:pPr>
      <w:r w:rsidRPr="00251A9F">
        <w:rPr>
          <w:rFonts w:ascii="Times New Roman" w:hAnsi="Times New Roman"/>
        </w:rPr>
        <w:t>A quantitative, cross-sectional survey was used to collect data from 54 professionals and trainee accountants in Pakistan. The data was analysed using Cronbach's Alpha, Spearman's correlation, multiple regression, and hierarchical regression, following a positivist, deductive approach.</w:t>
      </w:r>
    </w:p>
    <w:p w14:paraId="1BFCD475" w14:textId="3427B926" w:rsidR="00251A9F" w:rsidRPr="00251A9F" w:rsidRDefault="00251A9F" w:rsidP="00251A9F">
      <w:pPr>
        <w:spacing w:line="360" w:lineRule="auto"/>
        <w:rPr>
          <w:rFonts w:ascii="Times New Roman" w:hAnsi="Times New Roman"/>
        </w:rPr>
      </w:pPr>
      <w:r w:rsidRPr="00251A9F">
        <w:rPr>
          <w:rFonts w:ascii="Times New Roman" w:hAnsi="Times New Roman"/>
        </w:rPr>
        <w:t xml:space="preserve">The results showed that the regulatory awareness and technical competence were both significant predictors of readiness. Perceived confidence was related to readiness on its </w:t>
      </w:r>
      <w:proofErr w:type="gramStart"/>
      <w:r w:rsidRPr="00251A9F">
        <w:rPr>
          <w:rFonts w:ascii="Times New Roman" w:hAnsi="Times New Roman"/>
        </w:rPr>
        <w:t>own, but</w:t>
      </w:r>
      <w:proofErr w:type="gramEnd"/>
      <w:r w:rsidRPr="00251A9F">
        <w:rPr>
          <w:rFonts w:ascii="Times New Roman" w:hAnsi="Times New Roman"/>
        </w:rPr>
        <w:t xml:space="preserve"> lost its significance once technical competence was included in the model, most likely because the two overlapped closely in how respondents answered. Organisational support did not moderate the relationships tested as </w:t>
      </w:r>
      <w:proofErr w:type="gramStart"/>
      <w:r w:rsidRPr="00251A9F">
        <w:rPr>
          <w:rFonts w:ascii="Times New Roman" w:hAnsi="Times New Roman"/>
        </w:rPr>
        <w:t>expected, but</w:t>
      </w:r>
      <w:proofErr w:type="gramEnd"/>
      <w:r w:rsidRPr="00251A9F">
        <w:rPr>
          <w:rFonts w:ascii="Times New Roman" w:hAnsi="Times New Roman"/>
        </w:rPr>
        <w:t xml:space="preserve"> turned out to be the strongest direct predictor of readiness in the whole study. Sustainability-specific training showed no significant relationship with readiness at all.</w:t>
      </w:r>
    </w:p>
    <w:p w14:paraId="44AABBAB" w14:textId="620A3C7A" w:rsidR="00251A9F" w:rsidRPr="00251A9F" w:rsidRDefault="00251A9F" w:rsidP="00251A9F">
      <w:pPr>
        <w:spacing w:line="360" w:lineRule="auto"/>
        <w:rPr>
          <w:rFonts w:ascii="Times New Roman" w:hAnsi="Times New Roman"/>
        </w:rPr>
      </w:pPr>
      <w:r w:rsidRPr="00251A9F">
        <w:rPr>
          <w:rFonts w:ascii="Times New Roman" w:hAnsi="Times New Roman"/>
        </w:rPr>
        <w:t xml:space="preserve">Overall, the findings suggest that Pakistani accountants' readiness depends mostly on what they personally know and can do, and on the support their organisation provide, rather than on training or demographic factors such as age or experience. The study adds evidence from a developing-economy context that has not been generally studied </w:t>
      </w:r>
      <w:proofErr w:type="gramStart"/>
      <w:r w:rsidRPr="00251A9F">
        <w:rPr>
          <w:rFonts w:ascii="Times New Roman" w:hAnsi="Times New Roman"/>
        </w:rPr>
        <w:t>before, and</w:t>
      </w:r>
      <w:proofErr w:type="gramEnd"/>
      <w:r w:rsidRPr="00251A9F">
        <w:rPr>
          <w:rFonts w:ascii="Times New Roman" w:hAnsi="Times New Roman"/>
        </w:rPr>
        <w:t xml:space="preserve"> offers some practical suggestions for accounting professional bodies and employers in Pakistan. Limitations of the study, including its small sample size and cross-sectional design, are also discussed.</w:t>
      </w:r>
    </w:p>
    <w:p w14:paraId="7EA852DA" w14:textId="77777777" w:rsidR="00BB629C" w:rsidRDefault="00BB629C" w:rsidP="00251A9F">
      <w:pPr>
        <w:spacing w:line="360" w:lineRule="auto"/>
        <w:rPr>
          <w:rFonts w:ascii="Times New Roman" w:hAnsi="Times New Roman"/>
          <w:b/>
          <w:bCs/>
        </w:rPr>
      </w:pPr>
    </w:p>
    <w:p w14:paraId="0374B211" w14:textId="72F6BC72" w:rsidR="00251A9F" w:rsidRPr="00251A9F" w:rsidRDefault="00251A9F" w:rsidP="00251A9F">
      <w:pPr>
        <w:spacing w:line="360" w:lineRule="auto"/>
        <w:rPr>
          <w:rFonts w:ascii="Times New Roman" w:hAnsi="Times New Roman"/>
        </w:rPr>
      </w:pPr>
      <w:r w:rsidRPr="00251A9F">
        <w:rPr>
          <w:rFonts w:ascii="Times New Roman" w:hAnsi="Times New Roman"/>
          <w:b/>
          <w:bCs/>
        </w:rPr>
        <w:t>Keywords:</w:t>
      </w:r>
      <w:r w:rsidRPr="00251A9F">
        <w:rPr>
          <w:rFonts w:ascii="Times New Roman" w:hAnsi="Times New Roman"/>
        </w:rPr>
        <w:t xml:space="preserve"> sustainability reporting, accountants' readiness, regulatory awareness, technical competence, organisational support, Pakistan</w:t>
      </w:r>
    </w:p>
    <w:p w14:paraId="291DD877" w14:textId="77777777" w:rsidR="00251A9F" w:rsidRPr="00251A9F" w:rsidRDefault="00251A9F" w:rsidP="00251A9F">
      <w:pPr>
        <w:spacing w:line="360" w:lineRule="auto"/>
        <w:rPr>
          <w:rFonts w:ascii="Times New Roman" w:hAnsi="Times New Roman"/>
        </w:rPr>
      </w:pPr>
    </w:p>
    <w:p w14:paraId="79060739" w14:textId="77777777" w:rsidR="00251A9F" w:rsidRPr="00251A9F" w:rsidRDefault="00251A9F" w:rsidP="00251A9F">
      <w:pPr>
        <w:spacing w:line="360" w:lineRule="auto"/>
        <w:jc w:val="center"/>
        <w:rPr>
          <w:rFonts w:ascii="Times New Roman" w:hAnsi="Times New Roman"/>
          <w:b/>
          <w:bCs/>
          <w:u w:val="single"/>
        </w:rPr>
      </w:pPr>
      <w:r w:rsidRPr="00251A9F">
        <w:rPr>
          <w:rFonts w:ascii="Times New Roman" w:hAnsi="Times New Roman"/>
          <w:b/>
          <w:bCs/>
          <w:u w:val="single"/>
        </w:rPr>
        <w:t>TABLE OF CONTENTS</w:t>
      </w:r>
    </w:p>
    <w:p w14:paraId="7750062C" w14:textId="77777777" w:rsidR="00251A9F" w:rsidRPr="00251A9F" w:rsidRDefault="00251A9F" w:rsidP="00251A9F">
      <w:pPr>
        <w:spacing w:line="360" w:lineRule="auto"/>
        <w:rPr>
          <w:rFonts w:ascii="Times New Roman" w:hAnsi="Times New Roman"/>
        </w:rPr>
      </w:pPr>
    </w:p>
    <w:p w14:paraId="5409B88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List of Tables</w:t>
      </w:r>
    </w:p>
    <w:p w14:paraId="13F9C8B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List of Figures</w:t>
      </w:r>
    </w:p>
    <w:p w14:paraId="70963054"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List of Abbreviations</w:t>
      </w:r>
    </w:p>
    <w:p w14:paraId="4CC8FF8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CHAPTER 1: INTRODUCTION</w:t>
      </w:r>
    </w:p>
    <w:p w14:paraId="55FF9F01" w14:textId="77777777" w:rsidR="00251A9F" w:rsidRPr="00251A9F" w:rsidRDefault="00251A9F" w:rsidP="00251A9F">
      <w:pPr>
        <w:spacing w:line="360" w:lineRule="auto"/>
        <w:rPr>
          <w:rFonts w:ascii="Times New Roman" w:hAnsi="Times New Roman"/>
        </w:rPr>
      </w:pPr>
      <w:r w:rsidRPr="00251A9F">
        <w:rPr>
          <w:rFonts w:ascii="Times New Roman" w:hAnsi="Times New Roman"/>
        </w:rPr>
        <w:t>1.1 Introduction</w:t>
      </w:r>
    </w:p>
    <w:p w14:paraId="4A83D5B6" w14:textId="77777777" w:rsidR="00251A9F" w:rsidRPr="00251A9F" w:rsidRDefault="00251A9F" w:rsidP="00251A9F">
      <w:pPr>
        <w:spacing w:line="360" w:lineRule="auto"/>
        <w:rPr>
          <w:rFonts w:ascii="Times New Roman" w:hAnsi="Times New Roman"/>
        </w:rPr>
      </w:pPr>
      <w:r w:rsidRPr="00251A9F">
        <w:rPr>
          <w:rFonts w:ascii="Times New Roman" w:hAnsi="Times New Roman"/>
        </w:rPr>
        <w:t>1.2 Background of the Study</w:t>
      </w:r>
    </w:p>
    <w:p w14:paraId="3EAA739F" w14:textId="77777777" w:rsidR="00251A9F" w:rsidRPr="00251A9F" w:rsidRDefault="00251A9F" w:rsidP="00251A9F">
      <w:pPr>
        <w:spacing w:line="360" w:lineRule="auto"/>
        <w:rPr>
          <w:rFonts w:ascii="Times New Roman" w:hAnsi="Times New Roman"/>
        </w:rPr>
      </w:pPr>
      <w:r w:rsidRPr="00251A9F">
        <w:rPr>
          <w:rFonts w:ascii="Times New Roman" w:hAnsi="Times New Roman"/>
        </w:rPr>
        <w:t>1.3 Problem Statement</w:t>
      </w:r>
    </w:p>
    <w:p w14:paraId="2C225FB3" w14:textId="77777777" w:rsidR="00251A9F" w:rsidRPr="00251A9F" w:rsidRDefault="00251A9F" w:rsidP="00251A9F">
      <w:pPr>
        <w:spacing w:line="360" w:lineRule="auto"/>
        <w:rPr>
          <w:rFonts w:ascii="Times New Roman" w:hAnsi="Times New Roman"/>
        </w:rPr>
      </w:pPr>
      <w:r w:rsidRPr="00251A9F">
        <w:rPr>
          <w:rFonts w:ascii="Times New Roman" w:hAnsi="Times New Roman"/>
        </w:rPr>
        <w:t>1.4 Research Objectives and Research Questions</w:t>
      </w:r>
    </w:p>
    <w:p w14:paraId="3DBE0DB3" w14:textId="77777777" w:rsidR="00251A9F" w:rsidRPr="00251A9F" w:rsidRDefault="00251A9F" w:rsidP="00251A9F">
      <w:pPr>
        <w:spacing w:line="360" w:lineRule="auto"/>
        <w:rPr>
          <w:rFonts w:ascii="Times New Roman" w:hAnsi="Times New Roman"/>
        </w:rPr>
      </w:pPr>
      <w:r w:rsidRPr="00251A9F">
        <w:rPr>
          <w:rFonts w:ascii="Times New Roman" w:hAnsi="Times New Roman"/>
        </w:rPr>
        <w:t> 1.4.1 Research Objectives</w:t>
      </w:r>
    </w:p>
    <w:p w14:paraId="3F20644B" w14:textId="77777777" w:rsidR="00251A9F" w:rsidRPr="00251A9F" w:rsidRDefault="00251A9F" w:rsidP="00251A9F">
      <w:pPr>
        <w:spacing w:line="360" w:lineRule="auto"/>
        <w:rPr>
          <w:rFonts w:ascii="Times New Roman" w:hAnsi="Times New Roman"/>
        </w:rPr>
      </w:pPr>
      <w:r w:rsidRPr="00251A9F">
        <w:rPr>
          <w:rFonts w:ascii="Times New Roman" w:hAnsi="Times New Roman"/>
        </w:rPr>
        <w:t> 1.4.2 Research Questions</w:t>
      </w:r>
    </w:p>
    <w:p w14:paraId="58B46A09" w14:textId="77777777" w:rsidR="00251A9F" w:rsidRPr="00251A9F" w:rsidRDefault="00251A9F" w:rsidP="00251A9F">
      <w:pPr>
        <w:spacing w:line="360" w:lineRule="auto"/>
        <w:rPr>
          <w:rFonts w:ascii="Times New Roman" w:hAnsi="Times New Roman"/>
        </w:rPr>
      </w:pPr>
      <w:r w:rsidRPr="00251A9F">
        <w:rPr>
          <w:rFonts w:ascii="Times New Roman" w:hAnsi="Times New Roman"/>
        </w:rPr>
        <w:t>1.5 Rationale of the Study</w:t>
      </w:r>
    </w:p>
    <w:p w14:paraId="1C54BE7A" w14:textId="77777777" w:rsidR="00251A9F" w:rsidRPr="00251A9F" w:rsidRDefault="00251A9F" w:rsidP="00251A9F">
      <w:pPr>
        <w:spacing w:line="360" w:lineRule="auto"/>
        <w:rPr>
          <w:rFonts w:ascii="Times New Roman" w:hAnsi="Times New Roman"/>
        </w:rPr>
      </w:pPr>
      <w:r w:rsidRPr="00251A9F">
        <w:rPr>
          <w:rFonts w:ascii="Times New Roman" w:hAnsi="Times New Roman"/>
        </w:rPr>
        <w:t>1.6 Structure of the Report</w:t>
      </w:r>
    </w:p>
    <w:p w14:paraId="7A1C14AD" w14:textId="77777777" w:rsidR="00251A9F" w:rsidRPr="00251A9F" w:rsidRDefault="00251A9F" w:rsidP="00251A9F">
      <w:pPr>
        <w:spacing w:line="360" w:lineRule="auto"/>
        <w:rPr>
          <w:rFonts w:ascii="Times New Roman" w:hAnsi="Times New Roman"/>
        </w:rPr>
      </w:pPr>
      <w:r w:rsidRPr="00251A9F">
        <w:rPr>
          <w:rFonts w:ascii="Times New Roman" w:hAnsi="Times New Roman"/>
        </w:rPr>
        <w:t>1.7 Chapter Summary</w:t>
      </w:r>
    </w:p>
    <w:p w14:paraId="22522031"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CHAPTER 2: LITERATURE REVIEW</w:t>
      </w:r>
    </w:p>
    <w:p w14:paraId="43A9CEA5" w14:textId="77777777" w:rsidR="00251A9F" w:rsidRPr="00251A9F" w:rsidRDefault="00251A9F" w:rsidP="00251A9F">
      <w:pPr>
        <w:spacing w:line="360" w:lineRule="auto"/>
        <w:rPr>
          <w:rFonts w:ascii="Times New Roman" w:hAnsi="Times New Roman"/>
        </w:rPr>
      </w:pPr>
      <w:r w:rsidRPr="00251A9F">
        <w:rPr>
          <w:rFonts w:ascii="Times New Roman" w:hAnsi="Times New Roman"/>
        </w:rPr>
        <w:t>2.1 Introduction</w:t>
      </w:r>
    </w:p>
    <w:p w14:paraId="6469576C" w14:textId="77777777" w:rsidR="00251A9F" w:rsidRPr="00251A9F" w:rsidRDefault="00251A9F" w:rsidP="00251A9F">
      <w:pPr>
        <w:spacing w:line="360" w:lineRule="auto"/>
        <w:rPr>
          <w:rFonts w:ascii="Times New Roman" w:hAnsi="Times New Roman"/>
        </w:rPr>
      </w:pPr>
      <w:r w:rsidRPr="00251A9F">
        <w:rPr>
          <w:rFonts w:ascii="Times New Roman" w:hAnsi="Times New Roman"/>
        </w:rPr>
        <w:t>2.2 Sustainability Reporting: Overview, Context, and the Dependent Variable</w:t>
      </w:r>
    </w:p>
    <w:p w14:paraId="384BAF04" w14:textId="77777777" w:rsidR="00251A9F" w:rsidRPr="00251A9F" w:rsidRDefault="00251A9F" w:rsidP="00251A9F">
      <w:pPr>
        <w:spacing w:line="360" w:lineRule="auto"/>
        <w:rPr>
          <w:rFonts w:ascii="Times New Roman" w:hAnsi="Times New Roman"/>
        </w:rPr>
      </w:pPr>
      <w:r w:rsidRPr="00251A9F">
        <w:rPr>
          <w:rFonts w:ascii="Times New Roman" w:hAnsi="Times New Roman"/>
        </w:rPr>
        <w:t> 2.2.1 The Evolution of Sustainability Reporting</w:t>
      </w:r>
    </w:p>
    <w:p w14:paraId="4A85EBB1" w14:textId="77777777" w:rsidR="00251A9F" w:rsidRPr="00251A9F" w:rsidRDefault="00251A9F" w:rsidP="00251A9F">
      <w:pPr>
        <w:spacing w:line="360" w:lineRule="auto"/>
        <w:rPr>
          <w:rFonts w:ascii="Times New Roman" w:hAnsi="Times New Roman"/>
        </w:rPr>
      </w:pPr>
      <w:r w:rsidRPr="00251A9F">
        <w:rPr>
          <w:rFonts w:ascii="Times New Roman" w:hAnsi="Times New Roman"/>
        </w:rPr>
        <w:t> 2.2.2 The Regulatory and Institutional Context</w:t>
      </w:r>
    </w:p>
    <w:p w14:paraId="0EAFCAD5" w14:textId="77777777" w:rsidR="00251A9F" w:rsidRPr="00251A9F" w:rsidRDefault="00251A9F" w:rsidP="00251A9F">
      <w:pPr>
        <w:spacing w:line="360" w:lineRule="auto"/>
        <w:rPr>
          <w:rFonts w:ascii="Times New Roman" w:hAnsi="Times New Roman"/>
        </w:rPr>
      </w:pPr>
      <w:r w:rsidRPr="00251A9F">
        <w:rPr>
          <w:rFonts w:ascii="Times New Roman" w:hAnsi="Times New Roman"/>
        </w:rPr>
        <w:t> 2.2.3 Overall Readiness for Sustainability Reporting: The Dependent Variable</w:t>
      </w:r>
    </w:p>
    <w:p w14:paraId="09050594" w14:textId="77777777" w:rsidR="00251A9F" w:rsidRPr="00251A9F" w:rsidRDefault="00251A9F" w:rsidP="00251A9F">
      <w:pPr>
        <w:spacing w:line="360" w:lineRule="auto"/>
        <w:rPr>
          <w:rFonts w:ascii="Times New Roman" w:hAnsi="Times New Roman"/>
        </w:rPr>
      </w:pPr>
      <w:r w:rsidRPr="00251A9F">
        <w:rPr>
          <w:rFonts w:ascii="Times New Roman" w:hAnsi="Times New Roman"/>
        </w:rPr>
        <w:t>2.3 Regulatory Awareness – the Independent Variable</w:t>
      </w:r>
    </w:p>
    <w:p w14:paraId="20B3BB16" w14:textId="77777777" w:rsidR="00251A9F" w:rsidRPr="00251A9F" w:rsidRDefault="00251A9F" w:rsidP="00251A9F">
      <w:pPr>
        <w:spacing w:line="360" w:lineRule="auto"/>
        <w:rPr>
          <w:rFonts w:ascii="Times New Roman" w:hAnsi="Times New Roman"/>
        </w:rPr>
      </w:pPr>
      <w:r w:rsidRPr="00251A9F">
        <w:rPr>
          <w:rFonts w:ascii="Times New Roman" w:hAnsi="Times New Roman"/>
        </w:rPr>
        <w:t> 2.3.1 Conceptualisation and Definition</w:t>
      </w:r>
    </w:p>
    <w:p w14:paraId="2A1CF6F0" w14:textId="77777777" w:rsidR="00251A9F" w:rsidRPr="00251A9F" w:rsidRDefault="00251A9F" w:rsidP="00251A9F">
      <w:pPr>
        <w:spacing w:line="360" w:lineRule="auto"/>
        <w:rPr>
          <w:rFonts w:ascii="Times New Roman" w:hAnsi="Times New Roman"/>
        </w:rPr>
      </w:pPr>
      <w:r w:rsidRPr="00251A9F">
        <w:rPr>
          <w:rFonts w:ascii="Times New Roman" w:hAnsi="Times New Roman"/>
        </w:rPr>
        <w:t> 2.3.2 Theoretical Underpinning</w:t>
      </w:r>
    </w:p>
    <w:p w14:paraId="343A14A7" w14:textId="77777777" w:rsidR="00251A9F" w:rsidRPr="00251A9F" w:rsidRDefault="00251A9F" w:rsidP="00251A9F">
      <w:pPr>
        <w:spacing w:line="360" w:lineRule="auto"/>
        <w:rPr>
          <w:rFonts w:ascii="Times New Roman" w:hAnsi="Times New Roman"/>
        </w:rPr>
      </w:pPr>
      <w:r w:rsidRPr="00251A9F">
        <w:rPr>
          <w:rFonts w:ascii="Times New Roman" w:hAnsi="Times New Roman"/>
        </w:rPr>
        <w:t> 2.3.3 Empirical Evidence</w:t>
      </w:r>
    </w:p>
    <w:p w14:paraId="33371EBD" w14:textId="77777777" w:rsidR="00251A9F" w:rsidRPr="00251A9F" w:rsidRDefault="00251A9F" w:rsidP="00251A9F">
      <w:pPr>
        <w:spacing w:line="360" w:lineRule="auto"/>
        <w:rPr>
          <w:rFonts w:ascii="Times New Roman" w:hAnsi="Times New Roman"/>
        </w:rPr>
      </w:pPr>
      <w:r w:rsidRPr="00251A9F">
        <w:rPr>
          <w:rFonts w:ascii="Times New Roman" w:hAnsi="Times New Roman"/>
        </w:rPr>
        <w:t>2.4 Technical Competence – the Independent Variable</w:t>
      </w:r>
    </w:p>
    <w:p w14:paraId="64A30ADB" w14:textId="77777777" w:rsidR="00251A9F" w:rsidRPr="00251A9F" w:rsidRDefault="00251A9F" w:rsidP="00251A9F">
      <w:pPr>
        <w:spacing w:line="360" w:lineRule="auto"/>
        <w:rPr>
          <w:rFonts w:ascii="Times New Roman" w:hAnsi="Times New Roman"/>
        </w:rPr>
      </w:pPr>
      <w:r w:rsidRPr="00251A9F">
        <w:rPr>
          <w:rFonts w:ascii="Times New Roman" w:hAnsi="Times New Roman"/>
        </w:rPr>
        <w:t> 2.4.1 Conceptualisation and Definition</w:t>
      </w:r>
    </w:p>
    <w:p w14:paraId="5DE4575D" w14:textId="77777777" w:rsidR="00251A9F" w:rsidRPr="00251A9F" w:rsidRDefault="00251A9F" w:rsidP="00251A9F">
      <w:pPr>
        <w:spacing w:line="360" w:lineRule="auto"/>
        <w:rPr>
          <w:rFonts w:ascii="Times New Roman" w:hAnsi="Times New Roman"/>
        </w:rPr>
      </w:pPr>
      <w:r w:rsidRPr="00251A9F">
        <w:rPr>
          <w:rFonts w:ascii="Times New Roman" w:hAnsi="Times New Roman"/>
        </w:rPr>
        <w:t> 2.4.2 Theoretical Underpinning</w:t>
      </w:r>
    </w:p>
    <w:p w14:paraId="1BF86287" w14:textId="77777777" w:rsidR="00251A9F" w:rsidRPr="00251A9F" w:rsidRDefault="00251A9F" w:rsidP="00251A9F">
      <w:pPr>
        <w:spacing w:line="360" w:lineRule="auto"/>
        <w:rPr>
          <w:rFonts w:ascii="Times New Roman" w:hAnsi="Times New Roman"/>
        </w:rPr>
      </w:pPr>
      <w:r w:rsidRPr="00251A9F">
        <w:rPr>
          <w:rFonts w:ascii="Times New Roman" w:hAnsi="Times New Roman"/>
        </w:rPr>
        <w:t> 2.4.3 Empirical Evidence</w:t>
      </w:r>
    </w:p>
    <w:p w14:paraId="22E8A36C" w14:textId="77777777" w:rsidR="00251A9F" w:rsidRPr="00251A9F" w:rsidRDefault="00251A9F" w:rsidP="00251A9F">
      <w:pPr>
        <w:spacing w:line="360" w:lineRule="auto"/>
        <w:rPr>
          <w:rFonts w:ascii="Times New Roman" w:hAnsi="Times New Roman"/>
        </w:rPr>
      </w:pPr>
      <w:r w:rsidRPr="00251A9F">
        <w:rPr>
          <w:rFonts w:ascii="Times New Roman" w:hAnsi="Times New Roman"/>
        </w:rPr>
        <w:t>2.5 Perceived Confidence (Self-Efficacy) – the Independent Variable</w:t>
      </w:r>
    </w:p>
    <w:p w14:paraId="51D2198F" w14:textId="77777777" w:rsidR="00251A9F" w:rsidRPr="00251A9F" w:rsidRDefault="00251A9F" w:rsidP="00251A9F">
      <w:pPr>
        <w:spacing w:line="360" w:lineRule="auto"/>
        <w:rPr>
          <w:rFonts w:ascii="Times New Roman" w:hAnsi="Times New Roman"/>
        </w:rPr>
      </w:pPr>
      <w:r w:rsidRPr="00251A9F">
        <w:rPr>
          <w:rFonts w:ascii="Times New Roman" w:hAnsi="Times New Roman"/>
        </w:rPr>
        <w:t> 2.5.1 Conceptualisation and Definition</w:t>
      </w:r>
    </w:p>
    <w:p w14:paraId="042B6D0D" w14:textId="77777777" w:rsidR="00251A9F" w:rsidRPr="00251A9F" w:rsidRDefault="00251A9F" w:rsidP="00251A9F">
      <w:pPr>
        <w:spacing w:line="360" w:lineRule="auto"/>
        <w:rPr>
          <w:rFonts w:ascii="Times New Roman" w:hAnsi="Times New Roman"/>
        </w:rPr>
      </w:pPr>
      <w:r w:rsidRPr="00251A9F">
        <w:rPr>
          <w:rFonts w:ascii="Times New Roman" w:hAnsi="Times New Roman"/>
        </w:rPr>
        <w:t> 2.5.2 Theoretical Underpinning</w:t>
      </w:r>
    </w:p>
    <w:p w14:paraId="110346FE" w14:textId="77777777" w:rsidR="00251A9F" w:rsidRPr="00251A9F" w:rsidRDefault="00251A9F" w:rsidP="00251A9F">
      <w:pPr>
        <w:spacing w:line="360" w:lineRule="auto"/>
        <w:rPr>
          <w:rFonts w:ascii="Times New Roman" w:hAnsi="Times New Roman"/>
        </w:rPr>
      </w:pPr>
      <w:r w:rsidRPr="00251A9F">
        <w:rPr>
          <w:rFonts w:ascii="Times New Roman" w:hAnsi="Times New Roman"/>
        </w:rPr>
        <w:t> 2.5.3 Empirical Evidence</w:t>
      </w:r>
    </w:p>
    <w:p w14:paraId="45C74BC0" w14:textId="77777777" w:rsidR="00251A9F" w:rsidRPr="00251A9F" w:rsidRDefault="00251A9F" w:rsidP="00251A9F">
      <w:pPr>
        <w:spacing w:line="360" w:lineRule="auto"/>
        <w:rPr>
          <w:rFonts w:ascii="Times New Roman" w:hAnsi="Times New Roman"/>
        </w:rPr>
      </w:pPr>
      <w:r w:rsidRPr="00251A9F">
        <w:rPr>
          <w:rFonts w:ascii="Times New Roman" w:hAnsi="Times New Roman"/>
        </w:rPr>
        <w:t>2.6 Organisational Support for Sustainability – the Moderator</w:t>
      </w:r>
    </w:p>
    <w:p w14:paraId="09B1D78D" w14:textId="77777777" w:rsidR="00251A9F" w:rsidRPr="00251A9F" w:rsidRDefault="00251A9F" w:rsidP="00251A9F">
      <w:pPr>
        <w:spacing w:line="360" w:lineRule="auto"/>
        <w:rPr>
          <w:rFonts w:ascii="Times New Roman" w:hAnsi="Times New Roman"/>
        </w:rPr>
      </w:pPr>
      <w:r w:rsidRPr="00251A9F">
        <w:rPr>
          <w:rFonts w:ascii="Times New Roman" w:hAnsi="Times New Roman"/>
        </w:rPr>
        <w:t> 2.6.1 Conceptualisation and Definition</w:t>
      </w:r>
    </w:p>
    <w:p w14:paraId="06A6E4B0"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 2.6.2 Theoretical Underpinning</w:t>
      </w:r>
    </w:p>
    <w:p w14:paraId="4B9FEAB6" w14:textId="77777777" w:rsidR="00251A9F" w:rsidRPr="00251A9F" w:rsidRDefault="00251A9F" w:rsidP="00251A9F">
      <w:pPr>
        <w:spacing w:line="360" w:lineRule="auto"/>
        <w:rPr>
          <w:rFonts w:ascii="Times New Roman" w:hAnsi="Times New Roman"/>
        </w:rPr>
      </w:pPr>
      <w:r w:rsidRPr="00251A9F">
        <w:rPr>
          <w:rFonts w:ascii="Times New Roman" w:hAnsi="Times New Roman"/>
        </w:rPr>
        <w:t> 2.6.3 Empirical Evidence</w:t>
      </w:r>
    </w:p>
    <w:p w14:paraId="50FC197D" w14:textId="77777777" w:rsidR="00251A9F" w:rsidRPr="00251A9F" w:rsidRDefault="00251A9F" w:rsidP="00251A9F">
      <w:pPr>
        <w:spacing w:line="360" w:lineRule="auto"/>
        <w:rPr>
          <w:rFonts w:ascii="Times New Roman" w:hAnsi="Times New Roman"/>
        </w:rPr>
      </w:pPr>
      <w:r w:rsidRPr="00251A9F">
        <w:rPr>
          <w:rFonts w:ascii="Times New Roman" w:hAnsi="Times New Roman"/>
        </w:rPr>
        <w:t>2.7 Sustainability-Specific Training – the Moderator</w:t>
      </w:r>
    </w:p>
    <w:p w14:paraId="726AB449" w14:textId="77777777" w:rsidR="00251A9F" w:rsidRPr="00251A9F" w:rsidRDefault="00251A9F" w:rsidP="00251A9F">
      <w:pPr>
        <w:spacing w:line="360" w:lineRule="auto"/>
        <w:rPr>
          <w:rFonts w:ascii="Times New Roman" w:hAnsi="Times New Roman"/>
        </w:rPr>
      </w:pPr>
      <w:r w:rsidRPr="00251A9F">
        <w:rPr>
          <w:rFonts w:ascii="Times New Roman" w:hAnsi="Times New Roman"/>
        </w:rPr>
        <w:t> 2.7.1 Conceptualisation and Definition</w:t>
      </w:r>
    </w:p>
    <w:p w14:paraId="02935999" w14:textId="77777777" w:rsidR="00251A9F" w:rsidRPr="00251A9F" w:rsidRDefault="00251A9F" w:rsidP="00251A9F">
      <w:pPr>
        <w:spacing w:line="360" w:lineRule="auto"/>
        <w:rPr>
          <w:rFonts w:ascii="Times New Roman" w:hAnsi="Times New Roman"/>
        </w:rPr>
      </w:pPr>
      <w:r w:rsidRPr="00251A9F">
        <w:rPr>
          <w:rFonts w:ascii="Times New Roman" w:hAnsi="Times New Roman"/>
        </w:rPr>
        <w:t> 2.7.2 Theoretical Underpinning</w:t>
      </w:r>
    </w:p>
    <w:p w14:paraId="69E0E678" w14:textId="77777777" w:rsidR="00251A9F" w:rsidRPr="00251A9F" w:rsidRDefault="00251A9F" w:rsidP="00251A9F">
      <w:pPr>
        <w:spacing w:line="360" w:lineRule="auto"/>
        <w:rPr>
          <w:rFonts w:ascii="Times New Roman" w:hAnsi="Times New Roman"/>
        </w:rPr>
      </w:pPr>
      <w:r w:rsidRPr="00251A9F">
        <w:rPr>
          <w:rFonts w:ascii="Times New Roman" w:hAnsi="Times New Roman"/>
        </w:rPr>
        <w:t> 2.7.3 Empirical Evidence</w:t>
      </w:r>
    </w:p>
    <w:p w14:paraId="73F68A05" w14:textId="77777777" w:rsidR="00251A9F" w:rsidRPr="00251A9F" w:rsidRDefault="00251A9F" w:rsidP="00251A9F">
      <w:pPr>
        <w:spacing w:line="360" w:lineRule="auto"/>
        <w:rPr>
          <w:rFonts w:ascii="Times New Roman" w:hAnsi="Times New Roman"/>
        </w:rPr>
      </w:pPr>
      <w:r w:rsidRPr="00251A9F">
        <w:rPr>
          <w:rFonts w:ascii="Times New Roman" w:hAnsi="Times New Roman"/>
        </w:rPr>
        <w:t>2.8 Context of Developing Economies and Pakistan</w:t>
      </w:r>
    </w:p>
    <w:p w14:paraId="5419DF65" w14:textId="77777777" w:rsidR="00251A9F" w:rsidRPr="00251A9F" w:rsidRDefault="00251A9F" w:rsidP="00251A9F">
      <w:pPr>
        <w:spacing w:line="360" w:lineRule="auto"/>
        <w:rPr>
          <w:rFonts w:ascii="Times New Roman" w:hAnsi="Times New Roman"/>
        </w:rPr>
      </w:pPr>
      <w:r w:rsidRPr="00251A9F">
        <w:rPr>
          <w:rFonts w:ascii="Times New Roman" w:hAnsi="Times New Roman"/>
        </w:rPr>
        <w:t>2.9 Literature Gap</w:t>
      </w:r>
    </w:p>
    <w:p w14:paraId="7F9C1003" w14:textId="77777777" w:rsidR="00251A9F" w:rsidRPr="00251A9F" w:rsidRDefault="00251A9F" w:rsidP="00251A9F">
      <w:pPr>
        <w:spacing w:line="360" w:lineRule="auto"/>
        <w:rPr>
          <w:rFonts w:ascii="Times New Roman" w:hAnsi="Times New Roman"/>
        </w:rPr>
      </w:pPr>
      <w:r w:rsidRPr="00251A9F">
        <w:rPr>
          <w:rFonts w:ascii="Times New Roman" w:hAnsi="Times New Roman"/>
        </w:rPr>
        <w:t>2.10 An Integrated Theoretical Framework and Hypothesis Development</w:t>
      </w:r>
    </w:p>
    <w:p w14:paraId="211F39A1" w14:textId="77777777" w:rsidR="00251A9F" w:rsidRPr="00251A9F" w:rsidRDefault="00251A9F" w:rsidP="00251A9F">
      <w:pPr>
        <w:spacing w:line="360" w:lineRule="auto"/>
        <w:rPr>
          <w:rFonts w:ascii="Times New Roman" w:hAnsi="Times New Roman"/>
        </w:rPr>
      </w:pPr>
      <w:r w:rsidRPr="00251A9F">
        <w:rPr>
          <w:rFonts w:ascii="Times New Roman" w:hAnsi="Times New Roman"/>
        </w:rPr>
        <w:t>2.11 Chapter Summary</w:t>
      </w:r>
    </w:p>
    <w:p w14:paraId="45F296C0"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CHAPTER 3: RESEARCH METHODOLOGY</w:t>
      </w:r>
    </w:p>
    <w:p w14:paraId="068E259C" w14:textId="77777777" w:rsidR="00251A9F" w:rsidRPr="00251A9F" w:rsidRDefault="00251A9F" w:rsidP="00251A9F">
      <w:pPr>
        <w:spacing w:line="360" w:lineRule="auto"/>
        <w:rPr>
          <w:rFonts w:ascii="Times New Roman" w:hAnsi="Times New Roman"/>
        </w:rPr>
      </w:pPr>
      <w:r w:rsidRPr="00251A9F">
        <w:rPr>
          <w:rFonts w:ascii="Times New Roman" w:hAnsi="Times New Roman"/>
        </w:rPr>
        <w:t>3.1 Introduction</w:t>
      </w:r>
    </w:p>
    <w:p w14:paraId="16458DB1" w14:textId="77777777" w:rsidR="00251A9F" w:rsidRPr="00251A9F" w:rsidRDefault="00251A9F" w:rsidP="00251A9F">
      <w:pPr>
        <w:spacing w:line="360" w:lineRule="auto"/>
        <w:rPr>
          <w:rFonts w:ascii="Times New Roman" w:hAnsi="Times New Roman"/>
        </w:rPr>
      </w:pPr>
      <w:r w:rsidRPr="00251A9F">
        <w:rPr>
          <w:rFonts w:ascii="Times New Roman" w:hAnsi="Times New Roman"/>
        </w:rPr>
        <w:t>3.2 Operational Definitions of Each Variable</w:t>
      </w:r>
    </w:p>
    <w:p w14:paraId="055985BD" w14:textId="77777777" w:rsidR="00251A9F" w:rsidRPr="00251A9F" w:rsidRDefault="00251A9F" w:rsidP="00251A9F">
      <w:pPr>
        <w:spacing w:line="360" w:lineRule="auto"/>
        <w:rPr>
          <w:rFonts w:ascii="Times New Roman" w:hAnsi="Times New Roman"/>
        </w:rPr>
      </w:pPr>
      <w:r w:rsidRPr="00251A9F">
        <w:rPr>
          <w:rFonts w:ascii="Times New Roman" w:hAnsi="Times New Roman"/>
        </w:rPr>
        <w:t>3.3 Research Model</w:t>
      </w:r>
    </w:p>
    <w:p w14:paraId="566C4D3F" w14:textId="77777777" w:rsidR="00251A9F" w:rsidRPr="00251A9F" w:rsidRDefault="00251A9F" w:rsidP="00251A9F">
      <w:pPr>
        <w:spacing w:line="360" w:lineRule="auto"/>
        <w:rPr>
          <w:rFonts w:ascii="Times New Roman" w:hAnsi="Times New Roman"/>
        </w:rPr>
      </w:pPr>
      <w:r w:rsidRPr="00251A9F">
        <w:rPr>
          <w:rFonts w:ascii="Times New Roman" w:hAnsi="Times New Roman"/>
        </w:rPr>
        <w:t>3.4 Research Design</w:t>
      </w:r>
    </w:p>
    <w:p w14:paraId="13DC3C76" w14:textId="77777777" w:rsidR="00251A9F" w:rsidRPr="00251A9F" w:rsidRDefault="00251A9F" w:rsidP="00251A9F">
      <w:pPr>
        <w:spacing w:line="360" w:lineRule="auto"/>
        <w:rPr>
          <w:rFonts w:ascii="Times New Roman" w:hAnsi="Times New Roman"/>
        </w:rPr>
      </w:pPr>
      <w:r w:rsidRPr="00251A9F">
        <w:rPr>
          <w:rFonts w:ascii="Times New Roman" w:hAnsi="Times New Roman"/>
        </w:rPr>
        <w:t>3.5 Research Philosophy</w:t>
      </w:r>
    </w:p>
    <w:p w14:paraId="030834CA" w14:textId="77777777" w:rsidR="00251A9F" w:rsidRPr="00251A9F" w:rsidRDefault="00251A9F" w:rsidP="00251A9F">
      <w:pPr>
        <w:spacing w:line="360" w:lineRule="auto"/>
        <w:rPr>
          <w:rFonts w:ascii="Times New Roman" w:hAnsi="Times New Roman"/>
        </w:rPr>
      </w:pPr>
      <w:r w:rsidRPr="00251A9F">
        <w:rPr>
          <w:rFonts w:ascii="Times New Roman" w:hAnsi="Times New Roman"/>
        </w:rPr>
        <w:t>3.6 Research Approach</w:t>
      </w:r>
    </w:p>
    <w:p w14:paraId="6CDDEC84" w14:textId="77777777" w:rsidR="00251A9F" w:rsidRPr="00251A9F" w:rsidRDefault="00251A9F" w:rsidP="00251A9F">
      <w:pPr>
        <w:spacing w:line="360" w:lineRule="auto"/>
        <w:rPr>
          <w:rFonts w:ascii="Times New Roman" w:hAnsi="Times New Roman"/>
        </w:rPr>
      </w:pPr>
      <w:r w:rsidRPr="00251A9F">
        <w:rPr>
          <w:rFonts w:ascii="Times New Roman" w:hAnsi="Times New Roman"/>
        </w:rPr>
        <w:t>3.7 Sampling Technique, Sample Size, and Unit of Analysis</w:t>
      </w:r>
    </w:p>
    <w:p w14:paraId="18C77A92" w14:textId="77777777" w:rsidR="00251A9F" w:rsidRPr="00251A9F" w:rsidRDefault="00251A9F" w:rsidP="00251A9F">
      <w:pPr>
        <w:spacing w:line="360" w:lineRule="auto"/>
        <w:rPr>
          <w:rFonts w:ascii="Times New Roman" w:hAnsi="Times New Roman"/>
        </w:rPr>
      </w:pPr>
      <w:r w:rsidRPr="00251A9F">
        <w:rPr>
          <w:rFonts w:ascii="Times New Roman" w:hAnsi="Times New Roman"/>
        </w:rPr>
        <w:t>3.8 Research Methodology</w:t>
      </w:r>
    </w:p>
    <w:p w14:paraId="37B5EBC3" w14:textId="77777777" w:rsidR="00251A9F" w:rsidRPr="00251A9F" w:rsidRDefault="00251A9F" w:rsidP="00251A9F">
      <w:pPr>
        <w:spacing w:line="360" w:lineRule="auto"/>
        <w:rPr>
          <w:rFonts w:ascii="Times New Roman" w:hAnsi="Times New Roman"/>
        </w:rPr>
      </w:pPr>
      <w:r w:rsidRPr="00251A9F">
        <w:rPr>
          <w:rFonts w:ascii="Times New Roman" w:hAnsi="Times New Roman"/>
        </w:rPr>
        <w:t>3.9 Ethical Considerations</w:t>
      </w:r>
    </w:p>
    <w:p w14:paraId="59225E92" w14:textId="77777777" w:rsidR="00251A9F" w:rsidRPr="00251A9F" w:rsidRDefault="00251A9F" w:rsidP="00251A9F">
      <w:pPr>
        <w:spacing w:line="360" w:lineRule="auto"/>
        <w:rPr>
          <w:rFonts w:ascii="Times New Roman" w:hAnsi="Times New Roman"/>
        </w:rPr>
      </w:pPr>
      <w:r w:rsidRPr="00251A9F">
        <w:rPr>
          <w:rFonts w:ascii="Times New Roman" w:hAnsi="Times New Roman"/>
        </w:rPr>
        <w:t>3.10 Chapter Summary</w:t>
      </w:r>
    </w:p>
    <w:p w14:paraId="1692F2D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CHAPTER 4: RESULTS</w:t>
      </w:r>
    </w:p>
    <w:p w14:paraId="1E7BCA60" w14:textId="77777777" w:rsidR="00251A9F" w:rsidRPr="00251A9F" w:rsidRDefault="00251A9F" w:rsidP="00251A9F">
      <w:pPr>
        <w:spacing w:line="360" w:lineRule="auto"/>
        <w:rPr>
          <w:rFonts w:ascii="Times New Roman" w:hAnsi="Times New Roman"/>
        </w:rPr>
      </w:pPr>
      <w:r w:rsidRPr="00251A9F">
        <w:rPr>
          <w:rFonts w:ascii="Times New Roman" w:hAnsi="Times New Roman"/>
        </w:rPr>
        <w:t>4.1 Introduction</w:t>
      </w:r>
    </w:p>
    <w:p w14:paraId="0E0F804C" w14:textId="77777777" w:rsidR="00251A9F" w:rsidRPr="00251A9F" w:rsidRDefault="00251A9F" w:rsidP="00251A9F">
      <w:pPr>
        <w:spacing w:line="360" w:lineRule="auto"/>
        <w:rPr>
          <w:rFonts w:ascii="Times New Roman" w:hAnsi="Times New Roman"/>
        </w:rPr>
      </w:pPr>
      <w:r w:rsidRPr="00251A9F">
        <w:rPr>
          <w:rFonts w:ascii="Times New Roman" w:hAnsi="Times New Roman"/>
        </w:rPr>
        <w:t>4.2 Reliability of the Measurement Scales</w:t>
      </w:r>
    </w:p>
    <w:p w14:paraId="03B998AA" w14:textId="77777777" w:rsidR="00251A9F" w:rsidRPr="00251A9F" w:rsidRDefault="00251A9F" w:rsidP="00251A9F">
      <w:pPr>
        <w:spacing w:line="360" w:lineRule="auto"/>
        <w:rPr>
          <w:rFonts w:ascii="Times New Roman" w:hAnsi="Times New Roman"/>
        </w:rPr>
      </w:pPr>
      <w:r w:rsidRPr="00251A9F">
        <w:rPr>
          <w:rFonts w:ascii="Times New Roman" w:hAnsi="Times New Roman"/>
        </w:rPr>
        <w:t>4.3 Demographic Profile of Respondents</w:t>
      </w:r>
    </w:p>
    <w:p w14:paraId="022255F4" w14:textId="77777777" w:rsidR="00251A9F" w:rsidRPr="00251A9F" w:rsidRDefault="00251A9F" w:rsidP="00251A9F">
      <w:pPr>
        <w:spacing w:line="360" w:lineRule="auto"/>
        <w:rPr>
          <w:rFonts w:ascii="Times New Roman" w:hAnsi="Times New Roman"/>
        </w:rPr>
      </w:pPr>
      <w:r w:rsidRPr="00251A9F">
        <w:rPr>
          <w:rFonts w:ascii="Times New Roman" w:hAnsi="Times New Roman"/>
        </w:rPr>
        <w:t>4.4 Descriptive Statistics for Study Variables</w:t>
      </w:r>
    </w:p>
    <w:p w14:paraId="7A481AD9" w14:textId="77777777" w:rsidR="00251A9F" w:rsidRPr="00251A9F" w:rsidRDefault="00251A9F" w:rsidP="00251A9F">
      <w:pPr>
        <w:spacing w:line="360" w:lineRule="auto"/>
        <w:rPr>
          <w:rFonts w:ascii="Times New Roman" w:hAnsi="Times New Roman"/>
        </w:rPr>
      </w:pPr>
      <w:r w:rsidRPr="00251A9F">
        <w:rPr>
          <w:rFonts w:ascii="Times New Roman" w:hAnsi="Times New Roman"/>
        </w:rPr>
        <w:t>4.5 Test of Normality</w:t>
      </w:r>
    </w:p>
    <w:p w14:paraId="3B3AF34A" w14:textId="77777777" w:rsidR="00251A9F" w:rsidRPr="00251A9F" w:rsidRDefault="00251A9F" w:rsidP="00251A9F">
      <w:pPr>
        <w:spacing w:line="360" w:lineRule="auto"/>
        <w:rPr>
          <w:rFonts w:ascii="Times New Roman" w:hAnsi="Times New Roman"/>
        </w:rPr>
      </w:pPr>
      <w:r w:rsidRPr="00251A9F">
        <w:rPr>
          <w:rFonts w:ascii="Times New Roman" w:hAnsi="Times New Roman"/>
        </w:rPr>
        <w:t>4.6 Correlation Analysis</w:t>
      </w:r>
    </w:p>
    <w:p w14:paraId="5F944369" w14:textId="77777777" w:rsidR="00251A9F" w:rsidRPr="00251A9F" w:rsidRDefault="00251A9F" w:rsidP="00251A9F">
      <w:pPr>
        <w:spacing w:line="360" w:lineRule="auto"/>
        <w:rPr>
          <w:rFonts w:ascii="Times New Roman" w:hAnsi="Times New Roman"/>
        </w:rPr>
      </w:pPr>
      <w:r w:rsidRPr="00251A9F">
        <w:rPr>
          <w:rFonts w:ascii="Times New Roman" w:hAnsi="Times New Roman"/>
        </w:rPr>
        <w:t>4.7 Multiple Regression Analysis</w:t>
      </w:r>
    </w:p>
    <w:p w14:paraId="55EAF1B4" w14:textId="77777777" w:rsidR="00251A9F" w:rsidRPr="00251A9F" w:rsidRDefault="00251A9F" w:rsidP="00251A9F">
      <w:pPr>
        <w:spacing w:line="360" w:lineRule="auto"/>
        <w:rPr>
          <w:rFonts w:ascii="Times New Roman" w:hAnsi="Times New Roman"/>
        </w:rPr>
      </w:pPr>
      <w:r w:rsidRPr="00251A9F">
        <w:rPr>
          <w:rFonts w:ascii="Times New Roman" w:hAnsi="Times New Roman"/>
        </w:rPr>
        <w:t>4.8 Hierarchical Regression Analysis</w:t>
      </w:r>
    </w:p>
    <w:p w14:paraId="31476913" w14:textId="77777777" w:rsidR="00251A9F" w:rsidRPr="00251A9F" w:rsidRDefault="00251A9F" w:rsidP="00251A9F">
      <w:pPr>
        <w:spacing w:line="360" w:lineRule="auto"/>
        <w:rPr>
          <w:rFonts w:ascii="Times New Roman" w:hAnsi="Times New Roman"/>
        </w:rPr>
      </w:pPr>
      <w:r w:rsidRPr="00251A9F">
        <w:rPr>
          <w:rFonts w:ascii="Times New Roman" w:hAnsi="Times New Roman"/>
        </w:rPr>
        <w:t>4.9 Non-Parametric Group Comparisons</w:t>
      </w:r>
    </w:p>
    <w:p w14:paraId="1B96B9D9" w14:textId="77777777" w:rsidR="00251A9F" w:rsidRPr="00251A9F" w:rsidRDefault="00251A9F" w:rsidP="00251A9F">
      <w:pPr>
        <w:spacing w:line="360" w:lineRule="auto"/>
        <w:rPr>
          <w:rFonts w:ascii="Times New Roman" w:hAnsi="Times New Roman"/>
        </w:rPr>
      </w:pPr>
      <w:r w:rsidRPr="00251A9F">
        <w:rPr>
          <w:rFonts w:ascii="Times New Roman" w:hAnsi="Times New Roman"/>
        </w:rPr>
        <w:t>4.10 Hypothesis Testing</w:t>
      </w:r>
    </w:p>
    <w:p w14:paraId="0064794D" w14:textId="77777777" w:rsidR="00251A9F" w:rsidRPr="00251A9F" w:rsidRDefault="00251A9F" w:rsidP="00251A9F">
      <w:pPr>
        <w:spacing w:line="360" w:lineRule="auto"/>
        <w:rPr>
          <w:rFonts w:ascii="Times New Roman" w:hAnsi="Times New Roman"/>
        </w:rPr>
      </w:pPr>
      <w:r w:rsidRPr="00251A9F">
        <w:rPr>
          <w:rFonts w:ascii="Times New Roman" w:hAnsi="Times New Roman"/>
        </w:rPr>
        <w:t>4.11 Summary of Findings</w:t>
      </w:r>
    </w:p>
    <w:p w14:paraId="298E2CAE" w14:textId="77777777" w:rsidR="00251A9F" w:rsidRPr="00251A9F" w:rsidRDefault="00251A9F" w:rsidP="00251A9F">
      <w:pPr>
        <w:spacing w:line="360" w:lineRule="auto"/>
        <w:rPr>
          <w:rFonts w:ascii="Times New Roman" w:hAnsi="Times New Roman"/>
        </w:rPr>
      </w:pPr>
      <w:r w:rsidRPr="00251A9F">
        <w:rPr>
          <w:rFonts w:ascii="Times New Roman" w:hAnsi="Times New Roman"/>
        </w:rPr>
        <w:t>4.12 Chapter Summary</w:t>
      </w:r>
    </w:p>
    <w:p w14:paraId="4E54E168"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lastRenderedPageBreak/>
        <w:t>CHAPTER 5: DISCUSSION</w:t>
      </w:r>
    </w:p>
    <w:p w14:paraId="295844F9" w14:textId="77777777" w:rsidR="00251A9F" w:rsidRPr="00251A9F" w:rsidRDefault="00251A9F" w:rsidP="00251A9F">
      <w:pPr>
        <w:spacing w:line="360" w:lineRule="auto"/>
        <w:rPr>
          <w:rFonts w:ascii="Times New Roman" w:hAnsi="Times New Roman"/>
        </w:rPr>
      </w:pPr>
      <w:r w:rsidRPr="00251A9F">
        <w:rPr>
          <w:rFonts w:ascii="Times New Roman" w:hAnsi="Times New Roman"/>
        </w:rPr>
        <w:t>5.1 Introduction</w:t>
      </w:r>
    </w:p>
    <w:p w14:paraId="3A5AD767" w14:textId="77777777" w:rsidR="00251A9F" w:rsidRPr="00251A9F" w:rsidRDefault="00251A9F" w:rsidP="00251A9F">
      <w:pPr>
        <w:spacing w:line="360" w:lineRule="auto"/>
        <w:rPr>
          <w:rFonts w:ascii="Times New Roman" w:hAnsi="Times New Roman"/>
        </w:rPr>
      </w:pPr>
      <w:r w:rsidRPr="00251A9F">
        <w:rPr>
          <w:rFonts w:ascii="Times New Roman" w:hAnsi="Times New Roman"/>
        </w:rPr>
        <w:t>5.2 Regulatory Awareness and Overall Readiness (H1)</w:t>
      </w:r>
    </w:p>
    <w:p w14:paraId="4A06672E" w14:textId="77777777" w:rsidR="00251A9F" w:rsidRPr="00251A9F" w:rsidRDefault="00251A9F" w:rsidP="00251A9F">
      <w:pPr>
        <w:spacing w:line="360" w:lineRule="auto"/>
        <w:rPr>
          <w:rFonts w:ascii="Times New Roman" w:hAnsi="Times New Roman"/>
        </w:rPr>
      </w:pPr>
      <w:r w:rsidRPr="00251A9F">
        <w:rPr>
          <w:rFonts w:ascii="Times New Roman" w:hAnsi="Times New Roman"/>
        </w:rPr>
        <w:t>5.3 Technical Competence and Overall Readiness (H2)</w:t>
      </w:r>
    </w:p>
    <w:p w14:paraId="72B1249A" w14:textId="77777777" w:rsidR="00251A9F" w:rsidRPr="00251A9F" w:rsidRDefault="00251A9F" w:rsidP="00251A9F">
      <w:pPr>
        <w:spacing w:line="360" w:lineRule="auto"/>
        <w:rPr>
          <w:rFonts w:ascii="Times New Roman" w:hAnsi="Times New Roman"/>
        </w:rPr>
      </w:pPr>
      <w:r w:rsidRPr="00251A9F">
        <w:rPr>
          <w:rFonts w:ascii="Times New Roman" w:hAnsi="Times New Roman"/>
        </w:rPr>
        <w:t>5.4 Perceived Confidence and Overall Readiness (H3)</w:t>
      </w:r>
    </w:p>
    <w:p w14:paraId="10D6206F" w14:textId="77777777" w:rsidR="00251A9F" w:rsidRPr="00251A9F" w:rsidRDefault="00251A9F" w:rsidP="00251A9F">
      <w:pPr>
        <w:spacing w:line="360" w:lineRule="auto"/>
        <w:rPr>
          <w:rFonts w:ascii="Times New Roman" w:hAnsi="Times New Roman"/>
        </w:rPr>
      </w:pPr>
      <w:r w:rsidRPr="00251A9F">
        <w:rPr>
          <w:rFonts w:ascii="Times New Roman" w:hAnsi="Times New Roman"/>
        </w:rPr>
        <w:t>5.5 Organisational Support and Overall Readiness (H4)</w:t>
      </w:r>
    </w:p>
    <w:p w14:paraId="01A6F8CD" w14:textId="77777777" w:rsidR="00251A9F" w:rsidRPr="00251A9F" w:rsidRDefault="00251A9F" w:rsidP="00251A9F">
      <w:pPr>
        <w:spacing w:line="360" w:lineRule="auto"/>
        <w:rPr>
          <w:rFonts w:ascii="Times New Roman" w:hAnsi="Times New Roman"/>
        </w:rPr>
      </w:pPr>
      <w:r w:rsidRPr="00251A9F">
        <w:rPr>
          <w:rFonts w:ascii="Times New Roman" w:hAnsi="Times New Roman"/>
        </w:rPr>
        <w:t>5.6 Sustainability-Specific Training and Overall Readiness (H5)</w:t>
      </w:r>
    </w:p>
    <w:p w14:paraId="7DA385F8" w14:textId="77777777" w:rsidR="00251A9F" w:rsidRPr="00251A9F" w:rsidRDefault="00251A9F" w:rsidP="00251A9F">
      <w:pPr>
        <w:spacing w:line="360" w:lineRule="auto"/>
        <w:rPr>
          <w:rFonts w:ascii="Times New Roman" w:hAnsi="Times New Roman"/>
        </w:rPr>
      </w:pPr>
      <w:r w:rsidRPr="00251A9F">
        <w:rPr>
          <w:rFonts w:ascii="Times New Roman" w:hAnsi="Times New Roman"/>
        </w:rPr>
        <w:t>5.7 Demographic Findings</w:t>
      </w:r>
    </w:p>
    <w:p w14:paraId="05576F76" w14:textId="77777777" w:rsidR="00251A9F" w:rsidRPr="00251A9F" w:rsidRDefault="00251A9F" w:rsidP="00251A9F">
      <w:pPr>
        <w:spacing w:line="360" w:lineRule="auto"/>
        <w:rPr>
          <w:rFonts w:ascii="Times New Roman" w:hAnsi="Times New Roman"/>
        </w:rPr>
      </w:pPr>
      <w:r w:rsidRPr="00251A9F">
        <w:rPr>
          <w:rFonts w:ascii="Times New Roman" w:hAnsi="Times New Roman"/>
        </w:rPr>
        <w:t>5.8 Research Objectives and Findings</w:t>
      </w:r>
    </w:p>
    <w:p w14:paraId="065BC455" w14:textId="77777777" w:rsidR="00251A9F" w:rsidRPr="00251A9F" w:rsidRDefault="00251A9F" w:rsidP="00251A9F">
      <w:pPr>
        <w:spacing w:line="360" w:lineRule="auto"/>
        <w:rPr>
          <w:rFonts w:ascii="Times New Roman" w:hAnsi="Times New Roman"/>
        </w:rPr>
      </w:pPr>
      <w:r w:rsidRPr="00251A9F">
        <w:rPr>
          <w:rFonts w:ascii="Times New Roman" w:hAnsi="Times New Roman"/>
        </w:rPr>
        <w:t>5.9 Chapter Summary</w:t>
      </w:r>
    </w:p>
    <w:p w14:paraId="0987A8C7"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CHAPTER 6: CONCLUSION</w:t>
      </w:r>
    </w:p>
    <w:p w14:paraId="3462A11A" w14:textId="77777777" w:rsidR="00251A9F" w:rsidRPr="00251A9F" w:rsidRDefault="00251A9F" w:rsidP="00251A9F">
      <w:pPr>
        <w:spacing w:line="360" w:lineRule="auto"/>
        <w:rPr>
          <w:rFonts w:ascii="Times New Roman" w:hAnsi="Times New Roman"/>
        </w:rPr>
      </w:pPr>
      <w:r w:rsidRPr="00251A9F">
        <w:rPr>
          <w:rFonts w:ascii="Times New Roman" w:hAnsi="Times New Roman"/>
        </w:rPr>
        <w:t>6.1 Conclusion</w:t>
      </w:r>
    </w:p>
    <w:p w14:paraId="46CB2EDF" w14:textId="77777777" w:rsidR="00251A9F" w:rsidRPr="00251A9F" w:rsidRDefault="00251A9F" w:rsidP="00251A9F">
      <w:pPr>
        <w:spacing w:line="360" w:lineRule="auto"/>
        <w:rPr>
          <w:rFonts w:ascii="Times New Roman" w:hAnsi="Times New Roman"/>
        </w:rPr>
      </w:pPr>
      <w:r w:rsidRPr="00251A9F">
        <w:rPr>
          <w:rFonts w:ascii="Times New Roman" w:hAnsi="Times New Roman"/>
        </w:rPr>
        <w:t>6.2 Contribution to the Literature and Practical Implications</w:t>
      </w:r>
    </w:p>
    <w:p w14:paraId="7BD20556" w14:textId="77777777" w:rsidR="00251A9F" w:rsidRPr="00251A9F" w:rsidRDefault="00251A9F" w:rsidP="00251A9F">
      <w:pPr>
        <w:spacing w:line="360" w:lineRule="auto"/>
        <w:rPr>
          <w:rFonts w:ascii="Times New Roman" w:hAnsi="Times New Roman"/>
        </w:rPr>
      </w:pPr>
      <w:r w:rsidRPr="00251A9F">
        <w:rPr>
          <w:rFonts w:ascii="Times New Roman" w:hAnsi="Times New Roman"/>
        </w:rPr>
        <w:t>6.3 Limitations and Delimitations</w:t>
      </w:r>
    </w:p>
    <w:p w14:paraId="4323BCC3" w14:textId="77777777" w:rsidR="00251A9F" w:rsidRPr="00251A9F" w:rsidRDefault="00251A9F" w:rsidP="00251A9F">
      <w:pPr>
        <w:spacing w:line="360" w:lineRule="auto"/>
        <w:rPr>
          <w:rFonts w:ascii="Times New Roman" w:hAnsi="Times New Roman"/>
        </w:rPr>
      </w:pPr>
      <w:r w:rsidRPr="00251A9F">
        <w:rPr>
          <w:rFonts w:ascii="Times New Roman" w:hAnsi="Times New Roman"/>
        </w:rPr>
        <w:t>6.4 Chapter Summary</w:t>
      </w:r>
    </w:p>
    <w:p w14:paraId="4D0D5CE1"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REFERENCES</w:t>
      </w:r>
    </w:p>
    <w:p w14:paraId="14B10DFD" w14:textId="77777777" w:rsidR="00251A9F" w:rsidRPr="00251A9F" w:rsidRDefault="00251A9F" w:rsidP="00251A9F">
      <w:pPr>
        <w:spacing w:line="360" w:lineRule="auto"/>
        <w:rPr>
          <w:rFonts w:ascii="Times New Roman" w:hAnsi="Times New Roman"/>
          <w:b/>
          <w:bCs/>
          <w:u w:val="single"/>
        </w:rPr>
      </w:pPr>
      <w:r w:rsidRPr="00251A9F">
        <w:rPr>
          <w:rFonts w:ascii="Times New Roman" w:hAnsi="Times New Roman"/>
          <w:b/>
          <w:bCs/>
          <w:u w:val="single"/>
        </w:rPr>
        <w:br w:type="page"/>
      </w:r>
    </w:p>
    <w:p w14:paraId="67726C1D" w14:textId="77777777" w:rsidR="00251A9F" w:rsidRPr="00251A9F" w:rsidRDefault="00251A9F" w:rsidP="00251A9F">
      <w:pPr>
        <w:spacing w:line="360" w:lineRule="auto"/>
        <w:jc w:val="center"/>
        <w:rPr>
          <w:rFonts w:ascii="Times New Roman" w:hAnsi="Times New Roman"/>
          <w:b/>
          <w:bCs/>
          <w:u w:val="single"/>
        </w:rPr>
      </w:pPr>
    </w:p>
    <w:p w14:paraId="2BAA8022" w14:textId="77777777" w:rsidR="00251A9F" w:rsidRPr="00251A9F" w:rsidRDefault="00251A9F" w:rsidP="00251A9F">
      <w:pPr>
        <w:spacing w:line="360" w:lineRule="auto"/>
        <w:jc w:val="center"/>
        <w:rPr>
          <w:rFonts w:ascii="Times New Roman" w:hAnsi="Times New Roman"/>
          <w:b/>
          <w:bCs/>
          <w:u w:val="single"/>
        </w:rPr>
      </w:pPr>
      <w:r w:rsidRPr="00251A9F">
        <w:rPr>
          <w:rFonts w:ascii="Times New Roman" w:hAnsi="Times New Roman"/>
          <w:b/>
          <w:bCs/>
          <w:u w:val="single"/>
        </w:rPr>
        <w:t>LIST OF TABLES</w:t>
      </w:r>
    </w:p>
    <w:p w14:paraId="47026BE6" w14:textId="77777777" w:rsidR="00251A9F" w:rsidRPr="00251A9F" w:rsidRDefault="00251A9F" w:rsidP="00251A9F">
      <w:pPr>
        <w:spacing w:line="360" w:lineRule="auto"/>
        <w:rPr>
          <w:rFonts w:ascii="Times New Roman" w:hAnsi="Times New Roman"/>
        </w:rPr>
      </w:pPr>
    </w:p>
    <w:p w14:paraId="42F21E56"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4.1: Reliability Statistics (Cronbach’s Alpha)</w:t>
      </w:r>
    </w:p>
    <w:p w14:paraId="5D82A388"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4.2: Demographic Profile of Respondents (n=54)</w:t>
      </w:r>
    </w:p>
    <w:p w14:paraId="77C86D86"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4.3: Source of Sustainability-Related Training (n=54)</w:t>
      </w:r>
    </w:p>
    <w:p w14:paraId="5F1E94B4"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4.4: Descriptive Statistics for Composite Scale Scores (1–5 scale, n=54)</w:t>
      </w:r>
    </w:p>
    <w:p w14:paraId="333BB44E"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4.5: Shapiro-Wilk Test of Normality</w:t>
      </w:r>
    </w:p>
    <w:p w14:paraId="1480D1EE"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4.6: Spearman’s Rank Correlation with Overall Readiness</w:t>
      </w:r>
    </w:p>
    <w:p w14:paraId="2D0256C7"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4.6b: Spearman's Correlation — Technical Competence and Perceived Confidence</w:t>
      </w:r>
    </w:p>
    <w:p w14:paraId="4DC7D66D"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4.7: Multiple Linear Regression – Overall Readiness Regressed on RA, TC and PC</w:t>
      </w:r>
    </w:p>
    <w:p w14:paraId="0679EE0A"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4.8: Hierarchical Regression Summary – Organisational Support as Moderator (H4)</w:t>
      </w:r>
    </w:p>
    <w:p w14:paraId="0EADB254"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4.9: Full Step 3 Regression Coefficients – Organisational Support Moderation Model</w:t>
      </w:r>
    </w:p>
    <w:p w14:paraId="389EF8F0"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4.10: Hierarchical Regression Summary – Sustainability-Specific Training as Moderator (H5)</w:t>
      </w:r>
    </w:p>
    <w:p w14:paraId="45C0E069"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4.11: Group Comparison Results Across Demographic Characteristics (p-values)</w:t>
      </w:r>
    </w:p>
    <w:p w14:paraId="136DF217" w14:textId="77777777" w:rsidR="00251A9F" w:rsidRDefault="00251A9F" w:rsidP="00251A9F">
      <w:pPr>
        <w:spacing w:line="360" w:lineRule="auto"/>
        <w:rPr>
          <w:rFonts w:ascii="Times New Roman" w:hAnsi="Times New Roman"/>
        </w:rPr>
      </w:pPr>
      <w:r w:rsidRPr="00251A9F">
        <w:rPr>
          <w:rFonts w:ascii="Times New Roman" w:hAnsi="Times New Roman"/>
        </w:rPr>
        <w:t>Table 4.12: Summary of Hypothesis Testing Results</w:t>
      </w:r>
    </w:p>
    <w:p w14:paraId="1A515957" w14:textId="77777777" w:rsidR="00251A9F" w:rsidRDefault="00251A9F" w:rsidP="00251A9F">
      <w:pPr>
        <w:spacing w:line="360" w:lineRule="auto"/>
        <w:rPr>
          <w:rFonts w:ascii="Times New Roman" w:hAnsi="Times New Roman"/>
        </w:rPr>
      </w:pPr>
    </w:p>
    <w:p w14:paraId="646D6869" w14:textId="77777777" w:rsidR="00251A9F" w:rsidRPr="00251A9F" w:rsidRDefault="00251A9F" w:rsidP="00251A9F">
      <w:pPr>
        <w:spacing w:line="360" w:lineRule="auto"/>
        <w:rPr>
          <w:rFonts w:ascii="Times New Roman" w:hAnsi="Times New Roman"/>
        </w:rPr>
      </w:pPr>
    </w:p>
    <w:p w14:paraId="7BED1CF1" w14:textId="77777777" w:rsidR="00251A9F" w:rsidRPr="00251A9F" w:rsidRDefault="00251A9F" w:rsidP="00251A9F">
      <w:pPr>
        <w:spacing w:line="360" w:lineRule="auto"/>
        <w:rPr>
          <w:rFonts w:ascii="Times New Roman" w:hAnsi="Times New Roman"/>
        </w:rPr>
      </w:pPr>
    </w:p>
    <w:p w14:paraId="527C396B" w14:textId="77777777" w:rsidR="00251A9F" w:rsidRPr="00251A9F" w:rsidRDefault="00251A9F" w:rsidP="00251A9F">
      <w:pPr>
        <w:spacing w:line="360" w:lineRule="auto"/>
        <w:jc w:val="center"/>
        <w:rPr>
          <w:rFonts w:ascii="Times New Roman" w:hAnsi="Times New Roman"/>
          <w:b/>
          <w:bCs/>
          <w:u w:val="single"/>
        </w:rPr>
      </w:pPr>
      <w:r w:rsidRPr="00251A9F">
        <w:rPr>
          <w:rFonts w:ascii="Times New Roman" w:hAnsi="Times New Roman"/>
          <w:b/>
          <w:bCs/>
          <w:u w:val="single"/>
        </w:rPr>
        <w:t>LIST OF FIGURES</w:t>
      </w:r>
    </w:p>
    <w:p w14:paraId="02B39F0F" w14:textId="77777777" w:rsidR="00251A9F" w:rsidRPr="00251A9F" w:rsidRDefault="00251A9F" w:rsidP="00251A9F">
      <w:pPr>
        <w:spacing w:line="360" w:lineRule="auto"/>
        <w:rPr>
          <w:rFonts w:ascii="Times New Roman" w:hAnsi="Times New Roman"/>
        </w:rPr>
      </w:pPr>
    </w:p>
    <w:p w14:paraId="3FE9A61E" w14:textId="77777777" w:rsidR="00251A9F" w:rsidRPr="00251A9F" w:rsidRDefault="00251A9F" w:rsidP="00251A9F">
      <w:pPr>
        <w:spacing w:line="360" w:lineRule="auto"/>
        <w:rPr>
          <w:rFonts w:ascii="Times New Roman" w:hAnsi="Times New Roman"/>
        </w:rPr>
      </w:pPr>
      <w:r w:rsidRPr="00251A9F">
        <w:rPr>
          <w:rFonts w:ascii="Times New Roman" w:hAnsi="Times New Roman"/>
        </w:rPr>
        <w:t>Figure 3.1: Research Model</w:t>
      </w:r>
    </w:p>
    <w:p w14:paraId="01969210" w14:textId="77777777" w:rsidR="00251A9F" w:rsidRPr="00251A9F" w:rsidRDefault="00251A9F" w:rsidP="00251A9F">
      <w:pPr>
        <w:spacing w:line="360" w:lineRule="auto"/>
        <w:rPr>
          <w:rFonts w:ascii="Times New Roman" w:hAnsi="Times New Roman"/>
        </w:rPr>
      </w:pPr>
    </w:p>
    <w:p w14:paraId="086E2D08" w14:textId="77777777" w:rsidR="00251A9F" w:rsidRPr="00251A9F" w:rsidRDefault="00251A9F" w:rsidP="00251A9F">
      <w:pPr>
        <w:spacing w:line="360" w:lineRule="auto"/>
        <w:jc w:val="center"/>
        <w:rPr>
          <w:rFonts w:ascii="Times New Roman" w:hAnsi="Times New Roman"/>
          <w:b/>
          <w:bCs/>
          <w:u w:val="single"/>
        </w:rPr>
      </w:pPr>
    </w:p>
    <w:p w14:paraId="05C24EBF" w14:textId="77777777" w:rsidR="00251A9F" w:rsidRPr="00251A9F" w:rsidRDefault="00251A9F" w:rsidP="00251A9F">
      <w:pPr>
        <w:spacing w:line="360" w:lineRule="auto"/>
        <w:jc w:val="center"/>
        <w:rPr>
          <w:rFonts w:ascii="Times New Roman" w:hAnsi="Times New Roman"/>
          <w:b/>
          <w:bCs/>
          <w:u w:val="single"/>
        </w:rPr>
      </w:pPr>
    </w:p>
    <w:p w14:paraId="0A53B544" w14:textId="77777777" w:rsidR="00251A9F" w:rsidRPr="00251A9F" w:rsidRDefault="00251A9F" w:rsidP="00251A9F">
      <w:pPr>
        <w:spacing w:line="360" w:lineRule="auto"/>
        <w:jc w:val="center"/>
        <w:rPr>
          <w:rFonts w:ascii="Times New Roman" w:hAnsi="Times New Roman"/>
          <w:b/>
          <w:bCs/>
          <w:u w:val="single"/>
        </w:rPr>
      </w:pPr>
    </w:p>
    <w:p w14:paraId="1F5B5618" w14:textId="77777777" w:rsidR="00251A9F" w:rsidRDefault="00251A9F" w:rsidP="00251A9F">
      <w:pPr>
        <w:spacing w:line="360" w:lineRule="auto"/>
        <w:jc w:val="center"/>
        <w:rPr>
          <w:rFonts w:ascii="Times New Roman" w:hAnsi="Times New Roman"/>
          <w:b/>
          <w:bCs/>
          <w:u w:val="single"/>
        </w:rPr>
      </w:pPr>
    </w:p>
    <w:p w14:paraId="6F88C2DB" w14:textId="77777777" w:rsidR="00251A9F" w:rsidRDefault="00251A9F" w:rsidP="00251A9F">
      <w:pPr>
        <w:spacing w:line="360" w:lineRule="auto"/>
        <w:jc w:val="center"/>
        <w:rPr>
          <w:rFonts w:ascii="Times New Roman" w:hAnsi="Times New Roman"/>
          <w:b/>
          <w:bCs/>
          <w:u w:val="single"/>
        </w:rPr>
      </w:pPr>
    </w:p>
    <w:p w14:paraId="15762F91" w14:textId="77777777" w:rsidR="00251A9F" w:rsidRDefault="00251A9F" w:rsidP="00251A9F">
      <w:pPr>
        <w:spacing w:line="360" w:lineRule="auto"/>
        <w:jc w:val="center"/>
        <w:rPr>
          <w:rFonts w:ascii="Times New Roman" w:hAnsi="Times New Roman"/>
          <w:b/>
          <w:bCs/>
          <w:u w:val="single"/>
        </w:rPr>
      </w:pPr>
    </w:p>
    <w:p w14:paraId="4166044F" w14:textId="77777777" w:rsidR="00251A9F" w:rsidRDefault="00251A9F" w:rsidP="00251A9F">
      <w:pPr>
        <w:spacing w:line="360" w:lineRule="auto"/>
        <w:jc w:val="center"/>
        <w:rPr>
          <w:rFonts w:ascii="Times New Roman" w:hAnsi="Times New Roman"/>
          <w:b/>
          <w:bCs/>
          <w:u w:val="single"/>
        </w:rPr>
      </w:pPr>
    </w:p>
    <w:p w14:paraId="450CBF5F" w14:textId="77777777" w:rsidR="00251A9F" w:rsidRPr="00251A9F" w:rsidRDefault="00251A9F" w:rsidP="00251A9F">
      <w:pPr>
        <w:spacing w:line="360" w:lineRule="auto"/>
        <w:jc w:val="center"/>
        <w:rPr>
          <w:rFonts w:ascii="Times New Roman" w:hAnsi="Times New Roman"/>
          <w:b/>
          <w:bCs/>
          <w:u w:val="single"/>
        </w:rPr>
      </w:pPr>
    </w:p>
    <w:p w14:paraId="51B90983" w14:textId="77777777" w:rsidR="00251A9F" w:rsidRPr="00251A9F" w:rsidRDefault="00251A9F" w:rsidP="00251A9F">
      <w:pPr>
        <w:spacing w:line="360" w:lineRule="auto"/>
        <w:jc w:val="center"/>
        <w:rPr>
          <w:rFonts w:ascii="Times New Roman" w:hAnsi="Times New Roman"/>
          <w:b/>
          <w:bCs/>
          <w:u w:val="single"/>
        </w:rPr>
      </w:pPr>
    </w:p>
    <w:p w14:paraId="42AEC1A1" w14:textId="77777777" w:rsidR="00251A9F" w:rsidRPr="00251A9F" w:rsidRDefault="00251A9F" w:rsidP="00251A9F">
      <w:pPr>
        <w:spacing w:line="360" w:lineRule="auto"/>
        <w:jc w:val="center"/>
        <w:rPr>
          <w:rFonts w:ascii="Times New Roman" w:hAnsi="Times New Roman"/>
          <w:b/>
          <w:bCs/>
          <w:u w:val="single"/>
        </w:rPr>
      </w:pPr>
    </w:p>
    <w:p w14:paraId="45470B90" w14:textId="77777777" w:rsidR="00251A9F" w:rsidRPr="00251A9F" w:rsidRDefault="00251A9F" w:rsidP="00251A9F">
      <w:pPr>
        <w:spacing w:line="360" w:lineRule="auto"/>
        <w:jc w:val="center"/>
        <w:rPr>
          <w:rFonts w:ascii="Times New Roman" w:hAnsi="Times New Roman"/>
          <w:b/>
          <w:bCs/>
          <w:u w:val="single"/>
        </w:rPr>
      </w:pPr>
      <w:r w:rsidRPr="00251A9F">
        <w:rPr>
          <w:rFonts w:ascii="Times New Roman" w:hAnsi="Times New Roman"/>
          <w:b/>
          <w:bCs/>
          <w:u w:val="single"/>
        </w:rPr>
        <w:lastRenderedPageBreak/>
        <w:t>LIST OF ABBREVIATIONS</w:t>
      </w:r>
    </w:p>
    <w:p w14:paraId="5193777E" w14:textId="77777777" w:rsidR="00251A9F" w:rsidRPr="00251A9F" w:rsidRDefault="00251A9F" w:rsidP="00251A9F">
      <w:pPr>
        <w:spacing w:line="360" w:lineRule="auto"/>
        <w:rPr>
          <w:rFonts w:ascii="Times New Roman" w:hAnsi="Times New Roman"/>
        </w:rPr>
      </w:pPr>
    </w:p>
    <w:p w14:paraId="215BF0FF" w14:textId="77777777" w:rsidR="00251A9F" w:rsidRPr="00251A9F" w:rsidRDefault="00251A9F" w:rsidP="00251A9F">
      <w:pPr>
        <w:spacing w:line="360" w:lineRule="auto"/>
        <w:rPr>
          <w:rFonts w:ascii="Times New Roman" w:hAnsi="Times New Roman"/>
        </w:rPr>
      </w:pPr>
      <w:r w:rsidRPr="00251A9F">
        <w:rPr>
          <w:rFonts w:ascii="Times New Roman" w:hAnsi="Times New Roman"/>
        </w:rPr>
        <w:t>ACCA: Association of Chartered Certified Accountants</w:t>
      </w:r>
    </w:p>
    <w:p w14:paraId="5F392068" w14:textId="77777777" w:rsidR="00251A9F" w:rsidRPr="00251A9F" w:rsidRDefault="00251A9F" w:rsidP="00251A9F">
      <w:pPr>
        <w:spacing w:line="360" w:lineRule="auto"/>
        <w:rPr>
          <w:rFonts w:ascii="Times New Roman" w:hAnsi="Times New Roman"/>
        </w:rPr>
      </w:pPr>
      <w:r w:rsidRPr="00251A9F">
        <w:rPr>
          <w:rFonts w:ascii="Times New Roman" w:hAnsi="Times New Roman"/>
        </w:rPr>
        <w:t>CPD: Continuing Professional Development</w:t>
      </w:r>
    </w:p>
    <w:p w14:paraId="2D9D1158" w14:textId="77777777" w:rsidR="00251A9F" w:rsidRPr="00251A9F" w:rsidRDefault="00251A9F" w:rsidP="00251A9F">
      <w:pPr>
        <w:spacing w:line="360" w:lineRule="auto"/>
        <w:rPr>
          <w:rFonts w:ascii="Times New Roman" w:hAnsi="Times New Roman"/>
        </w:rPr>
      </w:pPr>
      <w:r w:rsidRPr="00251A9F">
        <w:rPr>
          <w:rFonts w:ascii="Times New Roman" w:hAnsi="Times New Roman"/>
        </w:rPr>
        <w:t>CSR: Corporate Social Responsibility</w:t>
      </w:r>
    </w:p>
    <w:p w14:paraId="7DAF3575" w14:textId="77777777" w:rsidR="00251A9F" w:rsidRPr="00251A9F" w:rsidRDefault="00251A9F" w:rsidP="00251A9F">
      <w:pPr>
        <w:spacing w:line="360" w:lineRule="auto"/>
        <w:rPr>
          <w:rFonts w:ascii="Times New Roman" w:hAnsi="Times New Roman"/>
        </w:rPr>
      </w:pPr>
      <w:r w:rsidRPr="00251A9F">
        <w:rPr>
          <w:rFonts w:ascii="Times New Roman" w:hAnsi="Times New Roman"/>
        </w:rPr>
        <w:t>CSRD: Corporate Sustainability Reporting Directive</w:t>
      </w:r>
    </w:p>
    <w:p w14:paraId="45A2B733" w14:textId="77777777" w:rsidR="00251A9F" w:rsidRPr="00251A9F" w:rsidRDefault="00251A9F" w:rsidP="00251A9F">
      <w:pPr>
        <w:spacing w:line="360" w:lineRule="auto"/>
        <w:rPr>
          <w:rFonts w:ascii="Times New Roman" w:hAnsi="Times New Roman"/>
        </w:rPr>
      </w:pPr>
      <w:r w:rsidRPr="00251A9F">
        <w:rPr>
          <w:rFonts w:ascii="Times New Roman" w:hAnsi="Times New Roman"/>
        </w:rPr>
        <w:t>ESG: Environmental, Social and Governance</w:t>
      </w:r>
    </w:p>
    <w:p w14:paraId="0E5AF65F" w14:textId="77777777" w:rsidR="00251A9F" w:rsidRPr="00251A9F" w:rsidRDefault="00251A9F" w:rsidP="00251A9F">
      <w:pPr>
        <w:spacing w:line="360" w:lineRule="auto"/>
        <w:rPr>
          <w:rFonts w:ascii="Times New Roman" w:hAnsi="Times New Roman"/>
        </w:rPr>
      </w:pPr>
      <w:r w:rsidRPr="00251A9F">
        <w:rPr>
          <w:rFonts w:ascii="Times New Roman" w:hAnsi="Times New Roman"/>
        </w:rPr>
        <w:t>ESRS: European Sustainability Reporting Standards</w:t>
      </w:r>
    </w:p>
    <w:p w14:paraId="52AA61FE" w14:textId="77777777" w:rsidR="00251A9F" w:rsidRPr="00251A9F" w:rsidRDefault="00251A9F" w:rsidP="00251A9F">
      <w:pPr>
        <w:spacing w:line="360" w:lineRule="auto"/>
        <w:rPr>
          <w:rFonts w:ascii="Times New Roman" w:hAnsi="Times New Roman"/>
        </w:rPr>
      </w:pPr>
      <w:r w:rsidRPr="00251A9F">
        <w:rPr>
          <w:rFonts w:ascii="Times New Roman" w:hAnsi="Times New Roman"/>
        </w:rPr>
        <w:t>GRI: Global Reporting Initiative</w:t>
      </w:r>
    </w:p>
    <w:p w14:paraId="6D7E320D" w14:textId="77777777" w:rsidR="00251A9F" w:rsidRPr="00251A9F" w:rsidRDefault="00251A9F" w:rsidP="00251A9F">
      <w:pPr>
        <w:spacing w:line="360" w:lineRule="auto"/>
        <w:rPr>
          <w:rFonts w:ascii="Times New Roman" w:hAnsi="Times New Roman"/>
        </w:rPr>
      </w:pPr>
      <w:r w:rsidRPr="00251A9F">
        <w:rPr>
          <w:rFonts w:ascii="Times New Roman" w:hAnsi="Times New Roman"/>
        </w:rPr>
        <w:t>IAASB: International Auditing and Assurance Standards Board</w:t>
      </w:r>
    </w:p>
    <w:p w14:paraId="1D530254" w14:textId="77777777" w:rsidR="00251A9F" w:rsidRPr="00251A9F" w:rsidRDefault="00251A9F" w:rsidP="00251A9F">
      <w:pPr>
        <w:spacing w:line="360" w:lineRule="auto"/>
        <w:rPr>
          <w:rFonts w:ascii="Times New Roman" w:hAnsi="Times New Roman"/>
        </w:rPr>
      </w:pPr>
      <w:r w:rsidRPr="00251A9F">
        <w:rPr>
          <w:rFonts w:ascii="Times New Roman" w:hAnsi="Times New Roman"/>
        </w:rPr>
        <w:t>ICAP: Institute of Chartered Accountants of Pakistan</w:t>
      </w:r>
    </w:p>
    <w:p w14:paraId="148D0FAF" w14:textId="77777777" w:rsidR="00251A9F" w:rsidRPr="00251A9F" w:rsidRDefault="00251A9F" w:rsidP="00251A9F">
      <w:pPr>
        <w:spacing w:line="360" w:lineRule="auto"/>
        <w:rPr>
          <w:rFonts w:ascii="Times New Roman" w:hAnsi="Times New Roman"/>
        </w:rPr>
      </w:pPr>
      <w:r w:rsidRPr="00251A9F">
        <w:rPr>
          <w:rFonts w:ascii="Times New Roman" w:hAnsi="Times New Roman"/>
        </w:rPr>
        <w:t>ICMAP: Institute of Cost and Management Accountants of Pakistan</w:t>
      </w:r>
    </w:p>
    <w:p w14:paraId="029F64C6" w14:textId="77777777" w:rsidR="00251A9F" w:rsidRPr="00251A9F" w:rsidRDefault="00251A9F" w:rsidP="00251A9F">
      <w:pPr>
        <w:spacing w:line="360" w:lineRule="auto"/>
        <w:rPr>
          <w:rFonts w:ascii="Times New Roman" w:hAnsi="Times New Roman"/>
        </w:rPr>
      </w:pPr>
      <w:r w:rsidRPr="00251A9F">
        <w:rPr>
          <w:rFonts w:ascii="Times New Roman" w:hAnsi="Times New Roman"/>
        </w:rPr>
        <w:t>ICAEW: Institute of Chartered Accountants in England and Wales</w:t>
      </w:r>
    </w:p>
    <w:p w14:paraId="37E9BC3F" w14:textId="77777777" w:rsidR="00251A9F" w:rsidRPr="00251A9F" w:rsidRDefault="00251A9F" w:rsidP="00251A9F">
      <w:pPr>
        <w:spacing w:line="360" w:lineRule="auto"/>
        <w:rPr>
          <w:rFonts w:ascii="Times New Roman" w:hAnsi="Times New Roman"/>
        </w:rPr>
      </w:pPr>
      <w:r w:rsidRPr="00251A9F">
        <w:rPr>
          <w:rFonts w:ascii="Times New Roman" w:hAnsi="Times New Roman"/>
        </w:rPr>
        <w:t>IFRS: International Financial Reporting Standards</w:t>
      </w:r>
    </w:p>
    <w:p w14:paraId="1CE79F33" w14:textId="77777777" w:rsidR="00251A9F" w:rsidRPr="00251A9F" w:rsidRDefault="00251A9F" w:rsidP="00251A9F">
      <w:pPr>
        <w:spacing w:line="360" w:lineRule="auto"/>
        <w:rPr>
          <w:rFonts w:ascii="Times New Roman" w:hAnsi="Times New Roman"/>
        </w:rPr>
      </w:pPr>
      <w:r w:rsidRPr="00251A9F">
        <w:rPr>
          <w:rFonts w:ascii="Times New Roman" w:hAnsi="Times New Roman"/>
        </w:rPr>
        <w:t>IIRC: International Integrated Reporting Council</w:t>
      </w:r>
    </w:p>
    <w:p w14:paraId="7CD317A1" w14:textId="77777777" w:rsidR="00251A9F" w:rsidRPr="00251A9F" w:rsidRDefault="00251A9F" w:rsidP="00251A9F">
      <w:pPr>
        <w:spacing w:line="360" w:lineRule="auto"/>
        <w:rPr>
          <w:rFonts w:ascii="Times New Roman" w:hAnsi="Times New Roman"/>
        </w:rPr>
      </w:pPr>
      <w:r w:rsidRPr="00251A9F">
        <w:rPr>
          <w:rFonts w:ascii="Times New Roman" w:hAnsi="Times New Roman"/>
        </w:rPr>
        <w:t>ISSB: International Sustainability Standards Board</w:t>
      </w:r>
    </w:p>
    <w:p w14:paraId="493E6CDB" w14:textId="77777777" w:rsidR="00251A9F" w:rsidRPr="00251A9F" w:rsidRDefault="00251A9F" w:rsidP="00251A9F">
      <w:pPr>
        <w:spacing w:line="360" w:lineRule="auto"/>
        <w:rPr>
          <w:rFonts w:ascii="Times New Roman" w:hAnsi="Times New Roman"/>
        </w:rPr>
      </w:pPr>
      <w:r w:rsidRPr="00251A9F">
        <w:rPr>
          <w:rFonts w:ascii="Times New Roman" w:hAnsi="Times New Roman"/>
        </w:rPr>
        <w:t>NFRD: Non-Financial Reporting Directive</w:t>
      </w:r>
    </w:p>
    <w:p w14:paraId="7AE2E0A7" w14:textId="77777777" w:rsidR="00251A9F" w:rsidRPr="00251A9F" w:rsidRDefault="00251A9F" w:rsidP="00251A9F">
      <w:pPr>
        <w:spacing w:line="360" w:lineRule="auto"/>
        <w:rPr>
          <w:rFonts w:ascii="Times New Roman" w:hAnsi="Times New Roman"/>
        </w:rPr>
      </w:pPr>
      <w:r w:rsidRPr="00251A9F">
        <w:rPr>
          <w:rFonts w:ascii="Times New Roman" w:hAnsi="Times New Roman"/>
        </w:rPr>
        <w:t>RA: Regulatory Awareness</w:t>
      </w:r>
    </w:p>
    <w:p w14:paraId="6CD1515D" w14:textId="77777777" w:rsidR="00251A9F" w:rsidRPr="00251A9F" w:rsidRDefault="00251A9F" w:rsidP="00251A9F">
      <w:pPr>
        <w:spacing w:line="360" w:lineRule="auto"/>
        <w:rPr>
          <w:rFonts w:ascii="Times New Roman" w:hAnsi="Times New Roman"/>
        </w:rPr>
      </w:pPr>
      <w:r w:rsidRPr="00251A9F">
        <w:rPr>
          <w:rFonts w:ascii="Times New Roman" w:hAnsi="Times New Roman"/>
        </w:rPr>
        <w:t>RQ: Research Question</w:t>
      </w:r>
    </w:p>
    <w:p w14:paraId="352B4FCD" w14:textId="77777777" w:rsidR="00251A9F" w:rsidRPr="00251A9F" w:rsidRDefault="00251A9F" w:rsidP="00251A9F">
      <w:pPr>
        <w:spacing w:line="360" w:lineRule="auto"/>
        <w:rPr>
          <w:rFonts w:ascii="Times New Roman" w:hAnsi="Times New Roman"/>
        </w:rPr>
      </w:pPr>
      <w:r w:rsidRPr="00251A9F">
        <w:rPr>
          <w:rFonts w:ascii="Times New Roman" w:hAnsi="Times New Roman"/>
        </w:rPr>
        <w:t>RO: Research Objective</w:t>
      </w:r>
    </w:p>
    <w:p w14:paraId="59A13E6B" w14:textId="77777777" w:rsidR="00251A9F" w:rsidRPr="00251A9F" w:rsidRDefault="00251A9F" w:rsidP="00251A9F">
      <w:pPr>
        <w:spacing w:line="360" w:lineRule="auto"/>
        <w:rPr>
          <w:rFonts w:ascii="Times New Roman" w:hAnsi="Times New Roman"/>
        </w:rPr>
      </w:pPr>
      <w:r w:rsidRPr="00251A9F">
        <w:rPr>
          <w:rFonts w:ascii="Times New Roman" w:hAnsi="Times New Roman"/>
        </w:rPr>
        <w:t>SASB: Sustainability Accounting Standards Board</w:t>
      </w:r>
    </w:p>
    <w:p w14:paraId="19E46BA3" w14:textId="77777777" w:rsidR="00251A9F" w:rsidRPr="00251A9F" w:rsidRDefault="00251A9F" w:rsidP="00251A9F">
      <w:pPr>
        <w:spacing w:line="360" w:lineRule="auto"/>
        <w:rPr>
          <w:rFonts w:ascii="Times New Roman" w:hAnsi="Times New Roman"/>
        </w:rPr>
      </w:pPr>
      <w:r w:rsidRPr="00251A9F">
        <w:rPr>
          <w:rFonts w:ascii="Times New Roman" w:hAnsi="Times New Roman"/>
        </w:rPr>
        <w:t>SDGs: Sustainable Development Goals</w:t>
      </w:r>
    </w:p>
    <w:p w14:paraId="6B01FABE" w14:textId="77777777" w:rsidR="00251A9F" w:rsidRPr="00251A9F" w:rsidRDefault="00251A9F" w:rsidP="00251A9F">
      <w:pPr>
        <w:spacing w:line="360" w:lineRule="auto"/>
        <w:rPr>
          <w:rFonts w:ascii="Times New Roman" w:hAnsi="Times New Roman"/>
        </w:rPr>
      </w:pPr>
      <w:r w:rsidRPr="00251A9F">
        <w:rPr>
          <w:rFonts w:ascii="Times New Roman" w:hAnsi="Times New Roman"/>
        </w:rPr>
        <w:t>SECP: Securities and Exchange Commission of Pakistan</w:t>
      </w:r>
    </w:p>
    <w:p w14:paraId="45FD4382" w14:textId="77777777" w:rsidR="00251A9F" w:rsidRPr="00251A9F" w:rsidRDefault="00251A9F" w:rsidP="00251A9F">
      <w:pPr>
        <w:spacing w:line="360" w:lineRule="auto"/>
        <w:rPr>
          <w:rFonts w:ascii="Times New Roman" w:hAnsi="Times New Roman"/>
        </w:rPr>
      </w:pPr>
      <w:r w:rsidRPr="00251A9F">
        <w:rPr>
          <w:rFonts w:ascii="Times New Roman" w:hAnsi="Times New Roman"/>
        </w:rPr>
        <w:t>SPSS: Statistical Package for the Social Sciences</w:t>
      </w:r>
    </w:p>
    <w:p w14:paraId="2013AF11" w14:textId="77777777" w:rsidR="00251A9F" w:rsidRPr="00251A9F" w:rsidRDefault="00251A9F" w:rsidP="00251A9F">
      <w:pPr>
        <w:spacing w:line="360" w:lineRule="auto"/>
        <w:rPr>
          <w:rFonts w:ascii="Times New Roman" w:hAnsi="Times New Roman"/>
        </w:rPr>
      </w:pPr>
      <w:r w:rsidRPr="00251A9F">
        <w:rPr>
          <w:rFonts w:ascii="Times New Roman" w:hAnsi="Times New Roman"/>
        </w:rPr>
        <w:t>TC: Technical Competence</w:t>
      </w:r>
    </w:p>
    <w:p w14:paraId="2E2FD4AD" w14:textId="77777777" w:rsidR="00251A9F" w:rsidRPr="00251A9F" w:rsidRDefault="00251A9F" w:rsidP="00251A9F">
      <w:pPr>
        <w:spacing w:line="360" w:lineRule="auto"/>
        <w:rPr>
          <w:rFonts w:ascii="Times New Roman" w:hAnsi="Times New Roman"/>
        </w:rPr>
      </w:pPr>
      <w:r w:rsidRPr="00251A9F">
        <w:rPr>
          <w:rFonts w:ascii="Times New Roman" w:hAnsi="Times New Roman"/>
        </w:rPr>
        <w:t>TCFD: Task Force on Climate-related Financial Disclosures</w:t>
      </w:r>
    </w:p>
    <w:p w14:paraId="7BFEBED8" w14:textId="77777777" w:rsidR="00251A9F" w:rsidRPr="00251A9F" w:rsidRDefault="00251A9F" w:rsidP="00251A9F">
      <w:pPr>
        <w:spacing w:line="360" w:lineRule="auto"/>
        <w:rPr>
          <w:rFonts w:ascii="Times New Roman" w:hAnsi="Times New Roman"/>
        </w:rPr>
      </w:pPr>
      <w:r w:rsidRPr="00251A9F">
        <w:rPr>
          <w:rFonts w:ascii="Times New Roman" w:hAnsi="Times New Roman"/>
        </w:rPr>
        <w:t>ESG: Environmental, Social and Governance</w:t>
      </w:r>
    </w:p>
    <w:p w14:paraId="76EC680A" w14:textId="77777777" w:rsidR="00251A9F" w:rsidRPr="00251A9F" w:rsidRDefault="00251A9F" w:rsidP="00251A9F">
      <w:pPr>
        <w:spacing w:line="360" w:lineRule="auto"/>
        <w:rPr>
          <w:rFonts w:ascii="Times New Roman" w:hAnsi="Times New Roman"/>
        </w:rPr>
      </w:pPr>
      <w:r w:rsidRPr="00251A9F">
        <w:rPr>
          <w:rFonts w:ascii="Times New Roman" w:hAnsi="Times New Roman"/>
        </w:rPr>
        <w:t>OR: Overall Readiness</w:t>
      </w:r>
    </w:p>
    <w:p w14:paraId="66604656" w14:textId="77777777" w:rsidR="00251A9F" w:rsidRPr="00251A9F" w:rsidRDefault="00251A9F" w:rsidP="00251A9F">
      <w:pPr>
        <w:spacing w:line="360" w:lineRule="auto"/>
        <w:rPr>
          <w:rFonts w:ascii="Times New Roman" w:hAnsi="Times New Roman"/>
        </w:rPr>
      </w:pPr>
      <w:r w:rsidRPr="00251A9F">
        <w:rPr>
          <w:rFonts w:ascii="Times New Roman" w:hAnsi="Times New Roman"/>
        </w:rPr>
        <w:t>OS: Organisational Support</w:t>
      </w:r>
    </w:p>
    <w:p w14:paraId="16773114" w14:textId="77777777" w:rsidR="00251A9F" w:rsidRPr="00251A9F" w:rsidRDefault="00251A9F" w:rsidP="00251A9F">
      <w:pPr>
        <w:spacing w:line="360" w:lineRule="auto"/>
        <w:rPr>
          <w:rFonts w:ascii="Times New Roman" w:hAnsi="Times New Roman"/>
        </w:rPr>
      </w:pPr>
      <w:r w:rsidRPr="00251A9F">
        <w:rPr>
          <w:rFonts w:ascii="Times New Roman" w:hAnsi="Times New Roman"/>
        </w:rPr>
        <w:t>PC: Perceived Confidence</w:t>
      </w:r>
      <w:r w:rsidRPr="00251A9F">
        <w:rPr>
          <w:rFonts w:ascii="Times New Roman" w:hAnsi="Times New Roman"/>
          <w:b/>
          <w:bCs/>
          <w:i/>
          <w:iCs/>
          <w:u w:val="single"/>
        </w:rPr>
        <w:br w:type="page"/>
      </w:r>
    </w:p>
    <w:p w14:paraId="75A28BF4" w14:textId="77777777" w:rsidR="00251A9F" w:rsidRPr="00251A9F" w:rsidRDefault="00251A9F" w:rsidP="00251A9F">
      <w:pPr>
        <w:spacing w:line="360" w:lineRule="auto"/>
        <w:jc w:val="center"/>
        <w:rPr>
          <w:rFonts w:ascii="Times New Roman" w:hAnsi="Times New Roman"/>
          <w:b/>
          <w:bCs/>
          <w:i/>
          <w:iCs/>
          <w:u w:val="single"/>
        </w:rPr>
      </w:pPr>
      <w:r w:rsidRPr="00251A9F">
        <w:rPr>
          <w:rFonts w:ascii="Times New Roman" w:hAnsi="Times New Roman"/>
          <w:b/>
          <w:bCs/>
          <w:i/>
          <w:iCs/>
          <w:u w:val="single"/>
        </w:rPr>
        <w:lastRenderedPageBreak/>
        <w:t xml:space="preserve">Are Accountants Ready for Sustainability Reporting? </w:t>
      </w:r>
    </w:p>
    <w:p w14:paraId="77DFF89D" w14:textId="77777777" w:rsidR="00251A9F" w:rsidRPr="00251A9F" w:rsidRDefault="00251A9F" w:rsidP="00251A9F">
      <w:pPr>
        <w:spacing w:line="360" w:lineRule="auto"/>
        <w:jc w:val="center"/>
        <w:rPr>
          <w:rFonts w:ascii="Times New Roman" w:hAnsi="Times New Roman"/>
          <w:b/>
          <w:bCs/>
          <w:i/>
          <w:iCs/>
          <w:u w:val="single"/>
        </w:rPr>
      </w:pPr>
      <w:r w:rsidRPr="00251A9F">
        <w:rPr>
          <w:rFonts w:ascii="Times New Roman" w:hAnsi="Times New Roman"/>
          <w:b/>
          <w:bCs/>
          <w:i/>
          <w:iCs/>
          <w:u w:val="single"/>
        </w:rPr>
        <w:t>Evidence from Pakistan</w:t>
      </w:r>
    </w:p>
    <w:p w14:paraId="66518B4E" w14:textId="77777777" w:rsidR="00251A9F" w:rsidRPr="00251A9F" w:rsidRDefault="00251A9F" w:rsidP="00251A9F">
      <w:pPr>
        <w:spacing w:line="360" w:lineRule="auto"/>
        <w:rPr>
          <w:rFonts w:ascii="Times New Roman" w:hAnsi="Times New Roman"/>
        </w:rPr>
      </w:pPr>
    </w:p>
    <w:p w14:paraId="615A1B4E" w14:textId="77777777" w:rsidR="00251A9F" w:rsidRPr="00251A9F" w:rsidRDefault="00251A9F" w:rsidP="00251A9F">
      <w:pPr>
        <w:spacing w:line="360" w:lineRule="auto"/>
        <w:jc w:val="center"/>
        <w:rPr>
          <w:rFonts w:ascii="Times New Roman" w:hAnsi="Times New Roman"/>
          <w:b/>
          <w:bCs/>
        </w:rPr>
      </w:pPr>
      <w:r w:rsidRPr="00251A9F">
        <w:rPr>
          <w:rFonts w:ascii="Times New Roman" w:hAnsi="Times New Roman"/>
          <w:b/>
          <w:bCs/>
        </w:rPr>
        <w:t>CHAPTER 1 INTRODUCTION</w:t>
      </w:r>
    </w:p>
    <w:p w14:paraId="58D675B9"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 </w:t>
      </w:r>
    </w:p>
    <w:p w14:paraId="366F13BF" w14:textId="77777777" w:rsidR="00251A9F" w:rsidRPr="00251A9F" w:rsidRDefault="00251A9F" w:rsidP="00251A9F">
      <w:pPr>
        <w:pStyle w:val="ListParagraph"/>
        <w:numPr>
          <w:ilvl w:val="1"/>
          <w:numId w:val="1"/>
        </w:numPr>
        <w:spacing w:after="160" w:line="360" w:lineRule="auto"/>
        <w:rPr>
          <w:rFonts w:ascii="Times New Roman" w:hAnsi="Times New Roman"/>
          <w:b/>
          <w:bCs/>
        </w:rPr>
      </w:pPr>
      <w:r w:rsidRPr="00251A9F">
        <w:rPr>
          <w:rFonts w:ascii="Times New Roman" w:hAnsi="Times New Roman"/>
          <w:b/>
          <w:bCs/>
        </w:rPr>
        <w:t>Introduction</w:t>
      </w:r>
    </w:p>
    <w:p w14:paraId="5E55628C" w14:textId="77777777" w:rsidR="00251A9F" w:rsidRDefault="00251A9F" w:rsidP="00251A9F">
      <w:pPr>
        <w:spacing w:line="360" w:lineRule="auto"/>
        <w:rPr>
          <w:rFonts w:ascii="Times New Roman" w:hAnsi="Times New Roman"/>
        </w:rPr>
      </w:pPr>
      <w:r w:rsidRPr="00251A9F">
        <w:rPr>
          <w:rFonts w:ascii="Times New Roman" w:hAnsi="Times New Roman"/>
        </w:rPr>
        <w:t xml:space="preserve">For many years, it has been recognized that financial reporting alone is insufficient to satisfy the growing information needs of a broad range of stakeholders. Traditional financial reporting fails to capture what may be considered “intangible value” beyond the scope of conventional balance sheet requirements. Consequently, the present approach to financial statements remains heavily focused on historical values, which no longer fully line up with modern stakeholder expectations. As a result, the need for non-financial reporting alongside traditional financial reporting emerged to address the broader information expectations of stakeholders. The need to combine financial and non-financial information in reports is emphasized by </w:t>
      </w:r>
      <w:bookmarkStart w:id="1" w:name="_Hlk237179097"/>
      <w:r w:rsidRPr="00251A9F">
        <w:rPr>
          <w:rFonts w:ascii="Times New Roman" w:hAnsi="Times New Roman"/>
        </w:rPr>
        <w:t>Arora, Lodhia and Stone</w:t>
      </w:r>
      <w:bookmarkEnd w:id="1"/>
      <w:r w:rsidRPr="00251A9F">
        <w:rPr>
          <w:rFonts w:ascii="Times New Roman" w:hAnsi="Times New Roman"/>
        </w:rPr>
        <w:t xml:space="preserve"> (2023), who stress the importance of integrated reports that may incorporate sustainability reporting. Sustainability reporting has gained increasing importance as organizations are under growing pressure to disclose not only their financial performance but also their environmental, social, and governance impacts. An increasing number of large corporations now produce sustainability reports on an annual basis and share them with their stakeholders. As a mechanism intended to improve transparency (Wagenhofer, 2024), these reports introduce new responsibilities within organizations and contribute to the development of emerging roles for accountants. These disclosures are intended to back informed decision‑making by a wide range of stakeholders along with enhanced transparency. While sustainability reporting remains voluntary in many countries, however European companies are subject to the </w:t>
      </w:r>
      <w:proofErr w:type="spellStart"/>
      <w:proofErr w:type="gramStart"/>
      <w:r w:rsidRPr="00251A9F">
        <w:rPr>
          <w:rFonts w:ascii="Times New Roman" w:hAnsi="Times New Roman"/>
        </w:rPr>
        <w:t>non Financial</w:t>
      </w:r>
      <w:proofErr w:type="spellEnd"/>
      <w:proofErr w:type="gramEnd"/>
      <w:r w:rsidRPr="00251A9F">
        <w:rPr>
          <w:rFonts w:ascii="Times New Roman" w:hAnsi="Times New Roman"/>
        </w:rPr>
        <w:t xml:space="preserve"> Reporting Directive 2014/95/EU. This directive generated </w:t>
      </w:r>
      <w:proofErr w:type="spellStart"/>
      <w:proofErr w:type="gramStart"/>
      <w:r w:rsidRPr="00251A9F">
        <w:rPr>
          <w:rFonts w:ascii="Times New Roman" w:hAnsi="Times New Roman"/>
        </w:rPr>
        <w:t>non financial</w:t>
      </w:r>
      <w:proofErr w:type="spellEnd"/>
      <w:proofErr w:type="gramEnd"/>
      <w:r w:rsidRPr="00251A9F">
        <w:rPr>
          <w:rFonts w:ascii="Times New Roman" w:hAnsi="Times New Roman"/>
        </w:rPr>
        <w:t xml:space="preserve"> reporting requirements within the remit of the accounting profession (</w:t>
      </w:r>
      <w:bookmarkStart w:id="2" w:name="_Hlk237179830"/>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bookmarkEnd w:id="2"/>
      <w:proofErr w:type="spellEnd"/>
      <w:r w:rsidRPr="00251A9F">
        <w:rPr>
          <w:rFonts w:ascii="Times New Roman" w:hAnsi="Times New Roman"/>
        </w:rPr>
        <w:t xml:space="preserve">, 2020) which indicates the future of sustainability reporting. Because sustainability reporting practices continue to develop, questions have arisen regarding the professional expertise required to prepare and manage such reports effectively. Sustainability information can be used for two main purposes: evaluating financial risk and assessing social impact. Although these functions are related, they are distinct and can be easily conflated (Lawless, 2022). Professional accounting institutes like ICAEW support that Accountants are well placed to support and promote </w:t>
      </w:r>
      <w:r w:rsidRPr="00251A9F">
        <w:rPr>
          <w:rFonts w:ascii="Times New Roman" w:hAnsi="Times New Roman"/>
        </w:rPr>
        <w:lastRenderedPageBreak/>
        <w:t>sustainable practices within both their organizations and client firms. Their skills enable them to measure and report ESG performance, assess sustainability‑related risk and opportunities, and integrate this information into financial reporting and strategic planning. Through this expertise, accountants can assist management in embedding sustainability considerations into the everyday business decisions, supporting the transition towards more sustainable economy (Aquilina and Limbu, 2024). Accountants have traditionally held a central role in corporate reporting and assurance; however, sustainability reporting contains a wider range of non‑financial, narrative, and judgement‑based information. This study therefore seeks to examine whether accountants are the most appropriate professionals to be responsible for sustainability reporting. The aim of this study is to examine the preparedness level of accountants as professional for sustainability reporting.</w:t>
      </w:r>
    </w:p>
    <w:p w14:paraId="79ADFD00" w14:textId="77777777" w:rsidR="00251A9F" w:rsidRPr="00251A9F" w:rsidRDefault="00251A9F" w:rsidP="00251A9F">
      <w:pPr>
        <w:spacing w:line="360" w:lineRule="auto"/>
        <w:rPr>
          <w:rFonts w:ascii="Times New Roman" w:hAnsi="Times New Roman"/>
        </w:rPr>
      </w:pPr>
    </w:p>
    <w:p w14:paraId="0CB27EBD" w14:textId="77777777" w:rsidR="00251A9F" w:rsidRPr="00251A9F" w:rsidRDefault="00251A9F" w:rsidP="00251A9F">
      <w:pPr>
        <w:pStyle w:val="ListParagraph"/>
        <w:numPr>
          <w:ilvl w:val="1"/>
          <w:numId w:val="1"/>
        </w:numPr>
        <w:spacing w:after="160" w:line="360" w:lineRule="auto"/>
        <w:rPr>
          <w:rFonts w:ascii="Times New Roman" w:hAnsi="Times New Roman"/>
          <w:b/>
          <w:bCs/>
        </w:rPr>
      </w:pPr>
      <w:r w:rsidRPr="00251A9F">
        <w:rPr>
          <w:rFonts w:ascii="Times New Roman" w:hAnsi="Times New Roman"/>
          <w:b/>
          <w:bCs/>
        </w:rPr>
        <w:t>Background of the Study</w:t>
      </w:r>
    </w:p>
    <w:p w14:paraId="36B4BF06"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Sustainability reporting has developed rapidly in recent years as organisations face increasing expectations to disclose information about their environmental, social, and governance impact </w:t>
      </w:r>
      <w:proofErr w:type="spellStart"/>
      <w:r w:rsidRPr="00251A9F">
        <w:rPr>
          <w:rFonts w:ascii="Times New Roman" w:hAnsi="Times New Roman"/>
        </w:rPr>
        <w:t>along side</w:t>
      </w:r>
      <w:proofErr w:type="spellEnd"/>
      <w:r w:rsidRPr="00251A9F">
        <w:rPr>
          <w:rFonts w:ascii="Times New Roman" w:hAnsi="Times New Roman"/>
        </w:rPr>
        <w:t xml:space="preserve"> traditional financial result. These reports are projected to provide greater transparency and accountability to broad range of stakeholders, including investors, regulators, and the public. Accountants are responsible for assessing the financial impact of sustainability issues and developing ESG metrics that are important for obtaining a European funding. In addition, they assist organisations in managing climate risks and complying with sustainability standards, helping to integrate sustainability into strategic decision‑making (</w:t>
      </w:r>
      <w:proofErr w:type="spellStart"/>
      <w:r w:rsidRPr="00251A9F">
        <w:rPr>
          <w:rFonts w:ascii="Times New Roman" w:hAnsi="Times New Roman"/>
        </w:rPr>
        <w:t>Matac</w:t>
      </w:r>
      <w:proofErr w:type="spellEnd"/>
      <w:r w:rsidRPr="00251A9F">
        <w:rPr>
          <w:rFonts w:ascii="Times New Roman" w:hAnsi="Times New Roman"/>
        </w:rPr>
        <w:t xml:space="preserve"> et al., 2024). As sustainability reporting becomes more widely embedded in corporate reporting practices, it </w:t>
      </w:r>
      <w:proofErr w:type="gramStart"/>
      <w:r w:rsidRPr="00251A9F">
        <w:rPr>
          <w:rFonts w:ascii="Times New Roman" w:hAnsi="Times New Roman"/>
        </w:rPr>
        <w:t>scope</w:t>
      </w:r>
      <w:proofErr w:type="gramEnd"/>
      <w:r w:rsidRPr="00251A9F">
        <w:rPr>
          <w:rFonts w:ascii="Times New Roman" w:hAnsi="Times New Roman"/>
        </w:rPr>
        <w:t xml:space="preserve"> and complexity have expanded significantly. </w:t>
      </w:r>
    </w:p>
    <w:p w14:paraId="4F112305"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At present, sustainability reporting is incorporated within the management report, whose scope is determined by accounting regulations. Consequently, accountants, as the preparers of financial reports, are often regarded being responsible for producing sustainability reports (Arora, Lodhia and Stone, 2023). Unlike a conventional financial reporting, sustainability reporting often involves non‑financial data, qualitative disclosures, and forward‑looking targets that reflect long‑term organisational impact and strategic intentions. This broader focus requires collection and interpretation of information that may fall outside established accounting measurement systems. Differences in legal frameworks, along with social and political environments, shape the principles underpinning sustainability reporting standards and regulations. Consequently, jurisdictions are progressing at varying rates and adopting </w:t>
      </w:r>
      <w:r w:rsidRPr="00251A9F">
        <w:rPr>
          <w:rFonts w:ascii="Times New Roman" w:hAnsi="Times New Roman"/>
        </w:rPr>
        <w:lastRenderedPageBreak/>
        <w:t xml:space="preserve">diverse approaches in development and implementation of ESG reporting requirements (Lawless, 2022). As a result, preparing sustainability reports frequently demand collaboration across multiple organisational functions and the application of professional judgement in areas where standard and practices are still developing. </w:t>
      </w:r>
    </w:p>
    <w:p w14:paraId="5F79487D"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Within this context, the role of accountants in sustainability reporting has attracted an increasing attention. Accountants have traditionally been responsible for financial reporting, compliance, and assurance, and these skills are considered relevant to growing demand for structured and reliable sustainability information. </w:t>
      </w:r>
      <w:proofErr w:type="spellStart"/>
      <w:proofErr w:type="gramStart"/>
      <w:r w:rsidRPr="00251A9F">
        <w:rPr>
          <w:rFonts w:ascii="Times New Roman" w:hAnsi="Times New Roman"/>
        </w:rPr>
        <w:t>Non financial</w:t>
      </w:r>
      <w:proofErr w:type="spellEnd"/>
      <w:proofErr w:type="gramEnd"/>
      <w:r w:rsidRPr="00251A9F">
        <w:rPr>
          <w:rFonts w:ascii="Times New Roman" w:hAnsi="Times New Roman"/>
        </w:rPr>
        <w:t xml:space="preserve"> reporting is presented as opportunity for </w:t>
      </w:r>
      <w:proofErr w:type="spellStart"/>
      <w:r w:rsidRPr="00251A9F">
        <w:rPr>
          <w:rFonts w:ascii="Times New Roman" w:hAnsi="Times New Roman"/>
        </w:rPr>
        <w:t>accountanting</w:t>
      </w:r>
      <w:proofErr w:type="spellEnd"/>
      <w:r w:rsidRPr="00251A9F">
        <w:rPr>
          <w:rFonts w:ascii="Times New Roman" w:hAnsi="Times New Roman"/>
        </w:rPr>
        <w:t xml:space="preserve"> professionals to lead the practice in their companies because of their rounded understanding of the business (Arora, Lodhia and Stone, 2023).  At the same time, questions have emerged regarding whether if accounting expertise alone sufficient and professional accountants are being trained enough to address the interdisciplinary and judgement‑based nature of the sustainability reporting. The scope to which accountants are prepared to undertake sustainability reporting responsibilities may depend on </w:t>
      </w:r>
      <w:proofErr w:type="gramStart"/>
      <w:r w:rsidRPr="00251A9F">
        <w:rPr>
          <w:rFonts w:ascii="Times New Roman" w:hAnsi="Times New Roman"/>
        </w:rPr>
        <w:t>a multiple factors</w:t>
      </w:r>
      <w:proofErr w:type="gramEnd"/>
      <w:r w:rsidRPr="00251A9F">
        <w:rPr>
          <w:rFonts w:ascii="Times New Roman" w:hAnsi="Times New Roman"/>
        </w:rPr>
        <w:t xml:space="preserve">, including their awareness of regulatory requirements, their technical competence in sustainability‑related matters, and their confidence in applying their skills beyond a financial reporting. </w:t>
      </w:r>
    </w:p>
    <w:p w14:paraId="4ADEBCCD"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study will be conducted in developing economy context, Pakistan. The data will be collected from accounting and finance professionals working in Pakistan because despite rising acknowledgement of its importance, empirical evidence upon the relationship between accountant’s professional development and quality of sustainability reporting remains limited, mainly in emerging markets where the sustainability reporting practices are still evolving (Friedman, 2023). In addition, organisational conditions such as institutional support and access to targeted training may impact how effectively accountants can engage with sustainability reporting. Understanding these contextual and individual factors therefore important in assessing the suitability of accountants for this emerging professional role.</w:t>
      </w:r>
    </w:p>
    <w:p w14:paraId="5DFDD2B2" w14:textId="77777777" w:rsidR="00251A9F" w:rsidRPr="00251A9F" w:rsidRDefault="00251A9F" w:rsidP="00251A9F">
      <w:pPr>
        <w:spacing w:line="360" w:lineRule="auto"/>
        <w:rPr>
          <w:rFonts w:ascii="Times New Roman" w:hAnsi="Times New Roman"/>
        </w:rPr>
      </w:pPr>
    </w:p>
    <w:p w14:paraId="6D88E8C7" w14:textId="77777777" w:rsidR="00251A9F" w:rsidRPr="00251A9F" w:rsidRDefault="00251A9F" w:rsidP="00251A9F">
      <w:pPr>
        <w:pStyle w:val="ListParagraph"/>
        <w:numPr>
          <w:ilvl w:val="1"/>
          <w:numId w:val="1"/>
        </w:numPr>
        <w:spacing w:after="160" w:line="360" w:lineRule="auto"/>
        <w:rPr>
          <w:rFonts w:ascii="Times New Roman" w:hAnsi="Times New Roman"/>
          <w:b/>
          <w:bCs/>
        </w:rPr>
      </w:pPr>
      <w:r w:rsidRPr="00251A9F">
        <w:rPr>
          <w:rFonts w:ascii="Times New Roman" w:hAnsi="Times New Roman"/>
          <w:b/>
          <w:bCs/>
        </w:rPr>
        <w:t>Problem Statement</w:t>
      </w:r>
    </w:p>
    <w:p w14:paraId="38570CA2"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Sustainability reporting has become an increasingly obvious element of corporate reporting, requiring organisations to disclose a wide range of environmental, social, and governance information. In practice, accountants are frequently involved in reporting processes due to their established role in corporate reporting and compliance. Accountants play central role in financial planning, budgeting, and strategic investment decisions, ensuring adherence to </w:t>
      </w:r>
      <w:r w:rsidRPr="00251A9F">
        <w:rPr>
          <w:rFonts w:ascii="Times New Roman" w:hAnsi="Times New Roman"/>
        </w:rPr>
        <w:lastRenderedPageBreak/>
        <w:t>regulatory requirements while supporting corporate sustainability objectives (Smith, 2024). However, sustainability reporting differs from traditional financial reporting in both content and approach, developing questions about accountants’ preparedness to assume responsibility for this area.</w:t>
      </w:r>
    </w:p>
    <w:p w14:paraId="7E8C83E1"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Despite the growing involvement of accountants in sustainability reporting, there is limited clarity regarding the extent to which they are equipped to perform these roles effectively. Previous studies have conceptualised the professional hybridisation of management accountants as an individual level shift in role and professional identities. However, this approach overlooks the wider social context and evolving nature of management accounting work, particularly as environmental sustainability considerations become embedded within the profession (Fried et al., 2026) In particular, there is insufficient understanding of accountants’ awareness of evolving sustainability reporting obligations, their technical competence in applying sustainability standards and frameworks, and their confidence in carrying out sustainability‑related reporting tasks specifically </w:t>
      </w:r>
      <w:proofErr w:type="spellStart"/>
      <w:r w:rsidRPr="00251A9F">
        <w:rPr>
          <w:rFonts w:ascii="Times New Roman" w:hAnsi="Times New Roman"/>
        </w:rPr>
        <w:t>ina</w:t>
      </w:r>
      <w:proofErr w:type="spellEnd"/>
      <w:r w:rsidRPr="00251A9F">
        <w:rPr>
          <w:rFonts w:ascii="Times New Roman" w:hAnsi="Times New Roman"/>
        </w:rPr>
        <w:t xml:space="preserve"> developing countries like Pakistan. Without a clear review of these factors, it is difficult to determine whether accountants can be considered as ready to undertake sustainability reporting responsibilities.</w:t>
      </w:r>
    </w:p>
    <w:p w14:paraId="6FAC578E" w14:textId="77777777" w:rsidR="00251A9F" w:rsidRPr="00251A9F" w:rsidRDefault="00251A9F" w:rsidP="00251A9F">
      <w:pPr>
        <w:spacing w:line="360" w:lineRule="auto"/>
        <w:rPr>
          <w:rFonts w:ascii="Times New Roman" w:hAnsi="Times New Roman"/>
        </w:rPr>
      </w:pPr>
      <w:r w:rsidRPr="00251A9F">
        <w:rPr>
          <w:rFonts w:ascii="Times New Roman" w:hAnsi="Times New Roman"/>
        </w:rPr>
        <w:t>Additionally, accountants’ readiness may not depend only on individual knowledge and skills. Organisational conditions, such as the level of support provided for sustainability initiatives and access to specific sustainability training, may influence how effectively accountants translate their capabilities into practice. Organisational structures and management arrangements play a crucial role in ensuring effective operations and should reassess when significant changes occur, such as the introduction of sustainability reporting requirements (ACCA, 2023). However, the extent to which such organisational factors strengthen or weaken the relationship between accountants’ individual attributes and their readiness for sustainability reporting have not been systematically examined.</w:t>
      </w:r>
    </w:p>
    <w:p w14:paraId="41A7D680"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As a result, there is need for empirical research that evaluates accountants’ readiness for sustainability reporting by simultaneously considering regulatory awareness, technical competence, perceived confidence, and the moderating role of organisational support and targeted training. Addressing this problem is essential for the understanding whether accountants are suitably positioned to meet demands of sustainability reporting and for identifying area where additional support or development may be required because many organisations continue to experience inconsistencies and lack of transparency in their sustainability disclosures. In the absence of </w:t>
      </w:r>
      <w:proofErr w:type="gramStart"/>
      <w:r w:rsidRPr="00251A9F">
        <w:rPr>
          <w:rFonts w:ascii="Times New Roman" w:hAnsi="Times New Roman"/>
        </w:rPr>
        <w:t>high quality</w:t>
      </w:r>
      <w:proofErr w:type="gramEnd"/>
      <w:r w:rsidRPr="00251A9F">
        <w:rPr>
          <w:rFonts w:ascii="Times New Roman" w:hAnsi="Times New Roman"/>
        </w:rPr>
        <w:t xml:space="preserve"> sustainability reporting, stakeholders </w:t>
      </w:r>
      <w:r w:rsidRPr="00251A9F">
        <w:rPr>
          <w:rFonts w:ascii="Times New Roman" w:hAnsi="Times New Roman"/>
        </w:rPr>
        <w:lastRenderedPageBreak/>
        <w:t>are unable to access the information required for informed investment decision, which can eventually reduce corporate investment efficiency (Lawless, 2022).</w:t>
      </w:r>
    </w:p>
    <w:p w14:paraId="5EDCC656"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In the context of Pakistan, sustainability reporting </w:t>
      </w:r>
      <w:proofErr w:type="gramStart"/>
      <w:r w:rsidRPr="00251A9F">
        <w:rPr>
          <w:rFonts w:ascii="Times New Roman" w:hAnsi="Times New Roman"/>
        </w:rPr>
        <w:t>remain</w:t>
      </w:r>
      <w:proofErr w:type="gramEnd"/>
      <w:r w:rsidRPr="00251A9F">
        <w:rPr>
          <w:rFonts w:ascii="Times New Roman" w:hAnsi="Times New Roman"/>
        </w:rPr>
        <w:t xml:space="preserve"> an emerging practice shaped by developing institutional structures, evolving regulatory expectations, and varying levels of corporate governance maturity. Compared to developed economies, organisations in Pakistan face additional constraints such as limited stakeholder pressure, weaker enforcement mechanisms, and resource limitation, which can affect the extent quality of sustainability disclosures. Tauringana (2020) highlights that such challenges are common in across developing economies, where sustainability reporting is often influenced more by managerial perceptions and institutional pressures than by strong regulatory requirement. </w:t>
      </w:r>
    </w:p>
    <w:p w14:paraId="56B1C947" w14:textId="77777777" w:rsidR="00251A9F" w:rsidRDefault="00251A9F" w:rsidP="00251A9F">
      <w:pPr>
        <w:spacing w:line="360" w:lineRule="auto"/>
        <w:rPr>
          <w:rFonts w:ascii="Times New Roman" w:hAnsi="Times New Roman"/>
        </w:rPr>
      </w:pPr>
      <w:r w:rsidRPr="00251A9F">
        <w:rPr>
          <w:rFonts w:ascii="Times New Roman" w:hAnsi="Times New Roman"/>
        </w:rPr>
        <w:t xml:space="preserve">Similarly, Farisyi et al. (2022) emphasises that research on sustainability reporting in developing countries is still limited, despite the importance of this context in understanding global reporting practices. Together, these studies suggest that Pakistan provides a relevant setting for further investigation, as it reflects the broader gaps and contextual complexities present in the developing economies. In addition, the increasing global emphasis on environmental, social, and governance (ESG) accountability places additional importance on examining how companies in Pakistan respond to emerging reporting expectation. This makes it particularly important to explore how organizational support and accountants specific training influence </w:t>
      </w:r>
      <w:proofErr w:type="gramStart"/>
      <w:r w:rsidRPr="00251A9F">
        <w:rPr>
          <w:rFonts w:ascii="Times New Roman" w:hAnsi="Times New Roman"/>
        </w:rPr>
        <w:t>accountants</w:t>
      </w:r>
      <w:proofErr w:type="gramEnd"/>
      <w:r w:rsidRPr="00251A9F">
        <w:rPr>
          <w:rFonts w:ascii="Times New Roman" w:hAnsi="Times New Roman"/>
        </w:rPr>
        <w:t xml:space="preserve"> readiness for sustainability reporting practices within Pakistani corporate sector. In addition, alignment with global sustainability frameworks such as the Sustainable Development Goals (SDGs) and emerging ISSB reporting standards further highlights the need to assess how Pakistani firms adapt their reporting practices to international expectation.</w:t>
      </w:r>
    </w:p>
    <w:p w14:paraId="3A63DC49" w14:textId="77777777" w:rsidR="00251A9F" w:rsidRPr="00251A9F" w:rsidRDefault="00251A9F" w:rsidP="00251A9F">
      <w:pPr>
        <w:spacing w:line="360" w:lineRule="auto"/>
        <w:rPr>
          <w:rFonts w:ascii="Times New Roman" w:hAnsi="Times New Roman"/>
        </w:rPr>
      </w:pPr>
    </w:p>
    <w:p w14:paraId="7D83822E" w14:textId="77777777" w:rsidR="00251A9F" w:rsidRPr="00251A9F" w:rsidRDefault="00251A9F" w:rsidP="00251A9F">
      <w:pPr>
        <w:pStyle w:val="ListParagraph"/>
        <w:numPr>
          <w:ilvl w:val="1"/>
          <w:numId w:val="1"/>
        </w:numPr>
        <w:spacing w:after="160" w:line="360" w:lineRule="auto"/>
        <w:rPr>
          <w:rFonts w:ascii="Times New Roman" w:hAnsi="Times New Roman"/>
          <w:b/>
          <w:bCs/>
        </w:rPr>
      </w:pPr>
      <w:r w:rsidRPr="00251A9F">
        <w:rPr>
          <w:rFonts w:ascii="Times New Roman" w:hAnsi="Times New Roman"/>
          <w:b/>
          <w:bCs/>
        </w:rPr>
        <w:t>Research Objectives and Research Questions</w:t>
      </w:r>
    </w:p>
    <w:p w14:paraId="3926134D" w14:textId="77777777" w:rsidR="00251A9F" w:rsidRPr="00251A9F" w:rsidRDefault="00251A9F" w:rsidP="00251A9F">
      <w:pPr>
        <w:pStyle w:val="ListParagraph"/>
        <w:spacing w:line="360" w:lineRule="auto"/>
        <w:ind w:left="360"/>
        <w:rPr>
          <w:rFonts w:ascii="Times New Roman" w:hAnsi="Times New Roman"/>
        </w:rPr>
      </w:pPr>
    </w:p>
    <w:p w14:paraId="04BF3CBB" w14:textId="77777777" w:rsidR="00251A9F" w:rsidRPr="00251A9F" w:rsidRDefault="00251A9F" w:rsidP="00251A9F">
      <w:pPr>
        <w:pStyle w:val="ListParagraph"/>
        <w:numPr>
          <w:ilvl w:val="2"/>
          <w:numId w:val="1"/>
        </w:numPr>
        <w:spacing w:after="160" w:line="360" w:lineRule="auto"/>
        <w:rPr>
          <w:rFonts w:ascii="Times New Roman" w:hAnsi="Times New Roman"/>
          <w:b/>
          <w:bCs/>
        </w:rPr>
      </w:pPr>
      <w:r w:rsidRPr="00251A9F">
        <w:rPr>
          <w:rFonts w:ascii="Times New Roman" w:hAnsi="Times New Roman"/>
          <w:b/>
          <w:bCs/>
        </w:rPr>
        <w:t>Research Objectives</w:t>
      </w:r>
    </w:p>
    <w:p w14:paraId="3789778C"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objectives of this study are to assess accountants’ regulatory awareness related to evolving sustainability reporting obligations and evaluate their technical competence in applying sustainability reporting standards and frameworks. The study aims to examine </w:t>
      </w:r>
      <w:proofErr w:type="gramStart"/>
      <w:r w:rsidRPr="00251A9F">
        <w:rPr>
          <w:rFonts w:ascii="Times New Roman" w:hAnsi="Times New Roman"/>
        </w:rPr>
        <w:t>accountants’</w:t>
      </w:r>
      <w:proofErr w:type="gramEnd"/>
      <w:r w:rsidRPr="00251A9F">
        <w:rPr>
          <w:rFonts w:ascii="Times New Roman" w:hAnsi="Times New Roman"/>
        </w:rPr>
        <w:t xml:space="preserve"> perceived confidence (self‑efficacy) in performing sustainability reporting tasks and determine their overall readiness to undertake sustainability reporting responsibilities. In addition, the study seeks to explore if organizational support for sustainability and specific </w:t>
      </w:r>
      <w:r w:rsidRPr="00251A9F">
        <w:rPr>
          <w:rFonts w:ascii="Times New Roman" w:hAnsi="Times New Roman"/>
        </w:rPr>
        <w:lastRenderedPageBreak/>
        <w:t xml:space="preserve">sustainability training </w:t>
      </w:r>
      <w:proofErr w:type="gramStart"/>
      <w:r w:rsidRPr="00251A9F">
        <w:rPr>
          <w:rFonts w:ascii="Times New Roman" w:hAnsi="Times New Roman"/>
        </w:rPr>
        <w:t>moderate</w:t>
      </w:r>
      <w:proofErr w:type="gramEnd"/>
      <w:r w:rsidRPr="00251A9F">
        <w:rPr>
          <w:rFonts w:ascii="Times New Roman" w:hAnsi="Times New Roman"/>
        </w:rPr>
        <w:t xml:space="preserve"> the relationship between accountants’ awareness, technical competence, confidence, and their readiness for sustainability reporting.</w:t>
      </w:r>
    </w:p>
    <w:p w14:paraId="2FBC16BE" w14:textId="77777777" w:rsidR="00251A9F" w:rsidRPr="00251A9F" w:rsidRDefault="00251A9F" w:rsidP="00251A9F">
      <w:pPr>
        <w:spacing w:line="360" w:lineRule="auto"/>
        <w:rPr>
          <w:rFonts w:ascii="Times New Roman" w:hAnsi="Times New Roman"/>
        </w:rPr>
      </w:pPr>
      <w:r w:rsidRPr="00251A9F">
        <w:rPr>
          <w:rFonts w:ascii="Times New Roman" w:hAnsi="Times New Roman"/>
        </w:rPr>
        <w:t>RO1: To assess accountants’ regulatory awareness related to evolving sustainability reporting obligations.</w:t>
      </w:r>
    </w:p>
    <w:p w14:paraId="5DC14B8B" w14:textId="77777777" w:rsidR="00251A9F" w:rsidRPr="00251A9F" w:rsidRDefault="00251A9F" w:rsidP="00251A9F">
      <w:pPr>
        <w:spacing w:line="360" w:lineRule="auto"/>
        <w:rPr>
          <w:rFonts w:ascii="Times New Roman" w:hAnsi="Times New Roman"/>
        </w:rPr>
      </w:pPr>
      <w:r w:rsidRPr="00251A9F">
        <w:rPr>
          <w:rFonts w:ascii="Times New Roman" w:hAnsi="Times New Roman"/>
        </w:rPr>
        <w:t>RO2: To evaluate accountants’ technical competence in applying sustainability reporting standards and frameworks.</w:t>
      </w:r>
    </w:p>
    <w:p w14:paraId="5B7BE923"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RO3: To examine </w:t>
      </w:r>
      <w:proofErr w:type="gramStart"/>
      <w:r w:rsidRPr="00251A9F">
        <w:rPr>
          <w:rFonts w:ascii="Times New Roman" w:hAnsi="Times New Roman"/>
        </w:rPr>
        <w:t>accountants’</w:t>
      </w:r>
      <w:proofErr w:type="gramEnd"/>
      <w:r w:rsidRPr="00251A9F">
        <w:rPr>
          <w:rFonts w:ascii="Times New Roman" w:hAnsi="Times New Roman"/>
        </w:rPr>
        <w:t xml:space="preserve"> perceived confidence (self‑efficacy) in performing sustainability reporting tasks.</w:t>
      </w:r>
    </w:p>
    <w:p w14:paraId="3BABD528" w14:textId="77777777" w:rsidR="00251A9F" w:rsidRPr="00251A9F" w:rsidRDefault="00251A9F" w:rsidP="00251A9F">
      <w:pPr>
        <w:spacing w:line="360" w:lineRule="auto"/>
        <w:rPr>
          <w:rFonts w:ascii="Times New Roman" w:hAnsi="Times New Roman"/>
        </w:rPr>
      </w:pPr>
      <w:r w:rsidRPr="00251A9F">
        <w:rPr>
          <w:rFonts w:ascii="Times New Roman" w:hAnsi="Times New Roman"/>
        </w:rPr>
        <w:t>RO4: To determine the overall readiness of accountants to undertake sustainability reporting responsibilities.</w:t>
      </w:r>
    </w:p>
    <w:p w14:paraId="4A1D3985" w14:textId="77777777" w:rsidR="00251A9F" w:rsidRPr="00251A9F" w:rsidRDefault="00251A9F" w:rsidP="00251A9F">
      <w:pPr>
        <w:spacing w:line="360" w:lineRule="auto"/>
        <w:rPr>
          <w:rFonts w:ascii="Times New Roman" w:hAnsi="Times New Roman"/>
        </w:rPr>
      </w:pPr>
      <w:r w:rsidRPr="00251A9F">
        <w:rPr>
          <w:rFonts w:ascii="Times New Roman" w:hAnsi="Times New Roman"/>
        </w:rPr>
        <w:t>RO5: To investigate whether organizational support for sustainability moderates the relationship between accountants’ awareness, technical competence, confidence, and their readiness for sustainability reporting.</w:t>
      </w:r>
    </w:p>
    <w:p w14:paraId="5E3482EC" w14:textId="77777777" w:rsidR="00251A9F" w:rsidRDefault="00251A9F" w:rsidP="00251A9F">
      <w:pPr>
        <w:spacing w:line="360" w:lineRule="auto"/>
        <w:rPr>
          <w:rFonts w:ascii="Times New Roman" w:hAnsi="Times New Roman"/>
        </w:rPr>
      </w:pPr>
      <w:r w:rsidRPr="00251A9F">
        <w:rPr>
          <w:rFonts w:ascii="Times New Roman" w:hAnsi="Times New Roman"/>
        </w:rPr>
        <w:t>RO6: To examine whether specific sustainability training moderates the relationship between accountants’ awareness, technical competence, confidence, and their readiness for sustainability reporting.</w:t>
      </w:r>
    </w:p>
    <w:p w14:paraId="2F7225E6" w14:textId="77777777" w:rsidR="00251A9F" w:rsidRPr="00251A9F" w:rsidRDefault="00251A9F" w:rsidP="00251A9F">
      <w:pPr>
        <w:spacing w:line="360" w:lineRule="auto"/>
        <w:rPr>
          <w:rFonts w:ascii="Times New Roman" w:hAnsi="Times New Roman"/>
        </w:rPr>
      </w:pPr>
    </w:p>
    <w:p w14:paraId="1F8F8F3F" w14:textId="77777777" w:rsidR="00251A9F" w:rsidRPr="00251A9F" w:rsidRDefault="00251A9F" w:rsidP="00251A9F">
      <w:pPr>
        <w:pStyle w:val="ListParagraph"/>
        <w:numPr>
          <w:ilvl w:val="2"/>
          <w:numId w:val="1"/>
        </w:numPr>
        <w:spacing w:after="160" w:line="360" w:lineRule="auto"/>
        <w:rPr>
          <w:rFonts w:ascii="Times New Roman" w:hAnsi="Times New Roman"/>
          <w:b/>
          <w:bCs/>
        </w:rPr>
      </w:pPr>
      <w:r w:rsidRPr="00251A9F">
        <w:rPr>
          <w:rFonts w:ascii="Times New Roman" w:hAnsi="Times New Roman"/>
          <w:b/>
          <w:bCs/>
        </w:rPr>
        <w:t>Research Questions</w:t>
      </w:r>
    </w:p>
    <w:p w14:paraId="617732DC" w14:textId="77777777" w:rsidR="00251A9F" w:rsidRPr="00251A9F" w:rsidRDefault="00251A9F" w:rsidP="00251A9F">
      <w:pPr>
        <w:spacing w:line="360" w:lineRule="auto"/>
        <w:rPr>
          <w:rFonts w:ascii="Times New Roman" w:hAnsi="Times New Roman"/>
        </w:rPr>
      </w:pPr>
      <w:r w:rsidRPr="00251A9F">
        <w:rPr>
          <w:rFonts w:ascii="Times New Roman" w:hAnsi="Times New Roman"/>
        </w:rPr>
        <w:t>To achieve these objectives, the study is guided by the six research questions that examine the extent of accountants’ awareness of sustainability reporting requirements, their competence in applying relevant standards and frameworks, and their level of perceived confidence in carrying out sustainability reporting tasks. The research questions also explore that accountants’ overall readiness for sustainability reporting and assess whether organizational support and specific sustainability training strengthen relationship between accountants’ individual attributes and their readiness for sustainability reporting.</w:t>
      </w:r>
    </w:p>
    <w:p w14:paraId="34E70CFF" w14:textId="77777777" w:rsidR="00251A9F" w:rsidRPr="00251A9F" w:rsidRDefault="00251A9F" w:rsidP="00251A9F">
      <w:pPr>
        <w:spacing w:line="360" w:lineRule="auto"/>
        <w:rPr>
          <w:rFonts w:ascii="Times New Roman" w:hAnsi="Times New Roman"/>
        </w:rPr>
      </w:pPr>
      <w:r w:rsidRPr="00251A9F">
        <w:rPr>
          <w:rFonts w:ascii="Times New Roman" w:hAnsi="Times New Roman"/>
        </w:rPr>
        <w:t>RQ1: To what extent are accountants aware of current sustainability reporting requirements and developments?</w:t>
      </w:r>
    </w:p>
    <w:p w14:paraId="1EEA5BC5" w14:textId="77777777" w:rsidR="00251A9F" w:rsidRPr="00251A9F" w:rsidRDefault="00251A9F" w:rsidP="00251A9F">
      <w:pPr>
        <w:spacing w:line="360" w:lineRule="auto"/>
        <w:rPr>
          <w:rFonts w:ascii="Times New Roman" w:hAnsi="Times New Roman"/>
        </w:rPr>
      </w:pPr>
      <w:r w:rsidRPr="00251A9F">
        <w:rPr>
          <w:rFonts w:ascii="Times New Roman" w:hAnsi="Times New Roman"/>
        </w:rPr>
        <w:t>RQ2: How competent are accountants in applying sustainability reporting standards and frameworks?</w:t>
      </w:r>
    </w:p>
    <w:p w14:paraId="1FCF52D6" w14:textId="77777777" w:rsidR="00251A9F" w:rsidRPr="00251A9F" w:rsidRDefault="00251A9F" w:rsidP="00251A9F">
      <w:pPr>
        <w:spacing w:line="360" w:lineRule="auto"/>
        <w:rPr>
          <w:rFonts w:ascii="Times New Roman" w:hAnsi="Times New Roman"/>
        </w:rPr>
      </w:pPr>
      <w:r w:rsidRPr="00251A9F">
        <w:rPr>
          <w:rFonts w:ascii="Times New Roman" w:hAnsi="Times New Roman"/>
        </w:rPr>
        <w:t>RQ3: What is the level of perceived confidence among accountants in carrying out sustainability reporting tasks?</w:t>
      </w:r>
    </w:p>
    <w:p w14:paraId="6FA98D0B" w14:textId="77777777" w:rsidR="00251A9F" w:rsidRPr="00251A9F" w:rsidRDefault="00251A9F" w:rsidP="00251A9F">
      <w:pPr>
        <w:spacing w:line="360" w:lineRule="auto"/>
        <w:rPr>
          <w:rFonts w:ascii="Times New Roman" w:hAnsi="Times New Roman"/>
        </w:rPr>
      </w:pPr>
      <w:r w:rsidRPr="00251A9F">
        <w:rPr>
          <w:rFonts w:ascii="Times New Roman" w:hAnsi="Times New Roman"/>
        </w:rPr>
        <w:t>RQ4: What is the overall readiness of accountants to perform sustainability reporting?</w:t>
      </w:r>
    </w:p>
    <w:p w14:paraId="5694CCC4"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RQ5: Does organizational support for sustainability strengthen the relationship between accountants’ awareness, technical competence, confidence, and their readiness for sustainability reporting?</w:t>
      </w:r>
    </w:p>
    <w:p w14:paraId="25805917" w14:textId="77777777" w:rsidR="00251A9F" w:rsidRDefault="00251A9F" w:rsidP="00251A9F">
      <w:pPr>
        <w:spacing w:line="360" w:lineRule="auto"/>
        <w:rPr>
          <w:rFonts w:ascii="Times New Roman" w:hAnsi="Times New Roman"/>
        </w:rPr>
      </w:pPr>
      <w:r w:rsidRPr="00251A9F">
        <w:rPr>
          <w:rFonts w:ascii="Times New Roman" w:hAnsi="Times New Roman"/>
        </w:rPr>
        <w:t>RQ6: Does specific sustainability training strengthen the relationship between accountants’ awareness, technical competence, confidence, and their readiness for sustainability reporting?</w:t>
      </w:r>
    </w:p>
    <w:p w14:paraId="2017A753" w14:textId="77777777" w:rsidR="00251A9F" w:rsidRPr="00251A9F" w:rsidRDefault="00251A9F" w:rsidP="00251A9F">
      <w:pPr>
        <w:spacing w:line="360" w:lineRule="auto"/>
        <w:rPr>
          <w:rFonts w:ascii="Times New Roman" w:hAnsi="Times New Roman"/>
        </w:rPr>
      </w:pPr>
    </w:p>
    <w:p w14:paraId="47E691AF" w14:textId="77777777" w:rsidR="00251A9F" w:rsidRPr="00251A9F" w:rsidRDefault="00251A9F" w:rsidP="00251A9F">
      <w:pPr>
        <w:pStyle w:val="ListParagraph"/>
        <w:numPr>
          <w:ilvl w:val="1"/>
          <w:numId w:val="1"/>
        </w:numPr>
        <w:spacing w:after="160" w:line="360" w:lineRule="auto"/>
        <w:rPr>
          <w:rFonts w:ascii="Times New Roman" w:hAnsi="Times New Roman"/>
          <w:b/>
          <w:bCs/>
        </w:rPr>
      </w:pPr>
      <w:r w:rsidRPr="00251A9F">
        <w:rPr>
          <w:rFonts w:ascii="Times New Roman" w:hAnsi="Times New Roman"/>
          <w:b/>
          <w:bCs/>
        </w:rPr>
        <w:t>Rationale of the Study</w:t>
      </w:r>
    </w:p>
    <w:p w14:paraId="736FC79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rationale for this study is grounded in the increasing shift in corporate reporting towards integrating financial and non-financial information, as traditional financial reporting no longer sufficient to meet the informational needs of miscellaneous stakeholders. As highlighted by Arora, Lodhia and Stone (2023), integrated reporting frameworks emphasises the inclusion of sustainability-related disclosures, reflecting a broader movement toward transparency and accountability in organisational reporting. Within this developing reporting landscape, sustainability </w:t>
      </w:r>
      <w:proofErr w:type="spellStart"/>
      <w:r w:rsidRPr="00251A9F">
        <w:rPr>
          <w:rFonts w:ascii="Times New Roman" w:hAnsi="Times New Roman"/>
        </w:rPr>
        <w:t>reportings</w:t>
      </w:r>
      <w:proofErr w:type="spellEnd"/>
      <w:r w:rsidRPr="00251A9F">
        <w:rPr>
          <w:rFonts w:ascii="Times New Roman" w:hAnsi="Times New Roman"/>
        </w:rPr>
        <w:t xml:space="preserve"> have gained significant importance as firms are expected to disclose environmental, social, and governance (ESG) information along with financial performance. However, sustainability reporting is fundamentally unlike conventional financial reporting as it incorporates qualitative, forward-looking, and non-financial information, which requires the broader professional judgement and interdisciplinary understanding (Lawless, 2022). This shift has led to a growing debate regarding whether accountants, who have traditionally been responsible for financial reporting, are the most suitable professionals to undertake sustainability reporting responsibilities. Professional accounting bodies, such as ICAEW, argues that accountants possess relevant skills to measure ESG performance, assess sustainability-related risks, and integrate such information into the strategic decision-making (Aquilina and Limbu, 2024), suggesting that their potential suitability for this emerging role.</w:t>
      </w:r>
    </w:p>
    <w:p w14:paraId="224967C4"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Despite this, sustainability reporting in many jurisdictions remains voluntary or inconsistently regulated, with significant variation in implementation across countries due to the differences in legal, social, and institutional environments (Lawless, 2022). In this regard, accountants are increasingly positioned at the centre of sustainability reporting process, particularly as sustainability disclosures have become incorporated within management reports governed by accounting regulation, thereby placing preparatory responsibility largely within the accounting function (Arora, Lodhia and Stone, 2023). However, the extent to which accountants are genuinely prepared for expanded responsibility remains uncertain, </w:t>
      </w:r>
      <w:r w:rsidRPr="00251A9F">
        <w:rPr>
          <w:rFonts w:ascii="Times New Roman" w:hAnsi="Times New Roman"/>
        </w:rPr>
        <w:lastRenderedPageBreak/>
        <w:t>particularly in terms of their regulatory awareness, technical competence in sustainability standards, and perceived confidence in processing of non-financial reporting tasks. Prior research suggest that the effectiveness of sustainability reporting depends not only on technical systems but also on professional judgement and organisational context (Fried et al., 2026), highlighting the importance of examining individual-level capabilities alongside broader environmental influences.</w:t>
      </w:r>
    </w:p>
    <w:p w14:paraId="751E97C0"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issue is particularly relevant in developing economies such as Pakistan, where sustainability reporting practices are still at early stage of development and are shaped by weaker enforcement mechanisms, limited stakeholder pressure, and varying levels of corporate governance maturity (</w:t>
      </w:r>
      <w:proofErr w:type="spellStart"/>
      <w:r w:rsidRPr="00251A9F">
        <w:rPr>
          <w:rFonts w:ascii="Times New Roman" w:hAnsi="Times New Roman"/>
        </w:rPr>
        <w:t>Tauringana</w:t>
      </w:r>
      <w:proofErr w:type="spellEnd"/>
      <w:r w:rsidRPr="00251A9F">
        <w:rPr>
          <w:rFonts w:ascii="Times New Roman" w:hAnsi="Times New Roman"/>
        </w:rPr>
        <w:t>, 2020). Furthermore, research on sustainability reporting in developing countries remains limited, directing a significant gap in the literature (Farisyi et al., 2022). Pakistan therefore provides a suitable context to examine how accountants respond to emerging sustainability reporting demands, especially due to increasing global expectations driven by ESG frameworks, the Sustainable Development Goals (SDGs), and emerging ISSB standards.</w:t>
      </w:r>
    </w:p>
    <w:p w14:paraId="31B0A0E1" w14:textId="77777777" w:rsidR="00251A9F" w:rsidRDefault="00251A9F" w:rsidP="00251A9F">
      <w:pPr>
        <w:spacing w:line="360" w:lineRule="auto"/>
        <w:rPr>
          <w:rFonts w:ascii="Times New Roman" w:hAnsi="Times New Roman"/>
        </w:rPr>
      </w:pPr>
      <w:r w:rsidRPr="00251A9F">
        <w:rPr>
          <w:rFonts w:ascii="Times New Roman" w:hAnsi="Times New Roman"/>
        </w:rPr>
        <w:t>Against this backdrop, this study is motivated by the requirement to assess accountants’ readiness for sustainability reporting by focusing on key individual factors, namely regulatory awareness, technical competence, and perceived confidence. In addition, it considers the moderating role of organisational support for sustainability and access to specific sustainability training as this factor may enhance or constrain accountants’ ability to effectively perform sustainability reporting responsibilities. Organisational support system and targeted training is increasingly recognised as essential enablers of effective reporting practices, particularly when organisations undergo significant reporting transitions (ACCA, 2023). By examining these relationships in Pakistani context, this study aims to provide empirical evidence on whether accountants are adequately prepared for the sustainability reporting and to identify the conditions under which their readiness can be strengthened. Ultimately, this assists to understanding the evolving professional role of accountants in sustainability reporting and address the need for context-specific evidence from emerging economies where sustainability reporting practices continue to develop. The study aims to fill a research gap in the section of accountants’ perception regarding the sustainability reporting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2025)</w:t>
      </w:r>
    </w:p>
    <w:p w14:paraId="1AB41E5A" w14:textId="77777777" w:rsidR="00251A9F" w:rsidRPr="00251A9F" w:rsidRDefault="00251A9F" w:rsidP="00251A9F">
      <w:pPr>
        <w:spacing w:line="360" w:lineRule="auto"/>
        <w:rPr>
          <w:rFonts w:ascii="Times New Roman" w:hAnsi="Times New Roman"/>
        </w:rPr>
      </w:pPr>
    </w:p>
    <w:p w14:paraId="6018A297" w14:textId="77777777" w:rsidR="00251A9F" w:rsidRPr="00251A9F" w:rsidRDefault="00251A9F" w:rsidP="00251A9F">
      <w:pPr>
        <w:pStyle w:val="ListParagraph"/>
        <w:numPr>
          <w:ilvl w:val="1"/>
          <w:numId w:val="1"/>
        </w:numPr>
        <w:spacing w:after="160" w:line="360" w:lineRule="auto"/>
        <w:rPr>
          <w:rFonts w:ascii="Times New Roman" w:hAnsi="Times New Roman"/>
          <w:b/>
          <w:bCs/>
        </w:rPr>
      </w:pPr>
      <w:r w:rsidRPr="00251A9F">
        <w:rPr>
          <w:rFonts w:ascii="Times New Roman" w:hAnsi="Times New Roman"/>
          <w:b/>
          <w:bCs/>
        </w:rPr>
        <w:t>Structure of the Report</w:t>
      </w:r>
    </w:p>
    <w:p w14:paraId="2C22664E" w14:textId="77777777" w:rsidR="00251A9F" w:rsidRDefault="00251A9F" w:rsidP="00251A9F">
      <w:pPr>
        <w:spacing w:line="360" w:lineRule="auto"/>
        <w:rPr>
          <w:rFonts w:ascii="Times New Roman" w:hAnsi="Times New Roman"/>
        </w:rPr>
      </w:pPr>
      <w:r w:rsidRPr="00251A9F">
        <w:rPr>
          <w:rFonts w:ascii="Times New Roman" w:hAnsi="Times New Roman"/>
        </w:rPr>
        <w:lastRenderedPageBreak/>
        <w:t xml:space="preserve">This thesis is organised into six chapters. Chapter One introduces the study and present the background, problem statement, research objectives, research questions, and rationale for the research. Chapter Two provides a review of relevant literature related to sustainability reporting and the role of accountants. Chapter Three outlines the research methodology, including the research design, data collection methods, and data analysis techniques. Chapter Four presents the results of the study. Chapter Five discusses findings in relation to the research objectives and existing literature. Finally, Chapter Six concludes the study by summarising the key findings highlighting </w:t>
      </w:r>
      <w:proofErr w:type="gramStart"/>
      <w:r w:rsidRPr="00251A9F">
        <w:rPr>
          <w:rFonts w:ascii="Times New Roman" w:hAnsi="Times New Roman"/>
        </w:rPr>
        <w:t>implications, and</w:t>
      </w:r>
      <w:proofErr w:type="gramEnd"/>
      <w:r w:rsidRPr="00251A9F">
        <w:rPr>
          <w:rFonts w:ascii="Times New Roman" w:hAnsi="Times New Roman"/>
        </w:rPr>
        <w:t xml:space="preserve"> suggesting direction for future research.</w:t>
      </w:r>
    </w:p>
    <w:p w14:paraId="2A62467E" w14:textId="77777777" w:rsidR="00251A9F" w:rsidRPr="00251A9F" w:rsidRDefault="00251A9F" w:rsidP="00251A9F">
      <w:pPr>
        <w:spacing w:line="360" w:lineRule="auto"/>
        <w:rPr>
          <w:rFonts w:ascii="Times New Roman" w:hAnsi="Times New Roman"/>
        </w:rPr>
      </w:pPr>
    </w:p>
    <w:p w14:paraId="3EBB83F2" w14:textId="77777777" w:rsidR="00251A9F" w:rsidRPr="00251A9F" w:rsidRDefault="00251A9F" w:rsidP="00251A9F">
      <w:pPr>
        <w:pStyle w:val="ListParagraph"/>
        <w:numPr>
          <w:ilvl w:val="1"/>
          <w:numId w:val="1"/>
        </w:numPr>
        <w:spacing w:after="160" w:line="360" w:lineRule="auto"/>
        <w:rPr>
          <w:rFonts w:ascii="Times New Roman" w:hAnsi="Times New Roman"/>
          <w:b/>
          <w:bCs/>
        </w:rPr>
      </w:pPr>
      <w:r w:rsidRPr="00251A9F">
        <w:rPr>
          <w:rFonts w:ascii="Times New Roman" w:hAnsi="Times New Roman"/>
          <w:b/>
          <w:bCs/>
        </w:rPr>
        <w:t>Chapter Summary</w:t>
      </w:r>
    </w:p>
    <w:p w14:paraId="3AC1AAF0"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chapter introduced the research by outlining the background of the study, identifying the research problem, and presenting research objectives and research questions. The rationale for the study was explained, highlighting its academic and practical relevance, and the overall structure of the thesis was described. The next chapter will review the relevant literature on sustainability reporting and the role of accountants, providing a theoretical establishment for this study.</w:t>
      </w:r>
    </w:p>
    <w:p w14:paraId="32C792BA" w14:textId="77777777" w:rsidR="00251A9F" w:rsidRPr="00251A9F" w:rsidRDefault="00251A9F" w:rsidP="00251A9F">
      <w:pPr>
        <w:spacing w:line="360" w:lineRule="auto"/>
        <w:jc w:val="center"/>
        <w:rPr>
          <w:rFonts w:ascii="Times New Roman" w:hAnsi="Times New Roman"/>
          <w:b/>
          <w:bCs/>
        </w:rPr>
      </w:pPr>
      <w:r w:rsidRPr="00251A9F">
        <w:rPr>
          <w:rFonts w:ascii="Times New Roman" w:hAnsi="Times New Roman"/>
          <w:b/>
          <w:bCs/>
        </w:rPr>
        <w:t>CHAPTER 2 LITERATURE REVIEW</w:t>
      </w:r>
    </w:p>
    <w:p w14:paraId="2D54C5BC"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 </w:t>
      </w:r>
    </w:p>
    <w:p w14:paraId="283280CF"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2.1 Introduction</w:t>
      </w:r>
    </w:p>
    <w:p w14:paraId="348451ED"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chapter reviews and critically synthesizes the existing literature relevant to accountants’ readiness for sustainability reporting, with special emphasis on empirical and theoretical developments that inform the conceptual framework of this study. Sustainability has emerged as a relatively new responsibility within the accounting profession, stretching beyond its traditional focus on financial reporting and compliance. Initially driven by voluntary sustainability reporting initiatives, accountants gradually became involved in preparation and disclosure of sustainability-related information. More recently, regulatory developments have expanded their role, increasing expectations for accountants to contribute to sustainability reporting practices and related disclosures (</w:t>
      </w:r>
      <w:proofErr w:type="spellStart"/>
      <w:r w:rsidRPr="00251A9F">
        <w:rPr>
          <w:rFonts w:ascii="Times New Roman" w:hAnsi="Times New Roman"/>
        </w:rPr>
        <w:t>Fota</w:t>
      </w:r>
      <w:proofErr w:type="spellEnd"/>
      <w:r w:rsidRPr="00251A9F">
        <w:rPr>
          <w:rFonts w:ascii="Times New Roman" w:hAnsi="Times New Roman"/>
        </w:rPr>
        <w:t xml:space="preserve"> et al., 2024).</w:t>
      </w:r>
    </w:p>
    <w:p w14:paraId="5347CAF0"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literature on sustainability reporting has extended significantly in current years, particularly in answer to increasing global attention on environmental, social, and governance (ESG) accountability and the growing adoption of integrated reporting framework. Accountants, as central actors in corporate reporting systems, frequently are positioned as key </w:t>
      </w:r>
      <w:r w:rsidRPr="00251A9F">
        <w:rPr>
          <w:rFonts w:ascii="Times New Roman" w:hAnsi="Times New Roman"/>
        </w:rPr>
        <w:lastRenderedPageBreak/>
        <w:t>contributors to sustainability reporting due to their skill in measurement, control, and financial communication. However, existing studies also highlight sustainability reporting extends outside traditional accounting boundaries, requiring interdisciplinary knowledge, judgement-based assessments, and an understanding of non-financial performance indicators (Lawless, 2022).</w:t>
      </w:r>
    </w:p>
    <w:p w14:paraId="04412ADD" w14:textId="77777777" w:rsidR="00251A9F" w:rsidRPr="00251A9F" w:rsidRDefault="00251A9F" w:rsidP="00251A9F">
      <w:pPr>
        <w:spacing w:line="360" w:lineRule="auto"/>
        <w:rPr>
          <w:rFonts w:ascii="Times New Roman" w:hAnsi="Times New Roman"/>
        </w:rPr>
      </w:pPr>
      <w:r w:rsidRPr="00251A9F">
        <w:rPr>
          <w:rFonts w:ascii="Times New Roman" w:hAnsi="Times New Roman"/>
        </w:rPr>
        <w:t>Prior studies have presented conflicting narratives in the context of accountants’ role in sustainability initiatives (</w:t>
      </w:r>
      <w:proofErr w:type="spellStart"/>
      <w:r w:rsidRPr="00251A9F">
        <w:rPr>
          <w:rFonts w:ascii="Times New Roman" w:hAnsi="Times New Roman"/>
        </w:rPr>
        <w:t>Fota</w:t>
      </w:r>
      <w:proofErr w:type="spellEnd"/>
      <w:r w:rsidRPr="00251A9F">
        <w:rPr>
          <w:rFonts w:ascii="Times New Roman" w:hAnsi="Times New Roman"/>
        </w:rPr>
        <w:t xml:space="preserve"> et al., 2024). In response to this complexity, recent literature has shifted to examining not only the structural evolution of sustainability reporting but also the individual and organisational factors that determine reporting effectiveness. Despite this growing body of knowledge, the literature remains fragmented, with limited integration of psychological, technical, and organisational dimensions within the single analytical framework. Furthermore, most existing studies are clustered in developed economies where regulatory system, professional training structure, and sustainability reporting practices are more mature. This creates a need to examine how these relationships function in developing country contexts, where institutional pressures, enforcement mechanisms, and professional capabilities differ significantly.</w:t>
      </w:r>
    </w:p>
    <w:p w14:paraId="5316134F" w14:textId="77777777" w:rsidR="00251A9F" w:rsidRPr="00251A9F" w:rsidRDefault="00251A9F" w:rsidP="00251A9F">
      <w:pPr>
        <w:spacing w:line="360" w:lineRule="auto"/>
        <w:rPr>
          <w:rFonts w:ascii="Times New Roman" w:hAnsi="Times New Roman"/>
        </w:rPr>
      </w:pPr>
      <w:r w:rsidRPr="00251A9F">
        <w:rPr>
          <w:rFonts w:ascii="Times New Roman" w:hAnsi="Times New Roman"/>
        </w:rPr>
        <w:t>Accordingly, this chapter is structured around a five key constructs: regulatory awareness, technical competence, perceived confidence (self-efficacy), organisational support for sustainability, and sustainability-specific training. These variables are reviewed in detail to determine their theoretical relevance and empirical support in relation to sustainability reporting outcomes. In addition, the chapter places the discussion within the context of developing economies, with a specific focus on Pakistan, to highlight contextual differences and justify the need for additional investigation.</w:t>
      </w:r>
    </w:p>
    <w:p w14:paraId="10EFB24A" w14:textId="77777777" w:rsidR="00251A9F" w:rsidRDefault="00251A9F" w:rsidP="00251A9F">
      <w:pPr>
        <w:spacing w:line="360" w:lineRule="auto"/>
        <w:rPr>
          <w:rFonts w:ascii="Times New Roman" w:hAnsi="Times New Roman"/>
        </w:rPr>
      </w:pPr>
      <w:r w:rsidRPr="00251A9F">
        <w:rPr>
          <w:rFonts w:ascii="Times New Roman" w:hAnsi="Times New Roman"/>
        </w:rPr>
        <w:t>The chapter conclude by identifying key gaps in the existing literature and developing hypotheses that guide the empirical analysis of if accountants are appropriately prepared to undertake sustainability reporting responsibilities in emerging market settings.</w:t>
      </w:r>
    </w:p>
    <w:p w14:paraId="747A7870" w14:textId="77777777" w:rsidR="00251A9F" w:rsidRPr="00251A9F" w:rsidRDefault="00251A9F" w:rsidP="00251A9F">
      <w:pPr>
        <w:spacing w:line="360" w:lineRule="auto"/>
        <w:rPr>
          <w:rFonts w:ascii="Times New Roman" w:hAnsi="Times New Roman"/>
        </w:rPr>
      </w:pPr>
    </w:p>
    <w:p w14:paraId="56978CA2" w14:textId="77777777" w:rsidR="00251A9F" w:rsidRDefault="00251A9F" w:rsidP="00251A9F">
      <w:pPr>
        <w:spacing w:line="360" w:lineRule="auto"/>
        <w:rPr>
          <w:rFonts w:ascii="Times New Roman" w:hAnsi="Times New Roman"/>
          <w:b/>
          <w:bCs/>
        </w:rPr>
      </w:pPr>
      <w:r w:rsidRPr="00251A9F">
        <w:rPr>
          <w:rFonts w:ascii="Times New Roman" w:hAnsi="Times New Roman"/>
          <w:b/>
          <w:bCs/>
        </w:rPr>
        <w:t>2.2 Sustainability Reporting: Overview, Context, and the Dependent Variable</w:t>
      </w:r>
    </w:p>
    <w:p w14:paraId="43B3A7B7" w14:textId="77777777" w:rsidR="00251A9F" w:rsidRPr="00251A9F" w:rsidRDefault="00251A9F" w:rsidP="00251A9F">
      <w:pPr>
        <w:spacing w:line="360" w:lineRule="auto"/>
        <w:rPr>
          <w:rFonts w:ascii="Times New Roman" w:hAnsi="Times New Roman"/>
          <w:b/>
          <w:bCs/>
        </w:rPr>
      </w:pPr>
    </w:p>
    <w:p w14:paraId="0EFB1532"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2.2.1 The Evolution of Sustainability Reporting</w:t>
      </w:r>
    </w:p>
    <w:p w14:paraId="5168D9A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Sustainability reporting has emerged as one of most significant developments in corporate disclosure over the past three decades, expressing a fundamental shift in how organisations communicate their performance, responsibilities, long-term value creation to a broad range of stakeholders. At its core, sustainability reporting refers to the process through which </w:t>
      </w:r>
      <w:r w:rsidRPr="00251A9F">
        <w:rPr>
          <w:rFonts w:ascii="Times New Roman" w:hAnsi="Times New Roman"/>
        </w:rPr>
        <w:lastRenderedPageBreak/>
        <w:t xml:space="preserve">organisations publicly reveal info related to </w:t>
      </w:r>
      <w:proofErr w:type="gramStart"/>
      <w:r w:rsidRPr="00251A9F">
        <w:rPr>
          <w:rFonts w:ascii="Times New Roman" w:hAnsi="Times New Roman"/>
        </w:rPr>
        <w:t>their</w:t>
      </w:r>
      <w:proofErr w:type="gramEnd"/>
      <w:r w:rsidRPr="00251A9F">
        <w:rPr>
          <w:rFonts w:ascii="Times New Roman" w:hAnsi="Times New Roman"/>
        </w:rPr>
        <w:t xml:space="preserve"> environ mental, social, and governance (ESG) activities and impacts alongside, or in integration with, their traditional financial results. This practice has evolved from largely informal and voluntary disclosures determined by activist pressure in the 1980s and 1990s to increasingly codified, standardised, and in some jurisdictions mandatory reporting obligation that are now considered as a core dimension of corporate accountability (Milne and Gray, 2013).</w:t>
      </w:r>
    </w:p>
    <w:p w14:paraId="3E73E318"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early development of sustainability reporting was closely associated with the environmental movement and the growing public distress about corporate contributions to ecological degradation, climate change, and social inequality. In response to stakeholder pressure, pioneering organisations began voluntarily disclosing information about their environmental practices, resource consumption, and community engagement, often in standalone sustainability or corporate social responsibility (CSR) reports. The establishment of the Global Reporting Initiative (GRI) in 1997 represented a defining moment in the formalisation of sustainability reporting, providing the first globally recognised framework for standardised ESG disclosure. The GRI Standards, now in their fourth iteration, have since become the most commonly adopted sustainability reporting framework globally, used by thousands of organisations across more than100 countries (GRI, 2023).</w:t>
      </w:r>
    </w:p>
    <w:p w14:paraId="7EDBE55C" w14:textId="77777777" w:rsidR="00251A9F" w:rsidRPr="00251A9F" w:rsidRDefault="00251A9F" w:rsidP="00251A9F">
      <w:pPr>
        <w:spacing w:line="360" w:lineRule="auto"/>
        <w:rPr>
          <w:rFonts w:ascii="Times New Roman" w:hAnsi="Times New Roman"/>
        </w:rPr>
      </w:pPr>
      <w:r w:rsidRPr="00251A9F">
        <w:rPr>
          <w:rFonts w:ascii="Times New Roman" w:hAnsi="Times New Roman"/>
        </w:rPr>
        <w:t>Subsequent decades saw a proliferation of sustainability reporting frameworks, standards, and guidance documents, reflecting growing complexity and scope of stakeholder expectation around ESG disclosure. The Carbon Disclosure Project (CDP), the Sustainability Accounting Standards Board (SASB), the Task Force on Climate-related Financial Disclosures (TCFD), and the Integrated Reporting Framework developed by the International Integrated Reporting Council (IIRC) each contributed distinct approach to structuring communicating sustainability information. The resulting fragmentation of the reporting landscape, while reflecting the richness of stakeholder interests, also shaped significant challenges for preparers and users of sustainability information, who struggled to navigate overlapping and sometimes conflicting frameworks (Lawless, 2022).</w:t>
      </w:r>
    </w:p>
    <w:p w14:paraId="54FAEBDD" w14:textId="77777777" w:rsidR="00251A9F" w:rsidRDefault="00251A9F" w:rsidP="00251A9F">
      <w:pPr>
        <w:spacing w:line="360" w:lineRule="auto"/>
        <w:rPr>
          <w:rFonts w:ascii="Times New Roman" w:hAnsi="Times New Roman"/>
        </w:rPr>
      </w:pPr>
      <w:r w:rsidRPr="00251A9F">
        <w:rPr>
          <w:rFonts w:ascii="Times New Roman" w:hAnsi="Times New Roman"/>
        </w:rPr>
        <w:t xml:space="preserve">The most important recent development in the sustainability reporting landscape has been the establishment of International Sustainability Standards Board (ISSB) under the IFRS Foundation, which published its inaugural standards, IFRS S1 (General Requirements for Disclosure of Sustainability-related Financial Information) and IFRS S2 (Climate-related Disclosures) June 2023. The ISSB standards represent an attempt to create global baseline for sustainability-related financial disclosures that is compatible with existing financial reporting infrastructure, building on the TCFD recommendations and consolidating several previously </w:t>
      </w:r>
      <w:r w:rsidRPr="00251A9F">
        <w:rPr>
          <w:rFonts w:ascii="Times New Roman" w:hAnsi="Times New Roman"/>
        </w:rPr>
        <w:lastRenderedPageBreak/>
        <w:t>fragmented frameworks. The emergence of the ISSB signals a decisive step toward the mainstreaming of sustainability reporting within established financial reporting ecosystem, with important implications for the professional responsible for preparing these disclosures.</w:t>
      </w:r>
    </w:p>
    <w:p w14:paraId="572CC050" w14:textId="77777777" w:rsidR="00251A9F" w:rsidRPr="00251A9F" w:rsidRDefault="00251A9F" w:rsidP="00251A9F">
      <w:pPr>
        <w:spacing w:line="360" w:lineRule="auto"/>
        <w:rPr>
          <w:rFonts w:ascii="Times New Roman" w:hAnsi="Times New Roman"/>
        </w:rPr>
      </w:pPr>
    </w:p>
    <w:p w14:paraId="3937576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2.2.2 The Regulatory and Institutional Context</w:t>
      </w:r>
    </w:p>
    <w:p w14:paraId="1B21B7C8"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regulatory landscape regulating sustainability reporting has transformed significantly, particularly following the Paris Agreement (2015) and adoption of the United Nations Sustainable Development Goals (SDGs). The European Union has led this shift, primarily through the Non-Financial Reporting Directive (NFRD) 2014/95/EU, which required large public-interest entities to report on environmental matters, social responsibility, human rights, anti-corruption, and board diversity. The NFRD was superseded by the Corporate Sustainability Reporting Directive (CSRD), effective from January 2023, which substantially expanded the scope, depth, and assurance requirements of sustainability disclosures. It has also introduced mandatory European Sustainability Reporting Standards (ESRS), bringing a greater specificity and rigour to sustainability reporting, approaching financial reporting (Wagenhofer, 2024).</w:t>
      </w:r>
    </w:p>
    <w:p w14:paraId="77943C8F" w14:textId="77777777" w:rsidR="00251A9F" w:rsidRDefault="00251A9F" w:rsidP="00251A9F">
      <w:pPr>
        <w:spacing w:line="360" w:lineRule="auto"/>
        <w:rPr>
          <w:rFonts w:ascii="Times New Roman" w:hAnsi="Times New Roman"/>
        </w:rPr>
      </w:pPr>
      <w:r w:rsidRPr="00251A9F">
        <w:rPr>
          <w:rFonts w:ascii="Times New Roman" w:hAnsi="Times New Roman"/>
        </w:rPr>
        <w:t>Globally, sustainability reporting requirements are also intensifying. In the United States, the Securities and Exchange Commission (SEC) proposed climate-related disclosure rules, while regulators in Hong Kong, Singapore, and Australia are moving towards mandatory climate disclosures aligned with TCFD and ISSB standards. In Pakistan, mandatory requirements remain limited, although the Securities and Exchange Commission of Pakistan (SECP) has issued voluntary ESG reporting guidelines and showed alignment with international frameworks including the SDGs and ISSB standards. Farisyi et al. (2022) note that developing economies vary in regulatory readiness due to institutional maturity, stakeholder pressures, and professional capacity, highlighting the importance of individual-level readiness for effective sustainability reporting.</w:t>
      </w:r>
    </w:p>
    <w:p w14:paraId="6020BEF9" w14:textId="77777777" w:rsidR="00251A9F" w:rsidRPr="00251A9F" w:rsidRDefault="00251A9F" w:rsidP="00251A9F">
      <w:pPr>
        <w:spacing w:line="360" w:lineRule="auto"/>
        <w:rPr>
          <w:rFonts w:ascii="Times New Roman" w:hAnsi="Times New Roman"/>
        </w:rPr>
      </w:pPr>
    </w:p>
    <w:p w14:paraId="0CE4300A"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2.2.3 Overall Readiness for Sustainability Reporting: The Dependent Variable</w:t>
      </w:r>
    </w:p>
    <w:p w14:paraId="2913AD4D" w14:textId="77777777" w:rsidR="00251A9F" w:rsidRPr="00251A9F" w:rsidRDefault="00251A9F" w:rsidP="00251A9F">
      <w:pPr>
        <w:spacing w:line="360" w:lineRule="auto"/>
        <w:rPr>
          <w:rFonts w:ascii="Times New Roman" w:hAnsi="Times New Roman"/>
        </w:rPr>
      </w:pPr>
      <w:r w:rsidRPr="00251A9F">
        <w:rPr>
          <w:rFonts w:ascii="Times New Roman" w:hAnsi="Times New Roman"/>
        </w:rPr>
        <w:t>Against this backdrop, the concept of overall readiness for sustainability reporting acts as the central dependent variable of this study. Readiness, in the professional context, refers to state of being fully prepared to undertake particular set of responsibilities effectively, encompassing not only the possession of relevant knowledge and skills also the attitudinal disposition and situational conditions necessary for competent performance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In the sustainability reporting context, overall readiness hence </w:t>
      </w:r>
      <w:proofErr w:type="gramStart"/>
      <w:r w:rsidRPr="00251A9F">
        <w:rPr>
          <w:rFonts w:ascii="Times New Roman" w:hAnsi="Times New Roman"/>
        </w:rPr>
        <w:lastRenderedPageBreak/>
        <w:t>capture</w:t>
      </w:r>
      <w:proofErr w:type="gramEnd"/>
      <w:r w:rsidRPr="00251A9F">
        <w:rPr>
          <w:rFonts w:ascii="Times New Roman" w:hAnsi="Times New Roman"/>
        </w:rPr>
        <w:t xml:space="preserve"> the extent to which accountants perceive themselves equipped in terms of knowledge, capability, and confidence to assume responsibility for preparing and disclosing sustainability data in accordance with applicable standards and stakeholder expectation.</w:t>
      </w:r>
    </w:p>
    <w:p w14:paraId="72EC2941"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construct of sustainability reporting readiness is conceptually distinct from the actual reporting performance, which is contingent on range of additional factors including data availability, organisational systems, and stakeholder engagement process. Rather, readiness captures the professional preparedness of individual accountants and reflect their potential to contribute effectively </w:t>
      </w:r>
      <w:proofErr w:type="gramStart"/>
      <w:r w:rsidRPr="00251A9F">
        <w:rPr>
          <w:rFonts w:ascii="Times New Roman" w:hAnsi="Times New Roman"/>
        </w:rPr>
        <w:t>in</w:t>
      </w:r>
      <w:proofErr w:type="gramEnd"/>
      <w:r w:rsidRPr="00251A9F">
        <w:rPr>
          <w:rFonts w:ascii="Times New Roman" w:hAnsi="Times New Roman"/>
        </w:rPr>
        <w:t xml:space="preserve"> sustainability reporting processes given appropriate organisational conditions. As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demonstrate in their study of Polish accountants, readiness is multidimensional construct that integrate cognitive, technical, and motivational elements, and is shaped by both individual-level factors and the broader organisational and institutional environment in professionals operate.</w:t>
      </w:r>
    </w:p>
    <w:p w14:paraId="68F78AFC"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study conceptualises overall readiness as a composite result that reflects the integration of accountants' regulatory awareness, technical competence, and perceived confidence in sustainability reporting. This conceptualisation is consistent with existing frameworks in the professional development literature, which treats readiness as the product of knowledge (knowing what is required), skills (being able to do what is required), and attitude (being willing and confident to act) (Friedman, 2023). By focusing on overall readiness as dependent variable, the study enables a holistic measurement of accountants' preparedness for sustainability reporting that goes beyond any single dimension of professional capability.</w:t>
      </w:r>
    </w:p>
    <w:p w14:paraId="7B9BE6CB" w14:textId="77777777" w:rsidR="00251A9F" w:rsidRDefault="00251A9F" w:rsidP="00251A9F">
      <w:pPr>
        <w:spacing w:line="360" w:lineRule="auto"/>
        <w:rPr>
          <w:rFonts w:ascii="Times New Roman" w:hAnsi="Times New Roman"/>
        </w:rPr>
      </w:pPr>
      <w:r w:rsidRPr="00251A9F">
        <w:rPr>
          <w:rFonts w:ascii="Times New Roman" w:hAnsi="Times New Roman"/>
        </w:rPr>
        <w:t xml:space="preserve">The significance of overall readiness as a dependent variable is stressed by the growing practical and policy relevance of sustainability reporting preparedness. As organisations in Pakistan and other developing economies faces increasing pressure to improve quality and consistency of their sustainability disclosures, the question of whether the accounting professionals responsible for these disclosures are adequately prepared has direct impact for reporting quality, stakeholder trust, and the credibility of ESG disclosures. </w:t>
      </w:r>
      <w:proofErr w:type="spellStart"/>
      <w:r w:rsidRPr="00251A9F">
        <w:rPr>
          <w:rFonts w:ascii="Times New Roman" w:hAnsi="Times New Roman"/>
        </w:rPr>
        <w:t>Fota</w:t>
      </w:r>
      <w:proofErr w:type="spellEnd"/>
      <w:r w:rsidRPr="00251A9F">
        <w:rPr>
          <w:rFonts w:ascii="Times New Roman" w:hAnsi="Times New Roman"/>
        </w:rPr>
        <w:t xml:space="preserve"> et al. (2024) emphasise competency gaps among sustainability reporting preparers represent a significant risk to disclosure quality, specifically in contexts where external assurance mechanisms are weak and regulatory enforcement is limited. Understanding the determinant of overall readiness is therefore not merely an academic exercise but a practical imperative for policymakers, professional bodies, and organisations seeking to strengthen sustainability reporting practices.</w:t>
      </w:r>
    </w:p>
    <w:p w14:paraId="5B6DECE5" w14:textId="77777777" w:rsidR="00251A9F" w:rsidRPr="00251A9F" w:rsidRDefault="00251A9F" w:rsidP="00251A9F">
      <w:pPr>
        <w:spacing w:line="360" w:lineRule="auto"/>
        <w:rPr>
          <w:rFonts w:ascii="Times New Roman" w:hAnsi="Times New Roman"/>
        </w:rPr>
      </w:pPr>
    </w:p>
    <w:p w14:paraId="26F2069D" w14:textId="77777777" w:rsidR="00251A9F" w:rsidRDefault="00251A9F" w:rsidP="00251A9F">
      <w:pPr>
        <w:spacing w:line="360" w:lineRule="auto"/>
        <w:rPr>
          <w:rFonts w:ascii="Times New Roman" w:hAnsi="Times New Roman"/>
          <w:b/>
          <w:bCs/>
        </w:rPr>
      </w:pPr>
      <w:r w:rsidRPr="00251A9F">
        <w:rPr>
          <w:rFonts w:ascii="Times New Roman" w:hAnsi="Times New Roman"/>
          <w:b/>
          <w:bCs/>
        </w:rPr>
        <w:t>2.3 Regulatory Awareness – the independent variable</w:t>
      </w:r>
    </w:p>
    <w:p w14:paraId="00FD257F" w14:textId="77777777" w:rsidR="00251A9F" w:rsidRPr="00251A9F" w:rsidRDefault="00251A9F" w:rsidP="00251A9F">
      <w:pPr>
        <w:spacing w:line="360" w:lineRule="auto"/>
        <w:rPr>
          <w:rFonts w:ascii="Times New Roman" w:hAnsi="Times New Roman"/>
          <w:b/>
          <w:bCs/>
        </w:rPr>
      </w:pPr>
    </w:p>
    <w:p w14:paraId="2DF47B18"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2.3.1 Conceptualisation and Definition</w:t>
      </w:r>
    </w:p>
    <w:p w14:paraId="17231B31" w14:textId="77777777" w:rsidR="00251A9F" w:rsidRPr="00251A9F" w:rsidRDefault="00251A9F" w:rsidP="00251A9F">
      <w:pPr>
        <w:spacing w:line="360" w:lineRule="auto"/>
        <w:rPr>
          <w:rFonts w:ascii="Times New Roman" w:hAnsi="Times New Roman"/>
        </w:rPr>
      </w:pPr>
      <w:r w:rsidRPr="00251A9F">
        <w:rPr>
          <w:rFonts w:ascii="Times New Roman" w:hAnsi="Times New Roman"/>
        </w:rPr>
        <w:t>Regulatory awareness, in the framework of sustainability reporting, refers to the extent to which accounting professionals are knowledgeable about the evolving legislative, institutional, and standard-setting developments that govern disclosure of environmental, social, and governance (ESG) information. It involves not only familiarity with existing reporting requirements but an active understanding of how this requirement is changing and what obligation they place on reporting organisations. As sustainability reporting changes from a largely voluntary practice to an increasingly instructed corporate obligation, the capacity of accountants to stay up to date of these regulatory developments has become the foundational dimension of their professional preparedness. Without an adequate understanding of relevant requirements, accountants may be unable to assess reporting obligation accurately, apply relevant frameworks consistently, or contribute meaningfully to quality and completeness of sustainability disclosures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2025).</w:t>
      </w:r>
    </w:p>
    <w:p w14:paraId="38D6E79D" w14:textId="77777777" w:rsidR="00251A9F" w:rsidRPr="00251A9F" w:rsidRDefault="00251A9F" w:rsidP="00251A9F">
      <w:pPr>
        <w:spacing w:line="360" w:lineRule="auto"/>
        <w:rPr>
          <w:rFonts w:ascii="Times New Roman" w:hAnsi="Times New Roman"/>
        </w:rPr>
      </w:pPr>
    </w:p>
    <w:p w14:paraId="27805072"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2.3.2 Theoretical Underpinning</w:t>
      </w:r>
    </w:p>
    <w:p w14:paraId="009AFA2A"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theoretical basis for examining regulatory awareness as predictor of sustainability reporting readiness draws from institutional theory, which suggests that organisations and the professionals within them respond to coercive, normative, and mimetic pressures arising from their regulatory and institutional environments (DiMaggio and Powell, 1983). From this perspective, regulatory awareness reflects the degree to which accountants internalise and respond to coercive pressures rooted in mandatory disclosure requirements and the normative expectations conveyed through professional standard and bodies. Professionals who demonstrate higher regulatory awareness are more likely to align their reporting behaviour with established institutional expectations, thereby contributing to more stable and credible sustainability disclosures. Institutional theory therefore provides a compelling theoretical rationale for treatment of regulatory awareness as a meaningful antecedent of overall readiness for the sustainability reporting. This is particularly relevant as the regulatory environment governing sustainability disclosures has intensified significantly in recent years, with new mandatory frameworks increasing the coercive pressure on organisations and their accountants to comply with structured and auditable reporting obligations.</w:t>
      </w:r>
    </w:p>
    <w:p w14:paraId="547BBB14" w14:textId="77777777" w:rsidR="00251A9F" w:rsidRPr="00251A9F" w:rsidRDefault="00251A9F" w:rsidP="00251A9F">
      <w:pPr>
        <w:spacing w:line="360" w:lineRule="auto"/>
        <w:rPr>
          <w:rFonts w:ascii="Times New Roman" w:hAnsi="Times New Roman"/>
        </w:rPr>
      </w:pPr>
    </w:p>
    <w:p w14:paraId="29C4D35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2.3.3 Empirical Evidence</w:t>
      </w:r>
    </w:p>
    <w:p w14:paraId="7EECBD8B"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 xml:space="preserve">A growing body of empirical literature has researched the relationship between professionals' awareness of regulatory requirements and their engagement with sustainability reporting. </w:t>
      </w:r>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proofErr w:type="spellEnd"/>
      <w:r w:rsidRPr="00251A9F">
        <w:rPr>
          <w:rFonts w:ascii="Times New Roman" w:hAnsi="Times New Roman"/>
        </w:rPr>
        <w:t xml:space="preserve"> (2020) investigated accountants' understanding of the Non-Financial Reporting Directive (NFRD) 2014/95/EU in Poland and found out that limited regulatory awareness was linked with significant gaps in non-financial disclosure quality and consistency. Their findings suggest that even when regulatory requirements are formally in place, the effectiveness of sustainability reporting depends critically on whether practitioners understand and actively engage with </w:t>
      </w:r>
      <w:proofErr w:type="gramStart"/>
      <w:r w:rsidRPr="00251A9F">
        <w:rPr>
          <w:rFonts w:ascii="Times New Roman" w:hAnsi="Times New Roman"/>
        </w:rPr>
        <w:t>those requirement</w:t>
      </w:r>
      <w:proofErr w:type="gramEnd"/>
      <w:r w:rsidRPr="00251A9F">
        <w:rPr>
          <w:rFonts w:ascii="Times New Roman" w:hAnsi="Times New Roman"/>
        </w:rPr>
        <w:t xml:space="preserve">. However, their research was based in Poland which contradicts with the research setting of this study. Similarly, </w:t>
      </w:r>
      <w:proofErr w:type="spellStart"/>
      <w:r w:rsidRPr="00251A9F">
        <w:rPr>
          <w:rFonts w:ascii="Times New Roman" w:hAnsi="Times New Roman"/>
        </w:rPr>
        <w:t>Fota</w:t>
      </w:r>
      <w:proofErr w:type="spellEnd"/>
      <w:r w:rsidRPr="00251A9F">
        <w:rPr>
          <w:rFonts w:ascii="Times New Roman" w:hAnsi="Times New Roman"/>
        </w:rPr>
        <w:t xml:space="preserve"> et al. (2024) found that accountants' familiarity with sustainability reporting standards, including the GRI Standard and emerging ISSB frameworks, were positively associated with their self-assessed competence and readiness to perform sustainability reporting tasks, underscoring the initial role of regulatory knowledge in professional preparedness.</w:t>
      </w:r>
    </w:p>
    <w:p w14:paraId="5B3070E2"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regulatory landscape accountant must navigate has grown substantially more complex in recent years. The introduction of the Corporate Sustainability Reporting Directive (CSRD), the publication of IFRS S1 and IFRS S2 by International Sustainability Standards Board (ISSB), and the ongoing development of assurance standards by the International Auditing and Assurance Standards Board (IAASB) represents a convergence of regulatory and standard-setting activity that demands active engagement from accounting professionals (Wagenhofer, 2024). Baumüller and Sopp (2021) argue that the increasing technical specificity of sustainability reporting standards, particularly those underpinning the CSRD and European Sustainability Reporting Standards (ESRS), place considerable demands accountants who lack targeted regulatory knowledge, potentially generating a competency gap between formal obligations and professional capability. Where accountants remain unfamiliar with these developments, organisations risk producing disclosures that are non-compliant, incomplete, or inadequately assured, with direct effects for organisational credibility and stakeholder trust.</w:t>
      </w:r>
    </w:p>
    <w:p w14:paraId="6C6783D0"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role of continuing professional development (CPD) in sustaining regulatory awareness has also received empirical attention. Friedman (2023) underscores the importance of CPD as a mechanism through which professionals maintain the awareness of legislative and regulatory changes through their careers. In the sustainability reporting context, CPD programmes that incorporate updates emerging standards, regulatory developments, and disclosure best practices play critical role in ensuring that accountants remain well-informed about their obligations and equipped to respond appropriately.</w:t>
      </w:r>
    </w:p>
    <w:p w14:paraId="5A38AA1D" w14:textId="77777777" w:rsidR="00251A9F" w:rsidRPr="00251A9F" w:rsidRDefault="00251A9F" w:rsidP="00251A9F">
      <w:pPr>
        <w:spacing w:line="360" w:lineRule="auto"/>
        <w:rPr>
          <w:rFonts w:ascii="Times New Roman" w:hAnsi="Times New Roman"/>
        </w:rPr>
      </w:pPr>
    </w:p>
    <w:p w14:paraId="4AE2F593" w14:textId="77777777" w:rsidR="00251A9F" w:rsidRDefault="00251A9F" w:rsidP="00251A9F">
      <w:pPr>
        <w:spacing w:line="360" w:lineRule="auto"/>
        <w:rPr>
          <w:rFonts w:ascii="Times New Roman" w:hAnsi="Times New Roman"/>
          <w:b/>
          <w:bCs/>
        </w:rPr>
      </w:pPr>
      <w:r w:rsidRPr="00251A9F">
        <w:rPr>
          <w:rFonts w:ascii="Times New Roman" w:hAnsi="Times New Roman"/>
          <w:b/>
          <w:bCs/>
        </w:rPr>
        <w:t>2.4 Technical Competence – the independent variable</w:t>
      </w:r>
    </w:p>
    <w:p w14:paraId="6F416E92" w14:textId="77777777" w:rsidR="00251A9F" w:rsidRPr="00251A9F" w:rsidRDefault="00251A9F" w:rsidP="00251A9F">
      <w:pPr>
        <w:spacing w:line="360" w:lineRule="auto"/>
        <w:rPr>
          <w:rFonts w:ascii="Times New Roman" w:hAnsi="Times New Roman"/>
          <w:b/>
          <w:bCs/>
        </w:rPr>
      </w:pPr>
    </w:p>
    <w:p w14:paraId="7FF3D67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2.4.1 Conceptualisation and Definition</w:t>
      </w:r>
    </w:p>
    <w:p w14:paraId="4877EA80"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Technical competence, in the context of sustainability reporting, refers to practical skills, methodological knowledge, and analytical abilities that accounting professional require to collect, measure, verify, and disclose ESG-related information in accordance with applicable frameworks and standards. It is distinct from regulatory awareness, which concerns knowledge of what is required, in that technical competence addresses the ability to execute that requirement in practice. This distinction matters because professionals may be fully aware of their reporting obligations yet lack the specific technical skills required to fulfil effectively. Technical competence therefore </w:t>
      </w:r>
      <w:proofErr w:type="gramStart"/>
      <w:r w:rsidRPr="00251A9F">
        <w:rPr>
          <w:rFonts w:ascii="Times New Roman" w:hAnsi="Times New Roman"/>
        </w:rPr>
        <w:t>encompass</w:t>
      </w:r>
      <w:proofErr w:type="gramEnd"/>
      <w:r w:rsidRPr="00251A9F">
        <w:rPr>
          <w:rFonts w:ascii="Times New Roman" w:hAnsi="Times New Roman"/>
        </w:rPr>
        <w:t xml:space="preserve"> abilities such as carbon accounting, materiality assessment, data assurance, double materiality analysis, and the operationalisation of disclosure metrics across environmental, social, and governance dimensions (</w:t>
      </w:r>
      <w:proofErr w:type="spellStart"/>
      <w:r w:rsidRPr="00251A9F">
        <w:rPr>
          <w:rFonts w:ascii="Times New Roman" w:hAnsi="Times New Roman"/>
        </w:rPr>
        <w:t>Matac</w:t>
      </w:r>
      <w:proofErr w:type="spellEnd"/>
      <w:r w:rsidRPr="00251A9F">
        <w:rPr>
          <w:rFonts w:ascii="Times New Roman" w:hAnsi="Times New Roman"/>
        </w:rPr>
        <w:t xml:space="preserve"> et al., 2024).</w:t>
      </w:r>
    </w:p>
    <w:p w14:paraId="3B6C04CC" w14:textId="77777777" w:rsidR="00251A9F" w:rsidRPr="00251A9F" w:rsidRDefault="00251A9F" w:rsidP="00251A9F">
      <w:pPr>
        <w:spacing w:line="360" w:lineRule="auto"/>
        <w:rPr>
          <w:rFonts w:ascii="Times New Roman" w:hAnsi="Times New Roman"/>
        </w:rPr>
      </w:pPr>
    </w:p>
    <w:p w14:paraId="3A00C6D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2.4.2 Theoretical Underpinning</w:t>
      </w:r>
    </w:p>
    <w:p w14:paraId="4AD94A46"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examination of technical competence as a factor of sustainability reporting readiness is theoretically grounded in human capital theory, which holds that skills, knowledge, and capabilities possess by individuals constitute productive assets that directly influence the quality of professional outputs (Becker, 1964, as cited in Pyatt, 1966). From this perspective, accountants with higher levels of sustainability-relevant technical competence represent a form of specialised human capital that enable organisations to meet the increasingly demanding requirements of contemporary ESG disclosure. Where this human capital is deficient reporting quality suffers regardless of the regulatory intent or organisational commitment. Human capital theory thus provides a robust theoretical basis for expecting positive relationship between technical competence and sustainability reporting readiness, for understanding why investment in skills development through education, training, and professional accreditation translates into improved reporting outcomes.</w:t>
      </w:r>
    </w:p>
    <w:p w14:paraId="0D03384C" w14:textId="77777777" w:rsidR="00251A9F" w:rsidRPr="00251A9F" w:rsidRDefault="00251A9F" w:rsidP="00251A9F">
      <w:pPr>
        <w:spacing w:line="360" w:lineRule="auto"/>
        <w:rPr>
          <w:rFonts w:ascii="Times New Roman" w:hAnsi="Times New Roman"/>
        </w:rPr>
      </w:pPr>
    </w:p>
    <w:p w14:paraId="4F937F6B"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2.4.3 Empirical Evidence</w:t>
      </w:r>
    </w:p>
    <w:p w14:paraId="688C1478"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empirical literature consistently recognizes technical competence as one of the most significant barriers to effective sustainability reporting between accounting professionals, though studies diverge considerably in their characterisation of where most critical gaps lie </w:t>
      </w:r>
      <w:r w:rsidRPr="00251A9F">
        <w:rPr>
          <w:rFonts w:ascii="Times New Roman" w:hAnsi="Times New Roman"/>
        </w:rPr>
        <w:lastRenderedPageBreak/>
        <w:t xml:space="preserve">and what drive them.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found that Polish accountants reported substantial deficiencies in their practical ability to apply sustainability reporting frameworks, even where basic awareness of frameworks existed. This finding is important because it challenges the assumption that awareness and competence develop in parallel as the two are empirically separable, and competence gap appear deeper and more resistant to closure than awareness gap alone. In contrast, </w:t>
      </w:r>
      <w:proofErr w:type="spellStart"/>
      <w:r w:rsidRPr="00251A9F">
        <w:rPr>
          <w:rFonts w:ascii="Times New Roman" w:hAnsi="Times New Roman"/>
        </w:rPr>
        <w:t>Fota</w:t>
      </w:r>
      <w:proofErr w:type="spellEnd"/>
      <w:r w:rsidRPr="00251A9F">
        <w:rPr>
          <w:rFonts w:ascii="Times New Roman" w:hAnsi="Times New Roman"/>
        </w:rPr>
        <w:t xml:space="preserve"> et al. (2024) found that the accountants who had receive formal education or certification in sustainability reporting demonstrated significantly higher technical competence and greater confidence executing disclosure tasks, suggesting that structured learning intervention can effectively bridge the gap that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identify. The tension between these two positions raises a critical question: whether the competence deficit is primarily a function of insufficient educational provision, or whether it reflects the inherent complexity of sustainability reporting task that outpaces even well-designed training programmes.</w:t>
      </w:r>
    </w:p>
    <w:p w14:paraId="60FA2F4F"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Wenzig</w:t>
      </w:r>
      <w:proofErr w:type="spellEnd"/>
      <w:r w:rsidRPr="00251A9F">
        <w:rPr>
          <w:rFonts w:ascii="Times New Roman" w:hAnsi="Times New Roman"/>
        </w:rPr>
        <w:t xml:space="preserve"> et al. (2023) offer a useful contribution to this debate by demonstrating that sustainability reporting involves technical demands which differ fundamentally from those of conventional financial reporting, including the quantification of non-financial impacts, the application of sector-specific disclosure metrics, the integration of forward-looking climate-related risk assessments. Their argument implies that competence gap is structural rather incidental, rooted in the fact that accounting education was designed for fundamentally different reporting paradigm. This structural critique is more pessimistic than the position advanced by </w:t>
      </w:r>
      <w:proofErr w:type="spellStart"/>
      <w:r w:rsidRPr="00251A9F">
        <w:rPr>
          <w:rFonts w:ascii="Times New Roman" w:hAnsi="Times New Roman"/>
        </w:rPr>
        <w:t>Fota</w:t>
      </w:r>
      <w:proofErr w:type="spellEnd"/>
      <w:r w:rsidRPr="00251A9F">
        <w:rPr>
          <w:rFonts w:ascii="Times New Roman" w:hAnsi="Times New Roman"/>
        </w:rPr>
        <w:t xml:space="preserve"> et al. (2024), who imply that targeted certification can address the deficit relatively efficiently. </w:t>
      </w:r>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proofErr w:type="spellEnd"/>
      <w:r w:rsidRPr="00251A9F">
        <w:rPr>
          <w:rFonts w:ascii="Times New Roman" w:hAnsi="Times New Roman"/>
        </w:rPr>
        <w:t xml:space="preserve"> (2020) occupy an intermediate position, attributing competence gaps primarily to absence of sustainability-specific content in mainstream accounting programmes rather than inherent ceiling on what practitioner can learn. Taken together, these studies suggest that the nature, severity of the competence gap depend substantially on the educational and institutional context in which accountants practise, and that no single explanation is universally applicable.</w:t>
      </w:r>
    </w:p>
    <w:p w14:paraId="78F5E33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introduction of double materiality as core principle under the CSRD and ESRS has further complicated assessments of technical competence. Baumüller and Sopp (2021) argue that double materiality </w:t>
      </w:r>
      <w:proofErr w:type="gramStart"/>
      <w:r w:rsidRPr="00251A9F">
        <w:rPr>
          <w:rFonts w:ascii="Times New Roman" w:hAnsi="Times New Roman"/>
        </w:rPr>
        <w:t>require</w:t>
      </w:r>
      <w:proofErr w:type="gramEnd"/>
      <w:r w:rsidRPr="00251A9F">
        <w:rPr>
          <w:rFonts w:ascii="Times New Roman" w:hAnsi="Times New Roman"/>
        </w:rPr>
        <w:t xml:space="preserve"> accountants to simultaneously assess the financial materiality of sustainability risks to the organisation and impact materiality of the organisation's activities on society and the environment a dual analytical demand that extend well beyond conventional accounting methodology. Wagenhofer (2024) makes a related but distinct argument, focusing on the convergence of financial and sustainability </w:t>
      </w:r>
      <w:proofErr w:type="spellStart"/>
      <w:r w:rsidRPr="00251A9F">
        <w:rPr>
          <w:rFonts w:ascii="Times New Roman" w:hAnsi="Times New Roman"/>
        </w:rPr>
        <w:t>reportings</w:t>
      </w:r>
      <w:proofErr w:type="spellEnd"/>
      <w:r w:rsidRPr="00251A9F">
        <w:rPr>
          <w:rFonts w:ascii="Times New Roman" w:hAnsi="Times New Roman"/>
        </w:rPr>
        <w:t xml:space="preserve"> under IFRS </w:t>
      </w:r>
      <w:r w:rsidRPr="00251A9F">
        <w:rPr>
          <w:rFonts w:ascii="Times New Roman" w:hAnsi="Times New Roman"/>
        </w:rPr>
        <w:lastRenderedPageBreak/>
        <w:t xml:space="preserve">S1 and S2, which he contends demand a fundamental reconfiguration of accountants' technical skill set, particularly in climate-related financial disclosure and value chain emissions accounting. Where Baumüller and Sopp (2021) emphasise the methodological novelty </w:t>
      </w:r>
      <w:proofErr w:type="gramStart"/>
      <w:r w:rsidRPr="00251A9F">
        <w:rPr>
          <w:rFonts w:ascii="Times New Roman" w:hAnsi="Times New Roman"/>
        </w:rPr>
        <w:t>of  task</w:t>
      </w:r>
      <w:proofErr w:type="gramEnd"/>
      <w:r w:rsidRPr="00251A9F">
        <w:rPr>
          <w:rFonts w:ascii="Times New Roman" w:hAnsi="Times New Roman"/>
        </w:rPr>
        <w:t xml:space="preserve"> itself as the primary source of competence strain, Wagenhofer locates the challenge in the integration of demands placed on professionals who must master two converging but historically separate reporting system simultaneously. Both perspectives are credible, and their co-existence in literature reflects genuine ambiguity about whether primary obstacle is conceptual complexity or system integration a distinction with significant implication for how technical training programmes should be designed. Critically, both positions converge on the same practical conclusion: existing technical skill sets within the accounting profession is insufficient for the current reporting environment, and gap is widening as regulatory demands step up.</w:t>
      </w:r>
    </w:p>
    <w:p w14:paraId="0C1B401A"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What the literature does agree on are that technical competence cannot be assumed to follow automatically from years of professional experience or general accounting qualification.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and </w:t>
      </w:r>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proofErr w:type="spellEnd"/>
      <w:r w:rsidRPr="00251A9F">
        <w:rPr>
          <w:rFonts w:ascii="Times New Roman" w:hAnsi="Times New Roman"/>
        </w:rPr>
        <w:t xml:space="preserve"> (2020) both find that even experienced accountant reports low confidence in sustainability-specific technical tasks, indicating that professional longevity does not substitute targeted competence development. This is a particularly significant finding for organisations that may believe their established finance teams are inherently prepared for sustainability reporting responsibilities without additional investment on skills.</w:t>
      </w:r>
    </w:p>
    <w:p w14:paraId="0C76EE0E" w14:textId="77777777" w:rsidR="00251A9F" w:rsidRPr="00251A9F" w:rsidRDefault="00251A9F" w:rsidP="00251A9F">
      <w:pPr>
        <w:spacing w:line="360" w:lineRule="auto"/>
        <w:rPr>
          <w:rFonts w:ascii="Times New Roman" w:hAnsi="Times New Roman"/>
          <w:b/>
          <w:bCs/>
        </w:rPr>
      </w:pPr>
    </w:p>
    <w:p w14:paraId="499742F0" w14:textId="77777777" w:rsidR="00251A9F" w:rsidRDefault="00251A9F" w:rsidP="00251A9F">
      <w:pPr>
        <w:spacing w:line="360" w:lineRule="auto"/>
        <w:rPr>
          <w:rFonts w:ascii="Times New Roman" w:hAnsi="Times New Roman"/>
          <w:b/>
          <w:bCs/>
        </w:rPr>
      </w:pPr>
      <w:r w:rsidRPr="00251A9F">
        <w:rPr>
          <w:rFonts w:ascii="Times New Roman" w:hAnsi="Times New Roman"/>
          <w:b/>
          <w:bCs/>
        </w:rPr>
        <w:t>2.5 Perceived Confidence (Self-Efficacy) – the independent variable</w:t>
      </w:r>
    </w:p>
    <w:p w14:paraId="5D6E565F" w14:textId="77777777" w:rsidR="00251A9F" w:rsidRPr="00251A9F" w:rsidRDefault="00251A9F" w:rsidP="00251A9F">
      <w:pPr>
        <w:spacing w:line="360" w:lineRule="auto"/>
        <w:rPr>
          <w:rFonts w:ascii="Times New Roman" w:hAnsi="Times New Roman"/>
          <w:b/>
          <w:bCs/>
        </w:rPr>
      </w:pPr>
    </w:p>
    <w:p w14:paraId="4AEFBF5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2.5.1 Conceptualisation and Definition</w:t>
      </w:r>
    </w:p>
    <w:p w14:paraId="6A8C3163"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Perceived confidence, conceptualised through the lens of self-efficacy theory, refers to individual's belief in their own capacity to effectively execute specific task within a defined domain. In the context of sustainability reporting, self-efficacy </w:t>
      </w:r>
      <w:proofErr w:type="gramStart"/>
      <w:r w:rsidRPr="00251A9F">
        <w:rPr>
          <w:rFonts w:ascii="Times New Roman" w:hAnsi="Times New Roman"/>
        </w:rPr>
        <w:t>capture</w:t>
      </w:r>
      <w:proofErr w:type="gramEnd"/>
      <w:r w:rsidRPr="00251A9F">
        <w:rPr>
          <w:rFonts w:ascii="Times New Roman" w:hAnsi="Times New Roman"/>
        </w:rPr>
        <w:t xml:space="preserve"> the degree to which accounting professionals believe themselves capable for performing the full range of disclosure-related tasks from data collection with materiality assessment to framework application and assurance preparation, with competence and reliability. Self-efficacy is not equivalent to actual ability; rather, it is a subjective judgement about one's capability that operate independently and carries distinct behavioural consequences (Bandura, 1986). Professionals with high self-efficacy are more likely to engage proactively with challenging reporting tasks, persist in face of complexity, and invest on expanding their skills, whereas </w:t>
      </w:r>
      <w:r w:rsidRPr="00251A9F">
        <w:rPr>
          <w:rFonts w:ascii="Times New Roman" w:hAnsi="Times New Roman"/>
        </w:rPr>
        <w:lastRenderedPageBreak/>
        <w:t>those with low self-efficacy may avoid or underperform in sustainability reporting roles even where objective competence exists.</w:t>
      </w:r>
    </w:p>
    <w:p w14:paraId="1F4F996E" w14:textId="77777777" w:rsidR="00251A9F" w:rsidRPr="00251A9F" w:rsidRDefault="00251A9F" w:rsidP="00251A9F">
      <w:pPr>
        <w:spacing w:line="360" w:lineRule="auto"/>
        <w:rPr>
          <w:rFonts w:ascii="Times New Roman" w:hAnsi="Times New Roman"/>
        </w:rPr>
      </w:pPr>
    </w:p>
    <w:p w14:paraId="4BBDCB1B"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2.5.2 Theoretical Underpinning</w:t>
      </w:r>
    </w:p>
    <w:p w14:paraId="4B25A2D9"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theoretical foundation for this section draws from Bandura's (1986) social cognitive theory, in which self-efficacy is identified as a central basis of human motivation, behaviour, and performance. Bandura posits that self-efficacy beliefs are shaped by four principal sources: mastery experiences, vicarious learning, social persuasion, and physiological states. In a professional accounting context, mastery experience such as successfully completing sustainability disclosure or passing a relevant certification, are the most influential source of efficacy development. Vicarious learning </w:t>
      </w:r>
      <w:proofErr w:type="gramStart"/>
      <w:r w:rsidRPr="00251A9F">
        <w:rPr>
          <w:rFonts w:ascii="Times New Roman" w:hAnsi="Times New Roman"/>
        </w:rPr>
        <w:t>occur</w:t>
      </w:r>
      <w:proofErr w:type="gramEnd"/>
      <w:r w:rsidRPr="00251A9F">
        <w:rPr>
          <w:rFonts w:ascii="Times New Roman" w:hAnsi="Times New Roman"/>
        </w:rPr>
        <w:t xml:space="preserve"> when professionals observe peers navigating sustainability reporting task successfully, while social persuasion encompass encouragement or validation received from supervisors, professional bodies, or organisational cultures that affirm sustainability reporting as achievable professional responsibility. This theoretical framework is particularly well suited to the study of sustainability reporting readiness because explains not only why confidence varies among practitioners but also classifies the mechanisms through which confidence can be deliberately cultivated within organisations and professional development programmes. Importantly, social cognitive theory situates self-efficacy as a, both an outcome of experience and an antecedent of future behaviour, making it a dynamic rather than a fixed professional characteristic.</w:t>
      </w:r>
    </w:p>
    <w:p w14:paraId="7DE54914" w14:textId="77777777" w:rsidR="00251A9F" w:rsidRPr="00251A9F" w:rsidRDefault="00251A9F" w:rsidP="00251A9F">
      <w:pPr>
        <w:spacing w:line="360" w:lineRule="auto"/>
        <w:rPr>
          <w:rFonts w:ascii="Times New Roman" w:hAnsi="Times New Roman"/>
        </w:rPr>
      </w:pPr>
    </w:p>
    <w:p w14:paraId="603173D5"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2.5.3 Empirical Evidence</w:t>
      </w:r>
    </w:p>
    <w:p w14:paraId="64359E0D"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Empirical studies examining perceived confidence in sustainability reporting contexts consistently identify it as meaningful predictor of professional readiness, though they differ </w:t>
      </w:r>
      <w:proofErr w:type="gramStart"/>
      <w:r w:rsidRPr="00251A9F">
        <w:rPr>
          <w:rFonts w:ascii="Times New Roman" w:hAnsi="Times New Roman"/>
        </w:rPr>
        <w:t>highly  in</w:t>
      </w:r>
      <w:proofErr w:type="gramEnd"/>
      <w:r w:rsidRPr="00251A9F">
        <w:rPr>
          <w:rFonts w:ascii="Times New Roman" w:hAnsi="Times New Roman"/>
        </w:rPr>
        <w:t xml:space="preserve"> how they characterise its relationship with competence, training, and organisational context. Garefalakis et al. (2026) provide directly relevant evidence in their study of Greek chartered accountants, finding that younger professional who reported higher familiarity with ESG frameworks and greater confidence applying them demonstrated significantly stronger implementation of sustainability indicators across environmental, social, and governance dimensions. Critically, this confidence advantage converted into measurable </w:t>
      </w:r>
      <w:proofErr w:type="spellStart"/>
      <w:r w:rsidRPr="00251A9F">
        <w:rPr>
          <w:rFonts w:ascii="Times New Roman" w:hAnsi="Times New Roman"/>
        </w:rPr>
        <w:t>differenc</w:t>
      </w:r>
      <w:proofErr w:type="spellEnd"/>
      <w:r w:rsidRPr="00251A9F">
        <w:rPr>
          <w:rFonts w:ascii="Times New Roman" w:hAnsi="Times New Roman"/>
        </w:rPr>
        <w:t xml:space="preserve"> in actual reporting behaviour rather than a merely attitudinal differences, suggesting that perceived confidence functions as a functional bridge between knowledge and practices. This finding carries important theoretical weight it implies that self-efficacy is not simply a by-</w:t>
      </w:r>
      <w:r w:rsidRPr="00251A9F">
        <w:rPr>
          <w:rFonts w:ascii="Times New Roman" w:hAnsi="Times New Roman"/>
        </w:rPr>
        <w:lastRenderedPageBreak/>
        <w:t>product of competence but an active mechanism through which professional knowledge is converted in reporting action.</w:t>
      </w:r>
    </w:p>
    <w:p w14:paraId="77FD333C"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However, Garefalakis et al. (2026) simultaneously introduce a critical qualification that complicates this interpretation. The confidence advantage observed among younger accountants was inseparable from their prior exposure to ESG content, through more recent educational curricula and digital reporting tool, raising the question of whether perceived confidence is genuinely an independent predictor of the readiness or largely a proxy for training quality. This distinction </w:t>
      </w:r>
      <w:proofErr w:type="gramStart"/>
      <w:r w:rsidRPr="00251A9F">
        <w:rPr>
          <w:rFonts w:ascii="Times New Roman" w:hAnsi="Times New Roman"/>
        </w:rPr>
        <w:t>sit</w:t>
      </w:r>
      <w:proofErr w:type="gramEnd"/>
      <w:r w:rsidRPr="00251A9F">
        <w:rPr>
          <w:rFonts w:ascii="Times New Roman" w:hAnsi="Times New Roman"/>
        </w:rPr>
        <w:t xml:space="preserve"> in direct tension with studies such as </w:t>
      </w:r>
      <w:proofErr w:type="spellStart"/>
      <w:r w:rsidRPr="00251A9F">
        <w:rPr>
          <w:rFonts w:ascii="Times New Roman" w:hAnsi="Times New Roman"/>
        </w:rPr>
        <w:t>Fota</w:t>
      </w:r>
      <w:proofErr w:type="spellEnd"/>
      <w:r w:rsidRPr="00251A9F">
        <w:rPr>
          <w:rFonts w:ascii="Times New Roman" w:hAnsi="Times New Roman"/>
        </w:rPr>
        <w:t xml:space="preserve"> et al. (2024), who treat self-efficacy as a primary independent variable with explanatory power over and above formal qualification level. If Garefalakis et al. (2026) are correct that confidence is a primarily a derivative of training exposure, then interventions targeting confidence directly without addressing the underlying educational deficit may return limited improvements in actual reporting quality. The two positions are not easily reconciled and likely reflect contextual differences: </w:t>
      </w:r>
      <w:proofErr w:type="spellStart"/>
      <w:r w:rsidRPr="00251A9F">
        <w:rPr>
          <w:rFonts w:ascii="Times New Roman" w:hAnsi="Times New Roman"/>
        </w:rPr>
        <w:t>Fota</w:t>
      </w:r>
      <w:proofErr w:type="spellEnd"/>
      <w:r w:rsidRPr="00251A9F">
        <w:rPr>
          <w:rFonts w:ascii="Times New Roman" w:hAnsi="Times New Roman"/>
        </w:rPr>
        <w:t xml:space="preserve"> et al. (2024) draw on a broader cross-national sample in which training quality varies considerably, while </w:t>
      </w:r>
      <w:proofErr w:type="spellStart"/>
      <w:r w:rsidRPr="00251A9F">
        <w:rPr>
          <w:rFonts w:ascii="Times New Roman" w:hAnsi="Times New Roman"/>
        </w:rPr>
        <w:t>Garefalakis</w:t>
      </w:r>
      <w:proofErr w:type="spellEnd"/>
      <w:r w:rsidRPr="00251A9F">
        <w:rPr>
          <w:rFonts w:ascii="Times New Roman" w:hAnsi="Times New Roman"/>
        </w:rPr>
        <w:t xml:space="preserve"> et al. (2026) examine a specific national context where generational differences in curriculum exposure are particularly pronounced.</w:t>
      </w:r>
    </w:p>
    <w:p w14:paraId="47A36ED2"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relationship between training and confidence is further illuminated by </w:t>
      </w:r>
      <w:proofErr w:type="spellStart"/>
      <w:r w:rsidRPr="00251A9F">
        <w:rPr>
          <w:rFonts w:ascii="Times New Roman" w:hAnsi="Times New Roman"/>
        </w:rPr>
        <w:t>Garefalakis</w:t>
      </w:r>
      <w:proofErr w:type="spellEnd"/>
      <w:r w:rsidRPr="00251A9F">
        <w:rPr>
          <w:rFonts w:ascii="Times New Roman" w:hAnsi="Times New Roman"/>
        </w:rPr>
        <w:t xml:space="preserve"> et al. (2026), who demonstrate that formally trained accountant not only applied broader range of ESG criteria but also reported more calibrated and critically aware professional self-assessments showing heightened recognition of systemic implementation challenge including regulatory ambiguity, climate change complexity and the absence of standardised evaluation mechanisms. This finding is significant because it suggests effective training does not simply raise confidence indiscriminately but produces a more nuanced and well-grounded form of self-assessment. This stands in contrast to the risk identified by </w:t>
      </w:r>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proofErr w:type="spellEnd"/>
      <w:r w:rsidRPr="00251A9F">
        <w:rPr>
          <w:rFonts w:ascii="Times New Roman" w:hAnsi="Times New Roman"/>
        </w:rPr>
        <w:t xml:space="preserve"> (2020), who found that accountants who overestimated their readiness for non-financial reporting tasks was less likely to seek additional guidance or flag uncertainty in their disclosures, producing systematically weaker </w:t>
      </w:r>
      <w:proofErr w:type="spellStart"/>
      <w:r w:rsidRPr="00251A9F">
        <w:rPr>
          <w:rFonts w:ascii="Times New Roman" w:hAnsi="Times New Roman"/>
        </w:rPr>
        <w:t>resukts</w:t>
      </w:r>
      <w:proofErr w:type="spellEnd"/>
      <w:r w:rsidRPr="00251A9F">
        <w:rPr>
          <w:rFonts w:ascii="Times New Roman" w:hAnsi="Times New Roman"/>
        </w:rPr>
        <w:t xml:space="preserve"> than those with more calibrated self-assessments. The implication across both studies is that quality of confidence matters as much as its level well-calibrated confidence grounded in structured experience is beneficial, whereas overstated confidence uncoupled from genuine competence is counterproductive and may actively undermine disclosure quality.</w:t>
      </w:r>
    </w:p>
    <w:p w14:paraId="63DF4906"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 further critical point concerns the relationship between the professional experience and confidence. Garefalakis et al. (2026) find that older professionals, despite holding greater </w:t>
      </w:r>
      <w:r w:rsidRPr="00251A9F">
        <w:rPr>
          <w:rFonts w:ascii="Times New Roman" w:hAnsi="Times New Roman"/>
        </w:rPr>
        <w:lastRenderedPageBreak/>
        <w:t xml:space="preserve">overall experience, consistently reported weaker confidence in ESG-specific task and low recognition of ESG's strategic value.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echo this finding, demonstrating that even experienced accountants reported significant deficiencies in practical ability to apply sustainability frameworks, suggesting that experience built under earlier reporting paradigms does not transfer to specific demands of ESG disclosure. Taken together, these studies present a consistent challenge to experience-based models of professional readiness: in the sustainability reporting domain, confidence and competence must be actively and specifically developed rather than assumed to collect through general professional tenure. This has direct implications for how organisations assess the ESG readiness of their finance teams and underscores the insufficiency of relying on senior professional without providing targeted upskilling.</w:t>
      </w:r>
    </w:p>
    <w:p w14:paraId="08016A1D" w14:textId="77777777" w:rsidR="00251A9F" w:rsidRPr="00251A9F" w:rsidRDefault="00251A9F" w:rsidP="00251A9F">
      <w:pPr>
        <w:spacing w:line="360" w:lineRule="auto"/>
        <w:rPr>
          <w:rFonts w:ascii="Times New Roman" w:hAnsi="Times New Roman"/>
        </w:rPr>
      </w:pPr>
    </w:p>
    <w:p w14:paraId="39508279" w14:textId="77777777" w:rsidR="00251A9F" w:rsidRDefault="00251A9F" w:rsidP="00251A9F">
      <w:pPr>
        <w:spacing w:line="360" w:lineRule="auto"/>
        <w:rPr>
          <w:rFonts w:ascii="Times New Roman" w:hAnsi="Times New Roman"/>
          <w:b/>
          <w:bCs/>
        </w:rPr>
      </w:pPr>
      <w:r w:rsidRPr="00251A9F">
        <w:rPr>
          <w:rFonts w:ascii="Times New Roman" w:hAnsi="Times New Roman"/>
          <w:b/>
          <w:bCs/>
        </w:rPr>
        <w:t>2.6 Organisational Support for Sustainability – the moderator</w:t>
      </w:r>
    </w:p>
    <w:p w14:paraId="78C9FF06" w14:textId="77777777" w:rsidR="00251A9F" w:rsidRPr="00251A9F" w:rsidRDefault="00251A9F" w:rsidP="00251A9F">
      <w:pPr>
        <w:spacing w:line="360" w:lineRule="auto"/>
        <w:rPr>
          <w:rFonts w:ascii="Times New Roman" w:hAnsi="Times New Roman"/>
          <w:b/>
          <w:bCs/>
        </w:rPr>
      </w:pPr>
    </w:p>
    <w:p w14:paraId="60AA2EA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2.6.1 Conceptualisation and Definition</w:t>
      </w:r>
    </w:p>
    <w:p w14:paraId="7BCD9110"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Organisational support for sustainability </w:t>
      </w:r>
      <w:proofErr w:type="gramStart"/>
      <w:r w:rsidRPr="00251A9F">
        <w:rPr>
          <w:rFonts w:ascii="Times New Roman" w:hAnsi="Times New Roman"/>
        </w:rPr>
        <w:t>refer</w:t>
      </w:r>
      <w:proofErr w:type="gramEnd"/>
      <w:r w:rsidRPr="00251A9F">
        <w:rPr>
          <w:rFonts w:ascii="Times New Roman" w:hAnsi="Times New Roman"/>
        </w:rPr>
        <w:t xml:space="preserve"> to the extent to which organisations provide structural, cultural, and resource-based conditions that enable their accounting professionals to engage meaningfully with sustainability reporting responsibilities. This encompasses managerial commitment to ESG integration, the availability of dedicated sustainability functions, the allocation of financial human resources toward sustainability initiatives, the presence of internal sustainability reporting systems, and the degree to which sustainability </w:t>
      </w:r>
      <w:proofErr w:type="gramStart"/>
      <w:r w:rsidRPr="00251A9F">
        <w:rPr>
          <w:rFonts w:ascii="Times New Roman" w:hAnsi="Times New Roman"/>
        </w:rPr>
        <w:t>are</w:t>
      </w:r>
      <w:proofErr w:type="gramEnd"/>
      <w:r w:rsidRPr="00251A9F">
        <w:rPr>
          <w:rFonts w:ascii="Times New Roman" w:hAnsi="Times New Roman"/>
        </w:rPr>
        <w:t xml:space="preserve"> embedded in organisational strategy and decision-making processes. In the present study, organisational support is conceptualised as moderating variable rather than a direct predictor of sustainability reporting readiness. Its role is to amplify or attenuate the effects of individual-level variables specifically regulatory awareness, technical competence, and perceived confidence, on overall reporting readiness. This framing recognises that individual professional capabilities do not work in a vacuum but are exercised within organisational contexts that either enable or constrain their translation to effective reporting behaviour (Ascani, </w:t>
      </w:r>
      <w:proofErr w:type="spellStart"/>
      <w:r w:rsidRPr="00251A9F">
        <w:rPr>
          <w:rFonts w:ascii="Times New Roman" w:hAnsi="Times New Roman"/>
        </w:rPr>
        <w:t>Ciccola</w:t>
      </w:r>
      <w:proofErr w:type="spellEnd"/>
      <w:r w:rsidRPr="00251A9F">
        <w:rPr>
          <w:rFonts w:ascii="Times New Roman" w:hAnsi="Times New Roman"/>
        </w:rPr>
        <w:t xml:space="preserve"> and </w:t>
      </w:r>
      <w:proofErr w:type="spellStart"/>
      <w:r w:rsidRPr="00251A9F">
        <w:rPr>
          <w:rFonts w:ascii="Times New Roman" w:hAnsi="Times New Roman"/>
        </w:rPr>
        <w:t>Chiucchi</w:t>
      </w:r>
      <w:proofErr w:type="spellEnd"/>
      <w:r w:rsidRPr="00251A9F">
        <w:rPr>
          <w:rFonts w:ascii="Times New Roman" w:hAnsi="Times New Roman"/>
        </w:rPr>
        <w:t>, 2021).</w:t>
      </w:r>
    </w:p>
    <w:p w14:paraId="18431A6F" w14:textId="77777777" w:rsidR="00251A9F" w:rsidRPr="00251A9F" w:rsidRDefault="00251A9F" w:rsidP="00251A9F">
      <w:pPr>
        <w:spacing w:line="360" w:lineRule="auto"/>
        <w:rPr>
          <w:rFonts w:ascii="Times New Roman" w:hAnsi="Times New Roman"/>
        </w:rPr>
      </w:pPr>
    </w:p>
    <w:p w14:paraId="6159E578"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2.6.2 Theoretical Underpinning</w:t>
      </w:r>
    </w:p>
    <w:p w14:paraId="50C521EE" w14:textId="77777777" w:rsidR="00251A9F" w:rsidRDefault="00251A9F" w:rsidP="00251A9F">
      <w:pPr>
        <w:spacing w:line="360" w:lineRule="auto"/>
        <w:rPr>
          <w:rFonts w:ascii="Times New Roman" w:hAnsi="Times New Roman"/>
        </w:rPr>
      </w:pPr>
      <w:r w:rsidRPr="00251A9F">
        <w:rPr>
          <w:rFonts w:ascii="Times New Roman" w:hAnsi="Times New Roman"/>
        </w:rPr>
        <w:t xml:space="preserve">The theoretical basis for treating organisational support as a moderator in the present study draws primarily from social exchange theory, which posits that social and organisational relationships governed by norms of reciprocity when one party invests in another, the </w:t>
      </w:r>
      <w:r w:rsidRPr="00251A9F">
        <w:rPr>
          <w:rFonts w:ascii="Times New Roman" w:hAnsi="Times New Roman"/>
        </w:rPr>
        <w:lastRenderedPageBreak/>
        <w:t>recipient feels a social obligation to reciprocate through increased commitment effort and performance (</w:t>
      </w:r>
      <w:proofErr w:type="spellStart"/>
      <w:r w:rsidRPr="00251A9F">
        <w:rPr>
          <w:rFonts w:ascii="Times New Roman" w:hAnsi="Times New Roman"/>
        </w:rPr>
        <w:t>Cropanzano</w:t>
      </w:r>
      <w:proofErr w:type="spellEnd"/>
      <w:r w:rsidRPr="00251A9F">
        <w:rPr>
          <w:rFonts w:ascii="Times New Roman" w:hAnsi="Times New Roman"/>
        </w:rPr>
        <w:t xml:space="preserve"> and Mitchell, 2005). Applied to the sustainability reporting context, social exchange theory predicts that when organisations demonstrably </w:t>
      </w:r>
      <w:proofErr w:type="gramStart"/>
      <w:r w:rsidRPr="00251A9F">
        <w:rPr>
          <w:rFonts w:ascii="Times New Roman" w:hAnsi="Times New Roman"/>
        </w:rPr>
        <w:t>invests</w:t>
      </w:r>
      <w:proofErr w:type="gramEnd"/>
      <w:r w:rsidRPr="00251A9F">
        <w:rPr>
          <w:rFonts w:ascii="Times New Roman" w:hAnsi="Times New Roman"/>
        </w:rPr>
        <w:t xml:space="preserve"> in sustainability through dedicated reporting infrastructure, managerial advocacy, resource allocation, and structural integration of ESG into governance process, accountants perceive this as organisational commitment to sustainability and reciprocate through deeper personal engagement with reporting responsibilities. Critically, this reciprocal dynamic operates as a moderating mechanism rather than direct effect: it does not simply add to reporting readiness independently rather amplifies the effects of existing individual capabilities. An accountant with strong regulatory awareness will exercise that awareness more fully and proactively in an organisation that signal genuine sustainability commitment, because the social exchange relationship generates a felt obligation to invest individual capability in service of organisational goals (</w:t>
      </w:r>
      <w:proofErr w:type="spellStart"/>
      <w:r w:rsidRPr="00251A9F">
        <w:rPr>
          <w:rFonts w:ascii="Times New Roman" w:hAnsi="Times New Roman"/>
        </w:rPr>
        <w:t>Cropanzano</w:t>
      </w:r>
      <w:proofErr w:type="spellEnd"/>
      <w:r w:rsidRPr="00251A9F">
        <w:rPr>
          <w:rFonts w:ascii="Times New Roman" w:hAnsi="Times New Roman"/>
        </w:rPr>
        <w:t xml:space="preserve"> and Mitchell, 2005). Conversely, where organisational support is absent, the same level of individual capability may remain underutilised, as accountant perceive no reciprocal organisational investment to motivate sustained engagement with sustainability reporting tasks.</w:t>
      </w:r>
    </w:p>
    <w:p w14:paraId="346271CE" w14:textId="77777777" w:rsidR="00251A9F" w:rsidRPr="00251A9F" w:rsidRDefault="00251A9F" w:rsidP="00251A9F">
      <w:pPr>
        <w:spacing w:line="360" w:lineRule="auto"/>
        <w:rPr>
          <w:rFonts w:ascii="Times New Roman" w:hAnsi="Times New Roman"/>
        </w:rPr>
      </w:pPr>
    </w:p>
    <w:p w14:paraId="35B3928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2.6.3 Empirical Evidence</w:t>
      </w:r>
    </w:p>
    <w:p w14:paraId="45095AE6"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Empirical studies consistently identify the organisational context as a critical boundary condition shaping accountants' engagements with sustainability reporting, though they differ in how they conceptualise and measure the moderating mechanisms involved. </w:t>
      </w:r>
      <w:bookmarkStart w:id="3" w:name="_Hlk237179262"/>
      <w:r w:rsidRPr="00251A9F">
        <w:rPr>
          <w:rFonts w:ascii="Times New Roman" w:hAnsi="Times New Roman"/>
        </w:rPr>
        <w:t xml:space="preserve">Ascani, </w:t>
      </w:r>
      <w:proofErr w:type="spellStart"/>
      <w:r w:rsidRPr="00251A9F">
        <w:rPr>
          <w:rFonts w:ascii="Times New Roman" w:hAnsi="Times New Roman"/>
        </w:rPr>
        <w:t>Ciccola</w:t>
      </w:r>
      <w:proofErr w:type="spellEnd"/>
      <w:r w:rsidRPr="00251A9F">
        <w:rPr>
          <w:rFonts w:ascii="Times New Roman" w:hAnsi="Times New Roman"/>
        </w:rPr>
        <w:t xml:space="preserve"> and </w:t>
      </w:r>
      <w:proofErr w:type="spellStart"/>
      <w:r w:rsidRPr="00251A9F">
        <w:rPr>
          <w:rFonts w:ascii="Times New Roman" w:hAnsi="Times New Roman"/>
        </w:rPr>
        <w:t>Chiucchi</w:t>
      </w:r>
      <w:bookmarkEnd w:id="3"/>
      <w:proofErr w:type="spellEnd"/>
      <w:r w:rsidRPr="00251A9F">
        <w:rPr>
          <w:rFonts w:ascii="Times New Roman" w:hAnsi="Times New Roman"/>
        </w:rPr>
        <w:t xml:space="preserve"> (2021), in their structured literature review of management accountants' role in sustainability accounting and reporting, finds that the involvement of management accountants in sustainability practices is consistently lower than that of non-accountants such as sustainability managers, engineers, and general managers. Critically, they attribute this marginalisation not to individual capability deficits but to organisational failures in many organisations, sustainability accounting system have developed independently of mainstream management accounting infrastructure, creating parallel information that structurally exclude accountants from core sustainability processes. This finding carries important implications for the moderating role of organisational support: it demonstrates that even technically competent and confident accountants will make limited contribution to sustainability reporting where the organisation has not deliberately integrated sustainability into accounting functions and governance structures. Individual capability therefore is a necessary but </w:t>
      </w:r>
      <w:r w:rsidRPr="00251A9F">
        <w:rPr>
          <w:rFonts w:ascii="Times New Roman" w:hAnsi="Times New Roman"/>
        </w:rPr>
        <w:lastRenderedPageBreak/>
        <w:t xml:space="preserve">insufficient condition for reporting </w:t>
      </w:r>
      <w:proofErr w:type="gramStart"/>
      <w:r w:rsidRPr="00251A9F">
        <w:rPr>
          <w:rFonts w:ascii="Times New Roman" w:hAnsi="Times New Roman"/>
        </w:rPr>
        <w:t>readiness,</w:t>
      </w:r>
      <w:proofErr w:type="gramEnd"/>
      <w:r w:rsidRPr="00251A9F">
        <w:rPr>
          <w:rFonts w:ascii="Times New Roman" w:hAnsi="Times New Roman"/>
        </w:rPr>
        <w:t xml:space="preserve"> organisational support determines whether that capability is activated and directed toward disclosure outcome.</w:t>
      </w:r>
    </w:p>
    <w:p w14:paraId="12F10E30"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Ascani, </w:t>
      </w:r>
      <w:proofErr w:type="spellStart"/>
      <w:r w:rsidRPr="00251A9F">
        <w:rPr>
          <w:rFonts w:ascii="Times New Roman" w:hAnsi="Times New Roman"/>
        </w:rPr>
        <w:t>Ciccola</w:t>
      </w:r>
      <w:proofErr w:type="spellEnd"/>
      <w:r w:rsidRPr="00251A9F">
        <w:rPr>
          <w:rFonts w:ascii="Times New Roman" w:hAnsi="Times New Roman"/>
        </w:rPr>
        <w:t xml:space="preserve"> and </w:t>
      </w:r>
      <w:proofErr w:type="spellStart"/>
      <w:r w:rsidRPr="00251A9F">
        <w:rPr>
          <w:rFonts w:ascii="Times New Roman" w:hAnsi="Times New Roman"/>
        </w:rPr>
        <w:t>Chiucchi</w:t>
      </w:r>
      <w:proofErr w:type="spellEnd"/>
      <w:r w:rsidRPr="00251A9F">
        <w:rPr>
          <w:rFonts w:ascii="Times New Roman" w:hAnsi="Times New Roman"/>
        </w:rPr>
        <w:t xml:space="preserve"> (2021) further reveal that where management accountants are involved in sustainability reporting, they frequently occupy a gatekeeping or brokerage role, selecting and translating sustainability information produced by other functional manager for presentation to senior decision-makers rather than actively leading disclosure processes. The authors argue that more substantive involvement depend not only on individual competence development but on deliberate organisational decision to reposition accountants as central rather than peripheral actor in sustainability governance. This represents a precisely moderating dynamic consistent with social exchange theory: the same level of individual competence produces qualitatively different reporting contributions </w:t>
      </w:r>
      <w:proofErr w:type="spellStart"/>
      <w:r w:rsidRPr="00251A9F">
        <w:rPr>
          <w:rFonts w:ascii="Times New Roman" w:hAnsi="Times New Roman"/>
        </w:rPr>
        <w:t>depeending</w:t>
      </w:r>
      <w:proofErr w:type="spellEnd"/>
      <w:r w:rsidRPr="00251A9F">
        <w:rPr>
          <w:rFonts w:ascii="Times New Roman" w:hAnsi="Times New Roman"/>
        </w:rPr>
        <w:t xml:space="preserve"> on the degree of organisational support and structural inclusion available (</w:t>
      </w:r>
      <w:proofErr w:type="spellStart"/>
      <w:r w:rsidRPr="00251A9F">
        <w:rPr>
          <w:rFonts w:ascii="Times New Roman" w:hAnsi="Times New Roman"/>
        </w:rPr>
        <w:t>Cropanzano</w:t>
      </w:r>
      <w:proofErr w:type="spellEnd"/>
      <w:r w:rsidRPr="00251A9F">
        <w:rPr>
          <w:rFonts w:ascii="Times New Roman" w:hAnsi="Times New Roman"/>
        </w:rPr>
        <w:t xml:space="preserve"> and Mitchell, 2005). Where support is strong and accountants are positioned as sustainability gatekeepers with genuine decision-making authority, competent accountants drive and shape sustainability disclosures; where support is weak, equally competent accountants are confined to marginal administrative roles with limited influence over reporting quality.</w:t>
      </w:r>
    </w:p>
    <w:p w14:paraId="44B9F8BE"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Al Frijat et al. (2025) provide complementary empirical evidence from Jordan, finding through structural equation modelling of 279 accountants that professional development has significant positive impact on sustainability reporting quality, but that the relationship is partially mediated by the quality of organisational sustainability reporting systems. Their findings suggest that professional development alone does not translate directly in improved reporting outcomes organisational infrastructure plays an essential bridging function between individual capability and actual disclosure performance. This is directly consistent with a moderating interpretation grounded in social exchange theory: the strength of the </w:t>
      </w:r>
      <w:proofErr w:type="spellStart"/>
      <w:r w:rsidRPr="00251A9F">
        <w:rPr>
          <w:rFonts w:ascii="Times New Roman" w:hAnsi="Times New Roman"/>
        </w:rPr>
        <w:t>relationshipship</w:t>
      </w:r>
      <w:proofErr w:type="spellEnd"/>
      <w:r w:rsidRPr="00251A9F">
        <w:rPr>
          <w:rFonts w:ascii="Times New Roman" w:hAnsi="Times New Roman"/>
        </w:rPr>
        <w:t xml:space="preserve"> between individual professional development and reporting quality varies as a function of the organisational systems and commitment within which accountants operate (</w:t>
      </w:r>
      <w:proofErr w:type="spellStart"/>
      <w:r w:rsidRPr="00251A9F">
        <w:rPr>
          <w:rFonts w:ascii="Times New Roman" w:hAnsi="Times New Roman"/>
        </w:rPr>
        <w:t>Cropanzano</w:t>
      </w:r>
      <w:proofErr w:type="spellEnd"/>
      <w:r w:rsidRPr="00251A9F">
        <w:rPr>
          <w:rFonts w:ascii="Times New Roman" w:hAnsi="Times New Roman"/>
        </w:rPr>
        <w:t xml:space="preserve"> and Mitchell, 2005). Al Frijat et al. (2025) further identify that emerging market organisations face distinctive challenges in providing adequate sustainability support, including weaker institutional frameworks, limited professional training infrastructure, and inconsistent regulatory motivations all of which reduce organisational capacity to enable effective reporting even where individual capability exists, and thereby weaken the social exchange dynamic that would otherwise motivate sustained professional engagement.</w:t>
      </w:r>
    </w:p>
    <w:p w14:paraId="2D88586E"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contrast between these two studies reveals an important distinction in how organisational support operates as a moderator. Ascani, </w:t>
      </w:r>
      <w:proofErr w:type="spellStart"/>
      <w:r w:rsidRPr="00251A9F">
        <w:rPr>
          <w:rFonts w:ascii="Times New Roman" w:hAnsi="Times New Roman"/>
        </w:rPr>
        <w:t>Ciccola</w:t>
      </w:r>
      <w:proofErr w:type="spellEnd"/>
      <w:r w:rsidRPr="00251A9F">
        <w:rPr>
          <w:rFonts w:ascii="Times New Roman" w:hAnsi="Times New Roman"/>
        </w:rPr>
        <w:t xml:space="preserve"> and </w:t>
      </w:r>
      <w:proofErr w:type="spellStart"/>
      <w:r w:rsidRPr="00251A9F">
        <w:rPr>
          <w:rFonts w:ascii="Times New Roman" w:hAnsi="Times New Roman"/>
        </w:rPr>
        <w:t>Chiucchi</w:t>
      </w:r>
      <w:proofErr w:type="spellEnd"/>
      <w:r w:rsidRPr="00251A9F">
        <w:rPr>
          <w:rFonts w:ascii="Times New Roman" w:hAnsi="Times New Roman"/>
        </w:rPr>
        <w:t xml:space="preserve"> (2021) emphasise structural </w:t>
      </w:r>
      <w:r w:rsidRPr="00251A9F">
        <w:rPr>
          <w:rFonts w:ascii="Times New Roman" w:hAnsi="Times New Roman"/>
        </w:rPr>
        <w:lastRenderedPageBreak/>
        <w:t xml:space="preserve">and cultural dimensions, the degree to which sustainability is embedded in organisational strategy, governance, and information system while Al </w:t>
      </w:r>
      <w:proofErr w:type="spellStart"/>
      <w:r w:rsidRPr="00251A9F">
        <w:rPr>
          <w:rFonts w:ascii="Times New Roman" w:hAnsi="Times New Roman"/>
        </w:rPr>
        <w:t>Frijat</w:t>
      </w:r>
      <w:proofErr w:type="spellEnd"/>
      <w:r w:rsidRPr="00251A9F">
        <w:rPr>
          <w:rFonts w:ascii="Times New Roman" w:hAnsi="Times New Roman"/>
        </w:rPr>
        <w:t xml:space="preserve"> et al. (2025) focus on sustainability reporting quality as a measurable organisational output. These are complementary rather contradictory perspectives: the former highlights the antecedents of effective organisational support while the latter traces its performance consequences. Taken together they suggest that organisational support functions as boundary condition operating at multiple levels shaping both the opportunities available for accountants and the quality of </w:t>
      </w:r>
      <w:proofErr w:type="gramStart"/>
      <w:r w:rsidRPr="00251A9F">
        <w:rPr>
          <w:rFonts w:ascii="Times New Roman" w:hAnsi="Times New Roman"/>
        </w:rPr>
        <w:t>outputs</w:t>
      </w:r>
      <w:proofErr w:type="gramEnd"/>
      <w:r w:rsidRPr="00251A9F">
        <w:rPr>
          <w:rFonts w:ascii="Times New Roman" w:hAnsi="Times New Roman"/>
        </w:rPr>
        <w:t xml:space="preserve"> they can produce reinforcing the case for treating it as meaningful moderator of the individual capability-to-readiness relationship. A critical qualification must however be acknowledged. </w:t>
      </w:r>
      <w:proofErr w:type="spellStart"/>
      <w:r w:rsidRPr="00251A9F">
        <w:rPr>
          <w:rFonts w:ascii="Times New Roman" w:hAnsi="Times New Roman"/>
        </w:rPr>
        <w:t>Wenzig</w:t>
      </w:r>
      <w:proofErr w:type="spellEnd"/>
      <w:r w:rsidRPr="00251A9F">
        <w:rPr>
          <w:rFonts w:ascii="Times New Roman" w:hAnsi="Times New Roman"/>
        </w:rPr>
        <w:t xml:space="preserve"> et al. (2023), cited in Al </w:t>
      </w:r>
      <w:proofErr w:type="spellStart"/>
      <w:r w:rsidRPr="00251A9F">
        <w:rPr>
          <w:rFonts w:ascii="Times New Roman" w:hAnsi="Times New Roman"/>
        </w:rPr>
        <w:t>Frijat</w:t>
      </w:r>
      <w:proofErr w:type="spellEnd"/>
      <w:r w:rsidRPr="00251A9F">
        <w:rPr>
          <w:rFonts w:ascii="Times New Roman" w:hAnsi="Times New Roman"/>
        </w:rPr>
        <w:t xml:space="preserve"> et al. (2025), demonstrate that path dependence in accountants' professional identity, shaped by the </w:t>
      </w:r>
      <w:proofErr w:type="gramStart"/>
      <w:r w:rsidRPr="00251A9F">
        <w:rPr>
          <w:rFonts w:ascii="Times New Roman" w:hAnsi="Times New Roman"/>
        </w:rPr>
        <w:t>organisations  which</w:t>
      </w:r>
      <w:proofErr w:type="gramEnd"/>
      <w:r w:rsidRPr="00251A9F">
        <w:rPr>
          <w:rFonts w:ascii="Times New Roman" w:hAnsi="Times New Roman"/>
        </w:rPr>
        <w:t xml:space="preserve"> they work, is a key reason why accountants remain under-involved in corporate sustainability. Organisations built around conventional financial reporting paradigms tend to reproduce those priorities in their internal governance and resource allocation, effectively conquering the sustainability reporting contributions of even well-equipped professionals. This implies that the moderating effect of organisational support may be asymmetric: weak organisational support may be considerably more damaging to reporting readiness than strong support is beneficial, since the absence of structural enablers and reciprocal organisational investment can neutralise individual capability almost entirely within the social exchange framework (</w:t>
      </w:r>
      <w:proofErr w:type="spellStart"/>
      <w:r w:rsidRPr="00251A9F">
        <w:rPr>
          <w:rFonts w:ascii="Times New Roman" w:hAnsi="Times New Roman"/>
        </w:rPr>
        <w:t>Cropanzano</w:t>
      </w:r>
      <w:proofErr w:type="spellEnd"/>
      <w:r w:rsidRPr="00251A9F">
        <w:rPr>
          <w:rFonts w:ascii="Times New Roman" w:hAnsi="Times New Roman"/>
        </w:rPr>
        <w:t xml:space="preserve"> and Mitchell, 2005).</w:t>
      </w:r>
    </w:p>
    <w:p w14:paraId="62B551C5" w14:textId="77777777" w:rsidR="00251A9F" w:rsidRPr="00251A9F" w:rsidRDefault="00251A9F" w:rsidP="00251A9F">
      <w:pPr>
        <w:spacing w:line="360" w:lineRule="auto"/>
        <w:rPr>
          <w:rFonts w:ascii="Times New Roman" w:hAnsi="Times New Roman"/>
        </w:rPr>
      </w:pPr>
    </w:p>
    <w:p w14:paraId="610EDC4A" w14:textId="77777777" w:rsidR="00251A9F" w:rsidRDefault="00251A9F" w:rsidP="00251A9F">
      <w:pPr>
        <w:spacing w:line="360" w:lineRule="auto"/>
        <w:rPr>
          <w:rFonts w:ascii="Times New Roman" w:hAnsi="Times New Roman"/>
          <w:b/>
          <w:bCs/>
        </w:rPr>
      </w:pPr>
      <w:r w:rsidRPr="00251A9F">
        <w:rPr>
          <w:rFonts w:ascii="Times New Roman" w:hAnsi="Times New Roman"/>
          <w:b/>
          <w:bCs/>
        </w:rPr>
        <w:t>2.7 Sustainability-Specific Training – the moderator</w:t>
      </w:r>
    </w:p>
    <w:p w14:paraId="10D78026" w14:textId="77777777" w:rsidR="00251A9F" w:rsidRPr="00251A9F" w:rsidRDefault="00251A9F" w:rsidP="00251A9F">
      <w:pPr>
        <w:spacing w:line="360" w:lineRule="auto"/>
        <w:rPr>
          <w:rFonts w:ascii="Times New Roman" w:hAnsi="Times New Roman"/>
          <w:b/>
          <w:bCs/>
        </w:rPr>
      </w:pPr>
    </w:p>
    <w:p w14:paraId="1225E80A"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2.7.1 Conceptualisation and Definition</w:t>
      </w:r>
    </w:p>
    <w:p w14:paraId="5343835A"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Sustainability-specific training refers to structured, targeted educational and professional development activities designed to equip accounting professionals with knowledge, skills, and competencies required to engage effectively with sustainability reporting responsibilities. It is distinguished from general continuing professional development (CPD) by its focus on sustainability-relevant content including ESG frameworks, materiality assessment, carbon accounting, assurance standards, and regulatory developments than broader professional skills. In the present study, sustainability-specific training is conceptualised as a second moderating variable that conditions the relationship between individual-level predictors and the overall sustainability reporting readiness. The rationale for treating training as a moderator rather than a direct predictor is that training enhances the effectiveness of existing </w:t>
      </w:r>
      <w:r w:rsidRPr="00251A9F">
        <w:rPr>
          <w:rFonts w:ascii="Times New Roman" w:hAnsi="Times New Roman"/>
        </w:rPr>
        <w:lastRenderedPageBreak/>
        <w:t xml:space="preserve">regulatory awareness, technical competence, and perceived confidence by providing the domain-specific knowledge and practical tools through which those capabilities can be applied to sustainability disclosure jobs (Al </w:t>
      </w:r>
      <w:proofErr w:type="spellStart"/>
      <w:r w:rsidRPr="00251A9F">
        <w:rPr>
          <w:rFonts w:ascii="Times New Roman" w:hAnsi="Times New Roman"/>
        </w:rPr>
        <w:t>Frijat</w:t>
      </w:r>
      <w:proofErr w:type="spellEnd"/>
      <w:r w:rsidRPr="00251A9F">
        <w:rPr>
          <w:rFonts w:ascii="Times New Roman" w:hAnsi="Times New Roman"/>
        </w:rPr>
        <w:t xml:space="preserve"> et al., 2025).</w:t>
      </w:r>
    </w:p>
    <w:p w14:paraId="6012E49E" w14:textId="77777777" w:rsidR="00251A9F" w:rsidRPr="00251A9F" w:rsidRDefault="00251A9F" w:rsidP="00251A9F">
      <w:pPr>
        <w:spacing w:line="360" w:lineRule="auto"/>
        <w:rPr>
          <w:rFonts w:ascii="Times New Roman" w:hAnsi="Times New Roman"/>
        </w:rPr>
      </w:pPr>
    </w:p>
    <w:p w14:paraId="4FD961D5"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2.7.2 Theoretical Underpinning</w:t>
      </w:r>
    </w:p>
    <w:p w14:paraId="618AF973"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theoretical basis for examining sustainability-specific training as moderator draws from human capital theory, which holds that investment in education and skills development of individuals produces productive capabilities that enhance professional performance (Becker, 1964, as cited in Al </w:t>
      </w:r>
      <w:proofErr w:type="spellStart"/>
      <w:r w:rsidRPr="00251A9F">
        <w:rPr>
          <w:rFonts w:ascii="Times New Roman" w:hAnsi="Times New Roman"/>
        </w:rPr>
        <w:t>Frijat</w:t>
      </w:r>
      <w:proofErr w:type="spellEnd"/>
      <w:r w:rsidRPr="00251A9F">
        <w:rPr>
          <w:rFonts w:ascii="Times New Roman" w:hAnsi="Times New Roman"/>
        </w:rPr>
        <w:t xml:space="preserve"> et al., 2025). Applied to the sustainability reporting context, this theory predicts that accountant who receive targeted sustainability training develop a stock of domain-specific human capital that amplifies the effect of existing individual characteristics on reporting outcomes. Regulatory awareness becomes more actionable when training has equipped professionals with the practical tools to apply the knowledge; technical competence deepens when training provides hands-on exposure to sustainability frameworks and assurance procedures; and perceived confidence becomes better calibrated when training provides the structured experience needed to ground self-efficacy in genuine capability. Human capital theory therefore supports a moderating rather merely additive role for sustainability-specific training, it does not simply produce readiness directly but multiplies the readiness-generating potential of other individual-level variables as well as.</w:t>
      </w:r>
    </w:p>
    <w:p w14:paraId="2B909F26" w14:textId="77777777" w:rsidR="00251A9F" w:rsidRPr="00251A9F" w:rsidRDefault="00251A9F" w:rsidP="00251A9F">
      <w:pPr>
        <w:spacing w:line="360" w:lineRule="auto"/>
        <w:rPr>
          <w:rFonts w:ascii="Times New Roman" w:hAnsi="Times New Roman"/>
        </w:rPr>
      </w:pPr>
      <w:r w:rsidRPr="00251A9F">
        <w:rPr>
          <w:rFonts w:ascii="Times New Roman" w:hAnsi="Times New Roman"/>
        </w:rPr>
        <w:t>Complementing this, Friedman (2023) situates CPD within a broader understanding of lifelong learning and professional identity, arguing structured professional development operate not only as a knowledge transfer mechanism but as system that regularises, records, and institutionalises professionals' ongoing learning commitments. This sociological perspective adds an important dimension to human capital view: sustainability-specific training not only an investment in individual capability but signal of professional obligation and organisational seriousness about sustainability that shapes how accountants engage with disclosure responsibilities. Where training formally structured, monitored, and tied to professional body requirements, its moderating effect on reporting readiness is likely to be stronger than where it is informal and discretionary.</w:t>
      </w:r>
    </w:p>
    <w:p w14:paraId="66363DA2" w14:textId="77777777" w:rsidR="00251A9F" w:rsidRPr="00251A9F" w:rsidRDefault="00251A9F" w:rsidP="00251A9F">
      <w:pPr>
        <w:spacing w:line="360" w:lineRule="auto"/>
        <w:rPr>
          <w:rFonts w:ascii="Times New Roman" w:hAnsi="Times New Roman"/>
        </w:rPr>
      </w:pPr>
    </w:p>
    <w:p w14:paraId="49E75EF8"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2.7.3 Empirical Evidence</w:t>
      </w:r>
    </w:p>
    <w:p w14:paraId="4C33383E"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Empirical studies consistently identify sustainability-specific training as one of the most powerful determinants of accountants' engagement with and readiness for sustainability reporting, though they differ how they characterise the mechanisms through which training </w:t>
      </w:r>
      <w:r w:rsidRPr="00251A9F">
        <w:rPr>
          <w:rFonts w:ascii="Times New Roman" w:hAnsi="Times New Roman"/>
        </w:rPr>
        <w:lastRenderedPageBreak/>
        <w:t xml:space="preserve">exerts its effects. Garefalakis et al. (2026) provide directly relevant evidence, finding that formally trained chartered accountants demonstrated significantly higher implementation of ESG criteria across all sustainability dimensions compared to untrained counterparts, with statistically significant differences across virtually all measured </w:t>
      </w:r>
      <w:proofErr w:type="gramStart"/>
      <w:r w:rsidRPr="00251A9F">
        <w:rPr>
          <w:rFonts w:ascii="Times New Roman" w:hAnsi="Times New Roman"/>
        </w:rPr>
        <w:t>indicator</w:t>
      </w:r>
      <w:proofErr w:type="gramEnd"/>
      <w:r w:rsidRPr="00251A9F">
        <w:rPr>
          <w:rFonts w:ascii="Times New Roman" w:hAnsi="Times New Roman"/>
        </w:rPr>
        <w:t>. Critically, trained accountants not only applied sustainability criteria more comprehensively but also show more strategically sophisticated understanding of ESG's value rating it as more effective for credibility, investor attraction, and competitive advantage. This finding is consistent with a moderating interpretation: training does not simply produce generic uplift in readiness but enhances the quality and depth of engagement that existing individual capabilities generate.</w:t>
      </w:r>
    </w:p>
    <w:p w14:paraId="64018EC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relationship between training and reporting quality is further examined by Al </w:t>
      </w:r>
      <w:proofErr w:type="spellStart"/>
      <w:r w:rsidRPr="00251A9F">
        <w:rPr>
          <w:rFonts w:ascii="Times New Roman" w:hAnsi="Times New Roman"/>
        </w:rPr>
        <w:t>Frijat</w:t>
      </w:r>
      <w:proofErr w:type="spellEnd"/>
      <w:r w:rsidRPr="00251A9F">
        <w:rPr>
          <w:rFonts w:ascii="Times New Roman" w:hAnsi="Times New Roman"/>
        </w:rPr>
        <w:t xml:space="preserve"> et al. (2025), who find through structural equation modelling that accountants' professional development has strong and significant positive effect on sustainability reporting quality, with a path coefficient of 0.772, one of strongest relationships in their model. Their findings demonstrate that investment in professional development including courses, seminars, on-the-job training, and technical committee participation translates directly in higher quality sustainability disclosures. Importantly, they frame this relationship through human capital theory, arguing that professional development enhances accountants' cognitive capabilities and domain knowledge in ways that advance credibility, timeliness, comparability, and reliability of sustainability reports. This is precisely the moderating dynamic of interest in present study: training strengthens the pathway from individual capability to reporting outcomes.</w:t>
      </w:r>
    </w:p>
    <w:p w14:paraId="2ACFEDA5"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 critical tension in the literature, however, concerns whether training effects are uniform across different professional contexts or whether they are moderated by </w:t>
      </w:r>
      <w:proofErr w:type="gramStart"/>
      <w:r w:rsidRPr="00251A9F">
        <w:rPr>
          <w:rFonts w:ascii="Times New Roman" w:hAnsi="Times New Roman"/>
        </w:rPr>
        <w:t>other</w:t>
      </w:r>
      <w:proofErr w:type="gramEnd"/>
      <w:r w:rsidRPr="00251A9F">
        <w:rPr>
          <w:rFonts w:ascii="Times New Roman" w:hAnsi="Times New Roman"/>
        </w:rPr>
        <w:t xml:space="preserve"> factor. Ascani, </w:t>
      </w:r>
      <w:proofErr w:type="spellStart"/>
      <w:r w:rsidRPr="00251A9F">
        <w:rPr>
          <w:rFonts w:ascii="Times New Roman" w:hAnsi="Times New Roman"/>
        </w:rPr>
        <w:t>Ciccola</w:t>
      </w:r>
      <w:proofErr w:type="spellEnd"/>
      <w:r w:rsidRPr="00251A9F">
        <w:rPr>
          <w:rFonts w:ascii="Times New Roman" w:hAnsi="Times New Roman"/>
        </w:rPr>
        <w:t xml:space="preserve"> and </w:t>
      </w:r>
      <w:proofErr w:type="spellStart"/>
      <w:r w:rsidRPr="00251A9F">
        <w:rPr>
          <w:rFonts w:ascii="Times New Roman" w:hAnsi="Times New Roman"/>
        </w:rPr>
        <w:t>Chiucchi</w:t>
      </w:r>
      <w:proofErr w:type="spellEnd"/>
      <w:r w:rsidRPr="00251A9F">
        <w:rPr>
          <w:rFonts w:ascii="Times New Roman" w:hAnsi="Times New Roman"/>
        </w:rPr>
        <w:t xml:space="preserve"> (2021) demonstrate that even where accountants express interest in sustainability, the absence of targeted sustainability content with mainstream accounting education and CPD programmes means that many practitioners lack the specific competencies needed to engage with disclosure tasks, regardless of their general professional development stages. This finding implies that generic CPD is an insufficient substitute for sustainability-specific training, and the moderating effect of training on reporting readiness is contingent on relevance and specificity of training content to sustainability disclosure demands. A practitioner who has completed extensive general accounting CPD but receive no sustainability-specific training may demonstrate lower readiness than one with less overall CPD but targeted sustainability education distinction that Friedman (2023) reinforces by </w:t>
      </w:r>
      <w:r w:rsidRPr="00251A9F">
        <w:rPr>
          <w:rFonts w:ascii="Times New Roman" w:hAnsi="Times New Roman"/>
        </w:rPr>
        <w:lastRenderedPageBreak/>
        <w:t>noting that CPD encompasses a wide range of activities, not all of which are equally effective in developing competencies in specific new domains such as sustainability reporting.</w:t>
      </w:r>
    </w:p>
    <w:p w14:paraId="05DC9C00" w14:textId="77777777" w:rsidR="00251A9F" w:rsidRPr="00251A9F" w:rsidRDefault="00251A9F" w:rsidP="00251A9F">
      <w:pPr>
        <w:spacing w:line="360" w:lineRule="auto"/>
        <w:rPr>
          <w:rFonts w:ascii="Times New Roman" w:hAnsi="Times New Roman"/>
        </w:rPr>
      </w:pPr>
      <w:r w:rsidRPr="00251A9F">
        <w:rPr>
          <w:rFonts w:ascii="Times New Roman" w:hAnsi="Times New Roman"/>
        </w:rPr>
        <w:t>Friedman (2023) additionally highlights that compulsory CPD requirements across professional bodies have created structured frameworks to tracking and regularising professional learning, but that the content prescribed varies considerably, with sustainability receiving limited coverage in many existing CPD programmes. This is a particularly significant finding for present study: it suggests that even where CPD participation is high, sustainability-specific training gaps may persist unless professional bodies and organisations deliberately mandate sustainability content as part of development frameworks. The implication for Pakistan is direct, where professional bodies such as ICAP and ICMAP have not yet systematically integrated sustainability into their CPD requirements, sustainability-specific training is likely to be both scarce and unevenly distributed, making it a particularly consequential moderating variable in determining which accountants are able to translate their individual capabilities into effective reporting behaviour.</w:t>
      </w:r>
    </w:p>
    <w:p w14:paraId="7B59634B" w14:textId="77777777" w:rsidR="00251A9F" w:rsidRPr="00251A9F" w:rsidRDefault="00251A9F" w:rsidP="00251A9F">
      <w:pPr>
        <w:spacing w:line="360" w:lineRule="auto"/>
        <w:rPr>
          <w:rFonts w:ascii="Times New Roman" w:hAnsi="Times New Roman"/>
          <w:b/>
          <w:bCs/>
        </w:rPr>
      </w:pPr>
    </w:p>
    <w:p w14:paraId="2F43366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2.8 Context of Developing Economies and Pakistan</w:t>
      </w:r>
    </w:p>
    <w:p w14:paraId="408AAE29"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developing economy context, and Pakistan in particular, is central to understanding how regulatory awareness, technical competence, perceived confidence, organisational support, and sustainability-specific training shape accountants' readiness for sustainability reporting. Regulatory awareness carries particular significance in such setting, where reporting frameworks are still emerging and accountants have limited exposure to internationally recognised standards. In Pakistan, the Securities and Exchange Commission of Pakistan (SECP) has issued voluntary ESG guidelines and progressively aligning domestic expectations with international frameworks, including the SDGs and ISSB standards, yet </w:t>
      </w:r>
      <w:proofErr w:type="spellStart"/>
      <w:r w:rsidRPr="00251A9F">
        <w:rPr>
          <w:rFonts w:ascii="Times New Roman" w:hAnsi="Times New Roman"/>
        </w:rPr>
        <w:t>Tauringana</w:t>
      </w:r>
      <w:proofErr w:type="spellEnd"/>
      <w:r w:rsidRPr="00251A9F">
        <w:rPr>
          <w:rFonts w:ascii="Times New Roman" w:hAnsi="Times New Roman"/>
        </w:rPr>
        <w:t xml:space="preserve"> (2020) notes that professional perceptions of regulatory requirements often diverge from formal obligations in such environments, producing considerable variation in disclosure quality. Hossain et al. (2015) identify Islamic religious beliefs as a further constraint on CSR disclosure, arguing that individual accountability to God discourages public disclosure of good deeds, a dynamic particularly relevant in Pakistan. </w:t>
      </w:r>
      <w:proofErr w:type="spellStart"/>
      <w:r w:rsidRPr="00251A9F">
        <w:rPr>
          <w:rFonts w:ascii="Times New Roman" w:hAnsi="Times New Roman"/>
        </w:rPr>
        <w:t>Nwobu</w:t>
      </w:r>
      <w:proofErr w:type="spellEnd"/>
      <w:r w:rsidRPr="00251A9F">
        <w:rPr>
          <w:rFonts w:ascii="Times New Roman" w:hAnsi="Times New Roman"/>
        </w:rPr>
        <w:t xml:space="preserve"> et al. (2018), surveying 54 Nigerian managers, similarly found that sustainability reporting in developing economies is driven primarily by executive leadership, investor concern, and governance codes rather than accountants' own initiative, reinforcing that voluntary awareness alone cannot substitute stronger enforcement.</w:t>
      </w:r>
    </w:p>
    <w:p w14:paraId="23484332"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This regulatory gap is compounded by structural limitations in professional education. Accountants in developing countries frequently lack access to specialised training, certifications, and updated resource needed to build sustainability reporting skills (</w:t>
      </w:r>
      <w:proofErr w:type="spellStart"/>
      <w:r w:rsidRPr="00251A9F">
        <w:rPr>
          <w:rFonts w:ascii="Times New Roman" w:hAnsi="Times New Roman"/>
        </w:rPr>
        <w:t>Tauringana</w:t>
      </w:r>
      <w:proofErr w:type="spellEnd"/>
      <w:r w:rsidRPr="00251A9F">
        <w:rPr>
          <w:rFonts w:ascii="Times New Roman" w:hAnsi="Times New Roman"/>
        </w:rPr>
        <w:t xml:space="preserve">, 2020). In Pakistan, the profession is regulated primarily through the Institute of Chartered Accountants of Pakistan (ICAP) and the Institute of Cost and Management Accountants of Pakistan (ICMAP), both slow to formally integrate sustainability competencies into qualification frameworks. Farisyi et al. (2022) argue this institutional gap is consequential because, absent enforcement, voluntary competence development becomes primary driver of reporting quality. The same void undermines perceived confidence: low confidence is common among accountants in developing countries and acts as </w:t>
      </w:r>
      <w:proofErr w:type="spellStart"/>
      <w:proofErr w:type="gramStart"/>
      <w:r w:rsidRPr="00251A9F">
        <w:rPr>
          <w:rFonts w:ascii="Times New Roman" w:hAnsi="Times New Roman"/>
        </w:rPr>
        <w:t>a</w:t>
      </w:r>
      <w:proofErr w:type="spellEnd"/>
      <w:proofErr w:type="gramEnd"/>
      <w:r w:rsidRPr="00251A9F">
        <w:rPr>
          <w:rFonts w:ascii="Times New Roman" w:hAnsi="Times New Roman"/>
        </w:rPr>
        <w:t xml:space="preserve"> obstruction to disclosure independent of formal knowledge (</w:t>
      </w:r>
      <w:proofErr w:type="spellStart"/>
      <w:r w:rsidRPr="00251A9F">
        <w:rPr>
          <w:rFonts w:ascii="Times New Roman" w:hAnsi="Times New Roman"/>
        </w:rPr>
        <w:t>Tauringana</w:t>
      </w:r>
      <w:proofErr w:type="spellEnd"/>
      <w:r w:rsidRPr="00251A9F">
        <w:rPr>
          <w:rFonts w:ascii="Times New Roman" w:hAnsi="Times New Roman"/>
        </w:rPr>
        <w:t xml:space="preserve">, 2020), while Farisyi et al. (2022) identify confidence as a mediator between awareness and reporting behaviour, such that awareness alone is insufficient. In Pakistan, confidence may be decisive in whether accountant engage meaningfully with sustainability responsibilities or treat them outside their purview. Generational dynamics identified by </w:t>
      </w:r>
      <w:proofErr w:type="spellStart"/>
      <w:r w:rsidRPr="00251A9F">
        <w:rPr>
          <w:rFonts w:ascii="Times New Roman" w:hAnsi="Times New Roman"/>
        </w:rPr>
        <w:t>Garefalakis</w:t>
      </w:r>
      <w:proofErr w:type="spellEnd"/>
      <w:r w:rsidRPr="00251A9F">
        <w:rPr>
          <w:rFonts w:ascii="Times New Roman" w:hAnsi="Times New Roman"/>
        </w:rPr>
        <w:t xml:space="preserve"> et al. (2026) in Greece are likely to be replicated, and amplified, in Pakistan given more pronounced structural barriers to ESG education.</w:t>
      </w:r>
    </w:p>
    <w:p w14:paraId="2646A903" w14:textId="77777777" w:rsidR="00251A9F" w:rsidRPr="00251A9F" w:rsidRDefault="00251A9F" w:rsidP="00251A9F">
      <w:pPr>
        <w:spacing w:line="360" w:lineRule="auto"/>
        <w:rPr>
          <w:rFonts w:ascii="Times New Roman" w:hAnsi="Times New Roman"/>
        </w:rPr>
      </w:pPr>
      <w:r w:rsidRPr="00251A9F">
        <w:rPr>
          <w:rFonts w:ascii="Times New Roman" w:hAnsi="Times New Roman"/>
        </w:rPr>
        <w:t>Organisational and training support further moderate these relationships. Al Frijat et al. (2025), contextualising findings within Jordan as emerging market, note that limited training opportunities, evolving governance regulations, and weaker institutional frameworks constrain organisations' ability to support accountants engaging in sustainability disclosure; the same barriers apply to Pakistan, where organisational commitment varies considerably and many firms lack dedicated sustainability functions or managerial advocacy. Farisyi et al. (2022) add that sustainability reporting in developing-economy organisations is often treated as peripheral compliance rather than core strategic function. Within a social exchange framework, this leaves accountants with little reciprocal motivation to invest their awareness, competence, or confidence beyond the minimum required (</w:t>
      </w:r>
      <w:proofErr w:type="spellStart"/>
      <w:r w:rsidRPr="00251A9F">
        <w:rPr>
          <w:rFonts w:ascii="Times New Roman" w:hAnsi="Times New Roman"/>
        </w:rPr>
        <w:t>Cropanzano</w:t>
      </w:r>
      <w:proofErr w:type="spellEnd"/>
      <w:r w:rsidRPr="00251A9F">
        <w:rPr>
          <w:rFonts w:ascii="Times New Roman" w:hAnsi="Times New Roman"/>
        </w:rPr>
        <w:t xml:space="preserve"> and Mitchell, 2005). Al Frijat et al. (2025) similarly identify scarce specialised training as a primary barrier to improving reporting quality in emerging markets. Collectively, these dynamics make Pakistan a particularly relevant and under-examined setting which these variables interact to shape accountants' readiness for sustainability reporting.</w:t>
      </w:r>
    </w:p>
    <w:p w14:paraId="7FCE9561" w14:textId="77777777" w:rsidR="00251A9F" w:rsidRPr="00251A9F" w:rsidRDefault="00251A9F" w:rsidP="00251A9F">
      <w:pPr>
        <w:spacing w:line="360" w:lineRule="auto"/>
        <w:rPr>
          <w:rFonts w:ascii="Times New Roman" w:hAnsi="Times New Roman"/>
        </w:rPr>
      </w:pPr>
    </w:p>
    <w:p w14:paraId="33459A68"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2.9 Literature Gap</w:t>
      </w:r>
    </w:p>
    <w:p w14:paraId="10415E7A"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The preceding literature review reveals a growing body of scholarship on accountants' engagement with sustainability reporting, yet critical examination of existing studies exposes several significant gaps both theoretical and empirical that provide direct validation for the present study.</w:t>
      </w:r>
    </w:p>
    <w:p w14:paraId="36D227DE"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most explicit indication of where further research is needed comes from the studies themselves. Ascani, </w:t>
      </w:r>
      <w:proofErr w:type="spellStart"/>
      <w:r w:rsidRPr="00251A9F">
        <w:rPr>
          <w:rFonts w:ascii="Times New Roman" w:hAnsi="Times New Roman"/>
        </w:rPr>
        <w:t>Ciccola</w:t>
      </w:r>
      <w:proofErr w:type="spellEnd"/>
      <w:r w:rsidRPr="00251A9F">
        <w:rPr>
          <w:rFonts w:ascii="Times New Roman" w:hAnsi="Times New Roman"/>
        </w:rPr>
        <w:t xml:space="preserve"> and </w:t>
      </w:r>
      <w:proofErr w:type="spellStart"/>
      <w:r w:rsidRPr="00251A9F">
        <w:rPr>
          <w:rFonts w:ascii="Times New Roman" w:hAnsi="Times New Roman"/>
        </w:rPr>
        <w:t>Chiucchi</w:t>
      </w:r>
      <w:proofErr w:type="spellEnd"/>
      <w:r w:rsidRPr="00251A9F">
        <w:rPr>
          <w:rFonts w:ascii="Times New Roman" w:hAnsi="Times New Roman"/>
        </w:rPr>
        <w:t xml:space="preserve"> (2021), in their structured literature review of management accountants' role in sustainability accounting and reporting, directly call for more empirical research on the competencies, skills, and roles that accountant should develop to support sustainability reporting adoption, specifically identify the need for quantitative investigations that examine how organisational conditions shape accountants' involvement. Garefalakis et al. (2026) similarly conclude that future research should extend their findings on generational differences and training effects to other national context, particularly those where ESG adoption is still developing and where professional infrastructure differs substantially from the Greek context examined in study. Al Frijat et al. (2025) explicitly acknowledge that their findings are limited to Jordan as a single emerging market and call for comparative studies across developing economies to strengthen external validity of the relationship between professional development, sustainability reporting quality, and organisational outcome. These are not peripheral suggestions but direct scholarly mandate that the present study is designed to answer.</w:t>
      </w:r>
    </w:p>
    <w:p w14:paraId="3750364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Beyond these explicit calls, the literature contains several substantive gaps that remain unaddressed. The most fundamental is absence of integrative quantitative models that simultaneously examine multiple determinants of sustainability reporting readiness. Existing studies tend to explore variables in isolation regulatory awareness in one study, training effects in another without capturing how these variables operate jointly or interact with one another. </w:t>
      </w:r>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proofErr w:type="spellEnd"/>
      <w:r w:rsidRPr="00251A9F">
        <w:rPr>
          <w:rFonts w:ascii="Times New Roman" w:hAnsi="Times New Roman"/>
        </w:rPr>
        <w:t xml:space="preserve"> (2020) examine regulatory awareness but do not model how confidence or organisational support conditions its translation to reporting behaviour. </w:t>
      </w:r>
      <w:proofErr w:type="spellStart"/>
      <w:r w:rsidRPr="00251A9F">
        <w:rPr>
          <w:rFonts w:ascii="Times New Roman" w:hAnsi="Times New Roman"/>
        </w:rPr>
        <w:t>Fota</w:t>
      </w:r>
      <w:proofErr w:type="spellEnd"/>
      <w:r w:rsidRPr="00251A9F">
        <w:rPr>
          <w:rFonts w:ascii="Times New Roman" w:hAnsi="Times New Roman"/>
        </w:rPr>
        <w:t xml:space="preserve"> et al. (2024) acknowledge the role of perceived confidence in readiness without formally grounding it self-efficacy theory or examining its independent contribution alongside other predictors. This fragmentation limits explanatory power considerably understanding why some accountants demonstrate high readiness while others with apparently similar profiles do not requires examining regulatory, technical, psychological, and organisational variables simultaneously within a unified framework, which no existing study has yet attempted.</w:t>
      </w:r>
    </w:p>
    <w:p w14:paraId="1B403331"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 xml:space="preserve">A related gap concerns theoretical treatment of organisational support and sustainability-specific training as moderating rather than direct variables. Both Ascani, </w:t>
      </w:r>
      <w:proofErr w:type="spellStart"/>
      <w:r w:rsidRPr="00251A9F">
        <w:rPr>
          <w:rFonts w:ascii="Times New Roman" w:hAnsi="Times New Roman"/>
        </w:rPr>
        <w:t>Ciccola</w:t>
      </w:r>
      <w:proofErr w:type="spellEnd"/>
      <w:r w:rsidRPr="00251A9F">
        <w:rPr>
          <w:rFonts w:ascii="Times New Roman" w:hAnsi="Times New Roman"/>
        </w:rPr>
        <w:t xml:space="preserve"> and </w:t>
      </w:r>
      <w:proofErr w:type="spellStart"/>
      <w:r w:rsidRPr="00251A9F">
        <w:rPr>
          <w:rFonts w:ascii="Times New Roman" w:hAnsi="Times New Roman"/>
        </w:rPr>
        <w:t>Chiucchi</w:t>
      </w:r>
      <w:proofErr w:type="spellEnd"/>
      <w:r w:rsidRPr="00251A9F">
        <w:rPr>
          <w:rFonts w:ascii="Times New Roman" w:hAnsi="Times New Roman"/>
        </w:rPr>
        <w:t xml:space="preserve"> (2021) and Al </w:t>
      </w:r>
      <w:proofErr w:type="spellStart"/>
      <w:r w:rsidRPr="00251A9F">
        <w:rPr>
          <w:rFonts w:ascii="Times New Roman" w:hAnsi="Times New Roman"/>
        </w:rPr>
        <w:t>Frijat</w:t>
      </w:r>
      <w:proofErr w:type="spellEnd"/>
      <w:r w:rsidRPr="00251A9F">
        <w:rPr>
          <w:rFonts w:ascii="Times New Roman" w:hAnsi="Times New Roman"/>
        </w:rPr>
        <w:t xml:space="preserve"> et al. (2025) demonstrate that these factors shape sustainability reporting engagement but stop short of formally testing if they condition the strength of relationships between individual capabilities and readiness outcomes. Positioning these moderators grounded in social exchange theory (</w:t>
      </w:r>
      <w:proofErr w:type="spellStart"/>
      <w:r w:rsidRPr="00251A9F">
        <w:rPr>
          <w:rFonts w:ascii="Times New Roman" w:hAnsi="Times New Roman"/>
        </w:rPr>
        <w:t>Cropanzano</w:t>
      </w:r>
      <w:proofErr w:type="spellEnd"/>
      <w:r w:rsidRPr="00251A9F">
        <w:rPr>
          <w:rFonts w:ascii="Times New Roman" w:hAnsi="Times New Roman"/>
        </w:rPr>
        <w:t xml:space="preserve"> and Mitchell, 2005) and human capital theory offers a theoretically more precise and empirically more testable account of the boundary conditions governing the capability-to-readiness pathway, one that the literature has theorised but not yet tested.</w:t>
      </w:r>
    </w:p>
    <w:p w14:paraId="08F8A503"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geographic gap in the literature is perhaps the most consequential and most explicitly acknowledged. Garefalakis et al. (2026) note that their Greek-context results may not generalise to other regulatory environments particularly those with less institutional development. Tauringana (2020) and Farisyi et al. (2022) both highlight developing economies critically underexplored contexts for sustainability reporting research, and Farisyi et al. (2022) specifically note that the determinants of reporting engagement in voluntary, weakly enforced environments differ substantially from those where mandated contexts and warrant dedicated investigation. Pakistan represents precisely this type of environment a large emerging economy with voluntary sustainability reporting framework, nascent professional ESG norms, weak institutional enforcement, and considerable variation in organisational sustainability commitment yet no quantitative study yet has examined the determinants of sustainability reporting readiness among Pakistani accountants. This is not merely a replication gap but a substantive theoretical one, as the boundary conditions present in Pakistan are expected to shape irregular relationships in ways that developed-economy findings cannot predict.</w:t>
      </w:r>
    </w:p>
    <w:p w14:paraId="45DF1F22"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Finally,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and </w:t>
      </w:r>
      <w:proofErr w:type="spellStart"/>
      <w:r w:rsidRPr="00251A9F">
        <w:rPr>
          <w:rFonts w:ascii="Times New Roman" w:hAnsi="Times New Roman"/>
        </w:rPr>
        <w:t>Matac</w:t>
      </w:r>
      <w:proofErr w:type="spellEnd"/>
      <w:r w:rsidRPr="00251A9F">
        <w:rPr>
          <w:rFonts w:ascii="Times New Roman" w:hAnsi="Times New Roman"/>
        </w:rPr>
        <w:t xml:space="preserve"> et al. (2024) both call attention to the need for individual-level rather than organisational-level analyses of sustainability reporting preparedness, noting that most existing work measures disclosure quality or volume at the firm level without capturing the professional readiness of the accountants responsible for producing those disclosures. The present study directly answers this call by treating accountants' individual-level readiness as the primary dependent variable.</w:t>
      </w:r>
    </w:p>
    <w:p w14:paraId="1BBA3A4A"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Taken together, the explicit call for future research from Ascani, </w:t>
      </w:r>
      <w:proofErr w:type="spellStart"/>
      <w:r w:rsidRPr="00251A9F">
        <w:rPr>
          <w:rFonts w:ascii="Times New Roman" w:hAnsi="Times New Roman"/>
        </w:rPr>
        <w:t>Ciccola</w:t>
      </w:r>
      <w:proofErr w:type="spellEnd"/>
      <w:r w:rsidRPr="00251A9F">
        <w:rPr>
          <w:rFonts w:ascii="Times New Roman" w:hAnsi="Times New Roman"/>
        </w:rPr>
        <w:t xml:space="preserve"> and </w:t>
      </w:r>
      <w:proofErr w:type="spellStart"/>
      <w:r w:rsidRPr="00251A9F">
        <w:rPr>
          <w:rFonts w:ascii="Times New Roman" w:hAnsi="Times New Roman"/>
        </w:rPr>
        <w:t>Chiucchi</w:t>
      </w:r>
      <w:proofErr w:type="spellEnd"/>
      <w:r w:rsidRPr="00251A9F">
        <w:rPr>
          <w:rFonts w:ascii="Times New Roman" w:hAnsi="Times New Roman"/>
        </w:rPr>
        <w:t xml:space="preserve"> (2021), </w:t>
      </w:r>
      <w:proofErr w:type="spellStart"/>
      <w:r w:rsidRPr="00251A9F">
        <w:rPr>
          <w:rFonts w:ascii="Times New Roman" w:hAnsi="Times New Roman"/>
        </w:rPr>
        <w:t>Garefalakis</w:t>
      </w:r>
      <w:proofErr w:type="spellEnd"/>
      <w:r w:rsidRPr="00251A9F">
        <w:rPr>
          <w:rFonts w:ascii="Times New Roman" w:hAnsi="Times New Roman"/>
        </w:rPr>
        <w:t xml:space="preserve"> et al. (2026), Al </w:t>
      </w:r>
      <w:proofErr w:type="spellStart"/>
      <w:r w:rsidRPr="00251A9F">
        <w:rPr>
          <w:rFonts w:ascii="Times New Roman" w:hAnsi="Times New Roman"/>
        </w:rPr>
        <w:t>Frijat</w:t>
      </w:r>
      <w:proofErr w:type="spellEnd"/>
      <w:r w:rsidRPr="00251A9F">
        <w:rPr>
          <w:rFonts w:ascii="Times New Roman" w:hAnsi="Times New Roman"/>
        </w:rPr>
        <w:t xml:space="preserve"> et al. (2025), Farisyi et al. (2022),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and </w:t>
      </w:r>
      <w:proofErr w:type="spellStart"/>
      <w:r w:rsidRPr="00251A9F">
        <w:rPr>
          <w:rFonts w:ascii="Times New Roman" w:hAnsi="Times New Roman"/>
        </w:rPr>
        <w:t>Matac</w:t>
      </w:r>
      <w:proofErr w:type="spellEnd"/>
      <w:r w:rsidRPr="00251A9F">
        <w:rPr>
          <w:rFonts w:ascii="Times New Roman" w:hAnsi="Times New Roman"/>
        </w:rPr>
        <w:t xml:space="preserve"> et al. (2024), combined with the identified theoretical </w:t>
      </w:r>
      <w:r w:rsidRPr="00251A9F">
        <w:rPr>
          <w:rFonts w:ascii="Times New Roman" w:hAnsi="Times New Roman"/>
        </w:rPr>
        <w:lastRenderedPageBreak/>
        <w:t>and geographic gaps, provide strong and well-grounded justification for the present study's contribution.</w:t>
      </w:r>
    </w:p>
    <w:p w14:paraId="525AE1AD" w14:textId="77777777" w:rsidR="00251A9F" w:rsidRPr="00251A9F" w:rsidRDefault="00251A9F" w:rsidP="00251A9F">
      <w:pPr>
        <w:spacing w:line="360" w:lineRule="auto"/>
        <w:rPr>
          <w:rFonts w:ascii="Times New Roman" w:hAnsi="Times New Roman"/>
          <w:b/>
          <w:bCs/>
        </w:rPr>
      </w:pPr>
    </w:p>
    <w:p w14:paraId="03909DEA"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 xml:space="preserve">2.10 </w:t>
      </w:r>
      <w:bookmarkStart w:id="4" w:name="_Hlk238920138"/>
      <w:r w:rsidRPr="00251A9F">
        <w:rPr>
          <w:rFonts w:ascii="Times New Roman" w:hAnsi="Times New Roman"/>
          <w:b/>
          <w:bCs/>
        </w:rPr>
        <w:t>An Integrated Theoretical Framework and Hypothesis Development</w:t>
      </w:r>
      <w:bookmarkEnd w:id="4"/>
    </w:p>
    <w:p w14:paraId="5E06DB58"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All theories mentioned above build on one another to tell a single, connected story about how readiness develops, starting from outside pressure and ending with individual behaviour. The starting point is external: accountants operate under rising pressure from regulators, standard-setters, and professional bodies to engage in sustainability reporting, and institutional theory explains why staying aware of these pressures (regulatory awareness) is the first step to readiness a pressure that is arguably felt differently in Pakistan, where enforcement is weaker and the reporting environment is still largely voluntary. But being aware of what is expected is not enough on own. Human capital theory adds the next piece: technical competence is treated as a form of capital that accountants build up through education, training, and experience, and it is this accumulated skill that allows awareness of external demands to turn into real capability. Whether that capability is actually used, though, depends on how confident accountants feel in it. This is where Bandura's social cognitive theory comes in: perceived confidence, or self-efficacy, is essentially how accountants estimate whether their knowledge and skills are good enough for the job, and </w:t>
      </w:r>
      <w:proofErr w:type="spellStart"/>
      <w:r w:rsidRPr="00251A9F">
        <w:rPr>
          <w:rFonts w:ascii="Times New Roman" w:hAnsi="Times New Roman"/>
        </w:rPr>
        <w:t>Garefalakis</w:t>
      </w:r>
      <w:proofErr w:type="spellEnd"/>
      <w:r w:rsidRPr="00251A9F">
        <w:rPr>
          <w:rFonts w:ascii="Times New Roman" w:hAnsi="Times New Roman"/>
        </w:rPr>
        <w:t xml:space="preserve"> et al. (2026) show that this kind of confidence, when it is genuinely grounded in competence and training, is what really pushes awareness and knowledge into action. Finally, even accountants who are aware, competent, and confident will not necessarily perform at their best unless their organisation support them. Social exchange theory explains this last step: when accountants feel that their organisation genuinely supports sustainability, they respond by putting in more effort, because support is met with effort in return (</w:t>
      </w:r>
      <w:proofErr w:type="spellStart"/>
      <w:r w:rsidRPr="00251A9F">
        <w:rPr>
          <w:rFonts w:ascii="Times New Roman" w:hAnsi="Times New Roman"/>
        </w:rPr>
        <w:t>Cropanzano</w:t>
      </w:r>
      <w:proofErr w:type="spellEnd"/>
      <w:r w:rsidRPr="00251A9F">
        <w:rPr>
          <w:rFonts w:ascii="Times New Roman" w:hAnsi="Times New Roman"/>
        </w:rPr>
        <w:t xml:space="preserve"> and Mitchell, 2005). Sustainability-specific training works in a similar way, functioning as an organisational investment in accountants' human capital, as Friedman (2023) argues, only pays off when the organisation gives employees chance to apply it. Put simply, institutional theory explains why readiness is needed, human capital theory and social cognitive theory explains how individuals build the ability and confidence to respond, and social exchange theory explains the organisational conditions that decide whether that ability is fully used conditions that are especially important to test in a developing-economy setting like Pakistan, where such organisational support cannot simply be assumed. Together, these ideas lead to the following five hypotheses:</w:t>
      </w:r>
    </w:p>
    <w:p w14:paraId="4819A7CB" w14:textId="77777777" w:rsidR="00251A9F" w:rsidRPr="00251A9F" w:rsidRDefault="00251A9F" w:rsidP="00251A9F">
      <w:pPr>
        <w:spacing w:line="360" w:lineRule="auto"/>
        <w:rPr>
          <w:rFonts w:ascii="Times New Roman" w:hAnsi="Times New Roman"/>
        </w:rPr>
      </w:pPr>
    </w:p>
    <w:p w14:paraId="1B46F502" w14:textId="77777777" w:rsidR="00251A9F" w:rsidRPr="00251A9F" w:rsidRDefault="00251A9F" w:rsidP="00251A9F">
      <w:pPr>
        <w:spacing w:line="360" w:lineRule="auto"/>
        <w:rPr>
          <w:rFonts w:ascii="Times New Roman" w:hAnsi="Times New Roman"/>
        </w:rPr>
      </w:pPr>
      <w:r w:rsidRPr="00251A9F">
        <w:rPr>
          <w:rFonts w:ascii="Times New Roman" w:hAnsi="Times New Roman"/>
          <w:b/>
          <w:bCs/>
        </w:rPr>
        <w:lastRenderedPageBreak/>
        <w:t>H1:</w:t>
      </w:r>
      <w:r w:rsidRPr="00251A9F">
        <w:rPr>
          <w:rFonts w:ascii="Times New Roman" w:hAnsi="Times New Roman"/>
        </w:rPr>
        <w:t xml:space="preserve"> Regulatory awareness is positively associated with accountants' overall readiness for sustainability reporting.</w:t>
      </w:r>
    </w:p>
    <w:p w14:paraId="0C32148A" w14:textId="77777777" w:rsidR="00251A9F" w:rsidRPr="00251A9F" w:rsidRDefault="00251A9F" w:rsidP="00251A9F">
      <w:pPr>
        <w:spacing w:line="360" w:lineRule="auto"/>
        <w:rPr>
          <w:rFonts w:ascii="Times New Roman" w:hAnsi="Times New Roman"/>
        </w:rPr>
      </w:pPr>
      <w:r w:rsidRPr="00251A9F">
        <w:rPr>
          <w:rFonts w:ascii="Times New Roman" w:hAnsi="Times New Roman"/>
          <w:b/>
          <w:bCs/>
        </w:rPr>
        <w:t>H2:</w:t>
      </w:r>
      <w:r w:rsidRPr="00251A9F">
        <w:rPr>
          <w:rFonts w:ascii="Times New Roman" w:hAnsi="Times New Roman"/>
        </w:rPr>
        <w:t xml:space="preserve"> Technical competence is positively associated with accountants' overall readiness for sustainability reporting.</w:t>
      </w:r>
    </w:p>
    <w:p w14:paraId="784A9831" w14:textId="77777777" w:rsidR="00251A9F" w:rsidRPr="00251A9F" w:rsidRDefault="00251A9F" w:rsidP="00251A9F">
      <w:pPr>
        <w:spacing w:line="360" w:lineRule="auto"/>
        <w:rPr>
          <w:rFonts w:ascii="Times New Roman" w:hAnsi="Times New Roman"/>
        </w:rPr>
      </w:pPr>
      <w:r w:rsidRPr="00251A9F">
        <w:rPr>
          <w:rFonts w:ascii="Times New Roman" w:hAnsi="Times New Roman"/>
          <w:b/>
          <w:bCs/>
        </w:rPr>
        <w:t>H3:</w:t>
      </w:r>
      <w:r w:rsidRPr="00251A9F">
        <w:rPr>
          <w:rFonts w:ascii="Times New Roman" w:hAnsi="Times New Roman"/>
        </w:rPr>
        <w:t xml:space="preserve"> Perceived confidence (self-efficacy) is positively associated with accountants' overall readiness for sustainability reporting.</w:t>
      </w:r>
    </w:p>
    <w:p w14:paraId="60BD9A7E" w14:textId="77777777" w:rsidR="00251A9F" w:rsidRPr="00251A9F" w:rsidRDefault="00251A9F" w:rsidP="00251A9F">
      <w:pPr>
        <w:spacing w:line="360" w:lineRule="auto"/>
        <w:rPr>
          <w:rFonts w:ascii="Times New Roman" w:hAnsi="Times New Roman"/>
        </w:rPr>
      </w:pPr>
      <w:r w:rsidRPr="00251A9F">
        <w:rPr>
          <w:rFonts w:ascii="Times New Roman" w:hAnsi="Times New Roman"/>
          <w:b/>
          <w:bCs/>
        </w:rPr>
        <w:t>H4:</w:t>
      </w:r>
      <w:r w:rsidRPr="00251A9F">
        <w:rPr>
          <w:rFonts w:ascii="Times New Roman" w:hAnsi="Times New Roman"/>
        </w:rPr>
        <w:t xml:space="preserve"> Organisational support for sustainability positively moderates the relationship between individual-level predictors (regulatory awareness, technical competence, and perceived confidence) and accountants' overall readiness for sustainability reporting, such that the positive effects are stronger when organisational support is higher.</w:t>
      </w:r>
    </w:p>
    <w:p w14:paraId="64DCB601" w14:textId="77777777" w:rsidR="00251A9F" w:rsidRPr="00251A9F" w:rsidRDefault="00251A9F" w:rsidP="00251A9F">
      <w:pPr>
        <w:spacing w:line="360" w:lineRule="auto"/>
        <w:rPr>
          <w:rFonts w:ascii="Times New Roman" w:hAnsi="Times New Roman"/>
        </w:rPr>
      </w:pPr>
      <w:r w:rsidRPr="00251A9F">
        <w:rPr>
          <w:rFonts w:ascii="Times New Roman" w:hAnsi="Times New Roman"/>
          <w:b/>
          <w:bCs/>
        </w:rPr>
        <w:t>H5:</w:t>
      </w:r>
      <w:r w:rsidRPr="00251A9F">
        <w:rPr>
          <w:rFonts w:ascii="Times New Roman" w:hAnsi="Times New Roman"/>
        </w:rPr>
        <w:t xml:space="preserve"> Sustainability-specific training positively moderates the relationship between individual-level predictors (regulatory awareness, technical competence, and perceived confidence) and accountants' overall readiness for sustainability reporting, such that the positive effects are stronger when sustainability-specific training is higher.</w:t>
      </w:r>
    </w:p>
    <w:p w14:paraId="023F233A" w14:textId="77777777" w:rsidR="00251A9F" w:rsidRPr="00251A9F" w:rsidRDefault="00251A9F" w:rsidP="00251A9F">
      <w:pPr>
        <w:spacing w:line="360" w:lineRule="auto"/>
        <w:rPr>
          <w:rFonts w:ascii="Times New Roman" w:hAnsi="Times New Roman"/>
        </w:rPr>
      </w:pPr>
    </w:p>
    <w:p w14:paraId="4B3719E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2.11 Chapter Summary</w:t>
      </w:r>
    </w:p>
    <w:p w14:paraId="1BE95E62"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chapter has presented a comprehensive review of the theoretical and empirical literature underpinning the present study's investigation of accountants' readiness for sustainability reporting in Pakistan. The chapter began with an overview of sustainability reporting as the dependent variable, establishing the growing regulatory and institutional pressure driving the transition from voluntary into mandatory ESG disclosure globally and situating Pakistan within this evolving landscape.</w:t>
      </w:r>
    </w:p>
    <w:p w14:paraId="62D68734"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review then examined five key variables drawn from literature. The literature gap section demonstrated that existing studies have examined these variables largely in isolation, have rarely applied formal moderating frameworks, and have almost entirely overlooked the Pakistani and broader South Asian accounting context. These gaps reinforced by explicit calls for future research from many authors reviewed in this chapter, provide intense justification for the present study's contribution. The chapter constructed five hypotheses forming an integrated conceptual model that guides the empirical investigation presented in Chapter Three.</w:t>
      </w:r>
    </w:p>
    <w:p w14:paraId="5B0DB92B" w14:textId="77777777" w:rsidR="00251A9F" w:rsidRPr="00251A9F" w:rsidRDefault="00251A9F" w:rsidP="00251A9F">
      <w:pPr>
        <w:spacing w:line="360" w:lineRule="auto"/>
        <w:jc w:val="center"/>
        <w:rPr>
          <w:rFonts w:ascii="Times New Roman" w:hAnsi="Times New Roman"/>
          <w:b/>
          <w:bCs/>
        </w:rPr>
      </w:pPr>
      <w:r w:rsidRPr="00251A9F">
        <w:rPr>
          <w:rFonts w:ascii="Times New Roman" w:hAnsi="Times New Roman"/>
          <w:b/>
          <w:bCs/>
        </w:rPr>
        <w:t>CHAPTER 3: RESEARCH METHODOLOGY</w:t>
      </w:r>
    </w:p>
    <w:p w14:paraId="38859A50" w14:textId="77777777" w:rsidR="00251A9F" w:rsidRPr="00251A9F" w:rsidRDefault="00251A9F" w:rsidP="00251A9F">
      <w:pPr>
        <w:spacing w:line="360" w:lineRule="auto"/>
        <w:jc w:val="center"/>
        <w:rPr>
          <w:rFonts w:ascii="Times New Roman" w:hAnsi="Times New Roman"/>
        </w:rPr>
      </w:pPr>
    </w:p>
    <w:p w14:paraId="787DB3EB"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3.1 Introduction</w:t>
      </w:r>
    </w:p>
    <w:p w14:paraId="096C3BCE"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This chapter explains how present study was carried out in practice. Chapter One introduced the research problem, that although accountants are increasingly expected to take sustainability reporting duties, it is not clear whether accountants in Pakistan are actually ready for this responsibility, and Chapter Two reviewed the literature and developed five hypotheses (H1 to H5) around five variables. The purpose of this chapter is to show, how these variables were turned into something that could actually be evaluated, and how the data needed to test the hypotheses were collected and analysed.</w:t>
      </w:r>
    </w:p>
    <w:p w14:paraId="183F0403" w14:textId="77777777" w:rsidR="00251A9F" w:rsidRDefault="00251A9F" w:rsidP="00251A9F">
      <w:pPr>
        <w:spacing w:line="360" w:lineRule="auto"/>
        <w:rPr>
          <w:rFonts w:ascii="Times New Roman" w:hAnsi="Times New Roman"/>
        </w:rPr>
      </w:pPr>
      <w:r w:rsidRPr="00251A9F">
        <w:rPr>
          <w:rFonts w:ascii="Times New Roman" w:hAnsi="Times New Roman"/>
        </w:rPr>
        <w:t>The chapter begins by giving an operational definition for each variable used in the study, meaning a plain description of what was actually measured and how. It then presents the research model that connects the variables together. Following this, the chapter works through the research design, research philosophy, and research approach that directed the study, before explaining exactly how respondents were reached, how many usable responses were obtained, and what unit of analysis this study focuses on. The chapter then explains the research methodology used, including the questionnaire structure and statistical tests that was run in SPSS, and closes with the ethical considerations that were followed throughout, and a short chapter summary.</w:t>
      </w:r>
    </w:p>
    <w:p w14:paraId="00A573BE" w14:textId="77777777" w:rsidR="00251A9F" w:rsidRPr="00251A9F" w:rsidRDefault="00251A9F" w:rsidP="00251A9F">
      <w:pPr>
        <w:spacing w:line="360" w:lineRule="auto"/>
        <w:rPr>
          <w:rFonts w:ascii="Times New Roman" w:hAnsi="Times New Roman"/>
        </w:rPr>
      </w:pPr>
    </w:p>
    <w:p w14:paraId="4489A714"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3.2 Operational Definitions of Each Variable</w:t>
      </w:r>
    </w:p>
    <w:p w14:paraId="6FDB88BF" w14:textId="77777777" w:rsidR="00251A9F" w:rsidRDefault="00251A9F" w:rsidP="00251A9F">
      <w:pPr>
        <w:spacing w:line="360" w:lineRule="auto"/>
        <w:rPr>
          <w:rFonts w:ascii="Times New Roman" w:hAnsi="Times New Roman"/>
        </w:rPr>
      </w:pPr>
      <w:r w:rsidRPr="00251A9F">
        <w:rPr>
          <w:rFonts w:ascii="Times New Roman" w:hAnsi="Times New Roman"/>
        </w:rPr>
        <w:t>An operational definition explains, in concrete and measurable terms, what a variable means for the purposes of a specific study, rather than leaving it as an abstract theoretical idea. Six variables were operationalised for this research, matching the questionnaire sections used to collect the data.</w:t>
      </w:r>
    </w:p>
    <w:p w14:paraId="0B45BD59" w14:textId="77777777" w:rsidR="00251A9F" w:rsidRPr="00251A9F" w:rsidRDefault="00251A9F" w:rsidP="00251A9F">
      <w:pPr>
        <w:spacing w:line="360" w:lineRule="auto"/>
        <w:rPr>
          <w:rFonts w:ascii="Times New Roman" w:hAnsi="Times New Roman"/>
        </w:rPr>
      </w:pPr>
    </w:p>
    <w:p w14:paraId="541A097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3.2.1 Regulatory Awareness (Independent Variable)</w:t>
      </w:r>
    </w:p>
    <w:p w14:paraId="05E9DA4C" w14:textId="77777777" w:rsidR="00251A9F" w:rsidRDefault="00251A9F" w:rsidP="00251A9F">
      <w:pPr>
        <w:spacing w:line="360" w:lineRule="auto"/>
        <w:rPr>
          <w:rFonts w:ascii="Times New Roman" w:hAnsi="Times New Roman"/>
        </w:rPr>
      </w:pPr>
      <w:r w:rsidRPr="00251A9F">
        <w:rPr>
          <w:rFonts w:ascii="Times New Roman" w:hAnsi="Times New Roman"/>
        </w:rPr>
        <w:t>This refers to how familiar an accountant is with the main sustainability reporting frameworks and initiatives presently shaping the profession. It was operationalised through five questionnaire items asking respondents rate, on a five-point scale from 'Not knowledgeable at all' to 'Extremely knowledgeable', their familiarity with the World Economic Forum–Big Four sustainability framework initiative, the IFRS Foundation's International Sustainability Standards Board (ISSB), the Task Force on Climate-Related Financial Disclosures (TCFD), the International Integrated Reporting Council (IIRC) framework, and the Sustainability Accounting Standards Board (SASB) framework (Bakarich et al., 2023).</w:t>
      </w:r>
    </w:p>
    <w:p w14:paraId="2AF698BA" w14:textId="77777777" w:rsidR="00251A9F" w:rsidRPr="00251A9F" w:rsidRDefault="00251A9F" w:rsidP="00251A9F">
      <w:pPr>
        <w:spacing w:line="360" w:lineRule="auto"/>
        <w:rPr>
          <w:rFonts w:ascii="Times New Roman" w:hAnsi="Times New Roman"/>
        </w:rPr>
      </w:pPr>
    </w:p>
    <w:p w14:paraId="776854B2"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lastRenderedPageBreak/>
        <w:t xml:space="preserve">3.2.2 Technical Competence (Independent Variable) </w:t>
      </w:r>
    </w:p>
    <w:p w14:paraId="78862E9E" w14:textId="77777777" w:rsidR="00251A9F" w:rsidRDefault="00251A9F" w:rsidP="00251A9F">
      <w:pPr>
        <w:spacing w:line="360" w:lineRule="auto"/>
        <w:rPr>
          <w:rFonts w:ascii="Times New Roman" w:hAnsi="Times New Roman"/>
        </w:rPr>
      </w:pPr>
      <w:r w:rsidRPr="00251A9F">
        <w:rPr>
          <w:rFonts w:ascii="Times New Roman" w:hAnsi="Times New Roman"/>
        </w:rPr>
        <w:t xml:space="preserve">This refers to an accountant's self-assessed real ability to work with sustainability-related information, rather than simply knowing that such frameworks exist. It was operationalised through five items rated on a </w:t>
      </w:r>
      <w:proofErr w:type="gramStart"/>
      <w:r w:rsidRPr="00251A9F">
        <w:rPr>
          <w:rFonts w:ascii="Times New Roman" w:hAnsi="Times New Roman"/>
        </w:rPr>
        <w:t>five point</w:t>
      </w:r>
      <w:proofErr w:type="gramEnd"/>
      <w:r w:rsidRPr="00251A9F">
        <w:rPr>
          <w:rFonts w:ascii="Times New Roman" w:hAnsi="Times New Roman"/>
        </w:rPr>
        <w:t xml:space="preserve"> agreement scale (Strongly Disagree to Strongly Agree), covering the ability to maintain professional scepticism, use analytical thinking to spot inconsistencies or possible greenwashing, critically assess the credibility of sources, communicate effectively with non-finance colleagues, apply soft skills such as adaptability when engaging with non-financial data (</w:t>
      </w:r>
      <w:proofErr w:type="spellStart"/>
      <w:r w:rsidRPr="00251A9F">
        <w:rPr>
          <w:rFonts w:ascii="Times New Roman" w:hAnsi="Times New Roman"/>
        </w:rPr>
        <w:t>Fota</w:t>
      </w:r>
      <w:proofErr w:type="spellEnd"/>
      <w:r w:rsidRPr="00251A9F">
        <w:rPr>
          <w:rFonts w:ascii="Times New Roman" w:hAnsi="Times New Roman"/>
        </w:rPr>
        <w:t xml:space="preserve"> et al., 2024)</w:t>
      </w:r>
    </w:p>
    <w:p w14:paraId="31B82E6B" w14:textId="77777777" w:rsidR="00251A9F" w:rsidRPr="00251A9F" w:rsidRDefault="00251A9F" w:rsidP="00251A9F">
      <w:pPr>
        <w:spacing w:line="360" w:lineRule="auto"/>
        <w:rPr>
          <w:rFonts w:ascii="Times New Roman" w:hAnsi="Times New Roman"/>
        </w:rPr>
      </w:pPr>
    </w:p>
    <w:p w14:paraId="4EB74A4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 xml:space="preserve">3.2.3 Perceived Confidence / Self-Efficacy (Independent Variable) </w:t>
      </w:r>
    </w:p>
    <w:p w14:paraId="68A94867" w14:textId="77777777" w:rsidR="00251A9F" w:rsidRDefault="00251A9F" w:rsidP="00251A9F">
      <w:pPr>
        <w:spacing w:line="360" w:lineRule="auto"/>
        <w:rPr>
          <w:rFonts w:ascii="Times New Roman" w:hAnsi="Times New Roman"/>
        </w:rPr>
      </w:pPr>
      <w:r w:rsidRPr="00251A9F">
        <w:rPr>
          <w:rFonts w:ascii="Times New Roman" w:hAnsi="Times New Roman"/>
        </w:rPr>
        <w:t>Following Bandura's (1986) idea of self-efficacy as a person's belief in their own ability to carry out a task, this variable was operationalised through four items, asking respondents to rate, on a five-point agreement scale, whether they feel confident, feel comfortable, believe in their own ability, and feel assured when it comes to understanding non-financial and the sustainability-related financial data.</w:t>
      </w:r>
    </w:p>
    <w:p w14:paraId="12E6F9C0" w14:textId="77777777" w:rsidR="00251A9F" w:rsidRPr="00251A9F" w:rsidRDefault="00251A9F" w:rsidP="00251A9F">
      <w:pPr>
        <w:spacing w:line="360" w:lineRule="auto"/>
        <w:rPr>
          <w:rFonts w:ascii="Times New Roman" w:hAnsi="Times New Roman"/>
        </w:rPr>
      </w:pPr>
    </w:p>
    <w:p w14:paraId="414B839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 xml:space="preserve">3.2.4 Overall Readiness (Dependent Variable) </w:t>
      </w:r>
    </w:p>
    <w:p w14:paraId="090502F8" w14:textId="77777777" w:rsidR="00251A9F" w:rsidRDefault="00251A9F" w:rsidP="00251A9F">
      <w:pPr>
        <w:spacing w:line="360" w:lineRule="auto"/>
        <w:rPr>
          <w:rFonts w:ascii="Times New Roman" w:hAnsi="Times New Roman"/>
        </w:rPr>
      </w:pPr>
      <w:r w:rsidRPr="00251A9F">
        <w:rPr>
          <w:rFonts w:ascii="Times New Roman" w:hAnsi="Times New Roman"/>
        </w:rPr>
        <w:t>This is the central outcome variable of the study, capturing an accountant's overall preparedness, in knowledge, skill, and judgement, to take on sustainability reporting duties. It was operationalised through five items rated on a five-point agreement scale, covering the ability to apply sustainability reporting standards such as ISSB, GRI, and ESRS in practice; the technical skill to collect, analyse, and interpret sustainability-related data; the capability to integrate sustainability information to existing financial reporting processes; competence in sustainability reports to formal requirements; and the exercise of professional judgement when measuring and reporting this information (</w:t>
      </w:r>
      <w:proofErr w:type="spellStart"/>
      <w:r w:rsidRPr="00251A9F">
        <w:rPr>
          <w:rFonts w:ascii="Times New Roman" w:hAnsi="Times New Roman"/>
        </w:rPr>
        <w:t>Fota</w:t>
      </w:r>
      <w:proofErr w:type="spellEnd"/>
      <w:r w:rsidRPr="00251A9F">
        <w:rPr>
          <w:rFonts w:ascii="Times New Roman" w:hAnsi="Times New Roman"/>
        </w:rPr>
        <w:t xml:space="preserve"> et al., 2024).</w:t>
      </w:r>
    </w:p>
    <w:p w14:paraId="46C95E8B" w14:textId="77777777" w:rsidR="00251A9F" w:rsidRPr="00251A9F" w:rsidRDefault="00251A9F" w:rsidP="00251A9F">
      <w:pPr>
        <w:spacing w:line="360" w:lineRule="auto"/>
        <w:rPr>
          <w:rFonts w:ascii="Times New Roman" w:hAnsi="Times New Roman"/>
        </w:rPr>
      </w:pPr>
    </w:p>
    <w:p w14:paraId="204F8AE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 xml:space="preserve">3.2.5 Organisational Support for Sustainability (Moderating Variable) </w:t>
      </w:r>
    </w:p>
    <w:p w14:paraId="2690C392" w14:textId="77777777" w:rsidR="00251A9F" w:rsidRDefault="00251A9F" w:rsidP="00251A9F">
      <w:pPr>
        <w:spacing w:line="360" w:lineRule="auto"/>
        <w:rPr>
          <w:rFonts w:ascii="Times New Roman" w:hAnsi="Times New Roman"/>
        </w:rPr>
      </w:pPr>
      <w:r w:rsidRPr="00251A9F">
        <w:rPr>
          <w:rFonts w:ascii="Times New Roman" w:hAnsi="Times New Roman"/>
        </w:rPr>
        <w:t>Grounded in the reciprocity logic of social exchange theory (</w:t>
      </w:r>
      <w:proofErr w:type="spellStart"/>
      <w:r w:rsidRPr="00251A9F">
        <w:rPr>
          <w:rFonts w:ascii="Times New Roman" w:hAnsi="Times New Roman"/>
        </w:rPr>
        <w:t>Cropanzano</w:t>
      </w:r>
      <w:proofErr w:type="spellEnd"/>
      <w:r w:rsidRPr="00251A9F">
        <w:rPr>
          <w:rFonts w:ascii="Times New Roman" w:hAnsi="Times New Roman"/>
        </w:rPr>
        <w:t xml:space="preserve"> and Mitchell, 2005), </w:t>
      </w:r>
      <w:proofErr w:type="gramStart"/>
      <w:r w:rsidRPr="00251A9F">
        <w:rPr>
          <w:rFonts w:ascii="Times New Roman" w:hAnsi="Times New Roman"/>
        </w:rPr>
        <w:t>this variable captures</w:t>
      </w:r>
      <w:proofErr w:type="gramEnd"/>
      <w:r w:rsidRPr="00251A9F">
        <w:rPr>
          <w:rFonts w:ascii="Times New Roman" w:hAnsi="Times New Roman"/>
        </w:rPr>
        <w:t xml:space="preserve"> how much structural and cultural support an accountant perceives from their organisation for sustainability-related work. It was operationalised through six items rated </w:t>
      </w:r>
      <w:proofErr w:type="gramStart"/>
      <w:r w:rsidRPr="00251A9F">
        <w:rPr>
          <w:rFonts w:ascii="Times New Roman" w:hAnsi="Times New Roman"/>
        </w:rPr>
        <w:t>on  five</w:t>
      </w:r>
      <w:proofErr w:type="gramEnd"/>
      <w:r w:rsidRPr="00251A9F">
        <w:rPr>
          <w:rFonts w:ascii="Times New Roman" w:hAnsi="Times New Roman"/>
        </w:rPr>
        <w:t xml:space="preserve">-point agreement scale, covering whether management understands the benefits of sustainability initiatives, whether a named contact or support unit exists for sustainability-related issues, if the accountant's supervisor is supportive and </w:t>
      </w:r>
      <w:r w:rsidRPr="00251A9F">
        <w:rPr>
          <w:rFonts w:ascii="Times New Roman" w:hAnsi="Times New Roman"/>
        </w:rPr>
        <w:lastRenderedPageBreak/>
        <w:t>encouraging, and whether employees are kept informed about relevant tools and developments (</w:t>
      </w:r>
      <w:proofErr w:type="spellStart"/>
      <w:r w:rsidRPr="00251A9F">
        <w:rPr>
          <w:rFonts w:ascii="Times New Roman" w:hAnsi="Times New Roman"/>
        </w:rPr>
        <w:t>Alsyouf</w:t>
      </w:r>
      <w:proofErr w:type="spellEnd"/>
      <w:r w:rsidRPr="00251A9F">
        <w:rPr>
          <w:rFonts w:ascii="Times New Roman" w:hAnsi="Times New Roman"/>
        </w:rPr>
        <w:t xml:space="preserve"> and Ku Ishak, 2018).</w:t>
      </w:r>
    </w:p>
    <w:p w14:paraId="5956DA22" w14:textId="77777777" w:rsidR="00251A9F" w:rsidRPr="00251A9F" w:rsidRDefault="00251A9F" w:rsidP="00251A9F">
      <w:pPr>
        <w:spacing w:line="360" w:lineRule="auto"/>
        <w:rPr>
          <w:rFonts w:ascii="Times New Roman" w:hAnsi="Times New Roman"/>
        </w:rPr>
      </w:pPr>
    </w:p>
    <w:p w14:paraId="1AAB70F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 xml:space="preserve">3.2.6 Sustainability-Specific Training (Moderating Variable) </w:t>
      </w:r>
    </w:p>
    <w:p w14:paraId="3E1A4F2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Drawing on human capital theory (Becker, 1964, as cited in Al </w:t>
      </w:r>
      <w:proofErr w:type="spellStart"/>
      <w:r w:rsidRPr="00251A9F">
        <w:rPr>
          <w:rFonts w:ascii="Times New Roman" w:hAnsi="Times New Roman"/>
        </w:rPr>
        <w:t>Frijat</w:t>
      </w:r>
      <w:proofErr w:type="spellEnd"/>
      <w:r w:rsidRPr="00251A9F">
        <w:rPr>
          <w:rFonts w:ascii="Times New Roman" w:hAnsi="Times New Roman"/>
        </w:rPr>
        <w:t xml:space="preserve"> et al., 2025), </w:t>
      </w:r>
      <w:proofErr w:type="gramStart"/>
      <w:r w:rsidRPr="00251A9F">
        <w:rPr>
          <w:rFonts w:ascii="Times New Roman" w:hAnsi="Times New Roman"/>
        </w:rPr>
        <w:t>this variable captures</w:t>
      </w:r>
      <w:proofErr w:type="gramEnd"/>
      <w:r w:rsidRPr="00251A9F">
        <w:rPr>
          <w:rFonts w:ascii="Times New Roman" w:hAnsi="Times New Roman"/>
        </w:rPr>
        <w:t xml:space="preserve"> whether an accountant has received structured, targeted training in sustainability reporting in the last five years. Unlike other variables, it was operationalised through a single categorical item asking respondents to select the most relevant source of such training from a list: their own organisation, the accounting body belong to, other professional accounting bodies, a recognised sustainability-focused organisation, other online platforms, or none of the above.</w:t>
      </w:r>
    </w:p>
    <w:p w14:paraId="125C9D89" w14:textId="77777777" w:rsidR="00251A9F" w:rsidRDefault="00251A9F" w:rsidP="00251A9F">
      <w:pPr>
        <w:spacing w:line="360" w:lineRule="auto"/>
        <w:rPr>
          <w:rFonts w:ascii="Times New Roman" w:hAnsi="Times New Roman"/>
        </w:rPr>
      </w:pPr>
      <w:r w:rsidRPr="00251A9F">
        <w:rPr>
          <w:rFonts w:ascii="Times New Roman" w:hAnsi="Times New Roman"/>
        </w:rPr>
        <w:t>In addition to these six variables, four demographic items were collected, gender, age band, years employed in accounting, and highest qualification, which are used as grouping variables in the descriptive and comparative analysis presented in the Chapter Four.</w:t>
      </w:r>
    </w:p>
    <w:p w14:paraId="0715218B" w14:textId="77777777" w:rsidR="00251A9F" w:rsidRPr="00251A9F" w:rsidRDefault="00251A9F" w:rsidP="00251A9F">
      <w:pPr>
        <w:spacing w:line="360" w:lineRule="auto"/>
        <w:rPr>
          <w:rFonts w:ascii="Times New Roman" w:hAnsi="Times New Roman"/>
        </w:rPr>
      </w:pPr>
    </w:p>
    <w:p w14:paraId="061453FC"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3.3 Research Model</w:t>
      </w:r>
    </w:p>
    <w:p w14:paraId="54E69B66" w14:textId="77777777" w:rsidR="00251A9F" w:rsidRDefault="00251A9F" w:rsidP="00251A9F">
      <w:pPr>
        <w:spacing w:line="360" w:lineRule="auto"/>
        <w:rPr>
          <w:rFonts w:ascii="Times New Roman" w:hAnsi="Times New Roman"/>
        </w:rPr>
      </w:pPr>
      <w:r w:rsidRPr="00251A9F">
        <w:rPr>
          <w:rFonts w:ascii="Times New Roman" w:hAnsi="Times New Roman"/>
        </w:rPr>
        <w:t>The research model tested in this study follows directly from the hypotheses developed in Chapter Two. Overall readiness for sustainability reporting is positioned as dependent variable. It is predicted by three independent variables, regulatory awareness, technical competence, and perceived confidence (H1, H2, and H3), each expected to have a positive relationship with overall readiness. This relationship is then expected to be strengthened or weakened by two moderating variables, organisational support for sustainability and sustainability-specific training (H4 and H5).</w:t>
      </w:r>
    </w:p>
    <w:p w14:paraId="4811E3E7" w14:textId="77777777" w:rsidR="00761BEE" w:rsidRDefault="00761BEE" w:rsidP="00251A9F">
      <w:pPr>
        <w:spacing w:line="360" w:lineRule="auto"/>
        <w:rPr>
          <w:rFonts w:ascii="Times New Roman" w:hAnsi="Times New Roman"/>
        </w:rPr>
      </w:pPr>
    </w:p>
    <w:p w14:paraId="237C9012" w14:textId="4E1A93DB" w:rsidR="00761BEE" w:rsidRPr="00761BEE" w:rsidRDefault="00761BEE" w:rsidP="00251A9F">
      <w:pPr>
        <w:spacing w:line="360" w:lineRule="auto"/>
        <w:rPr>
          <w:rFonts w:ascii="Times New Roman" w:hAnsi="Times New Roman"/>
          <w:b/>
          <w:bCs/>
        </w:rPr>
      </w:pPr>
      <w:r w:rsidRPr="00761BEE">
        <w:rPr>
          <w:rFonts w:ascii="Times New Roman" w:hAnsi="Times New Roman"/>
          <w:b/>
          <w:bCs/>
        </w:rPr>
        <w:t>Figure 3.1: Research Model</w:t>
      </w:r>
    </w:p>
    <w:p w14:paraId="2DE48261" w14:textId="77777777" w:rsidR="00251A9F" w:rsidRPr="00251A9F" w:rsidRDefault="00251A9F" w:rsidP="00251A9F">
      <w:pPr>
        <w:spacing w:line="360" w:lineRule="auto"/>
        <w:rPr>
          <w:rFonts w:ascii="Times New Roman" w:hAnsi="Times New Roman"/>
        </w:rPr>
      </w:pPr>
      <w:r w:rsidRPr="00251A9F">
        <w:rPr>
          <w:rFonts w:ascii="Times New Roman" w:hAnsi="Times New Roman"/>
          <w:noProof/>
        </w:rPr>
        <w:lastRenderedPageBreak/>
        <w:drawing>
          <wp:inline distT="0" distB="0" distL="0" distR="0" wp14:anchorId="58806099" wp14:editId="26B39871">
            <wp:extent cx="5731510" cy="3718133"/>
            <wp:effectExtent l="0" t="0" r="2540" b="0"/>
            <wp:docPr id="2083984210" name="Picture 1" descr="Student’s own creation, 20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84210" name="Picture 1" descr="Student’s own creation, 2026&#10;"/>
                    <pic:cNvPicPr/>
                  </pic:nvPicPr>
                  <pic:blipFill>
                    <a:blip r:embed="rId10"/>
                    <a:stretch>
                      <a:fillRect/>
                    </a:stretch>
                  </pic:blipFill>
                  <pic:spPr>
                    <a:xfrm>
                      <a:off x="0" y="0"/>
                      <a:ext cx="5731510" cy="3718133"/>
                    </a:xfrm>
                    <a:prstGeom prst="rect">
                      <a:avLst/>
                    </a:prstGeom>
                  </pic:spPr>
                </pic:pic>
              </a:graphicData>
            </a:graphic>
          </wp:inline>
        </w:drawing>
      </w:r>
    </w:p>
    <w:p w14:paraId="326A936A"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 </w:t>
      </w:r>
    </w:p>
    <w:p w14:paraId="3DA60A9F"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3.4 Research Design</w:t>
      </w:r>
    </w:p>
    <w:p w14:paraId="25F249AF" w14:textId="0B60BF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research design </w:t>
      </w:r>
      <w:r w:rsidR="00047D45" w:rsidRPr="00251A9F">
        <w:rPr>
          <w:rFonts w:ascii="Times New Roman" w:hAnsi="Times New Roman"/>
        </w:rPr>
        <w:t>connects</w:t>
      </w:r>
      <w:r w:rsidRPr="00251A9F">
        <w:rPr>
          <w:rFonts w:ascii="Times New Roman" w:hAnsi="Times New Roman"/>
        </w:rPr>
        <w:t xml:space="preserve"> with to the overall plan that connects the research questions to the methods used to collect and analyse data, and ultimately to the conclusions drawn (Badr and Abdelhakim, 2021). This study adopted a quantitative, cross-sectional survey design. A quantitative design </w:t>
      </w:r>
      <w:proofErr w:type="gramStart"/>
      <w:r w:rsidRPr="00251A9F">
        <w:rPr>
          <w:rFonts w:ascii="Times New Roman" w:hAnsi="Times New Roman"/>
        </w:rPr>
        <w:t>were</w:t>
      </w:r>
      <w:proofErr w:type="gramEnd"/>
      <w:r w:rsidRPr="00251A9F">
        <w:rPr>
          <w:rFonts w:ascii="Times New Roman" w:hAnsi="Times New Roman"/>
        </w:rPr>
        <w:t xml:space="preserve"> chosen as the research aim to find out the strength and direction of relationships between the variables that are </w:t>
      </w:r>
      <w:proofErr w:type="spellStart"/>
      <w:r w:rsidRPr="00251A9F">
        <w:rPr>
          <w:rFonts w:ascii="Times New Roman" w:hAnsi="Times New Roman"/>
        </w:rPr>
        <w:t>are</w:t>
      </w:r>
      <w:proofErr w:type="spellEnd"/>
      <w:r w:rsidRPr="00251A9F">
        <w:rPr>
          <w:rFonts w:ascii="Times New Roman" w:hAnsi="Times New Roman"/>
        </w:rPr>
        <w:t xml:space="preserve"> already well defined in the existing literature, regulatory awareness, technical competence, confidence, organisational support, training, and readiness, rather than to explore these ideas from scratch through open-ended discussion.</w:t>
      </w:r>
    </w:p>
    <w:p w14:paraId="5B0182D5"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mirrors the approach taken in the closely related study by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who used a structured questionnaire distributed to Polish accountants and tested pre-formed hypotheses using statistical methods rather qualitative interviews. The present study follows same broad logic, but applies it to a different national context, Pakistan, and to a slightly different, more granular, set of variables.</w:t>
      </w:r>
    </w:p>
    <w:p w14:paraId="6405116C" w14:textId="77777777" w:rsidR="00251A9F" w:rsidRDefault="00251A9F" w:rsidP="00251A9F">
      <w:pPr>
        <w:spacing w:line="360" w:lineRule="auto"/>
        <w:rPr>
          <w:rFonts w:ascii="Times New Roman" w:hAnsi="Times New Roman"/>
        </w:rPr>
      </w:pPr>
      <w:r w:rsidRPr="00251A9F">
        <w:rPr>
          <w:rFonts w:ascii="Times New Roman" w:hAnsi="Times New Roman"/>
        </w:rPr>
        <w:t xml:space="preserve">The design is cross-sectional, meaning data were collected from respondents at a single point in time rather than by following the same accountants over a longer period. A cross-sectional design was considered appropriate here because the aim of the study is to capture a snapshot of current readiness levels and their associations, not to track how readiness changes over </w:t>
      </w:r>
      <w:r w:rsidRPr="00251A9F">
        <w:rPr>
          <w:rFonts w:ascii="Times New Roman" w:hAnsi="Times New Roman"/>
        </w:rPr>
        <w:lastRenderedPageBreak/>
        <w:t>time, which will require a longitudinal design and considerably more time and resources than that were available for this dissertation.</w:t>
      </w:r>
    </w:p>
    <w:p w14:paraId="3727A419" w14:textId="77777777" w:rsidR="00251A9F" w:rsidRPr="00251A9F" w:rsidRDefault="00251A9F" w:rsidP="00251A9F">
      <w:pPr>
        <w:spacing w:line="360" w:lineRule="auto"/>
        <w:rPr>
          <w:rFonts w:ascii="Times New Roman" w:hAnsi="Times New Roman"/>
        </w:rPr>
      </w:pPr>
    </w:p>
    <w:p w14:paraId="317A5997"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3.5 Research Philosophy</w:t>
      </w:r>
    </w:p>
    <w:p w14:paraId="3DCBCB46" w14:textId="77777777" w:rsidR="00251A9F" w:rsidRPr="00251A9F" w:rsidRDefault="00251A9F" w:rsidP="00251A9F">
      <w:pPr>
        <w:spacing w:line="360" w:lineRule="auto"/>
        <w:rPr>
          <w:rFonts w:ascii="Times New Roman" w:hAnsi="Times New Roman"/>
        </w:rPr>
      </w:pPr>
      <w:r w:rsidRPr="00251A9F">
        <w:rPr>
          <w:rFonts w:ascii="Times New Roman" w:hAnsi="Times New Roman"/>
        </w:rPr>
        <w:t>Research philosophy refers to the set of beliefs a researcher holds about the nature of knowledge and reality, and it shapes every later decision in the research process (Saunders, Lewis and Thornhill, 2019). Three broad research philosophies are commonly discussed in business and social science research: positivism, interpretivism, and pragmatism. Positivism treats the subject of study as an objective reality that can be measured independently of the researcher's own beliefs, while interpretivism treats reality as something that is constructed through the researcher's interaction with participants, and pragmatism sits between two, arguing that neither extreme is sufficient on its own (Sahay, 2016).</w:t>
      </w:r>
    </w:p>
    <w:p w14:paraId="4E4218F7"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study adopts a positivist research philosophy. The variables under investigation, regulatory awareness, technical competence, confidence, organisational support, training, and readiness, are treated as measurable characteristics of individual accountants that exist independently of the researcher's personal opinions, and are captured through structured, closed-ended questions rather the open conversation. This choice also fits with the study's reliance on numerical Likert-scale data and statistical hypothesis testing, since positivism is typically associated with the deductive testing of pre-existing theory through quantitative measurement (Knight, Chidlow and </w:t>
      </w:r>
      <w:proofErr w:type="spellStart"/>
      <w:r w:rsidRPr="00251A9F">
        <w:rPr>
          <w:rFonts w:ascii="Times New Roman" w:hAnsi="Times New Roman"/>
        </w:rPr>
        <w:t>Minbaeva</w:t>
      </w:r>
      <w:proofErr w:type="spellEnd"/>
      <w:r w:rsidRPr="00251A9F">
        <w:rPr>
          <w:rFonts w:ascii="Times New Roman" w:hAnsi="Times New Roman"/>
        </w:rPr>
        <w:t>, 2022).</w:t>
      </w:r>
    </w:p>
    <w:p w14:paraId="58C4A215" w14:textId="77777777" w:rsidR="00251A9F" w:rsidRPr="00251A9F" w:rsidRDefault="00251A9F" w:rsidP="00251A9F">
      <w:pPr>
        <w:spacing w:line="360" w:lineRule="auto"/>
        <w:rPr>
          <w:rFonts w:ascii="Times New Roman" w:hAnsi="Times New Roman"/>
        </w:rPr>
      </w:pPr>
      <w:r w:rsidRPr="00251A9F">
        <w:rPr>
          <w:rFonts w:ascii="Times New Roman" w:hAnsi="Times New Roman"/>
        </w:rPr>
        <w:t>Two further components sit underneath research philosophy: ontology and epistemology. Ontology concerns assumptions about nature of reality itself, while epistemology concerns assumptions about what counts as acceptable knowledge (Saunders, Lewis and Thornhill, 2019). Within ontology, a realist position holds that social entities and phenomena exist independently of the people surveying them, while a nominalist position holds that social phenomena are shaped by the perceptions and language of those are involved. Within epistemology, an objectivist position holds that the social world can be studied and measured in the same external, detached way as natural world, while a subjectivist position holds that knowledge is inseparable from the perspectives of those being studied (De Bianchi and Giovannetti, 2023).</w:t>
      </w:r>
    </w:p>
    <w:p w14:paraId="0A8ADE1E" w14:textId="77777777" w:rsidR="00251A9F" w:rsidRDefault="00251A9F" w:rsidP="00251A9F">
      <w:pPr>
        <w:spacing w:line="360" w:lineRule="auto"/>
        <w:rPr>
          <w:rFonts w:ascii="Times New Roman" w:hAnsi="Times New Roman"/>
        </w:rPr>
      </w:pPr>
      <w:r w:rsidRPr="00251A9F">
        <w:rPr>
          <w:rFonts w:ascii="Times New Roman" w:hAnsi="Times New Roman"/>
        </w:rPr>
        <w:t xml:space="preserve">This study adopts a realist ontology and an objectivist epistemology. The constructs being measured, for example an accountant's level of regulatory awareness or their confidence in handling sustainability data are treated as the real characteristics of the individual that exist whether or not the researcher is present to observe them, and the questionnaire is designed to </w:t>
      </w:r>
      <w:r w:rsidRPr="00251A9F">
        <w:rPr>
          <w:rFonts w:ascii="Times New Roman" w:hAnsi="Times New Roman"/>
        </w:rPr>
        <w:lastRenderedPageBreak/>
        <w:t xml:space="preserve">measure these characteristics as accurately consistently as possible, without the researcher's own views influencing what respondents report. This combination of a positivist philosophy, realist ontology, and objectivist epistemology is consistent with the approach taken by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in their similarly structured survey of Polish accountants.</w:t>
      </w:r>
    </w:p>
    <w:p w14:paraId="529F8690" w14:textId="77777777" w:rsidR="00251A9F" w:rsidRPr="00251A9F" w:rsidRDefault="00251A9F" w:rsidP="00251A9F">
      <w:pPr>
        <w:spacing w:line="360" w:lineRule="auto"/>
        <w:rPr>
          <w:rFonts w:ascii="Times New Roman" w:hAnsi="Times New Roman"/>
        </w:rPr>
      </w:pPr>
    </w:p>
    <w:p w14:paraId="0C77DA40"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3.6 Research Approach</w:t>
      </w:r>
    </w:p>
    <w:p w14:paraId="6CFC8950"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Research approach concerns the relationship between theory and </w:t>
      </w:r>
      <w:proofErr w:type="gramStart"/>
      <w:r w:rsidRPr="00251A9F">
        <w:rPr>
          <w:rFonts w:ascii="Times New Roman" w:hAnsi="Times New Roman"/>
        </w:rPr>
        <w:t>research, and</w:t>
      </w:r>
      <w:proofErr w:type="gramEnd"/>
      <w:r w:rsidRPr="00251A9F">
        <w:rPr>
          <w:rFonts w:ascii="Times New Roman" w:hAnsi="Times New Roman"/>
        </w:rPr>
        <w:t xml:space="preserve"> is usually described along a continuum between deductive and inductive reasoning. A deductive approach starts from existing theory, develops specific hypotheses from that theory, and then collects data to test if those hypotheses hold, whereas inductive approach starts from data collection and works towards building new theory from patterns observed in that data (Mohammed, 2024).</w:t>
      </w:r>
    </w:p>
    <w:p w14:paraId="2F2CA784" w14:textId="77777777" w:rsidR="00251A9F" w:rsidRDefault="00251A9F" w:rsidP="00251A9F">
      <w:pPr>
        <w:spacing w:line="360" w:lineRule="auto"/>
        <w:rPr>
          <w:rFonts w:ascii="Times New Roman" w:hAnsi="Times New Roman"/>
        </w:rPr>
      </w:pPr>
      <w:r w:rsidRPr="00251A9F">
        <w:rPr>
          <w:rFonts w:ascii="Times New Roman" w:hAnsi="Times New Roman"/>
        </w:rPr>
        <w:t xml:space="preserve">This study follows a deductive approach. Chapter Two drew on established theories, institutional theory (DiMaggio and Powell, 1983) to explain regulatory awareness, human capital theory (Becker, 1964, as cited in Pyatt, 1966) to explain technical competence and training, social cognitive theory (Bandura, 1986) to explain perceived confidence, and used these build five specific, testable hypotheses (H1 to H5). The purpose of the present study is to test whether these existing theoretical relationships, largely developed and evidenced in other countries, also hold among accountants working in Pakistan, which is a context that has not previously been examined in this literature. A deductive approach is considered the natural fit when the research philosophy is positivist and the constructs being studied are already reasonably well established in prior research, since this allows the research to build on existing, validated measures rather than developing entirely new ones from open-ended exploration (Knight, Chidlow and </w:t>
      </w:r>
      <w:proofErr w:type="spellStart"/>
      <w:r w:rsidRPr="00251A9F">
        <w:rPr>
          <w:rFonts w:ascii="Times New Roman" w:hAnsi="Times New Roman"/>
        </w:rPr>
        <w:t>Minbaeva</w:t>
      </w:r>
      <w:proofErr w:type="spellEnd"/>
      <w:r w:rsidRPr="00251A9F">
        <w:rPr>
          <w:rFonts w:ascii="Times New Roman" w:hAnsi="Times New Roman"/>
        </w:rPr>
        <w:t>, 2022).</w:t>
      </w:r>
    </w:p>
    <w:p w14:paraId="353BB1A1" w14:textId="77777777" w:rsidR="00251A9F" w:rsidRPr="00251A9F" w:rsidRDefault="00251A9F" w:rsidP="00251A9F">
      <w:pPr>
        <w:spacing w:line="360" w:lineRule="auto"/>
        <w:rPr>
          <w:rFonts w:ascii="Times New Roman" w:hAnsi="Times New Roman"/>
        </w:rPr>
      </w:pPr>
    </w:p>
    <w:p w14:paraId="5F234AB1"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3.7 Sampling Technique, Sample Size, and Unit of Analysis</w:t>
      </w:r>
    </w:p>
    <w:p w14:paraId="67F55D09"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unit of analysis for this study is the individual accountant, meaning that each completed questionnaire response </w:t>
      </w:r>
      <w:proofErr w:type="gramStart"/>
      <w:r w:rsidRPr="00251A9F">
        <w:rPr>
          <w:rFonts w:ascii="Times New Roman" w:hAnsi="Times New Roman"/>
        </w:rPr>
        <w:t>represent</w:t>
      </w:r>
      <w:proofErr w:type="gramEnd"/>
      <w:r w:rsidRPr="00251A9F">
        <w:rPr>
          <w:rFonts w:ascii="Times New Roman" w:hAnsi="Times New Roman"/>
        </w:rPr>
        <w:t xml:space="preserve"> views and self-assessment of one professional or trainee accountant, rather than an organisation or a team. The target population is professional and trainee accountants based in Pakistan, aged 22 years or above, matching the eligibility criteria stated in that participant information sheet that accompanied the questionnaire.</w:t>
      </w:r>
    </w:p>
    <w:p w14:paraId="4AFF2252"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 non-probability convenience sampling technique was used, drawing on the researcher's own professional network within the Pakistani accounting profession. As the researcher is </w:t>
      </w:r>
      <w:r w:rsidRPr="00251A9F">
        <w:rPr>
          <w:rFonts w:ascii="Times New Roman" w:hAnsi="Times New Roman"/>
        </w:rPr>
        <w:lastRenderedPageBreak/>
        <w:t>herself an accountant from Pakistan, the questionnaire was shared directly with professional contacts, who were then asked to circulate it further within their own networks, adding a small snowballing element to basic convenience approach. This method was chosen deliberately rather than distributing the survey publicly online, in order to keep some control over who was responding and also to help ensure that respondents genuinely met the eligibility criteria of being practising or trainee accountants.</w:t>
      </w:r>
    </w:p>
    <w:p w14:paraId="38D48DE3"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researcher initially targeted a sample of 80 respondents. Despite repeated follow-up requests sent through the same professional contacts, only 54 valid responses were ultimately obtained. This lower-than-planned response rate were not entirely unexpected in light of the closely related study by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who reported that their own response rate for a similar survey of Polish accountants was far lower than in their previous surveys distributed through the same channels, and who suggested that this reflects a general lack of interest among accountants in a topic, sustainability reporting, that many do not yet see it as directly relevant to their day-to-day work. A related pattern was observed during data collection for the present study: several accountants approached through the researcher's network appeared reluctant to participate, and informal conversations suggested that the word 'sustainability' itself made some respondents uneasy, as though the topic would involve technical knowledge that they assumed they did not have. This hesitancy is arguably an early, informal illustration of the very readiness gap that this study sets out to investigate.</w:t>
      </w:r>
    </w:p>
    <w:p w14:paraId="4D541F19" w14:textId="77777777" w:rsidR="00251A9F" w:rsidRDefault="00251A9F" w:rsidP="00251A9F">
      <w:pPr>
        <w:spacing w:line="360" w:lineRule="auto"/>
        <w:rPr>
          <w:rFonts w:ascii="Times New Roman" w:hAnsi="Times New Roman"/>
        </w:rPr>
      </w:pPr>
      <w:r w:rsidRPr="00251A9F">
        <w:rPr>
          <w:rFonts w:ascii="Times New Roman" w:hAnsi="Times New Roman"/>
        </w:rPr>
        <w:t xml:space="preserve">A further limitation is that because the sample was gathered largely through researcher's own professional connections, a considerable proportion of respondents who were approached were based in Karachi rather than being evenly spread across Pakistan. This geographic concentration </w:t>
      </w:r>
      <w:proofErr w:type="gramStart"/>
      <w:r w:rsidRPr="00251A9F">
        <w:rPr>
          <w:rFonts w:ascii="Times New Roman" w:hAnsi="Times New Roman"/>
        </w:rPr>
        <w:t>mean</w:t>
      </w:r>
      <w:proofErr w:type="gramEnd"/>
      <w:r w:rsidRPr="00251A9F">
        <w:rPr>
          <w:rFonts w:ascii="Times New Roman" w:hAnsi="Times New Roman"/>
        </w:rPr>
        <w:t xml:space="preserve"> the sample cannot be assumed to be nationally representative in a strict statistical sense. However, since the variables under study, regulatory awareness, technical competence, confidence, organisational support, and training, are individual-level professional characteristics rather than characteristics tied to a specific city or region, and given that the Karachi is home to a large and diverse share of Pakistan's corporate and accounting sector, findings may still offer a reasonably indicative picture of readiness levels with accountants more broadly in Pakistan. This limitation, along with the modest sample size of 54, is acknowledged directly here and is revisited when discussing the limitations of the study in the concluding chapters.</w:t>
      </w:r>
    </w:p>
    <w:p w14:paraId="60AAF923" w14:textId="77777777" w:rsidR="00251A9F" w:rsidRPr="00251A9F" w:rsidRDefault="00251A9F" w:rsidP="00251A9F">
      <w:pPr>
        <w:spacing w:line="360" w:lineRule="auto"/>
        <w:rPr>
          <w:rFonts w:ascii="Times New Roman" w:hAnsi="Times New Roman"/>
        </w:rPr>
      </w:pPr>
    </w:p>
    <w:p w14:paraId="2F39CF8F"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 xml:space="preserve">3.8 Research Methodology </w:t>
      </w:r>
    </w:p>
    <w:p w14:paraId="57DC73BE"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Data were collected using a structured, self-administered questionnaire distributed through Google Forms. The questionnaire began with full participant information sheet explaining the purpose of the study, followed by three consent questions confirming that respondents has read and understood the study, consented voluntarily, and understood how their data would be used and stored. Respondents were then asked to provide demographic information (gender, age band, years employed in accounting, and highest qualification), before moving through the five substantive sections of the questionnaire: regulatory awareness (five items), technical competence (five items), perceived confidence (four items), overall readiness (five items), organisational support (six items), and finally the single item on sustainability-specific training.</w:t>
      </w:r>
    </w:p>
    <w:p w14:paraId="3F513536" w14:textId="77777777" w:rsidR="00251A9F" w:rsidRPr="00251A9F" w:rsidRDefault="00251A9F" w:rsidP="00251A9F">
      <w:pPr>
        <w:spacing w:line="360" w:lineRule="auto"/>
        <w:rPr>
          <w:rFonts w:ascii="Times New Roman" w:hAnsi="Times New Roman"/>
        </w:rPr>
      </w:pPr>
      <w:r w:rsidRPr="00251A9F">
        <w:rPr>
          <w:rFonts w:ascii="Times New Roman" w:hAnsi="Times New Roman"/>
        </w:rPr>
        <w:t>All Likert-scale items used either a five-point knowledge scale (for regulatory awareness) or a five-point agreement scale ranging from Strongly Disagree to Strongly Agree (for technical competence, perceived confidence, overall readiness, and organisational support). A five-point scale was used, rather a longer scale, on the basis that shorter Likert scales are generally easier and quicker for respondents to complete accurately, which considered particularly important given that many potential respondents were already reluctant to take part in a survey on an unfamiliar topic (</w:t>
      </w:r>
      <w:proofErr w:type="spellStart"/>
      <w:r w:rsidRPr="00251A9F">
        <w:rPr>
          <w:rFonts w:ascii="Times New Roman" w:hAnsi="Times New Roman"/>
        </w:rPr>
        <w:t>Taherdoost</w:t>
      </w:r>
      <w:proofErr w:type="spellEnd"/>
      <w:r w:rsidRPr="00251A9F">
        <w:rPr>
          <w:rFonts w:ascii="Times New Roman" w:hAnsi="Times New Roman"/>
        </w:rPr>
        <w:t>, 2019).</w:t>
      </w:r>
    </w:p>
    <w:p w14:paraId="297335C1"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Once collected, responses were exported from Google Forms and checked for completeness, with incomplete responses excluding from the final dataset of 54 usable response. Likert-scale responses were numerically coded from 1 to 5, and demographic responses were assigned numerical codes, before the dataset was imported into IBM SPSS for analysis. Accordingly, the internal consistency of each multi-item scale, regulatory awareness, technical competence, perceived confidence, overall readiness, and organisational support, was checked using Cronbach's Alpha, with a value above 0.7 generally taken to indicate that </w:t>
      </w:r>
      <w:proofErr w:type="spellStart"/>
      <w:r w:rsidRPr="00251A9F">
        <w:rPr>
          <w:rFonts w:ascii="Times New Roman" w:hAnsi="Times New Roman"/>
        </w:rPr>
        <w:t>tthehe</w:t>
      </w:r>
      <w:proofErr w:type="spellEnd"/>
      <w:r w:rsidRPr="00251A9F">
        <w:rPr>
          <w:rFonts w:ascii="Times New Roman" w:hAnsi="Times New Roman"/>
        </w:rPr>
        <w:t xml:space="preserve"> items within a scale are measuring the same underlying construct reasonably consistently.</w:t>
      </w:r>
    </w:p>
    <w:p w14:paraId="43E1FE7C" w14:textId="77777777" w:rsidR="00251A9F" w:rsidRPr="00251A9F" w:rsidRDefault="00251A9F" w:rsidP="00251A9F">
      <w:pPr>
        <w:spacing w:line="360" w:lineRule="auto"/>
        <w:rPr>
          <w:rFonts w:ascii="Times New Roman" w:hAnsi="Times New Roman"/>
        </w:rPr>
      </w:pPr>
      <w:r w:rsidRPr="00251A9F">
        <w:rPr>
          <w:rFonts w:ascii="Times New Roman" w:hAnsi="Times New Roman"/>
        </w:rPr>
        <w:t>Descriptive statistics were used first to summarise the demographic profile of respondents and their overall pattern of responses. Because Likert-scale data of this kind is ordinal rather than truly numerical, measures such as the median, mode, and standard deviation were used to summarise responses, rather than relying on the mean alone, which is not always considered the most appropriate summary measure for this type of the data (Mishra et al., 2019).</w:t>
      </w:r>
    </w:p>
    <w:p w14:paraId="4FECBEED"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Given the modest sample size of 54, Shapiro-Wilk test </w:t>
      </w:r>
      <w:proofErr w:type="gramStart"/>
      <w:r w:rsidRPr="00251A9F">
        <w:rPr>
          <w:rFonts w:ascii="Times New Roman" w:hAnsi="Times New Roman"/>
        </w:rPr>
        <w:t>were</w:t>
      </w:r>
      <w:proofErr w:type="gramEnd"/>
      <w:r w:rsidRPr="00251A9F">
        <w:rPr>
          <w:rFonts w:ascii="Times New Roman" w:hAnsi="Times New Roman"/>
        </w:rPr>
        <w:t xml:space="preserve"> applied to find out whether the given data follows a normal distribution, which then guided the choice of statistical tests used </w:t>
      </w:r>
      <w:r w:rsidRPr="00251A9F">
        <w:rPr>
          <w:rFonts w:ascii="Times New Roman" w:hAnsi="Times New Roman"/>
        </w:rPr>
        <w:lastRenderedPageBreak/>
        <w:t>for hypothesis testing. To test the direct relationships proposed in H1, H2, and H3, between regulatory awareness, technical competence, and perceived confidence on the one hand, and overall readiness on the other, Spearman's rank correlation was used to check the strength and direction of each relationship, followed by multiple linear regression to see how much of the variation overall readiness could be explained by these three variables together.</w:t>
      </w:r>
    </w:p>
    <w:p w14:paraId="486568C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To test the moderating effects proposed in H4 and H5, whether organisational support and sustainability-specific training strengthen or weaken the relationships tested in H1 to H3, hierarchical multiple regression were used. In simple terms, this means the three independent variables were entered into the regression model first, then the proposed moderating variable was added, and finally an interaction term (combining the independent variable and the moderator) was added in a last step. If adding this interaction term meaningfully improved how much of the variation in readiness the model could explain, this was taken as </w:t>
      </w:r>
      <w:proofErr w:type="gramStart"/>
      <w:r w:rsidRPr="00251A9F">
        <w:rPr>
          <w:rFonts w:ascii="Times New Roman" w:hAnsi="Times New Roman"/>
        </w:rPr>
        <w:t>a</w:t>
      </w:r>
      <w:proofErr w:type="gramEnd"/>
      <w:r w:rsidRPr="00251A9F">
        <w:rPr>
          <w:rFonts w:ascii="Times New Roman" w:hAnsi="Times New Roman"/>
        </w:rPr>
        <w:t xml:space="preserve"> evidence of a moderating effect. This step-by-step regression approach was chosen over more specialised moderation software because it is easier to follow and then explain for a first research project, while still directly answering the question the hypotheses are asking.</w:t>
      </w:r>
    </w:p>
    <w:p w14:paraId="75729773" w14:textId="77777777" w:rsidR="00251A9F" w:rsidRDefault="00251A9F" w:rsidP="00251A9F">
      <w:pPr>
        <w:spacing w:line="360" w:lineRule="auto"/>
        <w:rPr>
          <w:rFonts w:ascii="Times New Roman" w:hAnsi="Times New Roman"/>
        </w:rPr>
      </w:pPr>
      <w:r w:rsidRPr="00251A9F">
        <w:rPr>
          <w:rFonts w:ascii="Times New Roman" w:hAnsi="Times New Roman"/>
        </w:rPr>
        <w:t xml:space="preserve">Finally, to explore whether readiness (or its component variables) differed across demographic groups, for example between male and female respondents, or across different age bands or years of experience, non-parametric group comparison tests were used: the Mann-Whitney U test for the comparisons between two groups, and the Kruskal-Wallis test for comparisons across three or more groups. These are the same tests used by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in their study of Polish </w:t>
      </w:r>
      <w:proofErr w:type="gramStart"/>
      <w:r w:rsidRPr="00251A9F">
        <w:rPr>
          <w:rFonts w:ascii="Times New Roman" w:hAnsi="Times New Roman"/>
        </w:rPr>
        <w:t>accountants, and</w:t>
      </w:r>
      <w:proofErr w:type="gramEnd"/>
      <w:r w:rsidRPr="00251A9F">
        <w:rPr>
          <w:rFonts w:ascii="Times New Roman" w:hAnsi="Times New Roman"/>
        </w:rPr>
        <w:t xml:space="preserve"> were considered appropriate here given the ordinal nature of the data and the relatively small sample size.</w:t>
      </w:r>
    </w:p>
    <w:p w14:paraId="06EFD6EB" w14:textId="77777777" w:rsidR="00251A9F" w:rsidRPr="00251A9F" w:rsidRDefault="00251A9F" w:rsidP="00251A9F">
      <w:pPr>
        <w:spacing w:line="360" w:lineRule="auto"/>
        <w:rPr>
          <w:rFonts w:ascii="Times New Roman" w:hAnsi="Times New Roman"/>
        </w:rPr>
      </w:pPr>
    </w:p>
    <w:p w14:paraId="48291734"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3.9 Ethical Considerations</w:t>
      </w:r>
    </w:p>
    <w:p w14:paraId="6B6C0C9D"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research was conducted in line with the ethical guidelines of York St John University, and ethical approval was obtained from the York St John Ethics Committee right before any data were collected. A number of ethical safeguards were built directly into the design of the questionnaire and that data collection process.</w:t>
      </w:r>
    </w:p>
    <w:p w14:paraId="2B2CE45D"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Before beginning the survey, respondents were shown a full explanation of the study's purpose, what would be asked of them, and how their information would be used, stored, and retained. They were then required to explicitly confirm, through three separate consent questions, that they had read and understood this information, that they were consenting voluntarily and understood they could withdraw at any time without giving a reason, and that they have understood how their data would be handled. Participation was entirely voluntary </w:t>
      </w:r>
      <w:r w:rsidRPr="00251A9F">
        <w:rPr>
          <w:rFonts w:ascii="Times New Roman" w:hAnsi="Times New Roman"/>
        </w:rPr>
        <w:lastRenderedPageBreak/>
        <w:t>throughout, and respondents could choose not to answer or could leave the survey at any point before submitting their responses, without any negative consequence.</w:t>
      </w:r>
    </w:p>
    <w:p w14:paraId="74418B0A" w14:textId="77777777" w:rsidR="00251A9F" w:rsidRPr="00251A9F" w:rsidRDefault="00251A9F" w:rsidP="00251A9F">
      <w:pPr>
        <w:spacing w:line="360" w:lineRule="auto"/>
        <w:rPr>
          <w:rFonts w:ascii="Times New Roman" w:hAnsi="Times New Roman"/>
        </w:rPr>
      </w:pPr>
      <w:r w:rsidRPr="00251A9F">
        <w:rPr>
          <w:rFonts w:ascii="Times New Roman" w:hAnsi="Times New Roman"/>
        </w:rPr>
        <w:t>All responses were collected anonymously, with no names or other directly identifying information gathered as part of the actual dataset (the separate consent-confirmation name field was kept apart from the research data itself, purely for consent purposes). Access to data was restricted to the researcher and, where necessary, the academic supervisor, and no data were shared with any third party. Data were stored securely on a password-protected devices using university-approved software, in line with the requirements of the UK General Data Protection Regulation and the Data Protection Act 2018, with no paper records kept at any stage.</w:t>
      </w:r>
    </w:p>
    <w:p w14:paraId="117FF4DF" w14:textId="77777777" w:rsidR="00251A9F" w:rsidRDefault="00251A9F" w:rsidP="00251A9F">
      <w:pPr>
        <w:spacing w:line="360" w:lineRule="auto"/>
        <w:rPr>
          <w:rFonts w:ascii="Times New Roman" w:hAnsi="Times New Roman"/>
        </w:rPr>
      </w:pPr>
      <w:r w:rsidRPr="00251A9F">
        <w:rPr>
          <w:rFonts w:ascii="Times New Roman" w:hAnsi="Times New Roman"/>
        </w:rPr>
        <w:t>Given that the questionnaire dealt with professional, non-sensitive topic and did not involve any physical activity, deception or vulnerable groups, no specific risks to participants were identified. Eligibility was restricted to accountants aged 22 or above, consistent with the aim surveying professionally qualified or actively working individuals rather than students. Finally, participants were given contact details for both an independent chair of the research and the University's data protection office, should they wish to raise any concern about the way the research were being conducted.</w:t>
      </w:r>
    </w:p>
    <w:p w14:paraId="44C9A813" w14:textId="77777777" w:rsidR="00251A9F" w:rsidRPr="00251A9F" w:rsidRDefault="00251A9F" w:rsidP="00251A9F">
      <w:pPr>
        <w:spacing w:line="360" w:lineRule="auto"/>
        <w:rPr>
          <w:rFonts w:ascii="Times New Roman" w:hAnsi="Times New Roman"/>
        </w:rPr>
      </w:pPr>
    </w:p>
    <w:p w14:paraId="74E1DAC3"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3.10 Chapter Summary</w:t>
      </w:r>
    </w:p>
    <w:p w14:paraId="17925D2F"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chapter has set out in practical terms, how the study of accountants' readiness for sustainability reporting in Pakistan was carried out. Each of the six 6 core variables, regulatory awareness, technical competence, perceived confidence, organisational support, sustainability-specific training, and overall readiness, was given a clear operational definition matching the questionnaire used to collect the data, and these variables were linked together in a research model reflecting the direct and moderating relationships set out in Hypotheses H1 to H5.</w:t>
      </w:r>
    </w:p>
    <w:p w14:paraId="650D8EBE" w14:textId="77777777" w:rsidR="00251A9F" w:rsidRDefault="00251A9F" w:rsidP="00251A9F">
      <w:pPr>
        <w:spacing w:line="360" w:lineRule="auto"/>
        <w:rPr>
          <w:rFonts w:ascii="Times New Roman" w:hAnsi="Times New Roman"/>
        </w:rPr>
      </w:pPr>
      <w:r w:rsidRPr="00251A9F">
        <w:rPr>
          <w:rFonts w:ascii="Times New Roman" w:hAnsi="Times New Roman"/>
        </w:rPr>
        <w:t xml:space="preserve">A quantitative, cross-sectional survey </w:t>
      </w:r>
      <w:proofErr w:type="gramStart"/>
      <w:r w:rsidRPr="00251A9F">
        <w:rPr>
          <w:rFonts w:ascii="Times New Roman" w:hAnsi="Times New Roman"/>
        </w:rPr>
        <w:t>design  was</w:t>
      </w:r>
      <w:proofErr w:type="gramEnd"/>
      <w:r w:rsidRPr="00251A9F">
        <w:rPr>
          <w:rFonts w:ascii="Times New Roman" w:hAnsi="Times New Roman"/>
        </w:rPr>
        <w:t xml:space="preserve"> adopted, underpinned by a positivist research philosophy, a realist ontology, and an objectivist epistemology, and following deductive research approach consistent with the theory-driven hypotheses developed in Chapter Two. A non-probability convenience sample of Pakistani accountants were recruited through the researcher's professional network, yielding 54 usable responses from an initial target of 80, a shortfall that was discussed openly alongside a comparable experience reported in the related study by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The chapter also explained the structure of the questionnaire and the statistical techniques used in SPSS, including </w:t>
      </w:r>
      <w:r w:rsidRPr="00251A9F">
        <w:rPr>
          <w:rFonts w:ascii="Times New Roman" w:hAnsi="Times New Roman"/>
        </w:rPr>
        <w:lastRenderedPageBreak/>
        <w:t>reliability testing, descriptive statistics, Spearman's correlation, multiple and hierarchical regression, and non-parametric group comparison tests, and confirmed that research was conducted in line with the ethical approval granted by the York St John Ethics Committee. The next chapter presents the findings of this analysis.</w:t>
      </w:r>
    </w:p>
    <w:p w14:paraId="7F49E0D5" w14:textId="77777777" w:rsidR="00251A9F" w:rsidRPr="00251A9F" w:rsidRDefault="00251A9F" w:rsidP="00251A9F">
      <w:pPr>
        <w:spacing w:line="360" w:lineRule="auto"/>
        <w:rPr>
          <w:rFonts w:ascii="Times New Roman" w:hAnsi="Times New Roman"/>
        </w:rPr>
      </w:pPr>
    </w:p>
    <w:p w14:paraId="5429F17A" w14:textId="77777777" w:rsidR="00251A9F" w:rsidRPr="00251A9F" w:rsidRDefault="00251A9F" w:rsidP="00251A9F">
      <w:pPr>
        <w:spacing w:line="360" w:lineRule="auto"/>
        <w:jc w:val="center"/>
        <w:rPr>
          <w:rFonts w:ascii="Times New Roman" w:hAnsi="Times New Roman"/>
          <w:b/>
          <w:bCs/>
        </w:rPr>
      </w:pPr>
      <w:r w:rsidRPr="00251A9F">
        <w:rPr>
          <w:rFonts w:ascii="Times New Roman" w:hAnsi="Times New Roman"/>
          <w:b/>
          <w:bCs/>
        </w:rPr>
        <w:t>CHAPTER 4: RESULTS</w:t>
      </w:r>
    </w:p>
    <w:p w14:paraId="6821C915"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4.1 Introduction</w:t>
      </w:r>
    </w:p>
    <w:p w14:paraId="732C1CD1" w14:textId="77777777" w:rsidR="00251A9F" w:rsidRPr="00251A9F" w:rsidRDefault="00251A9F" w:rsidP="00251A9F">
      <w:pPr>
        <w:spacing w:line="360" w:lineRule="auto"/>
        <w:rPr>
          <w:rFonts w:ascii="Times New Roman" w:hAnsi="Times New Roman"/>
        </w:rPr>
      </w:pPr>
      <w:r w:rsidRPr="00251A9F">
        <w:rPr>
          <w:rFonts w:ascii="Times New Roman" w:hAnsi="Times New Roman"/>
        </w:rPr>
        <w:t>This chapter shows the results of the statistical analysis carried out on the 54 usable questionnaire responses described in Chapter Three. The chapter follows the same series of tests set out in the research methodology. It begins with the reliability of each multi-item scale, before presenting the demographic profile of respondent and descriptive statistics for the six study variables. The results of the Shapiro-Wilk normality test are then reported, followed by Spearman's rank correlation and multiple regression analysis addressing Hypotheses One to Three (H1-H3), hierarchical regression analysis addressing the two moderation hypotheses (H4 and H5), and non-parametric group comparisons across demographic characteristics. The chapter closes with a summary table of all five hypotheses and a short chapter summary. Explanation of these results in relation to the wider literature is left to the Chapter Five, the purpose of this chapter is to represent what the data show.</w:t>
      </w:r>
    </w:p>
    <w:p w14:paraId="7E5A773B" w14:textId="77777777" w:rsidR="00251A9F" w:rsidRPr="00251A9F" w:rsidRDefault="00251A9F" w:rsidP="00251A9F">
      <w:pPr>
        <w:spacing w:line="360" w:lineRule="auto"/>
        <w:rPr>
          <w:rFonts w:ascii="Times New Roman" w:hAnsi="Times New Roman"/>
        </w:rPr>
      </w:pPr>
    </w:p>
    <w:p w14:paraId="6F9D15A1"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4.2 Reliability of the Measurement Scales</w:t>
      </w:r>
    </w:p>
    <w:p w14:paraId="7853C3C9" w14:textId="77777777" w:rsidR="00251A9F" w:rsidRPr="00251A9F" w:rsidRDefault="00251A9F" w:rsidP="00251A9F">
      <w:pPr>
        <w:spacing w:line="360" w:lineRule="auto"/>
        <w:rPr>
          <w:rFonts w:ascii="Times New Roman" w:hAnsi="Times New Roman"/>
        </w:rPr>
      </w:pPr>
      <w:r w:rsidRPr="00251A9F">
        <w:rPr>
          <w:rFonts w:ascii="Times New Roman" w:hAnsi="Times New Roman"/>
        </w:rPr>
        <w:t>Cronbach's Alpha was calculated for each of five multi-item scales to check that the items within each scale were measuring the same underlying construct consistently. As shown in Table 4.1, all five scales returned alpha values well above the 0.7 threshold set out in Chapter Three, ranging from 0.887 for Technical Competence to 0.947 for Overall Readiness. This indicates a high degree of internal consistency across all scales used in the study, and no items were needed to be removed from any scale.</w:t>
      </w:r>
    </w:p>
    <w:p w14:paraId="408AF16D" w14:textId="77777777" w:rsidR="00251A9F" w:rsidRPr="00251A9F" w:rsidRDefault="00251A9F" w:rsidP="00251A9F">
      <w:pPr>
        <w:spacing w:line="360" w:lineRule="auto"/>
        <w:rPr>
          <w:rFonts w:ascii="Times New Roman" w:hAnsi="Times New Roman"/>
        </w:rPr>
      </w:pPr>
    </w:p>
    <w:p w14:paraId="2D5CC2BB"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4.1: Reliability Statistics (Cronbach’s Alpha)</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00"/>
        <w:gridCol w:w="2500"/>
        <w:gridCol w:w="2860"/>
      </w:tblGrid>
      <w:tr w:rsidR="00251A9F" w:rsidRPr="00251A9F" w14:paraId="6BA1E121" w14:textId="77777777" w:rsidTr="002772BD">
        <w:tc>
          <w:tcPr>
            <w:tcW w:w="4000" w:type="dxa"/>
            <w:shd w:val="clear" w:color="auto" w:fill="D9D9D9"/>
            <w:vAlign w:val="center"/>
          </w:tcPr>
          <w:p w14:paraId="5AA75B7F"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Scale</w:t>
            </w:r>
          </w:p>
        </w:tc>
        <w:tc>
          <w:tcPr>
            <w:tcW w:w="2500" w:type="dxa"/>
            <w:shd w:val="clear" w:color="auto" w:fill="D9D9D9"/>
            <w:vAlign w:val="center"/>
          </w:tcPr>
          <w:p w14:paraId="616DEFA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Number of items</w:t>
            </w:r>
          </w:p>
        </w:tc>
        <w:tc>
          <w:tcPr>
            <w:tcW w:w="2860" w:type="dxa"/>
            <w:shd w:val="clear" w:color="auto" w:fill="D9D9D9"/>
            <w:vAlign w:val="center"/>
          </w:tcPr>
          <w:p w14:paraId="518EBAD2"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Cronbach’s Alpha</w:t>
            </w:r>
          </w:p>
        </w:tc>
      </w:tr>
      <w:tr w:rsidR="00251A9F" w:rsidRPr="00251A9F" w14:paraId="225401D0" w14:textId="77777777" w:rsidTr="002772BD">
        <w:tc>
          <w:tcPr>
            <w:tcW w:w="4000" w:type="dxa"/>
            <w:vAlign w:val="center"/>
          </w:tcPr>
          <w:p w14:paraId="3C469CD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Regulatory Awareness (RA)</w:t>
            </w:r>
          </w:p>
        </w:tc>
        <w:tc>
          <w:tcPr>
            <w:tcW w:w="2500" w:type="dxa"/>
            <w:vAlign w:val="center"/>
          </w:tcPr>
          <w:p w14:paraId="7BFB7C4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w:t>
            </w:r>
          </w:p>
        </w:tc>
        <w:tc>
          <w:tcPr>
            <w:tcW w:w="2860" w:type="dxa"/>
            <w:vAlign w:val="center"/>
          </w:tcPr>
          <w:p w14:paraId="79DCAFD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0.933</w:t>
            </w:r>
          </w:p>
        </w:tc>
      </w:tr>
      <w:tr w:rsidR="00251A9F" w:rsidRPr="00251A9F" w14:paraId="3E03AC84" w14:textId="77777777" w:rsidTr="002772BD">
        <w:tc>
          <w:tcPr>
            <w:tcW w:w="4000" w:type="dxa"/>
            <w:vAlign w:val="center"/>
          </w:tcPr>
          <w:p w14:paraId="0BD64F8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Technical Competence (TC)</w:t>
            </w:r>
          </w:p>
        </w:tc>
        <w:tc>
          <w:tcPr>
            <w:tcW w:w="2500" w:type="dxa"/>
            <w:vAlign w:val="center"/>
          </w:tcPr>
          <w:p w14:paraId="37B57BA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w:t>
            </w:r>
          </w:p>
        </w:tc>
        <w:tc>
          <w:tcPr>
            <w:tcW w:w="2860" w:type="dxa"/>
            <w:vAlign w:val="center"/>
          </w:tcPr>
          <w:p w14:paraId="48569E4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0.887</w:t>
            </w:r>
          </w:p>
        </w:tc>
      </w:tr>
      <w:tr w:rsidR="00251A9F" w:rsidRPr="00251A9F" w14:paraId="49F5D03C" w14:textId="77777777" w:rsidTr="002772BD">
        <w:tc>
          <w:tcPr>
            <w:tcW w:w="4000" w:type="dxa"/>
            <w:vAlign w:val="center"/>
          </w:tcPr>
          <w:p w14:paraId="2DFE14C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Perceived Confidence (PC)</w:t>
            </w:r>
          </w:p>
        </w:tc>
        <w:tc>
          <w:tcPr>
            <w:tcW w:w="2500" w:type="dxa"/>
            <w:vAlign w:val="center"/>
          </w:tcPr>
          <w:p w14:paraId="0770D5F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w:t>
            </w:r>
          </w:p>
        </w:tc>
        <w:tc>
          <w:tcPr>
            <w:tcW w:w="2860" w:type="dxa"/>
            <w:vAlign w:val="center"/>
          </w:tcPr>
          <w:p w14:paraId="0ECC2D6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0.935</w:t>
            </w:r>
          </w:p>
        </w:tc>
      </w:tr>
      <w:tr w:rsidR="00251A9F" w:rsidRPr="00251A9F" w14:paraId="4426F507" w14:textId="77777777" w:rsidTr="002772BD">
        <w:tc>
          <w:tcPr>
            <w:tcW w:w="4000" w:type="dxa"/>
            <w:vAlign w:val="center"/>
          </w:tcPr>
          <w:p w14:paraId="76425A2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lastRenderedPageBreak/>
              <w:t>Overall Readiness (OR)</w:t>
            </w:r>
          </w:p>
        </w:tc>
        <w:tc>
          <w:tcPr>
            <w:tcW w:w="2500" w:type="dxa"/>
            <w:vAlign w:val="center"/>
          </w:tcPr>
          <w:p w14:paraId="6A89412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w:t>
            </w:r>
          </w:p>
        </w:tc>
        <w:tc>
          <w:tcPr>
            <w:tcW w:w="2860" w:type="dxa"/>
            <w:vAlign w:val="center"/>
          </w:tcPr>
          <w:p w14:paraId="2E95CEB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0.947</w:t>
            </w:r>
          </w:p>
        </w:tc>
      </w:tr>
      <w:tr w:rsidR="00251A9F" w:rsidRPr="00251A9F" w14:paraId="41A4EA6E" w14:textId="77777777" w:rsidTr="002772BD">
        <w:tc>
          <w:tcPr>
            <w:tcW w:w="4000" w:type="dxa"/>
            <w:vAlign w:val="center"/>
          </w:tcPr>
          <w:p w14:paraId="2592E52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Organisational Support (OS)</w:t>
            </w:r>
          </w:p>
        </w:tc>
        <w:tc>
          <w:tcPr>
            <w:tcW w:w="2500" w:type="dxa"/>
            <w:vAlign w:val="center"/>
          </w:tcPr>
          <w:p w14:paraId="0F6D302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6</w:t>
            </w:r>
          </w:p>
        </w:tc>
        <w:tc>
          <w:tcPr>
            <w:tcW w:w="2860" w:type="dxa"/>
            <w:vAlign w:val="center"/>
          </w:tcPr>
          <w:p w14:paraId="6ADD2A1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0.904</w:t>
            </w:r>
          </w:p>
        </w:tc>
      </w:tr>
    </w:tbl>
    <w:p w14:paraId="6EC266C8" w14:textId="77777777" w:rsidR="00251A9F" w:rsidRPr="00251A9F" w:rsidRDefault="00251A9F" w:rsidP="00251A9F">
      <w:pPr>
        <w:spacing w:line="360" w:lineRule="auto"/>
        <w:rPr>
          <w:rFonts w:ascii="Times New Roman" w:hAnsi="Times New Roman"/>
        </w:rPr>
      </w:pPr>
    </w:p>
    <w:p w14:paraId="32EE0B48" w14:textId="77777777" w:rsidR="00251A9F" w:rsidRPr="00251A9F" w:rsidRDefault="00251A9F" w:rsidP="00251A9F">
      <w:pPr>
        <w:spacing w:line="360" w:lineRule="auto"/>
        <w:rPr>
          <w:rFonts w:ascii="Times New Roman" w:hAnsi="Times New Roman"/>
        </w:rPr>
      </w:pPr>
    </w:p>
    <w:p w14:paraId="7133901C"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4.3 Demographic Profile of Respondents</w:t>
      </w:r>
    </w:p>
    <w:p w14:paraId="622C82E6"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4.2 summarises the demographic characteristics of the 54 respondents. The sample was predominantly male (83.3%), with females comprising 14.8% and one respondent (1.9%) preferring not to disclose gender. Respondents were concentrated in the 30 to 44 age band (46.3%), followed by 45 to 60 (31.5%), 22 to 29 (14.8%), and over 60 (7.4%). In terms of professional experience, the largest group has between 5 and 10 years of employment in accounting (27.8%), while the remaining respondents were fairly evenly spread across the other experience bands. The large majority of respondents (75.9%) held a professional accounting qualification such as ACCA, ACA, CIMA, CPA or CFA, with smaller proportions holding a Master's degree (16.7%), a part-qualified professional status (5.6%), or an undergraduate degree only (1.9%).</w:t>
      </w:r>
    </w:p>
    <w:p w14:paraId="60A68DCA" w14:textId="77777777" w:rsidR="00251A9F" w:rsidRPr="00251A9F" w:rsidRDefault="00251A9F" w:rsidP="00251A9F">
      <w:pPr>
        <w:spacing w:line="360" w:lineRule="auto"/>
        <w:rPr>
          <w:rFonts w:ascii="Times New Roman" w:hAnsi="Times New Roman"/>
        </w:rPr>
      </w:pPr>
    </w:p>
    <w:p w14:paraId="709A6F3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4.2: Demographic Profile of Respondents (n=54)</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0"/>
        <w:gridCol w:w="4160"/>
        <w:gridCol w:w="1200"/>
        <w:gridCol w:w="1800"/>
      </w:tblGrid>
      <w:tr w:rsidR="00251A9F" w:rsidRPr="00251A9F" w14:paraId="28FC7426" w14:textId="77777777" w:rsidTr="002772BD">
        <w:tc>
          <w:tcPr>
            <w:tcW w:w="2200" w:type="dxa"/>
            <w:shd w:val="clear" w:color="auto" w:fill="D9D9D9"/>
            <w:vAlign w:val="center"/>
          </w:tcPr>
          <w:p w14:paraId="6FA9CCAC"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Characteristic</w:t>
            </w:r>
          </w:p>
        </w:tc>
        <w:tc>
          <w:tcPr>
            <w:tcW w:w="4160" w:type="dxa"/>
            <w:shd w:val="clear" w:color="auto" w:fill="D9D9D9"/>
            <w:vAlign w:val="center"/>
          </w:tcPr>
          <w:p w14:paraId="601DE322"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Category</w:t>
            </w:r>
          </w:p>
        </w:tc>
        <w:tc>
          <w:tcPr>
            <w:tcW w:w="1200" w:type="dxa"/>
            <w:shd w:val="clear" w:color="auto" w:fill="D9D9D9"/>
            <w:vAlign w:val="center"/>
          </w:tcPr>
          <w:p w14:paraId="759F8AE8"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n</w:t>
            </w:r>
          </w:p>
        </w:tc>
        <w:tc>
          <w:tcPr>
            <w:tcW w:w="1800" w:type="dxa"/>
            <w:shd w:val="clear" w:color="auto" w:fill="D9D9D9"/>
            <w:vAlign w:val="center"/>
          </w:tcPr>
          <w:p w14:paraId="04A0D448"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w:t>
            </w:r>
          </w:p>
        </w:tc>
      </w:tr>
      <w:tr w:rsidR="00251A9F" w:rsidRPr="00251A9F" w14:paraId="02CE4EB7" w14:textId="77777777" w:rsidTr="002772BD">
        <w:tc>
          <w:tcPr>
            <w:tcW w:w="2200" w:type="dxa"/>
            <w:vAlign w:val="center"/>
          </w:tcPr>
          <w:p w14:paraId="78008CC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Gender</w:t>
            </w:r>
          </w:p>
        </w:tc>
        <w:tc>
          <w:tcPr>
            <w:tcW w:w="4160" w:type="dxa"/>
            <w:vAlign w:val="center"/>
          </w:tcPr>
          <w:p w14:paraId="48267AC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Male</w:t>
            </w:r>
          </w:p>
        </w:tc>
        <w:tc>
          <w:tcPr>
            <w:tcW w:w="1200" w:type="dxa"/>
            <w:vAlign w:val="center"/>
          </w:tcPr>
          <w:p w14:paraId="073FEF5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45</w:t>
            </w:r>
          </w:p>
        </w:tc>
        <w:tc>
          <w:tcPr>
            <w:tcW w:w="1800" w:type="dxa"/>
            <w:vAlign w:val="center"/>
          </w:tcPr>
          <w:p w14:paraId="3ACDC36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83.3</w:t>
            </w:r>
          </w:p>
        </w:tc>
      </w:tr>
      <w:tr w:rsidR="00251A9F" w:rsidRPr="00251A9F" w14:paraId="1AD75089" w14:textId="77777777" w:rsidTr="002772BD">
        <w:tc>
          <w:tcPr>
            <w:tcW w:w="2200" w:type="dxa"/>
            <w:vAlign w:val="center"/>
          </w:tcPr>
          <w:p w14:paraId="3FAE8577"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25430EE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Female</w:t>
            </w:r>
          </w:p>
        </w:tc>
        <w:tc>
          <w:tcPr>
            <w:tcW w:w="1200" w:type="dxa"/>
            <w:vAlign w:val="center"/>
          </w:tcPr>
          <w:p w14:paraId="189FC19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8</w:t>
            </w:r>
          </w:p>
        </w:tc>
        <w:tc>
          <w:tcPr>
            <w:tcW w:w="1800" w:type="dxa"/>
            <w:vAlign w:val="center"/>
          </w:tcPr>
          <w:p w14:paraId="43D343A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14.8</w:t>
            </w:r>
          </w:p>
        </w:tc>
      </w:tr>
      <w:tr w:rsidR="00251A9F" w:rsidRPr="00251A9F" w14:paraId="75251B1B" w14:textId="77777777" w:rsidTr="002772BD">
        <w:tc>
          <w:tcPr>
            <w:tcW w:w="2200" w:type="dxa"/>
            <w:vAlign w:val="center"/>
          </w:tcPr>
          <w:p w14:paraId="51395CB4"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20A6436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Prefer not to say</w:t>
            </w:r>
          </w:p>
        </w:tc>
        <w:tc>
          <w:tcPr>
            <w:tcW w:w="1200" w:type="dxa"/>
            <w:vAlign w:val="center"/>
          </w:tcPr>
          <w:p w14:paraId="257584D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w:t>
            </w:r>
          </w:p>
        </w:tc>
        <w:tc>
          <w:tcPr>
            <w:tcW w:w="1800" w:type="dxa"/>
            <w:vAlign w:val="center"/>
          </w:tcPr>
          <w:p w14:paraId="2876EB1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1.9</w:t>
            </w:r>
          </w:p>
        </w:tc>
      </w:tr>
      <w:tr w:rsidR="00251A9F" w:rsidRPr="00251A9F" w14:paraId="3419A527" w14:textId="77777777" w:rsidTr="002772BD">
        <w:tc>
          <w:tcPr>
            <w:tcW w:w="2200" w:type="dxa"/>
            <w:vAlign w:val="center"/>
          </w:tcPr>
          <w:p w14:paraId="2B8DC78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Age</w:t>
            </w:r>
          </w:p>
        </w:tc>
        <w:tc>
          <w:tcPr>
            <w:tcW w:w="4160" w:type="dxa"/>
            <w:vAlign w:val="center"/>
          </w:tcPr>
          <w:p w14:paraId="792C757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22 to 29</w:t>
            </w:r>
          </w:p>
        </w:tc>
        <w:tc>
          <w:tcPr>
            <w:tcW w:w="1200" w:type="dxa"/>
            <w:vAlign w:val="center"/>
          </w:tcPr>
          <w:p w14:paraId="39A30D8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8</w:t>
            </w:r>
          </w:p>
        </w:tc>
        <w:tc>
          <w:tcPr>
            <w:tcW w:w="1800" w:type="dxa"/>
            <w:vAlign w:val="center"/>
          </w:tcPr>
          <w:p w14:paraId="3F4ACFF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14.8</w:t>
            </w:r>
          </w:p>
        </w:tc>
      </w:tr>
      <w:tr w:rsidR="00251A9F" w:rsidRPr="00251A9F" w14:paraId="2617C7CB" w14:textId="77777777" w:rsidTr="002772BD">
        <w:tc>
          <w:tcPr>
            <w:tcW w:w="2200" w:type="dxa"/>
            <w:vAlign w:val="center"/>
          </w:tcPr>
          <w:p w14:paraId="56E1A242"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291A96B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30 to 44</w:t>
            </w:r>
          </w:p>
        </w:tc>
        <w:tc>
          <w:tcPr>
            <w:tcW w:w="1200" w:type="dxa"/>
            <w:vAlign w:val="center"/>
          </w:tcPr>
          <w:p w14:paraId="7C13E08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25</w:t>
            </w:r>
          </w:p>
        </w:tc>
        <w:tc>
          <w:tcPr>
            <w:tcW w:w="1800" w:type="dxa"/>
            <w:vAlign w:val="center"/>
          </w:tcPr>
          <w:p w14:paraId="2199D89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46.3</w:t>
            </w:r>
          </w:p>
        </w:tc>
      </w:tr>
      <w:tr w:rsidR="00251A9F" w:rsidRPr="00251A9F" w14:paraId="60270F9A" w14:textId="77777777" w:rsidTr="002772BD">
        <w:tc>
          <w:tcPr>
            <w:tcW w:w="2200" w:type="dxa"/>
            <w:vAlign w:val="center"/>
          </w:tcPr>
          <w:p w14:paraId="79587888"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5214E5A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45 to 60</w:t>
            </w:r>
          </w:p>
        </w:tc>
        <w:tc>
          <w:tcPr>
            <w:tcW w:w="1200" w:type="dxa"/>
            <w:vAlign w:val="center"/>
          </w:tcPr>
          <w:p w14:paraId="06BC09D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17</w:t>
            </w:r>
          </w:p>
        </w:tc>
        <w:tc>
          <w:tcPr>
            <w:tcW w:w="1800" w:type="dxa"/>
            <w:vAlign w:val="center"/>
          </w:tcPr>
          <w:p w14:paraId="76D18D4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31.5</w:t>
            </w:r>
          </w:p>
        </w:tc>
      </w:tr>
      <w:tr w:rsidR="00251A9F" w:rsidRPr="00251A9F" w14:paraId="6C3D1D9A" w14:textId="77777777" w:rsidTr="002772BD">
        <w:tc>
          <w:tcPr>
            <w:tcW w:w="2200" w:type="dxa"/>
            <w:vAlign w:val="center"/>
          </w:tcPr>
          <w:p w14:paraId="558E632E"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527FCC8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Over 60</w:t>
            </w:r>
          </w:p>
        </w:tc>
        <w:tc>
          <w:tcPr>
            <w:tcW w:w="1200" w:type="dxa"/>
            <w:vAlign w:val="center"/>
          </w:tcPr>
          <w:p w14:paraId="0BD72C3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w:t>
            </w:r>
          </w:p>
        </w:tc>
        <w:tc>
          <w:tcPr>
            <w:tcW w:w="1800" w:type="dxa"/>
            <w:vAlign w:val="center"/>
          </w:tcPr>
          <w:p w14:paraId="58C72E0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7.4</w:t>
            </w:r>
          </w:p>
        </w:tc>
      </w:tr>
      <w:tr w:rsidR="00251A9F" w:rsidRPr="00251A9F" w14:paraId="6ED68854" w14:textId="77777777" w:rsidTr="002772BD">
        <w:tc>
          <w:tcPr>
            <w:tcW w:w="2200" w:type="dxa"/>
            <w:vAlign w:val="center"/>
          </w:tcPr>
          <w:p w14:paraId="7FA5881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Years employed</w:t>
            </w:r>
          </w:p>
        </w:tc>
        <w:tc>
          <w:tcPr>
            <w:tcW w:w="4160" w:type="dxa"/>
            <w:vAlign w:val="center"/>
          </w:tcPr>
          <w:p w14:paraId="0C62D0F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Less than 5 years</w:t>
            </w:r>
          </w:p>
        </w:tc>
        <w:tc>
          <w:tcPr>
            <w:tcW w:w="1200" w:type="dxa"/>
            <w:vAlign w:val="center"/>
          </w:tcPr>
          <w:p w14:paraId="45F7824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7</w:t>
            </w:r>
          </w:p>
        </w:tc>
        <w:tc>
          <w:tcPr>
            <w:tcW w:w="1800" w:type="dxa"/>
            <w:vAlign w:val="center"/>
          </w:tcPr>
          <w:p w14:paraId="434CA80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13.0</w:t>
            </w:r>
          </w:p>
        </w:tc>
      </w:tr>
      <w:tr w:rsidR="00251A9F" w:rsidRPr="00251A9F" w14:paraId="09F2A73D" w14:textId="77777777" w:rsidTr="002772BD">
        <w:tc>
          <w:tcPr>
            <w:tcW w:w="2200" w:type="dxa"/>
            <w:vAlign w:val="center"/>
          </w:tcPr>
          <w:p w14:paraId="3738E76B"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1D12B2B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 to 10 years</w:t>
            </w:r>
          </w:p>
        </w:tc>
        <w:tc>
          <w:tcPr>
            <w:tcW w:w="1200" w:type="dxa"/>
            <w:vAlign w:val="center"/>
          </w:tcPr>
          <w:p w14:paraId="715FBF5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15</w:t>
            </w:r>
          </w:p>
        </w:tc>
        <w:tc>
          <w:tcPr>
            <w:tcW w:w="1800" w:type="dxa"/>
            <w:vAlign w:val="center"/>
          </w:tcPr>
          <w:p w14:paraId="013C862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27.8</w:t>
            </w:r>
          </w:p>
        </w:tc>
      </w:tr>
      <w:tr w:rsidR="00251A9F" w:rsidRPr="00251A9F" w14:paraId="19DE1BA5" w14:textId="77777777" w:rsidTr="002772BD">
        <w:tc>
          <w:tcPr>
            <w:tcW w:w="2200" w:type="dxa"/>
            <w:vAlign w:val="center"/>
          </w:tcPr>
          <w:p w14:paraId="3D067D51"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3D026D9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11 to 15 years</w:t>
            </w:r>
          </w:p>
        </w:tc>
        <w:tc>
          <w:tcPr>
            <w:tcW w:w="1200" w:type="dxa"/>
            <w:vAlign w:val="center"/>
          </w:tcPr>
          <w:p w14:paraId="213253C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w:t>
            </w:r>
          </w:p>
        </w:tc>
        <w:tc>
          <w:tcPr>
            <w:tcW w:w="1800" w:type="dxa"/>
            <w:vAlign w:val="center"/>
          </w:tcPr>
          <w:p w14:paraId="22C5D08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9.3</w:t>
            </w:r>
          </w:p>
        </w:tc>
      </w:tr>
      <w:tr w:rsidR="00251A9F" w:rsidRPr="00251A9F" w14:paraId="25F38498" w14:textId="77777777" w:rsidTr="002772BD">
        <w:tc>
          <w:tcPr>
            <w:tcW w:w="2200" w:type="dxa"/>
            <w:vAlign w:val="center"/>
          </w:tcPr>
          <w:p w14:paraId="78D756CA"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7829790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16 to 20 years</w:t>
            </w:r>
          </w:p>
        </w:tc>
        <w:tc>
          <w:tcPr>
            <w:tcW w:w="1200" w:type="dxa"/>
            <w:vAlign w:val="center"/>
          </w:tcPr>
          <w:p w14:paraId="6A14958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7</w:t>
            </w:r>
          </w:p>
        </w:tc>
        <w:tc>
          <w:tcPr>
            <w:tcW w:w="1800" w:type="dxa"/>
            <w:vAlign w:val="center"/>
          </w:tcPr>
          <w:p w14:paraId="32BA08E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13.0</w:t>
            </w:r>
          </w:p>
        </w:tc>
      </w:tr>
      <w:tr w:rsidR="00251A9F" w:rsidRPr="00251A9F" w14:paraId="165C9E45" w14:textId="77777777" w:rsidTr="002772BD">
        <w:tc>
          <w:tcPr>
            <w:tcW w:w="2200" w:type="dxa"/>
            <w:vAlign w:val="center"/>
          </w:tcPr>
          <w:p w14:paraId="0A32816E"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4E9C140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21 to 25 years</w:t>
            </w:r>
          </w:p>
        </w:tc>
        <w:tc>
          <w:tcPr>
            <w:tcW w:w="1200" w:type="dxa"/>
            <w:vAlign w:val="center"/>
          </w:tcPr>
          <w:p w14:paraId="54B8494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10</w:t>
            </w:r>
          </w:p>
        </w:tc>
        <w:tc>
          <w:tcPr>
            <w:tcW w:w="1800" w:type="dxa"/>
            <w:vAlign w:val="center"/>
          </w:tcPr>
          <w:p w14:paraId="3CE0C7C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18.5</w:t>
            </w:r>
          </w:p>
        </w:tc>
      </w:tr>
      <w:tr w:rsidR="00251A9F" w:rsidRPr="00251A9F" w14:paraId="768A2A55" w14:textId="77777777" w:rsidTr="002772BD">
        <w:tc>
          <w:tcPr>
            <w:tcW w:w="2200" w:type="dxa"/>
            <w:vAlign w:val="center"/>
          </w:tcPr>
          <w:p w14:paraId="7A307E67"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316E1E3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Over 25 years</w:t>
            </w:r>
          </w:p>
        </w:tc>
        <w:tc>
          <w:tcPr>
            <w:tcW w:w="1200" w:type="dxa"/>
            <w:vAlign w:val="center"/>
          </w:tcPr>
          <w:p w14:paraId="688B0ED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10</w:t>
            </w:r>
          </w:p>
        </w:tc>
        <w:tc>
          <w:tcPr>
            <w:tcW w:w="1800" w:type="dxa"/>
            <w:vAlign w:val="center"/>
          </w:tcPr>
          <w:p w14:paraId="39C5DBB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18.5</w:t>
            </w:r>
          </w:p>
        </w:tc>
      </w:tr>
      <w:tr w:rsidR="00251A9F" w:rsidRPr="00251A9F" w14:paraId="00B7416D" w14:textId="77777777" w:rsidTr="002772BD">
        <w:tc>
          <w:tcPr>
            <w:tcW w:w="2200" w:type="dxa"/>
            <w:vAlign w:val="center"/>
          </w:tcPr>
          <w:p w14:paraId="2D86E39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Highest qualification</w:t>
            </w:r>
          </w:p>
        </w:tc>
        <w:tc>
          <w:tcPr>
            <w:tcW w:w="4160" w:type="dxa"/>
            <w:vAlign w:val="center"/>
          </w:tcPr>
          <w:p w14:paraId="2AD5A9C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Professional accounting qualification</w:t>
            </w:r>
          </w:p>
        </w:tc>
        <w:tc>
          <w:tcPr>
            <w:tcW w:w="1200" w:type="dxa"/>
            <w:vAlign w:val="center"/>
          </w:tcPr>
          <w:p w14:paraId="61DE877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41</w:t>
            </w:r>
          </w:p>
        </w:tc>
        <w:tc>
          <w:tcPr>
            <w:tcW w:w="1800" w:type="dxa"/>
            <w:vAlign w:val="center"/>
          </w:tcPr>
          <w:p w14:paraId="3100A49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75.9</w:t>
            </w:r>
          </w:p>
        </w:tc>
      </w:tr>
      <w:tr w:rsidR="00251A9F" w:rsidRPr="00251A9F" w14:paraId="3A42B5AC" w14:textId="77777777" w:rsidTr="002772BD">
        <w:tc>
          <w:tcPr>
            <w:tcW w:w="2200" w:type="dxa"/>
            <w:vAlign w:val="center"/>
          </w:tcPr>
          <w:p w14:paraId="11559CC9"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1C6C889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Master’s degree</w:t>
            </w:r>
          </w:p>
        </w:tc>
        <w:tc>
          <w:tcPr>
            <w:tcW w:w="1200" w:type="dxa"/>
            <w:vAlign w:val="center"/>
          </w:tcPr>
          <w:p w14:paraId="0AC1B9D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9</w:t>
            </w:r>
          </w:p>
        </w:tc>
        <w:tc>
          <w:tcPr>
            <w:tcW w:w="1800" w:type="dxa"/>
            <w:vAlign w:val="center"/>
          </w:tcPr>
          <w:p w14:paraId="4503B4F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16.7</w:t>
            </w:r>
          </w:p>
        </w:tc>
      </w:tr>
      <w:tr w:rsidR="00251A9F" w:rsidRPr="00251A9F" w14:paraId="525C4462" w14:textId="77777777" w:rsidTr="002772BD">
        <w:tc>
          <w:tcPr>
            <w:tcW w:w="2200" w:type="dxa"/>
            <w:vAlign w:val="center"/>
          </w:tcPr>
          <w:p w14:paraId="2C40575C"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3B64300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Part-qualified professional accountant</w:t>
            </w:r>
          </w:p>
        </w:tc>
        <w:tc>
          <w:tcPr>
            <w:tcW w:w="1200" w:type="dxa"/>
            <w:vAlign w:val="center"/>
          </w:tcPr>
          <w:p w14:paraId="0D933A9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w:t>
            </w:r>
          </w:p>
        </w:tc>
        <w:tc>
          <w:tcPr>
            <w:tcW w:w="1800" w:type="dxa"/>
            <w:vAlign w:val="center"/>
          </w:tcPr>
          <w:p w14:paraId="643B4F4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5.6</w:t>
            </w:r>
          </w:p>
        </w:tc>
      </w:tr>
      <w:tr w:rsidR="00251A9F" w:rsidRPr="00251A9F" w14:paraId="09F6E6FA" w14:textId="77777777" w:rsidTr="002772BD">
        <w:tc>
          <w:tcPr>
            <w:tcW w:w="2200" w:type="dxa"/>
            <w:vAlign w:val="center"/>
          </w:tcPr>
          <w:p w14:paraId="38B8404A" w14:textId="77777777" w:rsidR="00251A9F" w:rsidRPr="00251A9F" w:rsidRDefault="00251A9F" w:rsidP="00251A9F">
            <w:pPr>
              <w:spacing w:before="40" w:after="40" w:line="360" w:lineRule="auto"/>
              <w:rPr>
                <w:rFonts w:ascii="Times New Roman" w:hAnsi="Times New Roman"/>
              </w:rPr>
            </w:pPr>
          </w:p>
        </w:tc>
        <w:tc>
          <w:tcPr>
            <w:tcW w:w="4160" w:type="dxa"/>
            <w:vAlign w:val="center"/>
          </w:tcPr>
          <w:p w14:paraId="0F8724D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Undergraduate degree</w:t>
            </w:r>
          </w:p>
        </w:tc>
        <w:tc>
          <w:tcPr>
            <w:tcW w:w="1200" w:type="dxa"/>
            <w:vAlign w:val="center"/>
          </w:tcPr>
          <w:p w14:paraId="4E9BEF7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w:t>
            </w:r>
          </w:p>
        </w:tc>
        <w:tc>
          <w:tcPr>
            <w:tcW w:w="1800" w:type="dxa"/>
            <w:vAlign w:val="center"/>
          </w:tcPr>
          <w:p w14:paraId="4F3D9E8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1.9</w:t>
            </w:r>
          </w:p>
        </w:tc>
      </w:tr>
    </w:tbl>
    <w:p w14:paraId="6007C110" w14:textId="77777777" w:rsidR="00251A9F" w:rsidRPr="00251A9F" w:rsidRDefault="00251A9F" w:rsidP="00251A9F">
      <w:pPr>
        <w:spacing w:line="360" w:lineRule="auto"/>
        <w:rPr>
          <w:rFonts w:ascii="Times New Roman" w:hAnsi="Times New Roman"/>
        </w:rPr>
      </w:pPr>
    </w:p>
    <w:p w14:paraId="24865E27" w14:textId="77777777" w:rsidR="00251A9F" w:rsidRPr="00251A9F" w:rsidRDefault="00251A9F" w:rsidP="00251A9F">
      <w:pPr>
        <w:spacing w:line="360" w:lineRule="auto"/>
        <w:rPr>
          <w:rFonts w:ascii="Times New Roman" w:hAnsi="Times New Roman"/>
        </w:rPr>
      </w:pPr>
    </w:p>
    <w:p w14:paraId="51D6C1C1" w14:textId="77777777" w:rsidR="00251A9F" w:rsidRPr="00251A9F" w:rsidRDefault="00251A9F" w:rsidP="00251A9F">
      <w:pPr>
        <w:spacing w:line="360" w:lineRule="auto"/>
        <w:rPr>
          <w:rFonts w:ascii="Times New Roman" w:hAnsi="Times New Roman"/>
        </w:rPr>
      </w:pPr>
      <w:r w:rsidRPr="00251A9F">
        <w:rPr>
          <w:rFonts w:ascii="Times New Roman" w:hAnsi="Times New Roman"/>
        </w:rPr>
        <w:t>Table 4.3 reports the source of sustainability-related training reported by respondents, which forms basis of the training variable tested under Hypothesis Five. Overall, 41 respondents (75.9%) reported having undertaken sustainability-related training from at least one source in the last five years, most commonly through their professional accounting body (40.7%), while 13 respondents (24.1%) reported no such training from any of the list of sources.</w:t>
      </w:r>
    </w:p>
    <w:p w14:paraId="36D3DCCF" w14:textId="77777777" w:rsidR="00251A9F" w:rsidRPr="00251A9F" w:rsidRDefault="00251A9F" w:rsidP="00251A9F">
      <w:pPr>
        <w:spacing w:line="360" w:lineRule="auto"/>
        <w:rPr>
          <w:rFonts w:ascii="Times New Roman" w:hAnsi="Times New Roman"/>
        </w:rPr>
      </w:pPr>
    </w:p>
    <w:p w14:paraId="78CAC6EA"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4.3: Source of Sustainability-Related Training (n=54)</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60"/>
        <w:gridCol w:w="1700"/>
        <w:gridCol w:w="1700"/>
      </w:tblGrid>
      <w:tr w:rsidR="00251A9F" w:rsidRPr="00251A9F" w14:paraId="2D8D3C76" w14:textId="77777777" w:rsidTr="002772BD">
        <w:tc>
          <w:tcPr>
            <w:tcW w:w="5960" w:type="dxa"/>
            <w:shd w:val="clear" w:color="auto" w:fill="D9D9D9"/>
            <w:vAlign w:val="center"/>
          </w:tcPr>
          <w:p w14:paraId="163DF76C"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Training source</w:t>
            </w:r>
          </w:p>
        </w:tc>
        <w:tc>
          <w:tcPr>
            <w:tcW w:w="1700" w:type="dxa"/>
            <w:shd w:val="clear" w:color="auto" w:fill="D9D9D9"/>
            <w:vAlign w:val="center"/>
          </w:tcPr>
          <w:p w14:paraId="624999D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n</w:t>
            </w:r>
          </w:p>
        </w:tc>
        <w:tc>
          <w:tcPr>
            <w:tcW w:w="1700" w:type="dxa"/>
            <w:shd w:val="clear" w:color="auto" w:fill="D9D9D9"/>
            <w:vAlign w:val="center"/>
          </w:tcPr>
          <w:p w14:paraId="3C9EA784"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w:t>
            </w:r>
          </w:p>
        </w:tc>
      </w:tr>
      <w:tr w:rsidR="00251A9F" w:rsidRPr="00251A9F" w14:paraId="0C7E46FE" w14:textId="77777777" w:rsidTr="002772BD">
        <w:tc>
          <w:tcPr>
            <w:tcW w:w="5960" w:type="dxa"/>
            <w:vAlign w:val="center"/>
          </w:tcPr>
          <w:p w14:paraId="1E55359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The accounting body of which I am a member</w:t>
            </w:r>
          </w:p>
        </w:tc>
        <w:tc>
          <w:tcPr>
            <w:tcW w:w="1700" w:type="dxa"/>
            <w:vAlign w:val="center"/>
          </w:tcPr>
          <w:p w14:paraId="45F68B1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22</w:t>
            </w:r>
          </w:p>
        </w:tc>
        <w:tc>
          <w:tcPr>
            <w:tcW w:w="1700" w:type="dxa"/>
            <w:vAlign w:val="center"/>
          </w:tcPr>
          <w:p w14:paraId="1E43075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40.7</w:t>
            </w:r>
          </w:p>
        </w:tc>
      </w:tr>
      <w:tr w:rsidR="00251A9F" w:rsidRPr="00251A9F" w14:paraId="552AA82A" w14:textId="77777777" w:rsidTr="002772BD">
        <w:tc>
          <w:tcPr>
            <w:tcW w:w="5960" w:type="dxa"/>
            <w:vAlign w:val="center"/>
          </w:tcPr>
          <w:p w14:paraId="6376275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My organisation</w:t>
            </w:r>
          </w:p>
        </w:tc>
        <w:tc>
          <w:tcPr>
            <w:tcW w:w="1700" w:type="dxa"/>
            <w:vAlign w:val="center"/>
          </w:tcPr>
          <w:p w14:paraId="46CFD66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8</w:t>
            </w:r>
          </w:p>
        </w:tc>
        <w:tc>
          <w:tcPr>
            <w:tcW w:w="1700" w:type="dxa"/>
            <w:vAlign w:val="center"/>
          </w:tcPr>
          <w:p w14:paraId="2E60DDD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14.8</w:t>
            </w:r>
          </w:p>
        </w:tc>
      </w:tr>
      <w:tr w:rsidR="00251A9F" w:rsidRPr="00251A9F" w14:paraId="5A799DFE" w14:textId="77777777" w:rsidTr="002772BD">
        <w:tc>
          <w:tcPr>
            <w:tcW w:w="5960" w:type="dxa"/>
            <w:vAlign w:val="center"/>
          </w:tcPr>
          <w:p w14:paraId="60823C2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Other professional accounting bodies</w:t>
            </w:r>
          </w:p>
        </w:tc>
        <w:tc>
          <w:tcPr>
            <w:tcW w:w="1700" w:type="dxa"/>
            <w:vAlign w:val="center"/>
          </w:tcPr>
          <w:p w14:paraId="7F4AAFC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w:t>
            </w:r>
          </w:p>
        </w:tc>
        <w:tc>
          <w:tcPr>
            <w:tcW w:w="1700" w:type="dxa"/>
            <w:vAlign w:val="center"/>
          </w:tcPr>
          <w:p w14:paraId="6F458E8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5.6</w:t>
            </w:r>
          </w:p>
        </w:tc>
      </w:tr>
      <w:tr w:rsidR="00251A9F" w:rsidRPr="00251A9F" w14:paraId="7DE55BF0" w14:textId="77777777" w:rsidTr="002772BD">
        <w:tc>
          <w:tcPr>
            <w:tcW w:w="5960" w:type="dxa"/>
            <w:vAlign w:val="center"/>
          </w:tcPr>
          <w:p w14:paraId="06AF081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A recognised sustainability-focused organisation or body</w:t>
            </w:r>
          </w:p>
        </w:tc>
        <w:tc>
          <w:tcPr>
            <w:tcW w:w="1700" w:type="dxa"/>
            <w:vAlign w:val="center"/>
          </w:tcPr>
          <w:p w14:paraId="03D64D0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w:t>
            </w:r>
          </w:p>
        </w:tc>
        <w:tc>
          <w:tcPr>
            <w:tcW w:w="1700" w:type="dxa"/>
            <w:vAlign w:val="center"/>
          </w:tcPr>
          <w:p w14:paraId="4F54A90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5.6</w:t>
            </w:r>
          </w:p>
        </w:tc>
      </w:tr>
      <w:tr w:rsidR="00251A9F" w:rsidRPr="00251A9F" w14:paraId="1E3B9E26" w14:textId="77777777" w:rsidTr="002772BD">
        <w:tc>
          <w:tcPr>
            <w:tcW w:w="5960" w:type="dxa"/>
            <w:vAlign w:val="center"/>
          </w:tcPr>
          <w:p w14:paraId="630503B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Other online training platforms</w:t>
            </w:r>
          </w:p>
        </w:tc>
        <w:tc>
          <w:tcPr>
            <w:tcW w:w="1700" w:type="dxa"/>
            <w:vAlign w:val="center"/>
          </w:tcPr>
          <w:p w14:paraId="526B80B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w:t>
            </w:r>
          </w:p>
        </w:tc>
        <w:tc>
          <w:tcPr>
            <w:tcW w:w="1700" w:type="dxa"/>
            <w:vAlign w:val="center"/>
          </w:tcPr>
          <w:p w14:paraId="0136613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9.3</w:t>
            </w:r>
          </w:p>
        </w:tc>
      </w:tr>
      <w:tr w:rsidR="00251A9F" w:rsidRPr="00251A9F" w14:paraId="486FCC8E" w14:textId="77777777" w:rsidTr="002772BD">
        <w:tc>
          <w:tcPr>
            <w:tcW w:w="5960" w:type="dxa"/>
            <w:vAlign w:val="center"/>
          </w:tcPr>
          <w:p w14:paraId="702EC94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None of the above</w:t>
            </w:r>
          </w:p>
        </w:tc>
        <w:tc>
          <w:tcPr>
            <w:tcW w:w="1700" w:type="dxa"/>
            <w:vAlign w:val="center"/>
          </w:tcPr>
          <w:p w14:paraId="4DEBC9D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13</w:t>
            </w:r>
          </w:p>
        </w:tc>
        <w:tc>
          <w:tcPr>
            <w:tcW w:w="1700" w:type="dxa"/>
            <w:vAlign w:val="center"/>
          </w:tcPr>
          <w:p w14:paraId="69AA619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24.1</w:t>
            </w:r>
          </w:p>
        </w:tc>
      </w:tr>
    </w:tbl>
    <w:p w14:paraId="04073B7B" w14:textId="77777777" w:rsidR="00251A9F" w:rsidRPr="00251A9F" w:rsidRDefault="00251A9F" w:rsidP="00251A9F">
      <w:pPr>
        <w:spacing w:line="360" w:lineRule="auto"/>
        <w:rPr>
          <w:rFonts w:ascii="Times New Roman" w:hAnsi="Times New Roman"/>
        </w:rPr>
      </w:pPr>
    </w:p>
    <w:p w14:paraId="248193A2" w14:textId="77777777" w:rsidR="00251A9F" w:rsidRPr="00251A9F" w:rsidRDefault="00251A9F" w:rsidP="00251A9F">
      <w:pPr>
        <w:spacing w:line="360" w:lineRule="auto"/>
        <w:rPr>
          <w:rFonts w:ascii="Times New Roman" w:hAnsi="Times New Roman"/>
        </w:rPr>
      </w:pPr>
    </w:p>
    <w:p w14:paraId="1A097F4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4.4 Descriptive Statistics for Study Variables</w:t>
      </w:r>
    </w:p>
    <w:p w14:paraId="79657174"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Table 4.4 presents descriptive statistics for the five composite scale scores, each calculated as the mean of its constituent items and expressed on original 1 to 5 response scale. Consistent with the ordinal nature of Likert-scale data, the median, mode and standard deviation are reported alongside the mean. Perceived Confidence recorded the highest average score (M=3.92, </w:t>
      </w:r>
      <w:proofErr w:type="spellStart"/>
      <w:r w:rsidRPr="00251A9F">
        <w:rPr>
          <w:rFonts w:ascii="Times New Roman" w:hAnsi="Times New Roman"/>
        </w:rPr>
        <w:t>Mdn</w:t>
      </w:r>
      <w:proofErr w:type="spellEnd"/>
      <w:r w:rsidRPr="00251A9F">
        <w:rPr>
          <w:rFonts w:ascii="Times New Roman" w:hAnsi="Times New Roman"/>
        </w:rPr>
        <w:t xml:space="preserve">=4.00), followed by Technical Competence (M=3.79, </w:t>
      </w:r>
      <w:proofErr w:type="spellStart"/>
      <w:r w:rsidRPr="00251A9F">
        <w:rPr>
          <w:rFonts w:ascii="Times New Roman" w:hAnsi="Times New Roman"/>
        </w:rPr>
        <w:t>Mdn</w:t>
      </w:r>
      <w:proofErr w:type="spellEnd"/>
      <w:r w:rsidRPr="00251A9F">
        <w:rPr>
          <w:rFonts w:ascii="Times New Roman" w:hAnsi="Times New Roman"/>
        </w:rPr>
        <w:t xml:space="preserve">=3.80), suggesting that respondents generally felt more confident and competent at a personal level than they </w:t>
      </w:r>
      <w:r w:rsidRPr="00251A9F">
        <w:rPr>
          <w:rFonts w:ascii="Times New Roman" w:hAnsi="Times New Roman"/>
        </w:rPr>
        <w:lastRenderedPageBreak/>
        <w:t xml:space="preserve">judged themselves informed at a regulatory level. Regulatory Awareness recorded the lowest average score by a clear margin (M=2.70, </w:t>
      </w:r>
      <w:proofErr w:type="spellStart"/>
      <w:r w:rsidRPr="00251A9F">
        <w:rPr>
          <w:rFonts w:ascii="Times New Roman" w:hAnsi="Times New Roman"/>
        </w:rPr>
        <w:t>Mdn</w:t>
      </w:r>
      <w:proofErr w:type="spellEnd"/>
      <w:r w:rsidRPr="00251A9F">
        <w:rPr>
          <w:rFonts w:ascii="Times New Roman" w:hAnsi="Times New Roman"/>
        </w:rPr>
        <w:t>=2.60), indicating that familiarity with specific sustainability reporting frameworks such as the ISSB, TCFD, IIRC and SASB was, on average, only moderate to low among respondents. Overall Readiness, the central outcome variable, recorded a mean of 3.37 (</w:t>
      </w:r>
      <w:proofErr w:type="spellStart"/>
      <w:r w:rsidRPr="00251A9F">
        <w:rPr>
          <w:rFonts w:ascii="Times New Roman" w:hAnsi="Times New Roman"/>
        </w:rPr>
        <w:t>Mdn</w:t>
      </w:r>
      <w:proofErr w:type="spellEnd"/>
      <w:r w:rsidRPr="00251A9F">
        <w:rPr>
          <w:rFonts w:ascii="Times New Roman" w:hAnsi="Times New Roman"/>
        </w:rPr>
        <w:t>=3.40, SD=0.99), sitting toward the middle of the scale, and Organisational Support recorded the broadly similar mean of 3.28 (</w:t>
      </w:r>
      <w:proofErr w:type="spellStart"/>
      <w:r w:rsidRPr="00251A9F">
        <w:rPr>
          <w:rFonts w:ascii="Times New Roman" w:hAnsi="Times New Roman"/>
        </w:rPr>
        <w:t>Mdn</w:t>
      </w:r>
      <w:proofErr w:type="spellEnd"/>
      <w:r w:rsidRPr="00251A9F">
        <w:rPr>
          <w:rFonts w:ascii="Times New Roman" w:hAnsi="Times New Roman"/>
        </w:rPr>
        <w:t>=3.25, SD=0.95).</w:t>
      </w:r>
    </w:p>
    <w:p w14:paraId="43BE7018" w14:textId="77777777" w:rsidR="00251A9F" w:rsidRPr="00251A9F" w:rsidRDefault="00251A9F" w:rsidP="00251A9F">
      <w:pPr>
        <w:spacing w:line="360" w:lineRule="auto"/>
        <w:rPr>
          <w:rFonts w:ascii="Times New Roman" w:hAnsi="Times New Roman"/>
        </w:rPr>
      </w:pPr>
    </w:p>
    <w:p w14:paraId="7BDF136B"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4.4: Descriptive Statistics for Composite Scale Scores (1-5 scale, n=54)</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0"/>
        <w:gridCol w:w="1033"/>
        <w:gridCol w:w="1033"/>
        <w:gridCol w:w="1033"/>
        <w:gridCol w:w="1033"/>
        <w:gridCol w:w="1033"/>
        <w:gridCol w:w="1035"/>
      </w:tblGrid>
      <w:tr w:rsidR="00251A9F" w:rsidRPr="00251A9F" w14:paraId="35F1D533" w14:textId="77777777" w:rsidTr="002772BD">
        <w:tc>
          <w:tcPr>
            <w:tcW w:w="3160" w:type="dxa"/>
            <w:shd w:val="clear" w:color="auto" w:fill="D9D9D9"/>
            <w:vAlign w:val="center"/>
          </w:tcPr>
          <w:p w14:paraId="37F8F3BF"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Variable</w:t>
            </w:r>
          </w:p>
        </w:tc>
        <w:tc>
          <w:tcPr>
            <w:tcW w:w="1033" w:type="dxa"/>
            <w:shd w:val="clear" w:color="auto" w:fill="D9D9D9"/>
            <w:vAlign w:val="center"/>
          </w:tcPr>
          <w:p w14:paraId="64ABB43C"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Mean</w:t>
            </w:r>
          </w:p>
        </w:tc>
        <w:tc>
          <w:tcPr>
            <w:tcW w:w="1033" w:type="dxa"/>
            <w:shd w:val="clear" w:color="auto" w:fill="D9D9D9"/>
            <w:vAlign w:val="center"/>
          </w:tcPr>
          <w:p w14:paraId="2A2E577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Median</w:t>
            </w:r>
          </w:p>
        </w:tc>
        <w:tc>
          <w:tcPr>
            <w:tcW w:w="1033" w:type="dxa"/>
            <w:shd w:val="clear" w:color="auto" w:fill="D9D9D9"/>
            <w:vAlign w:val="center"/>
          </w:tcPr>
          <w:p w14:paraId="4EDD1DE8"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Mode</w:t>
            </w:r>
          </w:p>
        </w:tc>
        <w:tc>
          <w:tcPr>
            <w:tcW w:w="1033" w:type="dxa"/>
            <w:shd w:val="clear" w:color="auto" w:fill="D9D9D9"/>
            <w:vAlign w:val="center"/>
          </w:tcPr>
          <w:p w14:paraId="13D12C4B"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SD</w:t>
            </w:r>
          </w:p>
        </w:tc>
        <w:tc>
          <w:tcPr>
            <w:tcW w:w="1033" w:type="dxa"/>
            <w:shd w:val="clear" w:color="auto" w:fill="D9D9D9"/>
            <w:vAlign w:val="center"/>
          </w:tcPr>
          <w:p w14:paraId="5A9CF902"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Min</w:t>
            </w:r>
          </w:p>
        </w:tc>
        <w:tc>
          <w:tcPr>
            <w:tcW w:w="1035" w:type="dxa"/>
            <w:shd w:val="clear" w:color="auto" w:fill="D9D9D9"/>
            <w:vAlign w:val="center"/>
          </w:tcPr>
          <w:p w14:paraId="5309B1AB"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Max</w:t>
            </w:r>
          </w:p>
        </w:tc>
      </w:tr>
      <w:tr w:rsidR="00251A9F" w:rsidRPr="00251A9F" w14:paraId="657102B9" w14:textId="77777777" w:rsidTr="002772BD">
        <w:tc>
          <w:tcPr>
            <w:tcW w:w="3160" w:type="dxa"/>
            <w:vAlign w:val="center"/>
          </w:tcPr>
          <w:p w14:paraId="198CC47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Regulatory Awareness (RA)</w:t>
            </w:r>
          </w:p>
        </w:tc>
        <w:tc>
          <w:tcPr>
            <w:tcW w:w="1033" w:type="dxa"/>
            <w:vAlign w:val="center"/>
          </w:tcPr>
          <w:p w14:paraId="4859F94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2.70</w:t>
            </w:r>
          </w:p>
        </w:tc>
        <w:tc>
          <w:tcPr>
            <w:tcW w:w="1033" w:type="dxa"/>
            <w:vAlign w:val="center"/>
          </w:tcPr>
          <w:p w14:paraId="3EBBD4E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2.60</w:t>
            </w:r>
          </w:p>
        </w:tc>
        <w:tc>
          <w:tcPr>
            <w:tcW w:w="1033" w:type="dxa"/>
            <w:vAlign w:val="center"/>
          </w:tcPr>
          <w:p w14:paraId="46E48FA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3.00</w:t>
            </w:r>
          </w:p>
        </w:tc>
        <w:tc>
          <w:tcPr>
            <w:tcW w:w="1033" w:type="dxa"/>
            <w:vAlign w:val="center"/>
          </w:tcPr>
          <w:p w14:paraId="496776F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1.00</w:t>
            </w:r>
          </w:p>
        </w:tc>
        <w:tc>
          <w:tcPr>
            <w:tcW w:w="1033" w:type="dxa"/>
            <w:vAlign w:val="center"/>
          </w:tcPr>
          <w:p w14:paraId="214BF39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1.00</w:t>
            </w:r>
          </w:p>
        </w:tc>
        <w:tc>
          <w:tcPr>
            <w:tcW w:w="1035" w:type="dxa"/>
            <w:vAlign w:val="center"/>
          </w:tcPr>
          <w:p w14:paraId="79CDC0F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5.00</w:t>
            </w:r>
          </w:p>
        </w:tc>
      </w:tr>
      <w:tr w:rsidR="00251A9F" w:rsidRPr="00251A9F" w14:paraId="79868D3C" w14:textId="77777777" w:rsidTr="002772BD">
        <w:tc>
          <w:tcPr>
            <w:tcW w:w="3160" w:type="dxa"/>
            <w:vAlign w:val="center"/>
          </w:tcPr>
          <w:p w14:paraId="3B824D3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Technical Competence (TC)</w:t>
            </w:r>
          </w:p>
        </w:tc>
        <w:tc>
          <w:tcPr>
            <w:tcW w:w="1033" w:type="dxa"/>
            <w:vAlign w:val="center"/>
          </w:tcPr>
          <w:p w14:paraId="10D856C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3.79</w:t>
            </w:r>
          </w:p>
        </w:tc>
        <w:tc>
          <w:tcPr>
            <w:tcW w:w="1033" w:type="dxa"/>
            <w:vAlign w:val="center"/>
          </w:tcPr>
          <w:p w14:paraId="5685BB1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3.80</w:t>
            </w:r>
          </w:p>
        </w:tc>
        <w:tc>
          <w:tcPr>
            <w:tcW w:w="1033" w:type="dxa"/>
            <w:vAlign w:val="center"/>
          </w:tcPr>
          <w:p w14:paraId="6366BD3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4.60</w:t>
            </w:r>
          </w:p>
        </w:tc>
        <w:tc>
          <w:tcPr>
            <w:tcW w:w="1033" w:type="dxa"/>
            <w:vAlign w:val="center"/>
          </w:tcPr>
          <w:p w14:paraId="7776B83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0.81</w:t>
            </w:r>
          </w:p>
        </w:tc>
        <w:tc>
          <w:tcPr>
            <w:tcW w:w="1033" w:type="dxa"/>
            <w:vAlign w:val="center"/>
          </w:tcPr>
          <w:p w14:paraId="20869EE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1.80</w:t>
            </w:r>
          </w:p>
        </w:tc>
        <w:tc>
          <w:tcPr>
            <w:tcW w:w="1035" w:type="dxa"/>
            <w:vAlign w:val="center"/>
          </w:tcPr>
          <w:p w14:paraId="678BCEB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5.00</w:t>
            </w:r>
          </w:p>
        </w:tc>
      </w:tr>
      <w:tr w:rsidR="00251A9F" w:rsidRPr="00251A9F" w14:paraId="2FBB457A" w14:textId="77777777" w:rsidTr="002772BD">
        <w:tc>
          <w:tcPr>
            <w:tcW w:w="3160" w:type="dxa"/>
            <w:vAlign w:val="center"/>
          </w:tcPr>
          <w:p w14:paraId="39E5249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Perceived Confidence (PC)</w:t>
            </w:r>
          </w:p>
        </w:tc>
        <w:tc>
          <w:tcPr>
            <w:tcW w:w="1033" w:type="dxa"/>
            <w:vAlign w:val="center"/>
          </w:tcPr>
          <w:p w14:paraId="26B8AC9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3.92</w:t>
            </w:r>
          </w:p>
        </w:tc>
        <w:tc>
          <w:tcPr>
            <w:tcW w:w="1033" w:type="dxa"/>
            <w:vAlign w:val="center"/>
          </w:tcPr>
          <w:p w14:paraId="15C0DAA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4.00</w:t>
            </w:r>
          </w:p>
        </w:tc>
        <w:tc>
          <w:tcPr>
            <w:tcW w:w="1033" w:type="dxa"/>
            <w:vAlign w:val="center"/>
          </w:tcPr>
          <w:p w14:paraId="2290A69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4.00</w:t>
            </w:r>
          </w:p>
        </w:tc>
        <w:tc>
          <w:tcPr>
            <w:tcW w:w="1033" w:type="dxa"/>
            <w:vAlign w:val="center"/>
          </w:tcPr>
          <w:p w14:paraId="2254912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0.81</w:t>
            </w:r>
          </w:p>
        </w:tc>
        <w:tc>
          <w:tcPr>
            <w:tcW w:w="1033" w:type="dxa"/>
            <w:vAlign w:val="center"/>
          </w:tcPr>
          <w:p w14:paraId="21506C6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2.00</w:t>
            </w:r>
          </w:p>
        </w:tc>
        <w:tc>
          <w:tcPr>
            <w:tcW w:w="1035" w:type="dxa"/>
            <w:vAlign w:val="center"/>
          </w:tcPr>
          <w:p w14:paraId="255B042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5.00</w:t>
            </w:r>
          </w:p>
        </w:tc>
      </w:tr>
      <w:tr w:rsidR="00251A9F" w:rsidRPr="00251A9F" w14:paraId="47EA5EC5" w14:textId="77777777" w:rsidTr="002772BD">
        <w:tc>
          <w:tcPr>
            <w:tcW w:w="3160" w:type="dxa"/>
            <w:vAlign w:val="center"/>
          </w:tcPr>
          <w:p w14:paraId="3E65361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Overall Readiness (OR)</w:t>
            </w:r>
          </w:p>
        </w:tc>
        <w:tc>
          <w:tcPr>
            <w:tcW w:w="1033" w:type="dxa"/>
            <w:vAlign w:val="center"/>
          </w:tcPr>
          <w:p w14:paraId="4BD8988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3.37</w:t>
            </w:r>
          </w:p>
        </w:tc>
        <w:tc>
          <w:tcPr>
            <w:tcW w:w="1033" w:type="dxa"/>
            <w:vAlign w:val="center"/>
          </w:tcPr>
          <w:p w14:paraId="4F601EC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3.40</w:t>
            </w:r>
          </w:p>
        </w:tc>
        <w:tc>
          <w:tcPr>
            <w:tcW w:w="1033" w:type="dxa"/>
            <w:vAlign w:val="center"/>
          </w:tcPr>
          <w:p w14:paraId="358A7B4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2.80</w:t>
            </w:r>
          </w:p>
        </w:tc>
        <w:tc>
          <w:tcPr>
            <w:tcW w:w="1033" w:type="dxa"/>
            <w:vAlign w:val="center"/>
          </w:tcPr>
          <w:p w14:paraId="1CA9619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0.99</w:t>
            </w:r>
          </w:p>
        </w:tc>
        <w:tc>
          <w:tcPr>
            <w:tcW w:w="1033" w:type="dxa"/>
            <w:vAlign w:val="center"/>
          </w:tcPr>
          <w:p w14:paraId="29109F5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1.00</w:t>
            </w:r>
          </w:p>
        </w:tc>
        <w:tc>
          <w:tcPr>
            <w:tcW w:w="1035" w:type="dxa"/>
            <w:vAlign w:val="center"/>
          </w:tcPr>
          <w:p w14:paraId="7DBC9D4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5.00</w:t>
            </w:r>
          </w:p>
        </w:tc>
      </w:tr>
      <w:tr w:rsidR="00251A9F" w:rsidRPr="00251A9F" w14:paraId="207640CA" w14:textId="77777777" w:rsidTr="002772BD">
        <w:tc>
          <w:tcPr>
            <w:tcW w:w="3160" w:type="dxa"/>
            <w:vAlign w:val="center"/>
          </w:tcPr>
          <w:p w14:paraId="05428B6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Organisational Support (OS)</w:t>
            </w:r>
          </w:p>
        </w:tc>
        <w:tc>
          <w:tcPr>
            <w:tcW w:w="1033" w:type="dxa"/>
            <w:vAlign w:val="center"/>
          </w:tcPr>
          <w:p w14:paraId="64EAAE1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3.28</w:t>
            </w:r>
          </w:p>
        </w:tc>
        <w:tc>
          <w:tcPr>
            <w:tcW w:w="1033" w:type="dxa"/>
            <w:vAlign w:val="center"/>
          </w:tcPr>
          <w:p w14:paraId="1A262AC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3.25</w:t>
            </w:r>
          </w:p>
        </w:tc>
        <w:tc>
          <w:tcPr>
            <w:tcW w:w="1033" w:type="dxa"/>
            <w:vAlign w:val="center"/>
          </w:tcPr>
          <w:p w14:paraId="454426D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4.00</w:t>
            </w:r>
          </w:p>
        </w:tc>
        <w:tc>
          <w:tcPr>
            <w:tcW w:w="1033" w:type="dxa"/>
            <w:vAlign w:val="center"/>
          </w:tcPr>
          <w:p w14:paraId="62935E1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0.95</w:t>
            </w:r>
          </w:p>
        </w:tc>
        <w:tc>
          <w:tcPr>
            <w:tcW w:w="1033" w:type="dxa"/>
            <w:vAlign w:val="center"/>
          </w:tcPr>
          <w:p w14:paraId="4A8EBEC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1.00</w:t>
            </w:r>
          </w:p>
        </w:tc>
        <w:tc>
          <w:tcPr>
            <w:tcW w:w="1035" w:type="dxa"/>
            <w:vAlign w:val="center"/>
          </w:tcPr>
          <w:p w14:paraId="613A9BC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5.00</w:t>
            </w:r>
          </w:p>
        </w:tc>
      </w:tr>
    </w:tbl>
    <w:p w14:paraId="73A03AA7" w14:textId="77777777" w:rsidR="00251A9F" w:rsidRPr="00251A9F" w:rsidRDefault="00251A9F" w:rsidP="00251A9F">
      <w:pPr>
        <w:spacing w:line="360" w:lineRule="auto"/>
        <w:rPr>
          <w:rFonts w:ascii="Times New Roman" w:hAnsi="Times New Roman"/>
        </w:rPr>
      </w:pPr>
    </w:p>
    <w:p w14:paraId="64F71E7D" w14:textId="77777777" w:rsidR="00251A9F" w:rsidRPr="00251A9F" w:rsidRDefault="00251A9F" w:rsidP="00251A9F">
      <w:pPr>
        <w:spacing w:line="360" w:lineRule="auto"/>
        <w:rPr>
          <w:rFonts w:ascii="Times New Roman" w:hAnsi="Times New Roman"/>
        </w:rPr>
      </w:pPr>
    </w:p>
    <w:p w14:paraId="77598B22"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4.5 Test of Normality</w:t>
      </w:r>
    </w:p>
    <w:p w14:paraId="413B7C81"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Given the modest sample size of 54, the Shapiro-Wilk test was used to check the distribution of each composite scale score, as set out in Chapter Three. As shown in Table 4.5, Regulatory Awareness, Overall Readiness and Organisational Support did not deviate significantly from a normal distribution (p&gt;0.05), whereas Technical Competence and Perceived Confidence showed a statistically significant departure from normality (p&lt;0.05). Because at least two of the key study variables were not normally distributed, this confirms </w:t>
      </w:r>
      <w:proofErr w:type="gramStart"/>
      <w:r w:rsidRPr="00251A9F">
        <w:rPr>
          <w:rFonts w:ascii="Times New Roman" w:hAnsi="Times New Roman"/>
        </w:rPr>
        <w:t>a</w:t>
      </w:r>
      <w:proofErr w:type="gramEnd"/>
      <w:r w:rsidRPr="00251A9F">
        <w:rPr>
          <w:rFonts w:ascii="Times New Roman" w:hAnsi="Times New Roman"/>
        </w:rPr>
        <w:t xml:space="preserve"> appropriateness of the non-parametric and rank-based approaches specified in Chapter Three, namely Spearman's rank correlation and the Mann-Whitney U and Kruskal-Wallis tests, in preference to methods that assume normality.</w:t>
      </w:r>
    </w:p>
    <w:p w14:paraId="22244319" w14:textId="77777777" w:rsidR="00251A9F" w:rsidRPr="00251A9F" w:rsidRDefault="00251A9F" w:rsidP="00251A9F">
      <w:pPr>
        <w:spacing w:line="360" w:lineRule="auto"/>
        <w:rPr>
          <w:rFonts w:ascii="Times New Roman" w:hAnsi="Times New Roman"/>
        </w:rPr>
      </w:pPr>
    </w:p>
    <w:p w14:paraId="642ECE93"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4.5: Shapiro-Wilk Test of Normality</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0"/>
        <w:gridCol w:w="2000"/>
        <w:gridCol w:w="900"/>
        <w:gridCol w:w="1400"/>
        <w:gridCol w:w="1900"/>
      </w:tblGrid>
      <w:tr w:rsidR="00251A9F" w:rsidRPr="00251A9F" w14:paraId="59E2318F" w14:textId="77777777" w:rsidTr="002772BD">
        <w:tc>
          <w:tcPr>
            <w:tcW w:w="3160" w:type="dxa"/>
            <w:shd w:val="clear" w:color="auto" w:fill="D9D9D9"/>
            <w:vAlign w:val="center"/>
          </w:tcPr>
          <w:p w14:paraId="72B7DBF4"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Variable</w:t>
            </w:r>
          </w:p>
        </w:tc>
        <w:tc>
          <w:tcPr>
            <w:tcW w:w="2000" w:type="dxa"/>
            <w:shd w:val="clear" w:color="auto" w:fill="D9D9D9"/>
            <w:vAlign w:val="center"/>
          </w:tcPr>
          <w:p w14:paraId="127E17D4"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Shapiro-Wilk W</w:t>
            </w:r>
          </w:p>
        </w:tc>
        <w:tc>
          <w:tcPr>
            <w:tcW w:w="900" w:type="dxa"/>
            <w:shd w:val="clear" w:color="auto" w:fill="D9D9D9"/>
            <w:vAlign w:val="center"/>
          </w:tcPr>
          <w:p w14:paraId="0A64E0FB" w14:textId="77777777" w:rsidR="00251A9F" w:rsidRPr="00251A9F" w:rsidRDefault="00251A9F" w:rsidP="00251A9F">
            <w:pPr>
              <w:spacing w:before="40" w:after="40" w:line="360" w:lineRule="auto"/>
              <w:rPr>
                <w:rFonts w:ascii="Times New Roman" w:hAnsi="Times New Roman"/>
                <w:b/>
                <w:bCs/>
              </w:rPr>
            </w:pPr>
            <w:proofErr w:type="spellStart"/>
            <w:r w:rsidRPr="00251A9F">
              <w:rPr>
                <w:rFonts w:ascii="Times New Roman" w:hAnsi="Times New Roman"/>
                <w:b/>
                <w:bCs/>
              </w:rPr>
              <w:t>df</w:t>
            </w:r>
            <w:proofErr w:type="spellEnd"/>
          </w:p>
        </w:tc>
        <w:tc>
          <w:tcPr>
            <w:tcW w:w="1400" w:type="dxa"/>
            <w:shd w:val="clear" w:color="auto" w:fill="D9D9D9"/>
            <w:vAlign w:val="center"/>
          </w:tcPr>
          <w:p w14:paraId="5B17C32A"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p-value</w:t>
            </w:r>
          </w:p>
        </w:tc>
        <w:tc>
          <w:tcPr>
            <w:tcW w:w="1900" w:type="dxa"/>
            <w:shd w:val="clear" w:color="auto" w:fill="D9D9D9"/>
            <w:vAlign w:val="center"/>
          </w:tcPr>
          <w:p w14:paraId="39A7152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Distribution</w:t>
            </w:r>
          </w:p>
        </w:tc>
      </w:tr>
      <w:tr w:rsidR="00251A9F" w:rsidRPr="00251A9F" w14:paraId="18622EC7" w14:textId="77777777" w:rsidTr="002772BD">
        <w:tc>
          <w:tcPr>
            <w:tcW w:w="3160" w:type="dxa"/>
            <w:vAlign w:val="center"/>
          </w:tcPr>
          <w:p w14:paraId="559418F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Regulatory Awareness (RA)</w:t>
            </w:r>
          </w:p>
        </w:tc>
        <w:tc>
          <w:tcPr>
            <w:tcW w:w="2000" w:type="dxa"/>
            <w:vAlign w:val="center"/>
          </w:tcPr>
          <w:p w14:paraId="2D8F53D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0.975</w:t>
            </w:r>
          </w:p>
        </w:tc>
        <w:tc>
          <w:tcPr>
            <w:tcW w:w="900" w:type="dxa"/>
            <w:vAlign w:val="center"/>
          </w:tcPr>
          <w:p w14:paraId="6E8F2B5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54</w:t>
            </w:r>
          </w:p>
        </w:tc>
        <w:tc>
          <w:tcPr>
            <w:tcW w:w="1400" w:type="dxa"/>
            <w:vAlign w:val="center"/>
          </w:tcPr>
          <w:p w14:paraId="057EFEE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0.308</w:t>
            </w:r>
          </w:p>
        </w:tc>
        <w:tc>
          <w:tcPr>
            <w:tcW w:w="1900" w:type="dxa"/>
            <w:vAlign w:val="center"/>
          </w:tcPr>
          <w:p w14:paraId="7405AA4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Normal</w:t>
            </w:r>
          </w:p>
        </w:tc>
      </w:tr>
      <w:tr w:rsidR="00251A9F" w:rsidRPr="00251A9F" w14:paraId="6BD88220" w14:textId="77777777" w:rsidTr="002772BD">
        <w:tc>
          <w:tcPr>
            <w:tcW w:w="3160" w:type="dxa"/>
            <w:vAlign w:val="center"/>
          </w:tcPr>
          <w:p w14:paraId="09A938C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lastRenderedPageBreak/>
              <w:t>Technical Competence (TC)</w:t>
            </w:r>
          </w:p>
        </w:tc>
        <w:tc>
          <w:tcPr>
            <w:tcW w:w="2000" w:type="dxa"/>
            <w:vAlign w:val="center"/>
          </w:tcPr>
          <w:p w14:paraId="3BF3CB6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0.949</w:t>
            </w:r>
          </w:p>
        </w:tc>
        <w:tc>
          <w:tcPr>
            <w:tcW w:w="900" w:type="dxa"/>
            <w:vAlign w:val="center"/>
          </w:tcPr>
          <w:p w14:paraId="12CF5FE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54</w:t>
            </w:r>
          </w:p>
        </w:tc>
        <w:tc>
          <w:tcPr>
            <w:tcW w:w="1400" w:type="dxa"/>
            <w:vAlign w:val="center"/>
          </w:tcPr>
          <w:p w14:paraId="389FC65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0.022</w:t>
            </w:r>
          </w:p>
        </w:tc>
        <w:tc>
          <w:tcPr>
            <w:tcW w:w="1900" w:type="dxa"/>
            <w:vAlign w:val="center"/>
          </w:tcPr>
          <w:p w14:paraId="6488B6C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Non-normal</w:t>
            </w:r>
          </w:p>
        </w:tc>
      </w:tr>
      <w:tr w:rsidR="00251A9F" w:rsidRPr="00251A9F" w14:paraId="74EC38C7" w14:textId="77777777" w:rsidTr="002772BD">
        <w:tc>
          <w:tcPr>
            <w:tcW w:w="3160" w:type="dxa"/>
            <w:vAlign w:val="center"/>
          </w:tcPr>
          <w:p w14:paraId="6C04E84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Perceived Confidence (PC)</w:t>
            </w:r>
          </w:p>
        </w:tc>
        <w:tc>
          <w:tcPr>
            <w:tcW w:w="2000" w:type="dxa"/>
            <w:vAlign w:val="center"/>
          </w:tcPr>
          <w:p w14:paraId="1350DAB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0.897</w:t>
            </w:r>
          </w:p>
        </w:tc>
        <w:tc>
          <w:tcPr>
            <w:tcW w:w="900" w:type="dxa"/>
            <w:vAlign w:val="center"/>
          </w:tcPr>
          <w:p w14:paraId="1FE38B5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54</w:t>
            </w:r>
          </w:p>
        </w:tc>
        <w:tc>
          <w:tcPr>
            <w:tcW w:w="1400" w:type="dxa"/>
            <w:vAlign w:val="center"/>
          </w:tcPr>
          <w:p w14:paraId="7765D29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&lt;0.001</w:t>
            </w:r>
          </w:p>
        </w:tc>
        <w:tc>
          <w:tcPr>
            <w:tcW w:w="1900" w:type="dxa"/>
            <w:vAlign w:val="center"/>
          </w:tcPr>
          <w:p w14:paraId="184D9F7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Non-normal</w:t>
            </w:r>
          </w:p>
        </w:tc>
      </w:tr>
      <w:tr w:rsidR="00251A9F" w:rsidRPr="00251A9F" w14:paraId="1712145D" w14:textId="77777777" w:rsidTr="002772BD">
        <w:tc>
          <w:tcPr>
            <w:tcW w:w="3160" w:type="dxa"/>
            <w:vAlign w:val="center"/>
          </w:tcPr>
          <w:p w14:paraId="254B173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Overall Readiness (OR)</w:t>
            </w:r>
          </w:p>
        </w:tc>
        <w:tc>
          <w:tcPr>
            <w:tcW w:w="2000" w:type="dxa"/>
            <w:vAlign w:val="center"/>
          </w:tcPr>
          <w:p w14:paraId="4CC75D3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0.967</w:t>
            </w:r>
          </w:p>
        </w:tc>
        <w:tc>
          <w:tcPr>
            <w:tcW w:w="900" w:type="dxa"/>
            <w:vAlign w:val="center"/>
          </w:tcPr>
          <w:p w14:paraId="174F1F6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54</w:t>
            </w:r>
          </w:p>
        </w:tc>
        <w:tc>
          <w:tcPr>
            <w:tcW w:w="1400" w:type="dxa"/>
            <w:vAlign w:val="center"/>
          </w:tcPr>
          <w:p w14:paraId="517597C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0.147</w:t>
            </w:r>
          </w:p>
        </w:tc>
        <w:tc>
          <w:tcPr>
            <w:tcW w:w="1900" w:type="dxa"/>
            <w:vAlign w:val="center"/>
          </w:tcPr>
          <w:p w14:paraId="274B83F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Normal</w:t>
            </w:r>
          </w:p>
        </w:tc>
      </w:tr>
      <w:tr w:rsidR="00251A9F" w:rsidRPr="00251A9F" w14:paraId="7F1D442D" w14:textId="77777777" w:rsidTr="002772BD">
        <w:tc>
          <w:tcPr>
            <w:tcW w:w="3160" w:type="dxa"/>
            <w:vAlign w:val="center"/>
          </w:tcPr>
          <w:p w14:paraId="2BA3FCC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Organisational Support (OS)</w:t>
            </w:r>
          </w:p>
        </w:tc>
        <w:tc>
          <w:tcPr>
            <w:tcW w:w="2000" w:type="dxa"/>
            <w:vAlign w:val="center"/>
          </w:tcPr>
          <w:p w14:paraId="4D24C1E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0.974</w:t>
            </w:r>
          </w:p>
        </w:tc>
        <w:tc>
          <w:tcPr>
            <w:tcW w:w="900" w:type="dxa"/>
            <w:vAlign w:val="center"/>
          </w:tcPr>
          <w:p w14:paraId="162F4E1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54</w:t>
            </w:r>
          </w:p>
        </w:tc>
        <w:tc>
          <w:tcPr>
            <w:tcW w:w="1400" w:type="dxa"/>
            <w:vAlign w:val="center"/>
          </w:tcPr>
          <w:p w14:paraId="2FD4021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0.297</w:t>
            </w:r>
          </w:p>
        </w:tc>
        <w:tc>
          <w:tcPr>
            <w:tcW w:w="1900" w:type="dxa"/>
            <w:vAlign w:val="center"/>
          </w:tcPr>
          <w:p w14:paraId="7361844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Normal</w:t>
            </w:r>
          </w:p>
        </w:tc>
      </w:tr>
    </w:tbl>
    <w:p w14:paraId="20CD7A32" w14:textId="77777777" w:rsidR="00251A9F" w:rsidRPr="00251A9F" w:rsidRDefault="00251A9F" w:rsidP="00251A9F">
      <w:pPr>
        <w:spacing w:line="360" w:lineRule="auto"/>
        <w:rPr>
          <w:rFonts w:ascii="Times New Roman" w:hAnsi="Times New Roman"/>
        </w:rPr>
      </w:pPr>
    </w:p>
    <w:p w14:paraId="05D58FC8" w14:textId="77777777" w:rsidR="00251A9F" w:rsidRPr="00251A9F" w:rsidRDefault="00251A9F" w:rsidP="00251A9F">
      <w:pPr>
        <w:spacing w:line="360" w:lineRule="auto"/>
        <w:rPr>
          <w:rFonts w:ascii="Times New Roman" w:hAnsi="Times New Roman"/>
        </w:rPr>
      </w:pPr>
    </w:p>
    <w:p w14:paraId="6CF9A74C"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4.6 Correlation Analysis (Hypotheses H1 to H3)</w:t>
      </w:r>
    </w:p>
    <w:p w14:paraId="4093FEED"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Spearman's rank correlation was used to test direction and strength of the bivariate relationship between each independent variable and Overall Readiness, as proposed in Hypotheses One to Three. As shown in Table 4.6, all three relationships were positive and statistically significant. Regulatory Awareness showed a moderate-to-strong positive correlation with Overall Readiness (rho=0.575, p&lt;0.001), Technical Competence showed a moderate-to-strong positive correlation (rho=0.527, p&lt;0.001), and Perceived Confidence </w:t>
      </w:r>
      <w:proofErr w:type="gramStart"/>
      <w:r w:rsidRPr="00251A9F">
        <w:rPr>
          <w:rFonts w:ascii="Times New Roman" w:hAnsi="Times New Roman"/>
        </w:rPr>
        <w:t>showed  moderate</w:t>
      </w:r>
      <w:proofErr w:type="gramEnd"/>
      <w:r w:rsidRPr="00251A9F">
        <w:rPr>
          <w:rFonts w:ascii="Times New Roman" w:hAnsi="Times New Roman"/>
        </w:rPr>
        <w:t xml:space="preserve"> positive correlation (rho=0.415, p=0.002). On the basis of these bivariate results, H1, H2 and H3 are each supported.</w:t>
      </w:r>
    </w:p>
    <w:p w14:paraId="08A7AEBB" w14:textId="77777777" w:rsidR="00251A9F" w:rsidRPr="00251A9F" w:rsidRDefault="00251A9F" w:rsidP="00251A9F">
      <w:pPr>
        <w:spacing w:line="360" w:lineRule="auto"/>
        <w:rPr>
          <w:rFonts w:ascii="Times New Roman" w:hAnsi="Times New Roman"/>
        </w:rPr>
      </w:pPr>
    </w:p>
    <w:p w14:paraId="23E6ED3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4.6: Spearman’s Rank Correlation with Overall Readiness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1"/>
        <w:gridCol w:w="1443"/>
        <w:gridCol w:w="1296"/>
        <w:gridCol w:w="1300"/>
      </w:tblGrid>
      <w:tr w:rsidR="00251A9F" w:rsidRPr="00251A9F" w14:paraId="60C120EC" w14:textId="77777777" w:rsidTr="002772BD">
        <w:tc>
          <w:tcPr>
            <w:tcW w:w="5360" w:type="dxa"/>
            <w:shd w:val="clear" w:color="auto" w:fill="D9D9D9"/>
            <w:vAlign w:val="center"/>
          </w:tcPr>
          <w:p w14:paraId="6D28049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Relationship</w:t>
            </w:r>
          </w:p>
        </w:tc>
        <w:tc>
          <w:tcPr>
            <w:tcW w:w="1400" w:type="dxa"/>
            <w:shd w:val="clear" w:color="auto" w:fill="D9D9D9"/>
            <w:vAlign w:val="center"/>
          </w:tcPr>
          <w:p w14:paraId="33440C7D"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Spearman’s rho</w:t>
            </w:r>
          </w:p>
        </w:tc>
        <w:tc>
          <w:tcPr>
            <w:tcW w:w="1300" w:type="dxa"/>
            <w:shd w:val="clear" w:color="auto" w:fill="D9D9D9"/>
            <w:vAlign w:val="center"/>
          </w:tcPr>
          <w:p w14:paraId="549FDAC5"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p-value</w:t>
            </w:r>
          </w:p>
        </w:tc>
        <w:tc>
          <w:tcPr>
            <w:tcW w:w="1300" w:type="dxa"/>
            <w:shd w:val="clear" w:color="auto" w:fill="D9D9D9"/>
            <w:vAlign w:val="center"/>
          </w:tcPr>
          <w:p w14:paraId="13989CB9"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Result</w:t>
            </w:r>
          </w:p>
        </w:tc>
      </w:tr>
      <w:tr w:rsidR="00251A9F" w:rsidRPr="00251A9F" w14:paraId="7E697C9D" w14:textId="77777777" w:rsidTr="002772BD">
        <w:tc>
          <w:tcPr>
            <w:tcW w:w="5360" w:type="dxa"/>
            <w:vAlign w:val="center"/>
          </w:tcPr>
          <w:p w14:paraId="6C18F50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H1: Regulatory Awareness → Overall Readiness</w:t>
            </w:r>
          </w:p>
        </w:tc>
        <w:tc>
          <w:tcPr>
            <w:tcW w:w="1400" w:type="dxa"/>
            <w:vAlign w:val="center"/>
          </w:tcPr>
          <w:p w14:paraId="147CA14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0.575</w:t>
            </w:r>
          </w:p>
        </w:tc>
        <w:tc>
          <w:tcPr>
            <w:tcW w:w="1300" w:type="dxa"/>
            <w:vAlign w:val="center"/>
          </w:tcPr>
          <w:p w14:paraId="0C42E56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&lt;0.001</w:t>
            </w:r>
          </w:p>
        </w:tc>
        <w:tc>
          <w:tcPr>
            <w:tcW w:w="1300" w:type="dxa"/>
            <w:vAlign w:val="center"/>
          </w:tcPr>
          <w:p w14:paraId="7D67490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Significant</w:t>
            </w:r>
          </w:p>
        </w:tc>
      </w:tr>
      <w:tr w:rsidR="00251A9F" w:rsidRPr="00251A9F" w14:paraId="44399AC9" w14:textId="77777777" w:rsidTr="002772BD">
        <w:tc>
          <w:tcPr>
            <w:tcW w:w="5360" w:type="dxa"/>
            <w:vAlign w:val="center"/>
          </w:tcPr>
          <w:p w14:paraId="2FDE829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H2: Technical Competence → Overall Readiness</w:t>
            </w:r>
          </w:p>
        </w:tc>
        <w:tc>
          <w:tcPr>
            <w:tcW w:w="1400" w:type="dxa"/>
            <w:vAlign w:val="center"/>
          </w:tcPr>
          <w:p w14:paraId="0645399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0.527</w:t>
            </w:r>
          </w:p>
        </w:tc>
        <w:tc>
          <w:tcPr>
            <w:tcW w:w="1300" w:type="dxa"/>
            <w:vAlign w:val="center"/>
          </w:tcPr>
          <w:p w14:paraId="28C03CE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&lt;0.001</w:t>
            </w:r>
          </w:p>
        </w:tc>
        <w:tc>
          <w:tcPr>
            <w:tcW w:w="1300" w:type="dxa"/>
            <w:vAlign w:val="center"/>
          </w:tcPr>
          <w:p w14:paraId="71EDA0A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Significant</w:t>
            </w:r>
          </w:p>
        </w:tc>
      </w:tr>
      <w:tr w:rsidR="00251A9F" w:rsidRPr="00251A9F" w14:paraId="7527883C" w14:textId="77777777" w:rsidTr="002772BD">
        <w:tc>
          <w:tcPr>
            <w:tcW w:w="5360" w:type="dxa"/>
            <w:vAlign w:val="center"/>
          </w:tcPr>
          <w:p w14:paraId="70F3E2C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H3: Perceived Confidence → Overall Readiness</w:t>
            </w:r>
          </w:p>
        </w:tc>
        <w:tc>
          <w:tcPr>
            <w:tcW w:w="1400" w:type="dxa"/>
            <w:vAlign w:val="center"/>
          </w:tcPr>
          <w:p w14:paraId="574F598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0.415</w:t>
            </w:r>
          </w:p>
        </w:tc>
        <w:tc>
          <w:tcPr>
            <w:tcW w:w="1300" w:type="dxa"/>
            <w:vAlign w:val="center"/>
          </w:tcPr>
          <w:p w14:paraId="1A2BB39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0.002</w:t>
            </w:r>
          </w:p>
        </w:tc>
        <w:tc>
          <w:tcPr>
            <w:tcW w:w="1300" w:type="dxa"/>
            <w:vAlign w:val="center"/>
          </w:tcPr>
          <w:p w14:paraId="19949BB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Significant</w:t>
            </w:r>
          </w:p>
        </w:tc>
      </w:tr>
    </w:tbl>
    <w:p w14:paraId="08A25931" w14:textId="77777777" w:rsidR="00251A9F" w:rsidRPr="00251A9F" w:rsidRDefault="00251A9F" w:rsidP="00251A9F">
      <w:pPr>
        <w:spacing w:line="360" w:lineRule="auto"/>
        <w:rPr>
          <w:rFonts w:ascii="Times New Roman" w:hAnsi="Times New Roman"/>
        </w:rPr>
      </w:pPr>
    </w:p>
    <w:p w14:paraId="574455C9" w14:textId="77777777" w:rsidR="00251A9F" w:rsidRPr="00251A9F" w:rsidRDefault="00251A9F" w:rsidP="00251A9F">
      <w:pPr>
        <w:spacing w:after="200" w:line="360" w:lineRule="auto"/>
        <w:rPr>
          <w:rFonts w:ascii="Times New Roman" w:hAnsi="Times New Roman"/>
        </w:rPr>
      </w:pPr>
      <w:r w:rsidRPr="00251A9F">
        <w:rPr>
          <w:rFonts w:ascii="Times New Roman" w:hAnsi="Times New Roman"/>
        </w:rPr>
        <w:t>A supplementary Spearman's correlation was run between Technical Competence and Perceived Confidence. As shown in Table 4.6b, the two variables were strongly correlated.</w:t>
      </w:r>
    </w:p>
    <w:p w14:paraId="739BE791" w14:textId="77777777" w:rsidR="00251A9F" w:rsidRPr="00251A9F" w:rsidRDefault="00251A9F" w:rsidP="00251A9F">
      <w:pPr>
        <w:spacing w:before="200" w:after="100" w:line="360" w:lineRule="auto"/>
        <w:rPr>
          <w:rFonts w:ascii="Times New Roman" w:hAnsi="Times New Roman"/>
          <w:b/>
          <w:bCs/>
        </w:rPr>
      </w:pPr>
      <w:r w:rsidRPr="00251A9F">
        <w:rPr>
          <w:rFonts w:ascii="Times New Roman" w:hAnsi="Times New Roman"/>
          <w:b/>
          <w:bCs/>
        </w:rPr>
        <w:t>Table 4.6b: Spearman's Correlation – Technical Competence and Perceived Confidence</w:t>
      </w:r>
    </w:p>
    <w:tbl>
      <w:tblPr>
        <w:tblW w:w="9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165"/>
        <w:gridCol w:w="1900"/>
        <w:gridCol w:w="1700"/>
        <w:gridCol w:w="1600"/>
      </w:tblGrid>
      <w:tr w:rsidR="00251A9F" w:rsidRPr="00251A9F" w14:paraId="0C9059C3" w14:textId="77777777" w:rsidTr="002772BD">
        <w:tc>
          <w:tcPr>
            <w:tcW w:w="4165" w:type="dxa"/>
            <w:shd w:val="clear" w:color="auto" w:fill="D9D9D9"/>
          </w:tcPr>
          <w:p w14:paraId="3F0FA6ED" w14:textId="77777777" w:rsidR="00251A9F" w:rsidRPr="00251A9F" w:rsidRDefault="00251A9F" w:rsidP="00251A9F">
            <w:pPr>
              <w:spacing w:line="360" w:lineRule="auto"/>
              <w:jc w:val="center"/>
              <w:rPr>
                <w:rFonts w:ascii="Times New Roman" w:hAnsi="Times New Roman"/>
              </w:rPr>
            </w:pPr>
            <w:r w:rsidRPr="00251A9F">
              <w:rPr>
                <w:rFonts w:ascii="Times New Roman" w:hAnsi="Times New Roman"/>
                <w:b/>
                <w:bCs/>
              </w:rPr>
              <w:t>Relationship</w:t>
            </w:r>
          </w:p>
        </w:tc>
        <w:tc>
          <w:tcPr>
            <w:tcW w:w="1900" w:type="dxa"/>
            <w:shd w:val="clear" w:color="auto" w:fill="D9D9D9"/>
          </w:tcPr>
          <w:p w14:paraId="5683B8AC" w14:textId="77777777" w:rsidR="00251A9F" w:rsidRPr="00251A9F" w:rsidRDefault="00251A9F" w:rsidP="00251A9F">
            <w:pPr>
              <w:spacing w:line="360" w:lineRule="auto"/>
              <w:jc w:val="center"/>
              <w:rPr>
                <w:rFonts w:ascii="Times New Roman" w:hAnsi="Times New Roman"/>
              </w:rPr>
            </w:pPr>
            <w:r w:rsidRPr="00251A9F">
              <w:rPr>
                <w:rFonts w:ascii="Times New Roman" w:hAnsi="Times New Roman"/>
                <w:b/>
                <w:bCs/>
              </w:rPr>
              <w:t>Spearman's rho</w:t>
            </w:r>
          </w:p>
        </w:tc>
        <w:tc>
          <w:tcPr>
            <w:tcW w:w="1700" w:type="dxa"/>
            <w:shd w:val="clear" w:color="auto" w:fill="D9D9D9"/>
          </w:tcPr>
          <w:p w14:paraId="165091E0" w14:textId="77777777" w:rsidR="00251A9F" w:rsidRPr="00251A9F" w:rsidRDefault="00251A9F" w:rsidP="00251A9F">
            <w:pPr>
              <w:spacing w:line="360" w:lineRule="auto"/>
              <w:jc w:val="center"/>
              <w:rPr>
                <w:rFonts w:ascii="Times New Roman" w:hAnsi="Times New Roman"/>
              </w:rPr>
            </w:pPr>
            <w:r w:rsidRPr="00251A9F">
              <w:rPr>
                <w:rFonts w:ascii="Times New Roman" w:hAnsi="Times New Roman"/>
                <w:b/>
                <w:bCs/>
              </w:rPr>
              <w:t>p-value</w:t>
            </w:r>
          </w:p>
        </w:tc>
        <w:tc>
          <w:tcPr>
            <w:tcW w:w="1600" w:type="dxa"/>
            <w:shd w:val="clear" w:color="auto" w:fill="D9D9D9"/>
          </w:tcPr>
          <w:p w14:paraId="2BF90DBA" w14:textId="77777777" w:rsidR="00251A9F" w:rsidRPr="00251A9F" w:rsidRDefault="00251A9F" w:rsidP="00251A9F">
            <w:pPr>
              <w:spacing w:line="360" w:lineRule="auto"/>
              <w:jc w:val="center"/>
              <w:rPr>
                <w:rFonts w:ascii="Times New Roman" w:hAnsi="Times New Roman"/>
              </w:rPr>
            </w:pPr>
            <w:r w:rsidRPr="00251A9F">
              <w:rPr>
                <w:rFonts w:ascii="Times New Roman" w:hAnsi="Times New Roman"/>
                <w:b/>
                <w:bCs/>
              </w:rPr>
              <w:t>N</w:t>
            </w:r>
          </w:p>
        </w:tc>
      </w:tr>
      <w:tr w:rsidR="00251A9F" w:rsidRPr="00251A9F" w14:paraId="740CFFFD" w14:textId="77777777" w:rsidTr="002772BD">
        <w:tc>
          <w:tcPr>
            <w:tcW w:w="4165" w:type="dxa"/>
          </w:tcPr>
          <w:p w14:paraId="18D0425E" w14:textId="77777777" w:rsidR="00251A9F" w:rsidRPr="00251A9F" w:rsidRDefault="00251A9F" w:rsidP="00251A9F">
            <w:pPr>
              <w:spacing w:line="360" w:lineRule="auto"/>
              <w:rPr>
                <w:rFonts w:ascii="Times New Roman" w:hAnsi="Times New Roman"/>
              </w:rPr>
            </w:pPr>
            <w:r w:rsidRPr="00251A9F">
              <w:rPr>
                <w:rFonts w:ascii="Times New Roman" w:hAnsi="Times New Roman"/>
              </w:rPr>
              <w:t>Technical Competence ↔ Perceived Confidence</w:t>
            </w:r>
          </w:p>
        </w:tc>
        <w:tc>
          <w:tcPr>
            <w:tcW w:w="1900" w:type="dxa"/>
          </w:tcPr>
          <w:p w14:paraId="088ED04A" w14:textId="77777777" w:rsidR="00251A9F" w:rsidRPr="00251A9F" w:rsidRDefault="00251A9F" w:rsidP="00251A9F">
            <w:pPr>
              <w:spacing w:line="360" w:lineRule="auto"/>
              <w:jc w:val="center"/>
              <w:rPr>
                <w:rFonts w:ascii="Times New Roman" w:hAnsi="Times New Roman"/>
              </w:rPr>
            </w:pPr>
            <w:r w:rsidRPr="00251A9F">
              <w:rPr>
                <w:rFonts w:ascii="Times New Roman" w:hAnsi="Times New Roman"/>
              </w:rPr>
              <w:t>0.729</w:t>
            </w:r>
          </w:p>
        </w:tc>
        <w:tc>
          <w:tcPr>
            <w:tcW w:w="1700" w:type="dxa"/>
          </w:tcPr>
          <w:p w14:paraId="69D96CF0" w14:textId="77777777" w:rsidR="00251A9F" w:rsidRPr="00251A9F" w:rsidRDefault="00251A9F" w:rsidP="00251A9F">
            <w:pPr>
              <w:spacing w:line="360" w:lineRule="auto"/>
              <w:jc w:val="center"/>
              <w:rPr>
                <w:rFonts w:ascii="Times New Roman" w:hAnsi="Times New Roman"/>
              </w:rPr>
            </w:pPr>
            <w:r w:rsidRPr="00251A9F">
              <w:rPr>
                <w:rFonts w:ascii="Times New Roman" w:hAnsi="Times New Roman"/>
              </w:rPr>
              <w:t>&lt;0.001</w:t>
            </w:r>
          </w:p>
        </w:tc>
        <w:tc>
          <w:tcPr>
            <w:tcW w:w="1600" w:type="dxa"/>
          </w:tcPr>
          <w:p w14:paraId="55352D05" w14:textId="77777777" w:rsidR="00251A9F" w:rsidRPr="00251A9F" w:rsidRDefault="00251A9F" w:rsidP="00251A9F">
            <w:pPr>
              <w:spacing w:line="360" w:lineRule="auto"/>
              <w:jc w:val="center"/>
              <w:rPr>
                <w:rFonts w:ascii="Times New Roman" w:hAnsi="Times New Roman"/>
              </w:rPr>
            </w:pPr>
            <w:r w:rsidRPr="00251A9F">
              <w:rPr>
                <w:rFonts w:ascii="Times New Roman" w:hAnsi="Times New Roman"/>
              </w:rPr>
              <w:t>54</w:t>
            </w:r>
          </w:p>
        </w:tc>
      </w:tr>
    </w:tbl>
    <w:p w14:paraId="31C591AF" w14:textId="77777777" w:rsidR="00251A9F" w:rsidRPr="00251A9F" w:rsidRDefault="00251A9F" w:rsidP="00251A9F">
      <w:pPr>
        <w:spacing w:line="360" w:lineRule="auto"/>
        <w:rPr>
          <w:rFonts w:ascii="Times New Roman" w:hAnsi="Times New Roman"/>
        </w:rPr>
      </w:pPr>
    </w:p>
    <w:p w14:paraId="3D6A4AE6" w14:textId="77777777" w:rsidR="00251A9F" w:rsidRDefault="00251A9F" w:rsidP="00251A9F">
      <w:pPr>
        <w:spacing w:line="360" w:lineRule="auto"/>
        <w:rPr>
          <w:rFonts w:ascii="Times New Roman" w:hAnsi="Times New Roman"/>
          <w:b/>
          <w:bCs/>
        </w:rPr>
      </w:pPr>
    </w:p>
    <w:p w14:paraId="0372BB52" w14:textId="5043358D" w:rsidR="00251A9F" w:rsidRPr="00251A9F" w:rsidRDefault="00251A9F" w:rsidP="00251A9F">
      <w:pPr>
        <w:spacing w:line="360" w:lineRule="auto"/>
        <w:rPr>
          <w:rFonts w:ascii="Times New Roman" w:hAnsi="Times New Roman"/>
          <w:b/>
          <w:bCs/>
        </w:rPr>
      </w:pPr>
      <w:r w:rsidRPr="00251A9F">
        <w:rPr>
          <w:rFonts w:ascii="Times New Roman" w:hAnsi="Times New Roman"/>
          <w:b/>
          <w:bCs/>
        </w:rPr>
        <w:lastRenderedPageBreak/>
        <w:t>4.7 Multiple Regression Analysis (Hypotheses H1 to H3)</w:t>
      </w:r>
    </w:p>
    <w:p w14:paraId="6388FCF9"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To assess how much of the variance in Overall Readiness could be explained by the three independent variables together, and toto identify which variables remained significant unique predictors once the others were controlled for, a multiple linear regression were run with Overall Readiness as the dependent variable and Regulatory Awareness, Technical Competence and Perceived Confidence entered simultaneously as predictors. The overall model was statistically significant and explained just over half of the variance in Overall Readiness, R2=0.517, Adjusted R2=0.488, </w:t>
      </w:r>
      <w:proofErr w:type="gramStart"/>
      <w:r w:rsidRPr="00251A9F">
        <w:rPr>
          <w:rFonts w:ascii="Times New Roman" w:hAnsi="Times New Roman"/>
        </w:rPr>
        <w:t>F(</w:t>
      </w:r>
      <w:proofErr w:type="gramEnd"/>
      <w:r w:rsidRPr="00251A9F">
        <w:rPr>
          <w:rFonts w:ascii="Times New Roman" w:hAnsi="Times New Roman"/>
        </w:rPr>
        <w:t>3,</w:t>
      </w:r>
      <w:proofErr w:type="gramStart"/>
      <w:r w:rsidRPr="00251A9F">
        <w:rPr>
          <w:rFonts w:ascii="Times New Roman" w:hAnsi="Times New Roman"/>
        </w:rPr>
        <w:t>50)=</w:t>
      </w:r>
      <w:proofErr w:type="gramEnd"/>
      <w:r w:rsidRPr="00251A9F">
        <w:rPr>
          <w:rFonts w:ascii="Times New Roman" w:hAnsi="Times New Roman"/>
        </w:rPr>
        <w:t>17.847, p&lt;0.001.</w:t>
      </w:r>
    </w:p>
    <w:p w14:paraId="195DC18A" w14:textId="77777777" w:rsidR="00251A9F" w:rsidRPr="00251A9F" w:rsidRDefault="00251A9F" w:rsidP="00251A9F">
      <w:pPr>
        <w:spacing w:line="360" w:lineRule="auto"/>
        <w:rPr>
          <w:rFonts w:ascii="Times New Roman" w:hAnsi="Times New Roman"/>
        </w:rPr>
      </w:pPr>
      <w:r w:rsidRPr="00251A9F">
        <w:rPr>
          <w:rFonts w:ascii="Times New Roman" w:hAnsi="Times New Roman"/>
        </w:rPr>
        <w:t>As shown in Table 4.7, Regulatory Awareness (β=0.434, p&lt;0.001) and Technical Competence (β=0.407, p=0.004) were both the significant unique predictors of Overall Readiness. Perceived Confidence, however, was not a significant unique predictor once Regulatory Awareness and Technical Competence were held constant (β=0.052, p=0.688), despite showing a significant bivariate correlation with Overall Readiness in the correlation analysis above. This pattern, and its most likely explanation, is discussed further in Chapter Five.</w:t>
      </w:r>
    </w:p>
    <w:p w14:paraId="3CD67FE2" w14:textId="77777777" w:rsidR="00251A9F" w:rsidRPr="00251A9F" w:rsidRDefault="00251A9F" w:rsidP="00251A9F">
      <w:pPr>
        <w:spacing w:line="360" w:lineRule="auto"/>
        <w:rPr>
          <w:rFonts w:ascii="Times New Roman" w:hAnsi="Times New Roman"/>
        </w:rPr>
      </w:pPr>
    </w:p>
    <w:p w14:paraId="0BF4D62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4.7: Multiple Linear Regression – Overall Readiness Regressed on RA, TC and PC</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60"/>
        <w:gridCol w:w="1360"/>
        <w:gridCol w:w="1360"/>
        <w:gridCol w:w="1360"/>
        <w:gridCol w:w="1360"/>
        <w:gridCol w:w="1360"/>
      </w:tblGrid>
      <w:tr w:rsidR="00251A9F" w:rsidRPr="00251A9F" w14:paraId="322B4719" w14:textId="77777777" w:rsidTr="002772BD">
        <w:tc>
          <w:tcPr>
            <w:tcW w:w="2560" w:type="dxa"/>
            <w:shd w:val="clear" w:color="auto" w:fill="D9D9D9"/>
            <w:vAlign w:val="center"/>
          </w:tcPr>
          <w:p w14:paraId="4AC8298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Predictor</w:t>
            </w:r>
          </w:p>
        </w:tc>
        <w:tc>
          <w:tcPr>
            <w:tcW w:w="1360" w:type="dxa"/>
            <w:shd w:val="clear" w:color="auto" w:fill="D9D9D9"/>
            <w:vAlign w:val="center"/>
          </w:tcPr>
          <w:p w14:paraId="7BECE817"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B</w:t>
            </w:r>
          </w:p>
        </w:tc>
        <w:tc>
          <w:tcPr>
            <w:tcW w:w="1360" w:type="dxa"/>
            <w:shd w:val="clear" w:color="auto" w:fill="D9D9D9"/>
            <w:vAlign w:val="center"/>
          </w:tcPr>
          <w:p w14:paraId="4A90BD54"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SE</w:t>
            </w:r>
          </w:p>
        </w:tc>
        <w:tc>
          <w:tcPr>
            <w:tcW w:w="1360" w:type="dxa"/>
            <w:shd w:val="clear" w:color="auto" w:fill="D9D9D9"/>
            <w:vAlign w:val="center"/>
          </w:tcPr>
          <w:p w14:paraId="2DBC2CD6"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β (Beta)</w:t>
            </w:r>
          </w:p>
        </w:tc>
        <w:tc>
          <w:tcPr>
            <w:tcW w:w="1360" w:type="dxa"/>
            <w:shd w:val="clear" w:color="auto" w:fill="D9D9D9"/>
            <w:vAlign w:val="center"/>
          </w:tcPr>
          <w:p w14:paraId="2710E81C"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t</w:t>
            </w:r>
          </w:p>
        </w:tc>
        <w:tc>
          <w:tcPr>
            <w:tcW w:w="1360" w:type="dxa"/>
            <w:shd w:val="clear" w:color="auto" w:fill="D9D9D9"/>
            <w:vAlign w:val="center"/>
          </w:tcPr>
          <w:p w14:paraId="4EA52FE5"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w:t>
            </w:r>
          </w:p>
        </w:tc>
      </w:tr>
      <w:tr w:rsidR="00251A9F" w:rsidRPr="00251A9F" w14:paraId="160977E9" w14:textId="77777777" w:rsidTr="002772BD">
        <w:tc>
          <w:tcPr>
            <w:tcW w:w="2560" w:type="dxa"/>
            <w:vAlign w:val="center"/>
          </w:tcPr>
          <w:p w14:paraId="41535AE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(Constant)</w:t>
            </w:r>
          </w:p>
        </w:tc>
        <w:tc>
          <w:tcPr>
            <w:tcW w:w="1360" w:type="dxa"/>
            <w:vAlign w:val="center"/>
          </w:tcPr>
          <w:p w14:paraId="35D435E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0.089</w:t>
            </w:r>
          </w:p>
        </w:tc>
        <w:tc>
          <w:tcPr>
            <w:tcW w:w="1360" w:type="dxa"/>
            <w:vAlign w:val="center"/>
          </w:tcPr>
          <w:p w14:paraId="29259A4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0.527</w:t>
            </w:r>
          </w:p>
        </w:tc>
        <w:tc>
          <w:tcPr>
            <w:tcW w:w="1360" w:type="dxa"/>
            <w:vAlign w:val="center"/>
          </w:tcPr>
          <w:p w14:paraId="229CF6E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w:t>
            </w:r>
          </w:p>
        </w:tc>
        <w:tc>
          <w:tcPr>
            <w:tcW w:w="1360" w:type="dxa"/>
            <w:vAlign w:val="center"/>
          </w:tcPr>
          <w:p w14:paraId="7AB7E21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0.169</w:t>
            </w:r>
          </w:p>
        </w:tc>
        <w:tc>
          <w:tcPr>
            <w:tcW w:w="1360" w:type="dxa"/>
            <w:vAlign w:val="center"/>
          </w:tcPr>
          <w:p w14:paraId="7B6969B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0.867</w:t>
            </w:r>
          </w:p>
        </w:tc>
      </w:tr>
      <w:tr w:rsidR="00251A9F" w:rsidRPr="00251A9F" w14:paraId="19328485" w14:textId="77777777" w:rsidTr="002772BD">
        <w:tc>
          <w:tcPr>
            <w:tcW w:w="2560" w:type="dxa"/>
            <w:vAlign w:val="center"/>
          </w:tcPr>
          <w:p w14:paraId="0449E4D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Regulatory Awareness</w:t>
            </w:r>
          </w:p>
        </w:tc>
        <w:tc>
          <w:tcPr>
            <w:tcW w:w="1360" w:type="dxa"/>
            <w:vAlign w:val="center"/>
          </w:tcPr>
          <w:p w14:paraId="21DBB7C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0.429</w:t>
            </w:r>
          </w:p>
        </w:tc>
        <w:tc>
          <w:tcPr>
            <w:tcW w:w="1360" w:type="dxa"/>
            <w:vAlign w:val="center"/>
          </w:tcPr>
          <w:p w14:paraId="0525702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0.103</w:t>
            </w:r>
          </w:p>
        </w:tc>
        <w:tc>
          <w:tcPr>
            <w:tcW w:w="1360" w:type="dxa"/>
            <w:vAlign w:val="center"/>
          </w:tcPr>
          <w:p w14:paraId="084C90D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0.434</w:t>
            </w:r>
          </w:p>
        </w:tc>
        <w:tc>
          <w:tcPr>
            <w:tcW w:w="1360" w:type="dxa"/>
            <w:vAlign w:val="center"/>
          </w:tcPr>
          <w:p w14:paraId="7C5D479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4.142</w:t>
            </w:r>
          </w:p>
        </w:tc>
        <w:tc>
          <w:tcPr>
            <w:tcW w:w="1360" w:type="dxa"/>
            <w:vAlign w:val="center"/>
          </w:tcPr>
          <w:p w14:paraId="218F801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&lt;0.001</w:t>
            </w:r>
          </w:p>
        </w:tc>
      </w:tr>
      <w:tr w:rsidR="00251A9F" w:rsidRPr="00251A9F" w14:paraId="2EAB0A6B" w14:textId="77777777" w:rsidTr="002772BD">
        <w:tc>
          <w:tcPr>
            <w:tcW w:w="2560" w:type="dxa"/>
            <w:vAlign w:val="center"/>
          </w:tcPr>
          <w:p w14:paraId="4212ADB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Technical Competence</w:t>
            </w:r>
          </w:p>
        </w:tc>
        <w:tc>
          <w:tcPr>
            <w:tcW w:w="1360" w:type="dxa"/>
            <w:vAlign w:val="center"/>
          </w:tcPr>
          <w:p w14:paraId="619E552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0.495</w:t>
            </w:r>
          </w:p>
        </w:tc>
        <w:tc>
          <w:tcPr>
            <w:tcW w:w="1360" w:type="dxa"/>
            <w:vAlign w:val="center"/>
          </w:tcPr>
          <w:p w14:paraId="1235FB6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0.162</w:t>
            </w:r>
          </w:p>
        </w:tc>
        <w:tc>
          <w:tcPr>
            <w:tcW w:w="1360" w:type="dxa"/>
            <w:vAlign w:val="center"/>
          </w:tcPr>
          <w:p w14:paraId="3BF9B13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0.407</w:t>
            </w:r>
          </w:p>
        </w:tc>
        <w:tc>
          <w:tcPr>
            <w:tcW w:w="1360" w:type="dxa"/>
            <w:vAlign w:val="center"/>
          </w:tcPr>
          <w:p w14:paraId="7511A52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3.053</w:t>
            </w:r>
          </w:p>
        </w:tc>
        <w:tc>
          <w:tcPr>
            <w:tcW w:w="1360" w:type="dxa"/>
            <w:vAlign w:val="center"/>
          </w:tcPr>
          <w:p w14:paraId="40F9151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0.004</w:t>
            </w:r>
          </w:p>
        </w:tc>
      </w:tr>
      <w:tr w:rsidR="00251A9F" w:rsidRPr="00251A9F" w14:paraId="68AA57E2" w14:textId="77777777" w:rsidTr="002772BD">
        <w:tc>
          <w:tcPr>
            <w:tcW w:w="2560" w:type="dxa"/>
            <w:vAlign w:val="center"/>
          </w:tcPr>
          <w:p w14:paraId="72BB766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Perceived Confidence</w:t>
            </w:r>
          </w:p>
        </w:tc>
        <w:tc>
          <w:tcPr>
            <w:tcW w:w="1360" w:type="dxa"/>
            <w:vAlign w:val="center"/>
          </w:tcPr>
          <w:p w14:paraId="1CBA047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0.064</w:t>
            </w:r>
          </w:p>
        </w:tc>
        <w:tc>
          <w:tcPr>
            <w:tcW w:w="1360" w:type="dxa"/>
            <w:vAlign w:val="center"/>
          </w:tcPr>
          <w:p w14:paraId="274B1CB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0.157</w:t>
            </w:r>
          </w:p>
        </w:tc>
        <w:tc>
          <w:tcPr>
            <w:tcW w:w="1360" w:type="dxa"/>
            <w:vAlign w:val="center"/>
          </w:tcPr>
          <w:p w14:paraId="079A0C4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0.052</w:t>
            </w:r>
          </w:p>
        </w:tc>
        <w:tc>
          <w:tcPr>
            <w:tcW w:w="1360" w:type="dxa"/>
            <w:vAlign w:val="center"/>
          </w:tcPr>
          <w:p w14:paraId="3BD69BB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0.404</w:t>
            </w:r>
          </w:p>
        </w:tc>
        <w:tc>
          <w:tcPr>
            <w:tcW w:w="1360" w:type="dxa"/>
            <w:vAlign w:val="center"/>
          </w:tcPr>
          <w:p w14:paraId="331FDE9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0.688</w:t>
            </w:r>
          </w:p>
        </w:tc>
      </w:tr>
    </w:tbl>
    <w:p w14:paraId="69FA78ED" w14:textId="77777777" w:rsidR="00251A9F" w:rsidRPr="00251A9F" w:rsidRDefault="00251A9F" w:rsidP="00251A9F">
      <w:pPr>
        <w:spacing w:line="360" w:lineRule="auto"/>
        <w:rPr>
          <w:rFonts w:ascii="Times New Roman" w:hAnsi="Times New Roman"/>
        </w:rPr>
      </w:pPr>
    </w:p>
    <w:p w14:paraId="48FE17A7" w14:textId="77777777" w:rsidR="00251A9F" w:rsidRPr="00251A9F" w:rsidRDefault="00251A9F" w:rsidP="00251A9F">
      <w:pPr>
        <w:spacing w:line="360" w:lineRule="auto"/>
        <w:rPr>
          <w:rFonts w:ascii="Times New Roman" w:hAnsi="Times New Roman"/>
          <w:i/>
          <w:iCs/>
        </w:rPr>
      </w:pPr>
      <w:r w:rsidRPr="00251A9F">
        <w:rPr>
          <w:rFonts w:ascii="Times New Roman" w:hAnsi="Times New Roman"/>
          <w:i/>
          <w:iCs/>
        </w:rPr>
        <w:t xml:space="preserve">Model summary: R2=0.517, Adjusted R2=0.488, </w:t>
      </w:r>
      <w:proofErr w:type="gramStart"/>
      <w:r w:rsidRPr="00251A9F">
        <w:rPr>
          <w:rFonts w:ascii="Times New Roman" w:hAnsi="Times New Roman"/>
          <w:i/>
          <w:iCs/>
        </w:rPr>
        <w:t>F(</w:t>
      </w:r>
      <w:proofErr w:type="gramEnd"/>
      <w:r w:rsidRPr="00251A9F">
        <w:rPr>
          <w:rFonts w:ascii="Times New Roman" w:hAnsi="Times New Roman"/>
          <w:i/>
          <w:iCs/>
        </w:rPr>
        <w:t>3,</w:t>
      </w:r>
      <w:proofErr w:type="gramStart"/>
      <w:r w:rsidRPr="00251A9F">
        <w:rPr>
          <w:rFonts w:ascii="Times New Roman" w:hAnsi="Times New Roman"/>
          <w:i/>
          <w:iCs/>
        </w:rPr>
        <w:t>50)=</w:t>
      </w:r>
      <w:proofErr w:type="gramEnd"/>
      <w:r w:rsidRPr="00251A9F">
        <w:rPr>
          <w:rFonts w:ascii="Times New Roman" w:hAnsi="Times New Roman"/>
          <w:i/>
          <w:iCs/>
        </w:rPr>
        <w:t>17.847, p&lt;0.001</w:t>
      </w:r>
    </w:p>
    <w:p w14:paraId="56DE4FA9" w14:textId="77777777" w:rsidR="00251A9F" w:rsidRPr="00251A9F" w:rsidRDefault="00251A9F" w:rsidP="00251A9F">
      <w:pPr>
        <w:spacing w:line="360" w:lineRule="auto"/>
        <w:rPr>
          <w:rFonts w:ascii="Times New Roman" w:hAnsi="Times New Roman"/>
        </w:rPr>
      </w:pPr>
    </w:p>
    <w:p w14:paraId="29A2F91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4.8 Moderation Analysis: Organisational Support (Hypothesis H4)</w:t>
      </w:r>
    </w:p>
    <w:p w14:paraId="6C3B8488"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Hierarchical multiple regression was used to test if Organisational Support moderates the relationships between the three independent variables and Overall Readiness. All predictor variables were mean-centred before the interaction terms were calculated, in order to reduce multicollinearity between main-effect and interaction terms. Regulatory Awareness, Technical Competence and Perceived Confidence were entered in Step 1, Organisational </w:t>
      </w:r>
      <w:r w:rsidRPr="00251A9F">
        <w:rPr>
          <w:rFonts w:ascii="Times New Roman" w:hAnsi="Times New Roman"/>
        </w:rPr>
        <w:lastRenderedPageBreak/>
        <w:t>Support was added in Step 2, and the three interaction terms (Regulatory Awareness x Organisational Support, Technical Competence x Organisational Support, and Perceived Confidence x Organisational Support) were added together in Step 3.</w:t>
      </w:r>
    </w:p>
    <w:p w14:paraId="42583BA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As shown in Table 4.8, adding Organisational Support in Step 2 produced a statistically significant increase in explained variance, ΔR2=0.125, </w:t>
      </w:r>
      <w:proofErr w:type="gramStart"/>
      <w:r w:rsidRPr="00251A9F">
        <w:rPr>
          <w:rFonts w:ascii="Times New Roman" w:hAnsi="Times New Roman"/>
        </w:rPr>
        <w:t>F(</w:t>
      </w:r>
      <w:proofErr w:type="gramEnd"/>
      <w:r w:rsidRPr="00251A9F">
        <w:rPr>
          <w:rFonts w:ascii="Times New Roman" w:hAnsi="Times New Roman"/>
        </w:rPr>
        <w:t>1,</w:t>
      </w:r>
      <w:proofErr w:type="gramStart"/>
      <w:r w:rsidRPr="00251A9F">
        <w:rPr>
          <w:rFonts w:ascii="Times New Roman" w:hAnsi="Times New Roman"/>
        </w:rPr>
        <w:t>49)=</w:t>
      </w:r>
      <w:proofErr w:type="gramEnd"/>
      <w:r w:rsidRPr="00251A9F">
        <w:rPr>
          <w:rFonts w:ascii="Times New Roman" w:hAnsi="Times New Roman"/>
        </w:rPr>
        <w:t xml:space="preserve">17.185, p&lt;0.001, and Organisational Support itself emerged as a strong, statistically significant direct predictor of Overall Readiness (β=0.453, p&lt;0.001). However, adding the three interaction terms in Step 3 did not produce any statistically significant increase in explained variance, ΔR2=0.014, </w:t>
      </w:r>
      <w:proofErr w:type="gramStart"/>
      <w:r w:rsidRPr="00251A9F">
        <w:rPr>
          <w:rFonts w:ascii="Times New Roman" w:hAnsi="Times New Roman"/>
        </w:rPr>
        <w:t>F(</w:t>
      </w:r>
      <w:proofErr w:type="gramEnd"/>
      <w:r w:rsidRPr="00251A9F">
        <w:rPr>
          <w:rFonts w:ascii="Times New Roman" w:hAnsi="Times New Roman"/>
        </w:rPr>
        <w:t>3,</w:t>
      </w:r>
      <w:proofErr w:type="gramStart"/>
      <w:r w:rsidRPr="00251A9F">
        <w:rPr>
          <w:rFonts w:ascii="Times New Roman" w:hAnsi="Times New Roman"/>
        </w:rPr>
        <w:t>46)=</w:t>
      </w:r>
      <w:proofErr w:type="gramEnd"/>
      <w:r w:rsidRPr="00251A9F">
        <w:rPr>
          <w:rFonts w:ascii="Times New Roman" w:hAnsi="Times New Roman"/>
        </w:rPr>
        <w:t>0.626, p=0.602, and none of the three individual interaction terms reached statistical significance. On this basis, Organisational Support does not act as a statistically significant moderator of the relationships tested in H1 to H3, and H4 is not supported in its moderating form, although Organisational Support is itself a significant direct predictor of the Overall Readiness.</w:t>
      </w:r>
    </w:p>
    <w:p w14:paraId="4DF6802A" w14:textId="77777777" w:rsidR="00251A9F" w:rsidRPr="00251A9F" w:rsidRDefault="00251A9F" w:rsidP="00251A9F">
      <w:pPr>
        <w:spacing w:line="360" w:lineRule="auto"/>
        <w:rPr>
          <w:rFonts w:ascii="Times New Roman" w:hAnsi="Times New Roman"/>
        </w:rPr>
      </w:pPr>
    </w:p>
    <w:p w14:paraId="049FB210"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4.8: Hierarchical Regression Summary – Organisational Support as Moderator (H4)</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0"/>
        <w:gridCol w:w="1398"/>
        <w:gridCol w:w="1398"/>
        <w:gridCol w:w="1398"/>
        <w:gridCol w:w="1016"/>
      </w:tblGrid>
      <w:tr w:rsidR="00251A9F" w:rsidRPr="00251A9F" w14:paraId="3B29F2D0" w14:textId="77777777" w:rsidTr="002772BD">
        <w:tc>
          <w:tcPr>
            <w:tcW w:w="4160" w:type="dxa"/>
            <w:shd w:val="clear" w:color="auto" w:fill="D9D9D9"/>
            <w:vAlign w:val="center"/>
          </w:tcPr>
          <w:p w14:paraId="7D7ECB61"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Step / Predictor</w:t>
            </w:r>
          </w:p>
        </w:tc>
        <w:tc>
          <w:tcPr>
            <w:tcW w:w="1400" w:type="dxa"/>
            <w:shd w:val="clear" w:color="auto" w:fill="D9D9D9"/>
            <w:vAlign w:val="center"/>
          </w:tcPr>
          <w:p w14:paraId="044D3197"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R2</w:t>
            </w:r>
          </w:p>
        </w:tc>
        <w:tc>
          <w:tcPr>
            <w:tcW w:w="1400" w:type="dxa"/>
            <w:shd w:val="clear" w:color="auto" w:fill="D9D9D9"/>
            <w:vAlign w:val="center"/>
          </w:tcPr>
          <w:p w14:paraId="20743052"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ΔR2</w:t>
            </w:r>
          </w:p>
        </w:tc>
        <w:tc>
          <w:tcPr>
            <w:tcW w:w="1400" w:type="dxa"/>
            <w:shd w:val="clear" w:color="auto" w:fill="D9D9D9"/>
            <w:vAlign w:val="center"/>
          </w:tcPr>
          <w:p w14:paraId="246E71B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F change</w:t>
            </w:r>
          </w:p>
        </w:tc>
        <w:tc>
          <w:tcPr>
            <w:tcW w:w="1000" w:type="dxa"/>
            <w:shd w:val="clear" w:color="auto" w:fill="D9D9D9"/>
            <w:vAlign w:val="center"/>
          </w:tcPr>
          <w:p w14:paraId="3C0C33BF"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 (F change)</w:t>
            </w:r>
          </w:p>
        </w:tc>
      </w:tr>
      <w:tr w:rsidR="00251A9F" w:rsidRPr="00251A9F" w14:paraId="48023C27" w14:textId="77777777" w:rsidTr="002772BD">
        <w:tc>
          <w:tcPr>
            <w:tcW w:w="4160" w:type="dxa"/>
            <w:vAlign w:val="center"/>
          </w:tcPr>
          <w:p w14:paraId="5354F9E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Step 1: RA, TC, PC</w:t>
            </w:r>
          </w:p>
        </w:tc>
        <w:tc>
          <w:tcPr>
            <w:tcW w:w="1400" w:type="dxa"/>
            <w:vAlign w:val="center"/>
          </w:tcPr>
          <w:p w14:paraId="7E0381F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0.517</w:t>
            </w:r>
          </w:p>
        </w:tc>
        <w:tc>
          <w:tcPr>
            <w:tcW w:w="1400" w:type="dxa"/>
            <w:vAlign w:val="center"/>
          </w:tcPr>
          <w:p w14:paraId="679E787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w:t>
            </w:r>
          </w:p>
        </w:tc>
        <w:tc>
          <w:tcPr>
            <w:tcW w:w="1400" w:type="dxa"/>
            <w:vAlign w:val="center"/>
          </w:tcPr>
          <w:p w14:paraId="457F3D1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17.847</w:t>
            </w:r>
          </w:p>
        </w:tc>
        <w:tc>
          <w:tcPr>
            <w:tcW w:w="1000" w:type="dxa"/>
            <w:vAlign w:val="center"/>
          </w:tcPr>
          <w:p w14:paraId="3D56DA5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&lt;0.001</w:t>
            </w:r>
          </w:p>
        </w:tc>
      </w:tr>
      <w:tr w:rsidR="00251A9F" w:rsidRPr="00251A9F" w14:paraId="6AB60073" w14:textId="77777777" w:rsidTr="002772BD">
        <w:tc>
          <w:tcPr>
            <w:tcW w:w="4160" w:type="dxa"/>
            <w:vAlign w:val="center"/>
          </w:tcPr>
          <w:p w14:paraId="18CA7F2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Step 2: + Organisational Support</w:t>
            </w:r>
          </w:p>
        </w:tc>
        <w:tc>
          <w:tcPr>
            <w:tcW w:w="1400" w:type="dxa"/>
            <w:vAlign w:val="center"/>
          </w:tcPr>
          <w:p w14:paraId="2B7C027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0.642</w:t>
            </w:r>
          </w:p>
        </w:tc>
        <w:tc>
          <w:tcPr>
            <w:tcW w:w="1400" w:type="dxa"/>
            <w:vAlign w:val="center"/>
          </w:tcPr>
          <w:p w14:paraId="4F772AC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0.125</w:t>
            </w:r>
          </w:p>
        </w:tc>
        <w:tc>
          <w:tcPr>
            <w:tcW w:w="1400" w:type="dxa"/>
            <w:vAlign w:val="center"/>
          </w:tcPr>
          <w:p w14:paraId="29B1F4A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17.185</w:t>
            </w:r>
          </w:p>
        </w:tc>
        <w:tc>
          <w:tcPr>
            <w:tcW w:w="1000" w:type="dxa"/>
            <w:vAlign w:val="center"/>
          </w:tcPr>
          <w:p w14:paraId="2B049AD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&lt;0.001</w:t>
            </w:r>
          </w:p>
        </w:tc>
      </w:tr>
      <w:tr w:rsidR="00251A9F" w:rsidRPr="00251A9F" w14:paraId="4E989366" w14:textId="77777777" w:rsidTr="002772BD">
        <w:tc>
          <w:tcPr>
            <w:tcW w:w="4160" w:type="dxa"/>
            <w:vAlign w:val="center"/>
          </w:tcPr>
          <w:p w14:paraId="633C38C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 xml:space="preserve">Step 3: + </w:t>
            </w:r>
            <w:proofErr w:type="spellStart"/>
            <w:r w:rsidRPr="00251A9F">
              <w:rPr>
                <w:rFonts w:ascii="Times New Roman" w:hAnsi="Times New Roman"/>
              </w:rPr>
              <w:t>RAxOS</w:t>
            </w:r>
            <w:proofErr w:type="spellEnd"/>
            <w:r w:rsidRPr="00251A9F">
              <w:rPr>
                <w:rFonts w:ascii="Times New Roman" w:hAnsi="Times New Roman"/>
              </w:rPr>
              <w:t xml:space="preserve">, </w:t>
            </w:r>
            <w:proofErr w:type="spellStart"/>
            <w:r w:rsidRPr="00251A9F">
              <w:rPr>
                <w:rFonts w:ascii="Times New Roman" w:hAnsi="Times New Roman"/>
              </w:rPr>
              <w:t>TCxOS</w:t>
            </w:r>
            <w:proofErr w:type="spellEnd"/>
            <w:r w:rsidRPr="00251A9F">
              <w:rPr>
                <w:rFonts w:ascii="Times New Roman" w:hAnsi="Times New Roman"/>
              </w:rPr>
              <w:t xml:space="preserve">, </w:t>
            </w:r>
            <w:proofErr w:type="spellStart"/>
            <w:r w:rsidRPr="00251A9F">
              <w:rPr>
                <w:rFonts w:ascii="Times New Roman" w:hAnsi="Times New Roman"/>
              </w:rPr>
              <w:t>PCxOS</w:t>
            </w:r>
            <w:proofErr w:type="spellEnd"/>
          </w:p>
        </w:tc>
        <w:tc>
          <w:tcPr>
            <w:tcW w:w="1400" w:type="dxa"/>
            <w:vAlign w:val="center"/>
          </w:tcPr>
          <w:p w14:paraId="185A436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0.657</w:t>
            </w:r>
          </w:p>
        </w:tc>
        <w:tc>
          <w:tcPr>
            <w:tcW w:w="1400" w:type="dxa"/>
            <w:vAlign w:val="center"/>
          </w:tcPr>
          <w:p w14:paraId="59D92AA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0.014</w:t>
            </w:r>
          </w:p>
        </w:tc>
        <w:tc>
          <w:tcPr>
            <w:tcW w:w="1400" w:type="dxa"/>
            <w:vAlign w:val="center"/>
          </w:tcPr>
          <w:p w14:paraId="7B4606C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0.626</w:t>
            </w:r>
          </w:p>
        </w:tc>
        <w:tc>
          <w:tcPr>
            <w:tcW w:w="1000" w:type="dxa"/>
            <w:vAlign w:val="center"/>
          </w:tcPr>
          <w:p w14:paraId="487F16C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0.602</w:t>
            </w:r>
          </w:p>
        </w:tc>
      </w:tr>
    </w:tbl>
    <w:p w14:paraId="4E5B8D1D" w14:textId="77777777" w:rsidR="00251A9F" w:rsidRPr="00251A9F" w:rsidRDefault="00251A9F" w:rsidP="00251A9F">
      <w:pPr>
        <w:spacing w:line="360" w:lineRule="auto"/>
        <w:rPr>
          <w:rFonts w:ascii="Times New Roman" w:hAnsi="Times New Roman"/>
        </w:rPr>
      </w:pPr>
    </w:p>
    <w:p w14:paraId="2941824E" w14:textId="77777777" w:rsidR="00251A9F" w:rsidRPr="00251A9F" w:rsidRDefault="00251A9F" w:rsidP="00251A9F">
      <w:pPr>
        <w:spacing w:line="360" w:lineRule="auto"/>
        <w:rPr>
          <w:rFonts w:ascii="Times New Roman" w:hAnsi="Times New Roman"/>
        </w:rPr>
      </w:pPr>
    </w:p>
    <w:p w14:paraId="5130ABF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4.9: Full Step 3 Regression Coefficients – Organisational Support Moderation Model</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0"/>
        <w:gridCol w:w="1300"/>
        <w:gridCol w:w="1300"/>
        <w:gridCol w:w="1300"/>
        <w:gridCol w:w="1280"/>
        <w:gridCol w:w="1280"/>
      </w:tblGrid>
      <w:tr w:rsidR="00251A9F" w:rsidRPr="00251A9F" w14:paraId="2635D9CF" w14:textId="77777777" w:rsidTr="002772BD">
        <w:tc>
          <w:tcPr>
            <w:tcW w:w="2900" w:type="dxa"/>
            <w:shd w:val="clear" w:color="auto" w:fill="D9D9D9"/>
            <w:vAlign w:val="center"/>
          </w:tcPr>
          <w:p w14:paraId="53424DCA"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Predictor (Step 3 model)</w:t>
            </w:r>
          </w:p>
        </w:tc>
        <w:tc>
          <w:tcPr>
            <w:tcW w:w="1300" w:type="dxa"/>
            <w:shd w:val="clear" w:color="auto" w:fill="D9D9D9"/>
            <w:vAlign w:val="center"/>
          </w:tcPr>
          <w:p w14:paraId="31AF3286"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B</w:t>
            </w:r>
          </w:p>
        </w:tc>
        <w:tc>
          <w:tcPr>
            <w:tcW w:w="1300" w:type="dxa"/>
            <w:shd w:val="clear" w:color="auto" w:fill="D9D9D9"/>
            <w:vAlign w:val="center"/>
          </w:tcPr>
          <w:p w14:paraId="293206FD"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SE</w:t>
            </w:r>
          </w:p>
        </w:tc>
        <w:tc>
          <w:tcPr>
            <w:tcW w:w="1300" w:type="dxa"/>
            <w:shd w:val="clear" w:color="auto" w:fill="D9D9D9"/>
            <w:vAlign w:val="center"/>
          </w:tcPr>
          <w:p w14:paraId="7F42D63F"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β (Beta)</w:t>
            </w:r>
          </w:p>
        </w:tc>
        <w:tc>
          <w:tcPr>
            <w:tcW w:w="1280" w:type="dxa"/>
            <w:shd w:val="clear" w:color="auto" w:fill="D9D9D9"/>
            <w:vAlign w:val="center"/>
          </w:tcPr>
          <w:p w14:paraId="422233E2"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t</w:t>
            </w:r>
          </w:p>
        </w:tc>
        <w:tc>
          <w:tcPr>
            <w:tcW w:w="1280" w:type="dxa"/>
            <w:shd w:val="clear" w:color="auto" w:fill="D9D9D9"/>
            <w:vAlign w:val="center"/>
          </w:tcPr>
          <w:p w14:paraId="352D4ED4"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w:t>
            </w:r>
          </w:p>
        </w:tc>
      </w:tr>
      <w:tr w:rsidR="00251A9F" w:rsidRPr="00251A9F" w14:paraId="4A51FF21" w14:textId="77777777" w:rsidTr="002772BD">
        <w:tc>
          <w:tcPr>
            <w:tcW w:w="2900" w:type="dxa"/>
            <w:vAlign w:val="center"/>
          </w:tcPr>
          <w:p w14:paraId="7AF195E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Regulatory Awareness (centred)</w:t>
            </w:r>
          </w:p>
        </w:tc>
        <w:tc>
          <w:tcPr>
            <w:tcW w:w="1300" w:type="dxa"/>
            <w:vAlign w:val="center"/>
          </w:tcPr>
          <w:p w14:paraId="2111294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0.303</w:t>
            </w:r>
          </w:p>
        </w:tc>
        <w:tc>
          <w:tcPr>
            <w:tcW w:w="1300" w:type="dxa"/>
            <w:vAlign w:val="center"/>
          </w:tcPr>
          <w:p w14:paraId="2A6A02A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0.104</w:t>
            </w:r>
          </w:p>
        </w:tc>
        <w:tc>
          <w:tcPr>
            <w:tcW w:w="1300" w:type="dxa"/>
            <w:vAlign w:val="center"/>
          </w:tcPr>
          <w:p w14:paraId="3FF59E4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0.307</w:t>
            </w:r>
          </w:p>
        </w:tc>
        <w:tc>
          <w:tcPr>
            <w:tcW w:w="1280" w:type="dxa"/>
            <w:vAlign w:val="center"/>
          </w:tcPr>
          <w:p w14:paraId="4CC61E8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2.910</w:t>
            </w:r>
          </w:p>
        </w:tc>
        <w:tc>
          <w:tcPr>
            <w:tcW w:w="1280" w:type="dxa"/>
            <w:vAlign w:val="center"/>
          </w:tcPr>
          <w:p w14:paraId="678DE9D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0.006</w:t>
            </w:r>
          </w:p>
        </w:tc>
      </w:tr>
      <w:tr w:rsidR="00251A9F" w:rsidRPr="00251A9F" w14:paraId="56367886" w14:textId="77777777" w:rsidTr="002772BD">
        <w:tc>
          <w:tcPr>
            <w:tcW w:w="2900" w:type="dxa"/>
            <w:vAlign w:val="center"/>
          </w:tcPr>
          <w:p w14:paraId="46B57D2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Technical Competence (centred)</w:t>
            </w:r>
          </w:p>
        </w:tc>
        <w:tc>
          <w:tcPr>
            <w:tcW w:w="1300" w:type="dxa"/>
            <w:vAlign w:val="center"/>
          </w:tcPr>
          <w:p w14:paraId="3B8E93F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0.338</w:t>
            </w:r>
          </w:p>
        </w:tc>
        <w:tc>
          <w:tcPr>
            <w:tcW w:w="1300" w:type="dxa"/>
            <w:vAlign w:val="center"/>
          </w:tcPr>
          <w:p w14:paraId="67D0167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0.190</w:t>
            </w:r>
          </w:p>
        </w:tc>
        <w:tc>
          <w:tcPr>
            <w:tcW w:w="1300" w:type="dxa"/>
            <w:vAlign w:val="center"/>
          </w:tcPr>
          <w:p w14:paraId="34F9DC7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0.278</w:t>
            </w:r>
          </w:p>
        </w:tc>
        <w:tc>
          <w:tcPr>
            <w:tcW w:w="1280" w:type="dxa"/>
            <w:vAlign w:val="center"/>
          </w:tcPr>
          <w:p w14:paraId="708BC54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1.775</w:t>
            </w:r>
          </w:p>
        </w:tc>
        <w:tc>
          <w:tcPr>
            <w:tcW w:w="1280" w:type="dxa"/>
            <w:vAlign w:val="center"/>
          </w:tcPr>
          <w:p w14:paraId="3D1B2A6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0.083</w:t>
            </w:r>
          </w:p>
        </w:tc>
      </w:tr>
      <w:tr w:rsidR="00251A9F" w:rsidRPr="00251A9F" w14:paraId="1B984772" w14:textId="77777777" w:rsidTr="002772BD">
        <w:tc>
          <w:tcPr>
            <w:tcW w:w="2900" w:type="dxa"/>
            <w:vAlign w:val="center"/>
          </w:tcPr>
          <w:p w14:paraId="02BA94F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lastRenderedPageBreak/>
              <w:t>Perceived Confidence (centred)</w:t>
            </w:r>
          </w:p>
        </w:tc>
        <w:tc>
          <w:tcPr>
            <w:tcW w:w="1300" w:type="dxa"/>
            <w:vAlign w:val="center"/>
          </w:tcPr>
          <w:p w14:paraId="4AF2350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-0.172</w:t>
            </w:r>
          </w:p>
        </w:tc>
        <w:tc>
          <w:tcPr>
            <w:tcW w:w="1300" w:type="dxa"/>
            <w:vAlign w:val="center"/>
          </w:tcPr>
          <w:p w14:paraId="48E9313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0.205</w:t>
            </w:r>
          </w:p>
        </w:tc>
        <w:tc>
          <w:tcPr>
            <w:tcW w:w="1300" w:type="dxa"/>
            <w:vAlign w:val="center"/>
          </w:tcPr>
          <w:p w14:paraId="3511525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-0.141</w:t>
            </w:r>
          </w:p>
        </w:tc>
        <w:tc>
          <w:tcPr>
            <w:tcW w:w="1280" w:type="dxa"/>
            <w:vAlign w:val="center"/>
          </w:tcPr>
          <w:p w14:paraId="74907AC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-0.837</w:t>
            </w:r>
          </w:p>
        </w:tc>
        <w:tc>
          <w:tcPr>
            <w:tcW w:w="1280" w:type="dxa"/>
            <w:vAlign w:val="center"/>
          </w:tcPr>
          <w:p w14:paraId="65C3978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0.407</w:t>
            </w:r>
          </w:p>
        </w:tc>
      </w:tr>
      <w:tr w:rsidR="00251A9F" w:rsidRPr="00251A9F" w14:paraId="50DC1DCF" w14:textId="77777777" w:rsidTr="002772BD">
        <w:tc>
          <w:tcPr>
            <w:tcW w:w="2900" w:type="dxa"/>
            <w:vAlign w:val="center"/>
          </w:tcPr>
          <w:p w14:paraId="3BF9A58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Organisational Support (centred)</w:t>
            </w:r>
          </w:p>
        </w:tc>
        <w:tc>
          <w:tcPr>
            <w:tcW w:w="1300" w:type="dxa"/>
            <w:vAlign w:val="center"/>
          </w:tcPr>
          <w:p w14:paraId="734EE51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0.540</w:t>
            </w:r>
          </w:p>
        </w:tc>
        <w:tc>
          <w:tcPr>
            <w:tcW w:w="1300" w:type="dxa"/>
            <w:vAlign w:val="center"/>
          </w:tcPr>
          <w:p w14:paraId="34B8333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0.127</w:t>
            </w:r>
          </w:p>
        </w:tc>
        <w:tc>
          <w:tcPr>
            <w:tcW w:w="1300" w:type="dxa"/>
            <w:vAlign w:val="center"/>
          </w:tcPr>
          <w:p w14:paraId="1990DEB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0.523</w:t>
            </w:r>
          </w:p>
        </w:tc>
        <w:tc>
          <w:tcPr>
            <w:tcW w:w="1280" w:type="dxa"/>
            <w:vAlign w:val="center"/>
          </w:tcPr>
          <w:p w14:paraId="65BC7B8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4.271</w:t>
            </w:r>
          </w:p>
        </w:tc>
        <w:tc>
          <w:tcPr>
            <w:tcW w:w="1280" w:type="dxa"/>
            <w:vAlign w:val="center"/>
          </w:tcPr>
          <w:p w14:paraId="0ADCBA1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&lt;0.001</w:t>
            </w:r>
          </w:p>
        </w:tc>
      </w:tr>
      <w:tr w:rsidR="00251A9F" w:rsidRPr="00251A9F" w14:paraId="5F875139" w14:textId="77777777" w:rsidTr="002772BD">
        <w:tc>
          <w:tcPr>
            <w:tcW w:w="2900" w:type="dxa"/>
            <w:vAlign w:val="center"/>
          </w:tcPr>
          <w:p w14:paraId="2770680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RA x OS</w:t>
            </w:r>
          </w:p>
        </w:tc>
        <w:tc>
          <w:tcPr>
            <w:tcW w:w="1300" w:type="dxa"/>
            <w:vAlign w:val="center"/>
          </w:tcPr>
          <w:p w14:paraId="1E54194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0.060</w:t>
            </w:r>
          </w:p>
        </w:tc>
        <w:tc>
          <w:tcPr>
            <w:tcW w:w="1300" w:type="dxa"/>
            <w:vAlign w:val="center"/>
          </w:tcPr>
          <w:p w14:paraId="1B5B9EB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0.111</w:t>
            </w:r>
          </w:p>
        </w:tc>
        <w:tc>
          <w:tcPr>
            <w:tcW w:w="1300" w:type="dxa"/>
            <w:vAlign w:val="center"/>
          </w:tcPr>
          <w:p w14:paraId="24E513C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0.061</w:t>
            </w:r>
          </w:p>
        </w:tc>
        <w:tc>
          <w:tcPr>
            <w:tcW w:w="1280" w:type="dxa"/>
            <w:vAlign w:val="center"/>
          </w:tcPr>
          <w:p w14:paraId="033544D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0.534</w:t>
            </w:r>
          </w:p>
        </w:tc>
        <w:tc>
          <w:tcPr>
            <w:tcW w:w="1280" w:type="dxa"/>
            <w:vAlign w:val="center"/>
          </w:tcPr>
          <w:p w14:paraId="2D9F9E4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0.596</w:t>
            </w:r>
          </w:p>
        </w:tc>
      </w:tr>
      <w:tr w:rsidR="00251A9F" w:rsidRPr="00251A9F" w14:paraId="11DDB393" w14:textId="77777777" w:rsidTr="002772BD">
        <w:tc>
          <w:tcPr>
            <w:tcW w:w="2900" w:type="dxa"/>
            <w:vAlign w:val="center"/>
          </w:tcPr>
          <w:p w14:paraId="6543E33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TC x OS</w:t>
            </w:r>
          </w:p>
        </w:tc>
        <w:tc>
          <w:tcPr>
            <w:tcW w:w="1300" w:type="dxa"/>
            <w:vAlign w:val="center"/>
          </w:tcPr>
          <w:p w14:paraId="78711B0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-0.051</w:t>
            </w:r>
          </w:p>
        </w:tc>
        <w:tc>
          <w:tcPr>
            <w:tcW w:w="1300" w:type="dxa"/>
            <w:vAlign w:val="center"/>
          </w:tcPr>
          <w:p w14:paraId="26260DF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0.151</w:t>
            </w:r>
          </w:p>
        </w:tc>
        <w:tc>
          <w:tcPr>
            <w:tcW w:w="1300" w:type="dxa"/>
            <w:vAlign w:val="center"/>
          </w:tcPr>
          <w:p w14:paraId="1CF3A34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-0.051</w:t>
            </w:r>
          </w:p>
        </w:tc>
        <w:tc>
          <w:tcPr>
            <w:tcW w:w="1280" w:type="dxa"/>
            <w:vAlign w:val="center"/>
          </w:tcPr>
          <w:p w14:paraId="49CB20F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-0.340</w:t>
            </w:r>
          </w:p>
        </w:tc>
        <w:tc>
          <w:tcPr>
            <w:tcW w:w="1280" w:type="dxa"/>
            <w:vAlign w:val="center"/>
          </w:tcPr>
          <w:p w14:paraId="10BBDB6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0.736</w:t>
            </w:r>
          </w:p>
        </w:tc>
      </w:tr>
      <w:tr w:rsidR="00251A9F" w:rsidRPr="00251A9F" w14:paraId="5BA059C4" w14:textId="77777777" w:rsidTr="002772BD">
        <w:tc>
          <w:tcPr>
            <w:tcW w:w="2900" w:type="dxa"/>
            <w:vAlign w:val="center"/>
          </w:tcPr>
          <w:p w14:paraId="013ED31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PC x OS</w:t>
            </w:r>
          </w:p>
        </w:tc>
        <w:tc>
          <w:tcPr>
            <w:tcW w:w="1300" w:type="dxa"/>
            <w:vAlign w:val="center"/>
          </w:tcPr>
          <w:p w14:paraId="6235C8A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-0.108</w:t>
            </w:r>
          </w:p>
        </w:tc>
        <w:tc>
          <w:tcPr>
            <w:tcW w:w="1300" w:type="dxa"/>
            <w:vAlign w:val="center"/>
          </w:tcPr>
          <w:p w14:paraId="4460066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0.142</w:t>
            </w:r>
          </w:p>
        </w:tc>
        <w:tc>
          <w:tcPr>
            <w:tcW w:w="1300" w:type="dxa"/>
            <w:vAlign w:val="center"/>
          </w:tcPr>
          <w:p w14:paraId="32E1E71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-0.109</w:t>
            </w:r>
          </w:p>
        </w:tc>
        <w:tc>
          <w:tcPr>
            <w:tcW w:w="1280" w:type="dxa"/>
            <w:vAlign w:val="center"/>
          </w:tcPr>
          <w:p w14:paraId="1F6B697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-0.761</w:t>
            </w:r>
          </w:p>
        </w:tc>
        <w:tc>
          <w:tcPr>
            <w:tcW w:w="1280" w:type="dxa"/>
            <w:vAlign w:val="center"/>
          </w:tcPr>
          <w:p w14:paraId="76BA140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0.450</w:t>
            </w:r>
          </w:p>
        </w:tc>
      </w:tr>
    </w:tbl>
    <w:p w14:paraId="31A097A2" w14:textId="77777777" w:rsidR="00251A9F" w:rsidRPr="00251A9F" w:rsidRDefault="00251A9F" w:rsidP="00251A9F">
      <w:pPr>
        <w:spacing w:line="360" w:lineRule="auto"/>
        <w:rPr>
          <w:rFonts w:ascii="Times New Roman" w:hAnsi="Times New Roman"/>
        </w:rPr>
      </w:pPr>
    </w:p>
    <w:p w14:paraId="78E5FD1C" w14:textId="77777777" w:rsidR="00251A9F" w:rsidRPr="00251A9F" w:rsidRDefault="00251A9F" w:rsidP="00251A9F">
      <w:pPr>
        <w:spacing w:line="360" w:lineRule="auto"/>
        <w:rPr>
          <w:rFonts w:ascii="Times New Roman" w:hAnsi="Times New Roman"/>
        </w:rPr>
      </w:pPr>
    </w:p>
    <w:p w14:paraId="2A2C2484"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4.9 Moderation Analysis: Sustainability-Specific Training (Hypothesis H5)</w:t>
      </w:r>
    </w:p>
    <w:p w14:paraId="7A81B3D7" w14:textId="77777777" w:rsidR="00251A9F" w:rsidRPr="00251A9F" w:rsidRDefault="00251A9F" w:rsidP="00251A9F">
      <w:pPr>
        <w:spacing w:line="360" w:lineRule="auto"/>
        <w:rPr>
          <w:rFonts w:ascii="Times New Roman" w:hAnsi="Times New Roman"/>
        </w:rPr>
      </w:pPr>
      <w:r w:rsidRPr="00251A9F">
        <w:rPr>
          <w:rFonts w:ascii="Times New Roman" w:hAnsi="Times New Roman"/>
        </w:rPr>
        <w:t>Because sustainability-specific training was collected as categorical item, it was recoded into a binary variable for the purpose of hierarchical regression, distinguishing respondents who reported any structured sustainability-related training in last five years (n=41, coded 1) from those who reported none of the listed sources (n=13, coded 0). The same three-step hierarchical procedure used for H4 was repeated, entering Regulatory Awareness, Technical Competence and Perceived Confidence in Step 1, the centred training variable in Step 2, and the three interaction terms in Step 3.</w:t>
      </w:r>
    </w:p>
    <w:p w14:paraId="5CDD41C7"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As shown in Table 4.10, adding the training variable in Step 2 did not produce a statistically significant increase in explained variance, ΔR2=0.022, </w:t>
      </w:r>
      <w:proofErr w:type="gramStart"/>
      <w:r w:rsidRPr="00251A9F">
        <w:rPr>
          <w:rFonts w:ascii="Times New Roman" w:hAnsi="Times New Roman"/>
        </w:rPr>
        <w:t>F(</w:t>
      </w:r>
      <w:proofErr w:type="gramEnd"/>
      <w:r w:rsidRPr="00251A9F">
        <w:rPr>
          <w:rFonts w:ascii="Times New Roman" w:hAnsi="Times New Roman"/>
        </w:rPr>
        <w:t>1,</w:t>
      </w:r>
      <w:proofErr w:type="gramStart"/>
      <w:r w:rsidRPr="00251A9F">
        <w:rPr>
          <w:rFonts w:ascii="Times New Roman" w:hAnsi="Times New Roman"/>
        </w:rPr>
        <w:t>49)=</w:t>
      </w:r>
      <w:proofErr w:type="gramEnd"/>
      <w:r w:rsidRPr="00251A9F">
        <w:rPr>
          <w:rFonts w:ascii="Times New Roman" w:hAnsi="Times New Roman"/>
        </w:rPr>
        <w:t xml:space="preserve">2.305, p=0.135, indicating no significant direct relationship between having received sustainability-related training and Overall Readiness once Regulatory Awareness, Technical Competence and Perceived Confidence were controlled for. Adding the three interaction terms in Step 3 likewise did not produce a statistically significant increase in explained variance, ΔR2=0.033, </w:t>
      </w:r>
      <w:proofErr w:type="gramStart"/>
      <w:r w:rsidRPr="00251A9F">
        <w:rPr>
          <w:rFonts w:ascii="Times New Roman" w:hAnsi="Times New Roman"/>
        </w:rPr>
        <w:t>F(</w:t>
      </w:r>
      <w:proofErr w:type="gramEnd"/>
      <w:r w:rsidRPr="00251A9F">
        <w:rPr>
          <w:rFonts w:ascii="Times New Roman" w:hAnsi="Times New Roman"/>
        </w:rPr>
        <w:t>3,</w:t>
      </w:r>
      <w:proofErr w:type="gramStart"/>
      <w:r w:rsidRPr="00251A9F">
        <w:rPr>
          <w:rFonts w:ascii="Times New Roman" w:hAnsi="Times New Roman"/>
        </w:rPr>
        <w:t>46)=</w:t>
      </w:r>
      <w:proofErr w:type="gramEnd"/>
      <w:r w:rsidRPr="00251A9F">
        <w:rPr>
          <w:rFonts w:ascii="Times New Roman" w:hAnsi="Times New Roman"/>
        </w:rPr>
        <w:t>1.182, p=0.327, and none of the individual interaction terms reached statistical significance. H5 is therefore not supported.</w:t>
      </w:r>
    </w:p>
    <w:p w14:paraId="2F31671B" w14:textId="77777777" w:rsidR="00251A9F" w:rsidRPr="00251A9F" w:rsidRDefault="00251A9F" w:rsidP="00251A9F">
      <w:pPr>
        <w:spacing w:line="360" w:lineRule="auto"/>
        <w:rPr>
          <w:rFonts w:ascii="Times New Roman" w:hAnsi="Times New Roman"/>
        </w:rPr>
      </w:pPr>
    </w:p>
    <w:p w14:paraId="154D3B4C"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4.10: Hierarchical Regression Summary – Sustainability-Specific Training as Moderator (H5)</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0"/>
        <w:gridCol w:w="1398"/>
        <w:gridCol w:w="1398"/>
        <w:gridCol w:w="1398"/>
        <w:gridCol w:w="1016"/>
      </w:tblGrid>
      <w:tr w:rsidR="00251A9F" w:rsidRPr="00251A9F" w14:paraId="3A0ADC70" w14:textId="77777777" w:rsidTr="002772BD">
        <w:tc>
          <w:tcPr>
            <w:tcW w:w="4160" w:type="dxa"/>
            <w:shd w:val="clear" w:color="auto" w:fill="D9D9D9"/>
            <w:vAlign w:val="center"/>
          </w:tcPr>
          <w:p w14:paraId="4EE886D5"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Step / Predictor</w:t>
            </w:r>
          </w:p>
        </w:tc>
        <w:tc>
          <w:tcPr>
            <w:tcW w:w="1400" w:type="dxa"/>
            <w:shd w:val="clear" w:color="auto" w:fill="D9D9D9"/>
            <w:vAlign w:val="center"/>
          </w:tcPr>
          <w:p w14:paraId="49898A5F"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R2</w:t>
            </w:r>
          </w:p>
        </w:tc>
        <w:tc>
          <w:tcPr>
            <w:tcW w:w="1400" w:type="dxa"/>
            <w:shd w:val="clear" w:color="auto" w:fill="D9D9D9"/>
            <w:vAlign w:val="center"/>
          </w:tcPr>
          <w:p w14:paraId="3C8E350E"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ΔR2</w:t>
            </w:r>
          </w:p>
        </w:tc>
        <w:tc>
          <w:tcPr>
            <w:tcW w:w="1400" w:type="dxa"/>
            <w:shd w:val="clear" w:color="auto" w:fill="D9D9D9"/>
            <w:vAlign w:val="center"/>
          </w:tcPr>
          <w:p w14:paraId="36962C0F"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F change</w:t>
            </w:r>
          </w:p>
        </w:tc>
        <w:tc>
          <w:tcPr>
            <w:tcW w:w="1000" w:type="dxa"/>
            <w:shd w:val="clear" w:color="auto" w:fill="D9D9D9"/>
            <w:vAlign w:val="center"/>
          </w:tcPr>
          <w:p w14:paraId="3A250A59"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 (F change)</w:t>
            </w:r>
          </w:p>
        </w:tc>
      </w:tr>
      <w:tr w:rsidR="00251A9F" w:rsidRPr="00251A9F" w14:paraId="409C23B4" w14:textId="77777777" w:rsidTr="002772BD">
        <w:tc>
          <w:tcPr>
            <w:tcW w:w="4160" w:type="dxa"/>
            <w:vAlign w:val="center"/>
          </w:tcPr>
          <w:p w14:paraId="4DB781F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Step 1: RA, TC, PC</w:t>
            </w:r>
          </w:p>
        </w:tc>
        <w:tc>
          <w:tcPr>
            <w:tcW w:w="1400" w:type="dxa"/>
            <w:vAlign w:val="center"/>
          </w:tcPr>
          <w:p w14:paraId="1400B87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0.517</w:t>
            </w:r>
          </w:p>
        </w:tc>
        <w:tc>
          <w:tcPr>
            <w:tcW w:w="1400" w:type="dxa"/>
            <w:vAlign w:val="center"/>
          </w:tcPr>
          <w:p w14:paraId="7AB0A23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w:t>
            </w:r>
          </w:p>
        </w:tc>
        <w:tc>
          <w:tcPr>
            <w:tcW w:w="1400" w:type="dxa"/>
            <w:vAlign w:val="center"/>
          </w:tcPr>
          <w:p w14:paraId="654CDA2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17.847</w:t>
            </w:r>
          </w:p>
        </w:tc>
        <w:tc>
          <w:tcPr>
            <w:tcW w:w="1000" w:type="dxa"/>
            <w:vAlign w:val="center"/>
          </w:tcPr>
          <w:p w14:paraId="505AA5E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&lt;0.001</w:t>
            </w:r>
          </w:p>
        </w:tc>
      </w:tr>
      <w:tr w:rsidR="00251A9F" w:rsidRPr="00251A9F" w14:paraId="426B0E74" w14:textId="77777777" w:rsidTr="002772BD">
        <w:tc>
          <w:tcPr>
            <w:tcW w:w="4160" w:type="dxa"/>
            <w:vAlign w:val="center"/>
          </w:tcPr>
          <w:p w14:paraId="4112897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lastRenderedPageBreak/>
              <w:t>Step 2: + Training (received vs none)</w:t>
            </w:r>
          </w:p>
        </w:tc>
        <w:tc>
          <w:tcPr>
            <w:tcW w:w="1400" w:type="dxa"/>
            <w:vAlign w:val="center"/>
          </w:tcPr>
          <w:p w14:paraId="7F310C6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0.539</w:t>
            </w:r>
          </w:p>
        </w:tc>
        <w:tc>
          <w:tcPr>
            <w:tcW w:w="1400" w:type="dxa"/>
            <w:vAlign w:val="center"/>
          </w:tcPr>
          <w:p w14:paraId="17B5814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0.022</w:t>
            </w:r>
          </w:p>
        </w:tc>
        <w:tc>
          <w:tcPr>
            <w:tcW w:w="1400" w:type="dxa"/>
            <w:vAlign w:val="center"/>
          </w:tcPr>
          <w:p w14:paraId="292DE4C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2.305</w:t>
            </w:r>
          </w:p>
        </w:tc>
        <w:tc>
          <w:tcPr>
            <w:tcW w:w="1000" w:type="dxa"/>
            <w:vAlign w:val="center"/>
          </w:tcPr>
          <w:p w14:paraId="60AF5C0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0.135</w:t>
            </w:r>
          </w:p>
        </w:tc>
      </w:tr>
      <w:tr w:rsidR="00251A9F" w:rsidRPr="00251A9F" w14:paraId="3582B781" w14:textId="77777777" w:rsidTr="002772BD">
        <w:tc>
          <w:tcPr>
            <w:tcW w:w="4160" w:type="dxa"/>
            <w:vAlign w:val="center"/>
          </w:tcPr>
          <w:p w14:paraId="201646A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 xml:space="preserve">Step 3: + </w:t>
            </w:r>
            <w:proofErr w:type="spellStart"/>
            <w:r w:rsidRPr="00251A9F">
              <w:rPr>
                <w:rFonts w:ascii="Times New Roman" w:hAnsi="Times New Roman"/>
              </w:rPr>
              <w:t>RAxTrain</w:t>
            </w:r>
            <w:proofErr w:type="spellEnd"/>
            <w:r w:rsidRPr="00251A9F">
              <w:rPr>
                <w:rFonts w:ascii="Times New Roman" w:hAnsi="Times New Roman"/>
              </w:rPr>
              <w:t xml:space="preserve">, </w:t>
            </w:r>
            <w:proofErr w:type="spellStart"/>
            <w:r w:rsidRPr="00251A9F">
              <w:rPr>
                <w:rFonts w:ascii="Times New Roman" w:hAnsi="Times New Roman"/>
              </w:rPr>
              <w:t>TCxTrain</w:t>
            </w:r>
            <w:proofErr w:type="spellEnd"/>
            <w:r w:rsidRPr="00251A9F">
              <w:rPr>
                <w:rFonts w:ascii="Times New Roman" w:hAnsi="Times New Roman"/>
              </w:rPr>
              <w:t xml:space="preserve">, </w:t>
            </w:r>
            <w:proofErr w:type="spellStart"/>
            <w:r w:rsidRPr="00251A9F">
              <w:rPr>
                <w:rFonts w:ascii="Times New Roman" w:hAnsi="Times New Roman"/>
              </w:rPr>
              <w:t>PCxTrain</w:t>
            </w:r>
            <w:proofErr w:type="spellEnd"/>
          </w:p>
        </w:tc>
        <w:tc>
          <w:tcPr>
            <w:tcW w:w="1400" w:type="dxa"/>
            <w:vAlign w:val="center"/>
          </w:tcPr>
          <w:p w14:paraId="11A1CF6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0.572</w:t>
            </w:r>
          </w:p>
        </w:tc>
        <w:tc>
          <w:tcPr>
            <w:tcW w:w="1400" w:type="dxa"/>
            <w:vAlign w:val="center"/>
          </w:tcPr>
          <w:p w14:paraId="079DC47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0.033</w:t>
            </w:r>
          </w:p>
        </w:tc>
        <w:tc>
          <w:tcPr>
            <w:tcW w:w="1400" w:type="dxa"/>
            <w:vAlign w:val="center"/>
          </w:tcPr>
          <w:p w14:paraId="4A869EE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1.182</w:t>
            </w:r>
          </w:p>
        </w:tc>
        <w:tc>
          <w:tcPr>
            <w:tcW w:w="1000" w:type="dxa"/>
            <w:vAlign w:val="center"/>
          </w:tcPr>
          <w:p w14:paraId="298A30E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0.327</w:t>
            </w:r>
          </w:p>
        </w:tc>
      </w:tr>
    </w:tbl>
    <w:p w14:paraId="72C6A26E" w14:textId="77777777" w:rsidR="00251A9F" w:rsidRPr="00251A9F" w:rsidRDefault="00251A9F" w:rsidP="00251A9F">
      <w:pPr>
        <w:spacing w:line="360" w:lineRule="auto"/>
        <w:rPr>
          <w:rFonts w:ascii="Times New Roman" w:hAnsi="Times New Roman"/>
        </w:rPr>
      </w:pPr>
    </w:p>
    <w:p w14:paraId="49525C9B" w14:textId="77777777" w:rsidR="00251A9F" w:rsidRPr="00251A9F" w:rsidRDefault="00251A9F" w:rsidP="00251A9F">
      <w:pPr>
        <w:spacing w:line="360" w:lineRule="auto"/>
        <w:rPr>
          <w:rFonts w:ascii="Times New Roman" w:hAnsi="Times New Roman"/>
        </w:rPr>
      </w:pPr>
    </w:p>
    <w:p w14:paraId="77B78FE1"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4.10 Group Comparisons by Demographic Characteristics</w:t>
      </w:r>
    </w:p>
    <w:p w14:paraId="5817A851"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To explore whether Overall Readiness and its component variables differed across demographic groups, the Mann-Whitney U test was used compare male and female respondents (the single respondent who preferred not to disclose gender was excluded from this specific comparison due to the group containing only one case), and the Kruskal-Wallis test was used to compare respondents across age band, years employed, and highest qualification. As summarised in Table 4.11, no statistically significant differences were found for Overall Readiness, or for any of the other four scale scores, across gender, age band, years employed, or highest qualification (all p&gt;0.05). The comparison closest to significance was Regulatory Awareness across age bands (H=7.503, p=0.058), which fell just short of </w:t>
      </w:r>
      <w:proofErr w:type="spellStart"/>
      <w:r w:rsidRPr="00251A9F">
        <w:rPr>
          <w:rFonts w:ascii="Times New Roman" w:hAnsi="Times New Roman"/>
        </w:rPr>
        <w:t>ththee</w:t>
      </w:r>
      <w:proofErr w:type="spellEnd"/>
      <w:r w:rsidRPr="00251A9F">
        <w:rPr>
          <w:rFonts w:ascii="Times New Roman" w:hAnsi="Times New Roman"/>
        </w:rPr>
        <w:t xml:space="preserve"> conventional 0.05 threshold.</w:t>
      </w:r>
    </w:p>
    <w:p w14:paraId="1EA115C0" w14:textId="77777777" w:rsidR="00251A9F" w:rsidRPr="00251A9F" w:rsidRDefault="00251A9F" w:rsidP="00251A9F">
      <w:pPr>
        <w:spacing w:line="360" w:lineRule="auto"/>
        <w:rPr>
          <w:rFonts w:ascii="Times New Roman" w:hAnsi="Times New Roman"/>
        </w:rPr>
      </w:pPr>
    </w:p>
    <w:p w14:paraId="24CC36E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4.11: Group Comparison Results Across Demographic Characteristics (p-values)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0"/>
        <w:gridCol w:w="1900"/>
        <w:gridCol w:w="1020"/>
        <w:gridCol w:w="1020"/>
        <w:gridCol w:w="1020"/>
        <w:gridCol w:w="1020"/>
        <w:gridCol w:w="1020"/>
      </w:tblGrid>
      <w:tr w:rsidR="00251A9F" w:rsidRPr="00251A9F" w14:paraId="5FADFF78" w14:textId="77777777" w:rsidTr="002772BD">
        <w:tc>
          <w:tcPr>
            <w:tcW w:w="2360" w:type="dxa"/>
            <w:shd w:val="clear" w:color="auto" w:fill="D9D9D9"/>
            <w:vAlign w:val="center"/>
          </w:tcPr>
          <w:p w14:paraId="4963E336"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Demographic factor</w:t>
            </w:r>
          </w:p>
        </w:tc>
        <w:tc>
          <w:tcPr>
            <w:tcW w:w="1900" w:type="dxa"/>
            <w:shd w:val="clear" w:color="auto" w:fill="D9D9D9"/>
            <w:vAlign w:val="center"/>
          </w:tcPr>
          <w:p w14:paraId="1810628A"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Test</w:t>
            </w:r>
          </w:p>
        </w:tc>
        <w:tc>
          <w:tcPr>
            <w:tcW w:w="1020" w:type="dxa"/>
            <w:shd w:val="clear" w:color="auto" w:fill="D9D9D9"/>
            <w:vAlign w:val="center"/>
          </w:tcPr>
          <w:p w14:paraId="47A10C64"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RA</w:t>
            </w:r>
          </w:p>
        </w:tc>
        <w:tc>
          <w:tcPr>
            <w:tcW w:w="1020" w:type="dxa"/>
            <w:shd w:val="clear" w:color="auto" w:fill="D9D9D9"/>
            <w:vAlign w:val="center"/>
          </w:tcPr>
          <w:p w14:paraId="08654461"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TC</w:t>
            </w:r>
          </w:p>
        </w:tc>
        <w:tc>
          <w:tcPr>
            <w:tcW w:w="1020" w:type="dxa"/>
            <w:shd w:val="clear" w:color="auto" w:fill="D9D9D9"/>
            <w:vAlign w:val="center"/>
          </w:tcPr>
          <w:p w14:paraId="2FFCEDDE"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PC</w:t>
            </w:r>
          </w:p>
        </w:tc>
        <w:tc>
          <w:tcPr>
            <w:tcW w:w="1020" w:type="dxa"/>
            <w:shd w:val="clear" w:color="auto" w:fill="D9D9D9"/>
            <w:vAlign w:val="center"/>
          </w:tcPr>
          <w:p w14:paraId="153E3312"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OR</w:t>
            </w:r>
          </w:p>
        </w:tc>
        <w:tc>
          <w:tcPr>
            <w:tcW w:w="1020" w:type="dxa"/>
            <w:shd w:val="clear" w:color="auto" w:fill="D9D9D9"/>
            <w:vAlign w:val="center"/>
          </w:tcPr>
          <w:p w14:paraId="0E39EFB7"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OS</w:t>
            </w:r>
          </w:p>
        </w:tc>
      </w:tr>
      <w:tr w:rsidR="00251A9F" w:rsidRPr="00251A9F" w14:paraId="6CCED126" w14:textId="77777777" w:rsidTr="002772BD">
        <w:tc>
          <w:tcPr>
            <w:tcW w:w="2360" w:type="dxa"/>
            <w:vAlign w:val="center"/>
          </w:tcPr>
          <w:p w14:paraId="312E7D1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Gender (Male vs Female)</w:t>
            </w:r>
          </w:p>
        </w:tc>
        <w:tc>
          <w:tcPr>
            <w:tcW w:w="1900" w:type="dxa"/>
            <w:vAlign w:val="center"/>
          </w:tcPr>
          <w:p w14:paraId="5F8143F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Mann-Whitney U</w:t>
            </w:r>
          </w:p>
        </w:tc>
        <w:tc>
          <w:tcPr>
            <w:tcW w:w="1020" w:type="dxa"/>
            <w:vAlign w:val="center"/>
          </w:tcPr>
          <w:p w14:paraId="7D19B43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p=0.980</w:t>
            </w:r>
          </w:p>
        </w:tc>
        <w:tc>
          <w:tcPr>
            <w:tcW w:w="1020" w:type="dxa"/>
            <w:vAlign w:val="center"/>
          </w:tcPr>
          <w:p w14:paraId="5E24BA5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p=0.736</w:t>
            </w:r>
          </w:p>
        </w:tc>
        <w:tc>
          <w:tcPr>
            <w:tcW w:w="1020" w:type="dxa"/>
            <w:vAlign w:val="center"/>
          </w:tcPr>
          <w:p w14:paraId="420D735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p=1.000</w:t>
            </w:r>
          </w:p>
        </w:tc>
        <w:tc>
          <w:tcPr>
            <w:tcW w:w="1020" w:type="dxa"/>
            <w:vAlign w:val="center"/>
          </w:tcPr>
          <w:p w14:paraId="190EEBB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p=0.645</w:t>
            </w:r>
          </w:p>
        </w:tc>
        <w:tc>
          <w:tcPr>
            <w:tcW w:w="1020" w:type="dxa"/>
            <w:vAlign w:val="center"/>
          </w:tcPr>
          <w:p w14:paraId="6C75587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p=0.823</w:t>
            </w:r>
          </w:p>
        </w:tc>
      </w:tr>
      <w:tr w:rsidR="00251A9F" w:rsidRPr="00251A9F" w14:paraId="1F364E4E" w14:textId="77777777" w:rsidTr="002772BD">
        <w:tc>
          <w:tcPr>
            <w:tcW w:w="2360" w:type="dxa"/>
            <w:vAlign w:val="center"/>
          </w:tcPr>
          <w:p w14:paraId="553A806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Age band</w:t>
            </w:r>
          </w:p>
        </w:tc>
        <w:tc>
          <w:tcPr>
            <w:tcW w:w="1900" w:type="dxa"/>
            <w:vAlign w:val="center"/>
          </w:tcPr>
          <w:p w14:paraId="405E163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Kruskal-Wallis H</w:t>
            </w:r>
          </w:p>
        </w:tc>
        <w:tc>
          <w:tcPr>
            <w:tcW w:w="1020" w:type="dxa"/>
            <w:vAlign w:val="center"/>
          </w:tcPr>
          <w:p w14:paraId="7487FBE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p=0.058</w:t>
            </w:r>
          </w:p>
        </w:tc>
        <w:tc>
          <w:tcPr>
            <w:tcW w:w="1020" w:type="dxa"/>
            <w:vAlign w:val="center"/>
          </w:tcPr>
          <w:p w14:paraId="1FD87DC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p=0.538</w:t>
            </w:r>
          </w:p>
        </w:tc>
        <w:tc>
          <w:tcPr>
            <w:tcW w:w="1020" w:type="dxa"/>
            <w:vAlign w:val="center"/>
          </w:tcPr>
          <w:p w14:paraId="4F5EFF0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p=0.467</w:t>
            </w:r>
          </w:p>
        </w:tc>
        <w:tc>
          <w:tcPr>
            <w:tcW w:w="1020" w:type="dxa"/>
            <w:vAlign w:val="center"/>
          </w:tcPr>
          <w:p w14:paraId="0A6BB74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p=0.545</w:t>
            </w:r>
          </w:p>
        </w:tc>
        <w:tc>
          <w:tcPr>
            <w:tcW w:w="1020" w:type="dxa"/>
            <w:vAlign w:val="center"/>
          </w:tcPr>
          <w:p w14:paraId="61629D3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p=0.216</w:t>
            </w:r>
          </w:p>
        </w:tc>
      </w:tr>
      <w:tr w:rsidR="00251A9F" w:rsidRPr="00251A9F" w14:paraId="4F7A7F6F" w14:textId="77777777" w:rsidTr="002772BD">
        <w:tc>
          <w:tcPr>
            <w:tcW w:w="2360" w:type="dxa"/>
            <w:vAlign w:val="center"/>
          </w:tcPr>
          <w:p w14:paraId="0166BB77"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Years employed</w:t>
            </w:r>
          </w:p>
        </w:tc>
        <w:tc>
          <w:tcPr>
            <w:tcW w:w="1900" w:type="dxa"/>
            <w:vAlign w:val="center"/>
          </w:tcPr>
          <w:p w14:paraId="5D326F6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Kruskal-Wallis H</w:t>
            </w:r>
          </w:p>
        </w:tc>
        <w:tc>
          <w:tcPr>
            <w:tcW w:w="1020" w:type="dxa"/>
            <w:vAlign w:val="center"/>
          </w:tcPr>
          <w:p w14:paraId="72E81AC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p=0.417</w:t>
            </w:r>
          </w:p>
        </w:tc>
        <w:tc>
          <w:tcPr>
            <w:tcW w:w="1020" w:type="dxa"/>
            <w:vAlign w:val="center"/>
          </w:tcPr>
          <w:p w14:paraId="4D584C9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p=0.917</w:t>
            </w:r>
          </w:p>
        </w:tc>
        <w:tc>
          <w:tcPr>
            <w:tcW w:w="1020" w:type="dxa"/>
            <w:vAlign w:val="center"/>
          </w:tcPr>
          <w:p w14:paraId="4F7EFFE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p=0.964</w:t>
            </w:r>
          </w:p>
        </w:tc>
        <w:tc>
          <w:tcPr>
            <w:tcW w:w="1020" w:type="dxa"/>
            <w:vAlign w:val="center"/>
          </w:tcPr>
          <w:p w14:paraId="562CA3A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p=0.503</w:t>
            </w:r>
          </w:p>
        </w:tc>
        <w:tc>
          <w:tcPr>
            <w:tcW w:w="1020" w:type="dxa"/>
            <w:vAlign w:val="center"/>
          </w:tcPr>
          <w:p w14:paraId="098F09E0"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p=0.135</w:t>
            </w:r>
          </w:p>
        </w:tc>
      </w:tr>
      <w:tr w:rsidR="00251A9F" w:rsidRPr="00251A9F" w14:paraId="6D657825" w14:textId="77777777" w:rsidTr="002772BD">
        <w:tc>
          <w:tcPr>
            <w:tcW w:w="2360" w:type="dxa"/>
            <w:vAlign w:val="center"/>
          </w:tcPr>
          <w:p w14:paraId="2977B3D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Highest qualification</w:t>
            </w:r>
          </w:p>
        </w:tc>
        <w:tc>
          <w:tcPr>
            <w:tcW w:w="1900" w:type="dxa"/>
            <w:vAlign w:val="center"/>
          </w:tcPr>
          <w:p w14:paraId="703B3C3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Kruskal-Wallis H</w:t>
            </w:r>
          </w:p>
        </w:tc>
        <w:tc>
          <w:tcPr>
            <w:tcW w:w="1020" w:type="dxa"/>
            <w:vAlign w:val="center"/>
          </w:tcPr>
          <w:p w14:paraId="2B82B0AD"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p=0.132</w:t>
            </w:r>
          </w:p>
        </w:tc>
        <w:tc>
          <w:tcPr>
            <w:tcW w:w="1020" w:type="dxa"/>
            <w:vAlign w:val="center"/>
          </w:tcPr>
          <w:p w14:paraId="4FC09F75"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p=0.410</w:t>
            </w:r>
          </w:p>
        </w:tc>
        <w:tc>
          <w:tcPr>
            <w:tcW w:w="1020" w:type="dxa"/>
            <w:vAlign w:val="center"/>
          </w:tcPr>
          <w:p w14:paraId="2BB237B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p=0.351</w:t>
            </w:r>
          </w:p>
        </w:tc>
        <w:tc>
          <w:tcPr>
            <w:tcW w:w="1020" w:type="dxa"/>
            <w:vAlign w:val="center"/>
          </w:tcPr>
          <w:p w14:paraId="6F0FB2F4"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p=0.911</w:t>
            </w:r>
          </w:p>
        </w:tc>
        <w:tc>
          <w:tcPr>
            <w:tcW w:w="1020" w:type="dxa"/>
            <w:vAlign w:val="center"/>
          </w:tcPr>
          <w:p w14:paraId="48512E2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p=0.844</w:t>
            </w:r>
          </w:p>
        </w:tc>
      </w:tr>
    </w:tbl>
    <w:p w14:paraId="68BF10AF" w14:textId="77777777" w:rsidR="00251A9F" w:rsidRPr="00251A9F" w:rsidRDefault="00251A9F" w:rsidP="00251A9F">
      <w:pPr>
        <w:spacing w:line="360" w:lineRule="auto"/>
        <w:rPr>
          <w:rFonts w:ascii="Times New Roman" w:hAnsi="Times New Roman"/>
        </w:rPr>
      </w:pPr>
    </w:p>
    <w:p w14:paraId="04F0037D" w14:textId="77777777" w:rsidR="00251A9F" w:rsidRPr="00251A9F" w:rsidRDefault="00251A9F" w:rsidP="00251A9F">
      <w:pPr>
        <w:spacing w:line="360" w:lineRule="auto"/>
        <w:rPr>
          <w:rFonts w:ascii="Times New Roman" w:hAnsi="Times New Roman"/>
          <w:i/>
          <w:iCs/>
        </w:rPr>
      </w:pPr>
      <w:r w:rsidRPr="00251A9F">
        <w:rPr>
          <w:rFonts w:ascii="Times New Roman" w:hAnsi="Times New Roman"/>
          <w:i/>
          <w:iCs/>
        </w:rPr>
        <w:t>RA=Regulatory Awareness, TC=Technical Competence, PC=Perceived Confidence, OR=Overall Readiness, OS=Organisational Support.</w:t>
      </w:r>
    </w:p>
    <w:p w14:paraId="06C273D5" w14:textId="77777777" w:rsidR="00251A9F" w:rsidRPr="00251A9F" w:rsidRDefault="00251A9F" w:rsidP="00251A9F">
      <w:pPr>
        <w:spacing w:line="360" w:lineRule="auto"/>
        <w:rPr>
          <w:rFonts w:ascii="Times New Roman" w:hAnsi="Times New Roman"/>
        </w:rPr>
      </w:pPr>
    </w:p>
    <w:p w14:paraId="6CE2664D"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4.11 Summary of Hypothesis Testing</w:t>
      </w:r>
    </w:p>
    <w:p w14:paraId="447B9374"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Table 4.12 summarises the outcome of testing for each of the five hypotheses developed in Chapter Two, based on the results presented above.</w:t>
      </w:r>
    </w:p>
    <w:p w14:paraId="53D4B02B" w14:textId="77777777" w:rsidR="00251A9F" w:rsidRPr="00251A9F" w:rsidRDefault="00251A9F" w:rsidP="00251A9F">
      <w:pPr>
        <w:spacing w:line="360" w:lineRule="auto"/>
        <w:rPr>
          <w:rFonts w:ascii="Times New Roman" w:hAnsi="Times New Roman"/>
        </w:rPr>
      </w:pPr>
    </w:p>
    <w:p w14:paraId="21773219"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Table 4.12: Summary of Hypothesis Testing Results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0"/>
        <w:gridCol w:w="4620"/>
        <w:gridCol w:w="3390"/>
      </w:tblGrid>
      <w:tr w:rsidR="00251A9F" w:rsidRPr="00251A9F" w14:paraId="68CF2AFB" w14:textId="77777777" w:rsidTr="002772BD">
        <w:tc>
          <w:tcPr>
            <w:tcW w:w="700" w:type="dxa"/>
            <w:shd w:val="clear" w:color="auto" w:fill="D9D9D9"/>
            <w:vAlign w:val="center"/>
          </w:tcPr>
          <w:p w14:paraId="74C99FB4"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Hypothesis</w:t>
            </w:r>
          </w:p>
        </w:tc>
        <w:tc>
          <w:tcPr>
            <w:tcW w:w="5000" w:type="dxa"/>
            <w:shd w:val="clear" w:color="auto" w:fill="D9D9D9"/>
            <w:vAlign w:val="center"/>
          </w:tcPr>
          <w:p w14:paraId="7600A63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Statement (abbreviated)</w:t>
            </w:r>
          </w:p>
        </w:tc>
        <w:tc>
          <w:tcPr>
            <w:tcW w:w="3660" w:type="dxa"/>
            <w:shd w:val="clear" w:color="auto" w:fill="D9D9D9"/>
            <w:vAlign w:val="center"/>
          </w:tcPr>
          <w:p w14:paraId="11F46B90" w14:textId="77777777" w:rsidR="00251A9F" w:rsidRPr="00251A9F" w:rsidRDefault="00251A9F" w:rsidP="00251A9F">
            <w:pPr>
              <w:spacing w:before="40" w:after="40" w:line="360" w:lineRule="auto"/>
              <w:rPr>
                <w:rFonts w:ascii="Times New Roman" w:hAnsi="Times New Roman"/>
                <w:b/>
                <w:bCs/>
              </w:rPr>
            </w:pPr>
            <w:r w:rsidRPr="00251A9F">
              <w:rPr>
                <w:rFonts w:ascii="Times New Roman" w:hAnsi="Times New Roman"/>
                <w:b/>
                <w:bCs/>
              </w:rPr>
              <w:t>Result</w:t>
            </w:r>
          </w:p>
        </w:tc>
      </w:tr>
      <w:tr w:rsidR="00251A9F" w:rsidRPr="00251A9F" w14:paraId="2B803C26" w14:textId="77777777" w:rsidTr="002772BD">
        <w:tc>
          <w:tcPr>
            <w:tcW w:w="700" w:type="dxa"/>
            <w:vAlign w:val="center"/>
          </w:tcPr>
          <w:p w14:paraId="6EB0DDCF"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H1</w:t>
            </w:r>
          </w:p>
        </w:tc>
        <w:tc>
          <w:tcPr>
            <w:tcW w:w="5000" w:type="dxa"/>
            <w:vAlign w:val="center"/>
          </w:tcPr>
          <w:p w14:paraId="123A4D5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Regulatory Awareness is positively associated with Overall Readiness</w:t>
            </w:r>
          </w:p>
        </w:tc>
        <w:tc>
          <w:tcPr>
            <w:tcW w:w="3660" w:type="dxa"/>
            <w:vAlign w:val="center"/>
          </w:tcPr>
          <w:p w14:paraId="61B658F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Supported</w:t>
            </w:r>
          </w:p>
        </w:tc>
      </w:tr>
      <w:tr w:rsidR="00251A9F" w:rsidRPr="00251A9F" w14:paraId="3004E0CA" w14:textId="77777777" w:rsidTr="002772BD">
        <w:tc>
          <w:tcPr>
            <w:tcW w:w="700" w:type="dxa"/>
            <w:vAlign w:val="center"/>
          </w:tcPr>
          <w:p w14:paraId="719042A9"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H2</w:t>
            </w:r>
          </w:p>
        </w:tc>
        <w:tc>
          <w:tcPr>
            <w:tcW w:w="5000" w:type="dxa"/>
            <w:vAlign w:val="center"/>
          </w:tcPr>
          <w:p w14:paraId="465A4AD3"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Technical Competence is positively associated with Overall Readiness</w:t>
            </w:r>
          </w:p>
        </w:tc>
        <w:tc>
          <w:tcPr>
            <w:tcW w:w="3660" w:type="dxa"/>
            <w:vAlign w:val="center"/>
          </w:tcPr>
          <w:p w14:paraId="10F55D31"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Supported</w:t>
            </w:r>
          </w:p>
        </w:tc>
      </w:tr>
      <w:tr w:rsidR="00251A9F" w:rsidRPr="00251A9F" w14:paraId="6CFAAC48" w14:textId="77777777" w:rsidTr="002772BD">
        <w:tc>
          <w:tcPr>
            <w:tcW w:w="700" w:type="dxa"/>
            <w:vAlign w:val="center"/>
          </w:tcPr>
          <w:p w14:paraId="463083DE"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H3</w:t>
            </w:r>
          </w:p>
        </w:tc>
        <w:tc>
          <w:tcPr>
            <w:tcW w:w="5000" w:type="dxa"/>
            <w:vAlign w:val="center"/>
          </w:tcPr>
          <w:p w14:paraId="4E3FB75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Perceived Confidence is positively associated with Overall Readiness</w:t>
            </w:r>
          </w:p>
        </w:tc>
        <w:tc>
          <w:tcPr>
            <w:tcW w:w="3660" w:type="dxa"/>
            <w:vAlign w:val="center"/>
          </w:tcPr>
          <w:p w14:paraId="7D6A2AD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Supported at bivariate level only; not a significant unique predictor when RA and TC are controlled for</w:t>
            </w:r>
          </w:p>
        </w:tc>
      </w:tr>
      <w:tr w:rsidR="00251A9F" w:rsidRPr="00251A9F" w14:paraId="73581FC2" w14:textId="77777777" w:rsidTr="002772BD">
        <w:tc>
          <w:tcPr>
            <w:tcW w:w="700" w:type="dxa"/>
            <w:vAlign w:val="center"/>
          </w:tcPr>
          <w:p w14:paraId="67B04442"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H4</w:t>
            </w:r>
          </w:p>
        </w:tc>
        <w:tc>
          <w:tcPr>
            <w:tcW w:w="5000" w:type="dxa"/>
            <w:vAlign w:val="center"/>
          </w:tcPr>
          <w:p w14:paraId="70378CCA"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Organisational Support moderates the RA/TC/PC → Readiness relationships</w:t>
            </w:r>
          </w:p>
        </w:tc>
        <w:tc>
          <w:tcPr>
            <w:tcW w:w="3660" w:type="dxa"/>
            <w:vAlign w:val="center"/>
          </w:tcPr>
          <w:p w14:paraId="1E21020B"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Not supported as a moderator; significant as a direct predictor of Readiness</w:t>
            </w:r>
          </w:p>
        </w:tc>
      </w:tr>
      <w:tr w:rsidR="00251A9F" w:rsidRPr="00251A9F" w14:paraId="5A48AFEE" w14:textId="77777777" w:rsidTr="002772BD">
        <w:tc>
          <w:tcPr>
            <w:tcW w:w="700" w:type="dxa"/>
            <w:vAlign w:val="center"/>
          </w:tcPr>
          <w:p w14:paraId="16C7456C"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H5</w:t>
            </w:r>
          </w:p>
        </w:tc>
        <w:tc>
          <w:tcPr>
            <w:tcW w:w="5000" w:type="dxa"/>
            <w:vAlign w:val="center"/>
          </w:tcPr>
          <w:p w14:paraId="75BF0218"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Sustainability-specific training moderates the RA/TC/PC → Readiness relationships</w:t>
            </w:r>
          </w:p>
        </w:tc>
        <w:tc>
          <w:tcPr>
            <w:tcW w:w="3660" w:type="dxa"/>
            <w:vAlign w:val="center"/>
          </w:tcPr>
          <w:p w14:paraId="3BC045F6" w14:textId="77777777" w:rsidR="00251A9F" w:rsidRPr="00251A9F" w:rsidRDefault="00251A9F" w:rsidP="00251A9F">
            <w:pPr>
              <w:spacing w:before="40" w:after="40" w:line="360" w:lineRule="auto"/>
              <w:rPr>
                <w:rFonts w:ascii="Times New Roman" w:hAnsi="Times New Roman"/>
              </w:rPr>
            </w:pPr>
            <w:r w:rsidRPr="00251A9F">
              <w:rPr>
                <w:rFonts w:ascii="Times New Roman" w:hAnsi="Times New Roman"/>
              </w:rPr>
              <w:t>Not supported</w:t>
            </w:r>
          </w:p>
        </w:tc>
      </w:tr>
    </w:tbl>
    <w:p w14:paraId="319214D4" w14:textId="77777777" w:rsidR="00251A9F" w:rsidRPr="00251A9F" w:rsidRDefault="00251A9F" w:rsidP="00251A9F">
      <w:pPr>
        <w:spacing w:line="360" w:lineRule="auto"/>
        <w:rPr>
          <w:rFonts w:ascii="Times New Roman" w:hAnsi="Times New Roman"/>
        </w:rPr>
      </w:pPr>
    </w:p>
    <w:p w14:paraId="4C35DAE9" w14:textId="77777777" w:rsidR="00251A9F" w:rsidRPr="00251A9F" w:rsidRDefault="00251A9F" w:rsidP="00251A9F">
      <w:pPr>
        <w:spacing w:line="360" w:lineRule="auto"/>
        <w:rPr>
          <w:rFonts w:ascii="Times New Roman" w:hAnsi="Times New Roman"/>
        </w:rPr>
      </w:pPr>
    </w:p>
    <w:p w14:paraId="491C0AF0"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4.12 Chapter Summary</w:t>
      </w:r>
    </w:p>
    <w:p w14:paraId="53DC8169"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chapter presented results from 54 usable responses collected from professional and trainee accountants in Pakistan. All five measurement scales showed strong internal consistency (Cronbach's Alpha 0.887–0.947). Respondents rated Perceived Confidence and Technical Competence relatively highly, Regulatory Awareness comparatively low, Overall Readiness near the scale mid-point. Correlation and regression analysis fully supported H1 and H2: Regulatory Awareness and Technical Competence each emerged as significant, independent predictors of Overall Readiness, jointly explaining approximately 52% of variance. H3 held at the bivariate level only, as Perceived Confidence lost significance once other two predictors were controlled for. Organisational Support proved a significant direct predictor but did not moderate the H1–H3, so H4 was not supported in its moderating form. Sustainability-specific training showed no significant direct or moderating effect, leaving H5 </w:t>
      </w:r>
      <w:r w:rsidRPr="00251A9F">
        <w:rPr>
          <w:rFonts w:ascii="Times New Roman" w:hAnsi="Times New Roman"/>
        </w:rPr>
        <w:lastRenderedPageBreak/>
        <w:t>unsupported. No demographic variable gender, age, experience, or qualification produced significant differences in readiness. Chapter Five interprets these results against the literature and the research objectives.</w:t>
      </w:r>
    </w:p>
    <w:p w14:paraId="4D5D8C62" w14:textId="77777777" w:rsidR="00251A9F" w:rsidRPr="00251A9F" w:rsidRDefault="00251A9F" w:rsidP="00251A9F">
      <w:pPr>
        <w:spacing w:line="360" w:lineRule="auto"/>
        <w:rPr>
          <w:rFonts w:ascii="Times New Roman" w:hAnsi="Times New Roman"/>
        </w:rPr>
      </w:pPr>
    </w:p>
    <w:p w14:paraId="18DF7361" w14:textId="77777777" w:rsidR="00251A9F" w:rsidRPr="00251A9F" w:rsidRDefault="00251A9F" w:rsidP="00251A9F">
      <w:pPr>
        <w:spacing w:line="360" w:lineRule="auto"/>
        <w:jc w:val="center"/>
        <w:rPr>
          <w:rFonts w:ascii="Times New Roman" w:hAnsi="Times New Roman"/>
          <w:b/>
          <w:bCs/>
        </w:rPr>
      </w:pPr>
      <w:r w:rsidRPr="00251A9F">
        <w:rPr>
          <w:rFonts w:ascii="Times New Roman" w:hAnsi="Times New Roman"/>
          <w:b/>
          <w:bCs/>
        </w:rPr>
        <w:t>CHAPTER 5: DISCUSSION</w:t>
      </w:r>
    </w:p>
    <w:p w14:paraId="4F5A19AB"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5.1 Introduction</w:t>
      </w:r>
    </w:p>
    <w:p w14:paraId="4E978F42"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chapter discusses the results presented in Chapter Four in relation to the literature reviewed in Chapter </w:t>
      </w:r>
      <w:proofErr w:type="gramStart"/>
      <w:r w:rsidRPr="00251A9F">
        <w:rPr>
          <w:rFonts w:ascii="Times New Roman" w:hAnsi="Times New Roman"/>
        </w:rPr>
        <w:t>Two, and</w:t>
      </w:r>
      <w:proofErr w:type="gramEnd"/>
      <w:r w:rsidRPr="00251A9F">
        <w:rPr>
          <w:rFonts w:ascii="Times New Roman" w:hAnsi="Times New Roman"/>
        </w:rPr>
        <w:t xml:space="preserve"> connects the findings back to study's research objectives and hypotheses. Rather than repeating the statistical output already reported, this chapter focuses on interpreting what each result mean, why it may have occurred, and how it compares with prior empirical and theoretical work on accountants' readiness for sustainability reporting. The chapter is organised around each hypothesis in turn (H1 to H5), followed by a discussion of the demographic findings and a section explicitly connecting results to the six research objectives set out in Chapter One.</w:t>
      </w:r>
    </w:p>
    <w:p w14:paraId="275FC486" w14:textId="77777777" w:rsidR="00251A9F" w:rsidRPr="00251A9F" w:rsidRDefault="00251A9F" w:rsidP="00251A9F">
      <w:pPr>
        <w:spacing w:line="360" w:lineRule="auto"/>
        <w:rPr>
          <w:rFonts w:ascii="Times New Roman" w:hAnsi="Times New Roman"/>
        </w:rPr>
      </w:pPr>
    </w:p>
    <w:p w14:paraId="2003119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5.2 Regulatory Awareness and Overall Readiness (H1)</w:t>
      </w:r>
    </w:p>
    <w:p w14:paraId="30C67738"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finding that Regulatory Awareness was significantly and positively associated with Overall Readiness, both as a bivariate correlation (rho=0.575, p&lt;0.001) and as the strongest unique predictor in the= regression model (β=0.434, p&lt;0.001), is consistent with the theoretical and empirical position developed in Chapter Two. It confirms that accountants who are more familiar with specific sustainability reporting frameworks, including the ISSB standards, TCFD, IIRC and SASB, are also more likely to consider themselves as ready to undertake sustainability reporting responsibilities.</w:t>
      </w:r>
    </w:p>
    <w:p w14:paraId="48D85D02"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At the same time, the descriptive results reported in section 4.4 show that Regulatory Awareness was, on average, the lowest-scoring variable in study (M=2.70), sitting closer to “slightly knowledgeable” than “moderately knowledgeable” on the response scale. Read alongside its strong predictive relationship with readiness, this combination important: awareness is the variable most strongly associated with readiness, yet </w:t>
      </w:r>
      <w:proofErr w:type="spellStart"/>
      <w:proofErr w:type="gramStart"/>
      <w:r w:rsidRPr="00251A9F">
        <w:rPr>
          <w:rFonts w:ascii="Times New Roman" w:hAnsi="Times New Roman"/>
        </w:rPr>
        <w:t>its</w:t>
      </w:r>
      <w:proofErr w:type="spellEnd"/>
      <w:proofErr w:type="gramEnd"/>
      <w:r w:rsidRPr="00251A9F">
        <w:rPr>
          <w:rFonts w:ascii="Times New Roman" w:hAnsi="Times New Roman"/>
        </w:rPr>
        <w:t xml:space="preserve"> also the variable respondents are weakest in. This mirrors the concerns raised by Lawless (2022) and the fragmentation of the reporting landscape discussed in Chapter Two, and is consistent with </w:t>
      </w:r>
      <w:proofErr w:type="spellStart"/>
      <w:r w:rsidRPr="00251A9F">
        <w:rPr>
          <w:rFonts w:ascii="Times New Roman" w:hAnsi="Times New Roman"/>
        </w:rPr>
        <w:t>Tauringana</w:t>
      </w:r>
      <w:proofErr w:type="spellEnd"/>
      <w:r w:rsidRPr="00251A9F">
        <w:rPr>
          <w:rFonts w:ascii="Times New Roman" w:hAnsi="Times New Roman"/>
        </w:rPr>
        <w:t xml:space="preserve"> (2020) and Farisyi et al. (2022), who argue that accountants in developing economies such as Pakistan face structural barriers to building regulatory awareness, including slower integration of sustainability content into professional body qualification frameworks such as those of ICAP and ICMAP. Taken together, these results suggest that </w:t>
      </w:r>
      <w:r w:rsidRPr="00251A9F">
        <w:rPr>
          <w:rFonts w:ascii="Times New Roman" w:hAnsi="Times New Roman"/>
        </w:rPr>
        <w:lastRenderedPageBreak/>
        <w:t>regulatory awareness represents both the most consequential and the most underdeveloped predictor of readiness identified this study.</w:t>
      </w:r>
    </w:p>
    <w:p w14:paraId="2F750260" w14:textId="77777777" w:rsidR="00251A9F" w:rsidRPr="00251A9F" w:rsidRDefault="00251A9F" w:rsidP="00251A9F">
      <w:pPr>
        <w:spacing w:line="360" w:lineRule="auto"/>
        <w:rPr>
          <w:rFonts w:ascii="Times New Roman" w:hAnsi="Times New Roman"/>
        </w:rPr>
      </w:pPr>
    </w:p>
    <w:p w14:paraId="36E8DEE3"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5.3 Technical Competence and Overall Readiness (H2)</w:t>
      </w:r>
    </w:p>
    <w:p w14:paraId="1EBB8548" w14:textId="77777777" w:rsidR="00251A9F" w:rsidRPr="00251A9F" w:rsidRDefault="00251A9F" w:rsidP="00251A9F">
      <w:pPr>
        <w:spacing w:line="360" w:lineRule="auto"/>
        <w:rPr>
          <w:rFonts w:ascii="Times New Roman" w:hAnsi="Times New Roman"/>
        </w:rPr>
      </w:pPr>
      <w:r w:rsidRPr="00251A9F">
        <w:rPr>
          <w:rFonts w:ascii="Times New Roman" w:hAnsi="Times New Roman"/>
        </w:rPr>
        <w:t>Technical Competence was also significantly and positively associated with Overall Readiness, both at the bivariate level (rho=0.527, p&lt;0.001) and as significant unique predictor in the regression model (β=0.407, p=0.004). This supports the human capital theory framing adopted in Chapter Two (Becker, 1964, as cited in Pyatt, 1966), which holds that the specific skills accountants possess for collecting, verifying and interpreting ESG-related information function as a productive asset that translates directly into stronger reporting outcome.</w:t>
      </w:r>
    </w:p>
    <w:p w14:paraId="1AF4D454"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finding is also consistent with the empirical literature reviewed in Chapter Two.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and </w:t>
      </w:r>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proofErr w:type="spellEnd"/>
      <w:r w:rsidRPr="00251A9F">
        <w:rPr>
          <w:rFonts w:ascii="Times New Roman" w:hAnsi="Times New Roman"/>
        </w:rPr>
        <w:t xml:space="preserve"> (2020) both found that competence gap </w:t>
      </w:r>
      <w:proofErr w:type="gramStart"/>
      <w:r w:rsidRPr="00251A9F">
        <w:rPr>
          <w:rFonts w:ascii="Times New Roman" w:hAnsi="Times New Roman"/>
        </w:rPr>
        <w:t>persist</w:t>
      </w:r>
      <w:proofErr w:type="gramEnd"/>
      <w:r w:rsidRPr="00251A9F">
        <w:rPr>
          <w:rFonts w:ascii="Times New Roman" w:hAnsi="Times New Roman"/>
        </w:rPr>
        <w:t xml:space="preserve"> even among experienced accountants, while </w:t>
      </w:r>
      <w:proofErr w:type="spellStart"/>
      <w:r w:rsidRPr="00251A9F">
        <w:rPr>
          <w:rFonts w:ascii="Times New Roman" w:hAnsi="Times New Roman"/>
        </w:rPr>
        <w:t>Wenzig</w:t>
      </w:r>
      <w:proofErr w:type="spellEnd"/>
      <w:r w:rsidRPr="00251A9F">
        <w:rPr>
          <w:rFonts w:ascii="Times New Roman" w:hAnsi="Times New Roman"/>
        </w:rPr>
        <w:t xml:space="preserve"> et al. (2023) argue that the technical demands of sustainability reporting, such as double materiality assessment and non-financial impact quantification are structurally different from conventional financial reporting skills. The present results add to this picture by demonstrating, in a Pakistani sample, that technical competence is not only connected with readiness but is one of only two variables (alongside regulatory awareness) that retain unique explanatory power once all three individual-level predictors are considered together. This suggests that, at least in this sample, technical competence is not simply a proxy for confidence or awareness, but a distinct and substantively important contributor to accountants' sense of readiness, consistent with the view of Baumüller and Sopp (2021) and Wagenhofer (2024) that technical component of sustainability reporting requires its own dedicated skill set rather than emerging automatically from general accounting training.</w:t>
      </w:r>
    </w:p>
    <w:p w14:paraId="3D8264B2" w14:textId="77777777" w:rsidR="00251A9F" w:rsidRPr="00251A9F" w:rsidRDefault="00251A9F" w:rsidP="00251A9F">
      <w:pPr>
        <w:spacing w:line="360" w:lineRule="auto"/>
        <w:rPr>
          <w:rFonts w:ascii="Times New Roman" w:hAnsi="Times New Roman"/>
        </w:rPr>
      </w:pPr>
    </w:p>
    <w:p w14:paraId="4E5DD3C2"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5.4 Perceived Confidence and Overall Readiness (H3)</w:t>
      </w:r>
    </w:p>
    <w:p w14:paraId="0091A42E"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results for Perceived Confidence require closer discussion, as they were only partially consistent with the expectations. At the bivariate level, Perceived Confidence was significantly and positively correlated with Overall Readiness (rho=0.415, p=0.002), providing initial support for H3 and for Bandura's (1986) self-efficacy framing adopted in the Chapter Two, which holds that professionals' belief in their own capability shapes their engagement with challenging tasks. However, once Regulatory Awareness and Technical </w:t>
      </w:r>
      <w:r w:rsidRPr="00251A9F">
        <w:rPr>
          <w:rFonts w:ascii="Times New Roman" w:hAnsi="Times New Roman"/>
        </w:rPr>
        <w:lastRenderedPageBreak/>
        <w:t>Competence were entered into same regression model, Perceived Confidence no longer made a statistically significant unique contribution to Overall Readiness (β=0.052, p=0.688).</w:t>
      </w:r>
    </w:p>
    <w:p w14:paraId="6E541EF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 likely explanation lies in the strong correlation reported in Table 4.6b (rho=0.729), which indicates that the two constructs, although conceptually distinct, were measured by respondent in a highly overlapping way: accountants who rated themselves as technically competent also, almost without exception, rated themselves as confident. Once Technical Competence is included in the model, therefore, Perceived Confidence has comparatively little independent variance left to explain. This finding speaks directly to tension already identified in Chapter Two. Garefalakis et al. (2026) raise the possibility that perceived confidence may function less as an independent predictor of readiness and more as a proxy for underlying competence or   training exposure, a position that sits in contrast to </w:t>
      </w:r>
      <w:proofErr w:type="spellStart"/>
      <w:r w:rsidRPr="00251A9F">
        <w:rPr>
          <w:rFonts w:ascii="Times New Roman" w:hAnsi="Times New Roman"/>
        </w:rPr>
        <w:t>Fota</w:t>
      </w:r>
      <w:proofErr w:type="spellEnd"/>
      <w:r w:rsidRPr="00251A9F">
        <w:rPr>
          <w:rFonts w:ascii="Times New Roman" w:hAnsi="Times New Roman"/>
        </w:rPr>
        <w:t xml:space="preserve"> et al. (2024), who treat self-efficacy as having explanatory power in its own right. The present results lend some support to the </w:t>
      </w:r>
      <w:proofErr w:type="spellStart"/>
      <w:r w:rsidRPr="00251A9F">
        <w:rPr>
          <w:rFonts w:ascii="Times New Roman" w:hAnsi="Times New Roman"/>
        </w:rPr>
        <w:t>Garefalakis</w:t>
      </w:r>
      <w:proofErr w:type="spellEnd"/>
      <w:r w:rsidRPr="00251A9F">
        <w:rPr>
          <w:rFonts w:ascii="Times New Roman" w:hAnsi="Times New Roman"/>
        </w:rPr>
        <w:t xml:space="preserve"> et al. (2026) position: in this sample, confidence's explanatory power was effectively absorbed by technical competence. This is also consistent with caution raised by </w:t>
      </w:r>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proofErr w:type="spellEnd"/>
      <w:r w:rsidRPr="00251A9F">
        <w:rPr>
          <w:rFonts w:ascii="Times New Roman" w:hAnsi="Times New Roman"/>
        </w:rPr>
        <w:t xml:space="preserve"> (2020), who found that confidence uncoupled from genuine competence can be counterproductive; the present findings suggest that, more positively, the confidence reported by this sample was well-calibrated to, rather independent of, respondents' technical competence.</w:t>
      </w:r>
    </w:p>
    <w:p w14:paraId="2C3615E0" w14:textId="77777777" w:rsidR="00251A9F" w:rsidRPr="00251A9F" w:rsidRDefault="00251A9F" w:rsidP="00251A9F">
      <w:pPr>
        <w:spacing w:line="360" w:lineRule="auto"/>
        <w:rPr>
          <w:rFonts w:ascii="Times New Roman" w:hAnsi="Times New Roman"/>
        </w:rPr>
      </w:pPr>
    </w:p>
    <w:p w14:paraId="31F1ED58"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5.5 Organisational Support: A Direct Predictor Rather Than a Moderator (H4)</w:t>
      </w:r>
    </w:p>
    <w:p w14:paraId="292B20F0" w14:textId="77777777" w:rsidR="00251A9F" w:rsidRPr="00251A9F" w:rsidRDefault="00251A9F" w:rsidP="00251A9F">
      <w:pPr>
        <w:spacing w:line="360" w:lineRule="auto"/>
        <w:rPr>
          <w:rFonts w:ascii="Times New Roman" w:hAnsi="Times New Roman"/>
        </w:rPr>
      </w:pPr>
      <w:r w:rsidRPr="00251A9F">
        <w:rPr>
          <w:rFonts w:ascii="Times New Roman" w:hAnsi="Times New Roman"/>
        </w:rPr>
        <w:t>Hypothesis Four proposed that organisational support would moderate the relationships between the three individual-level predictors and Overall Readiness, drawing social exchange theory (</w:t>
      </w:r>
      <w:proofErr w:type="spellStart"/>
      <w:r w:rsidRPr="00251A9F">
        <w:rPr>
          <w:rFonts w:ascii="Times New Roman" w:hAnsi="Times New Roman"/>
        </w:rPr>
        <w:t>Cropanzano</w:t>
      </w:r>
      <w:proofErr w:type="spellEnd"/>
      <w:r w:rsidRPr="00251A9F">
        <w:rPr>
          <w:rFonts w:ascii="Times New Roman" w:hAnsi="Times New Roman"/>
        </w:rPr>
        <w:t xml:space="preserve"> and Mitchell, 2005) as set out in Chapter Two. The hierarchical regression results reported in section 4.8 do not support this moderating role: the interaction terms added in Step 3 did not significantly improve the model (ΔR2=0.014, p=0.602). However, Organisational Support emerged as a strong, statistically significant, direct predictor of Overall Readiness when added in Step 2 (ΔR2=0.125, β=0.453, p&lt;0.001), stronger effect than either Regulatory Awareness or Technical Competence produced individually.</w:t>
      </w:r>
    </w:p>
    <w:p w14:paraId="769B541A"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pattern is better explained by organisational support theory (Eisenberger et al., 1986, cited in </w:t>
      </w:r>
      <w:proofErr w:type="spellStart"/>
      <w:r w:rsidRPr="00251A9F">
        <w:rPr>
          <w:rFonts w:ascii="Times New Roman" w:hAnsi="Times New Roman"/>
        </w:rPr>
        <w:t>Kurtessis</w:t>
      </w:r>
      <w:proofErr w:type="spellEnd"/>
      <w:r w:rsidRPr="00251A9F">
        <w:rPr>
          <w:rFonts w:ascii="Times New Roman" w:hAnsi="Times New Roman"/>
        </w:rPr>
        <w:t xml:space="preserve"> et al., 2017) than bye the moderating, social-exchange-based framing that Chapter Two proposed. </w:t>
      </w:r>
      <w:proofErr w:type="spellStart"/>
      <w:r w:rsidRPr="00251A9F">
        <w:rPr>
          <w:rFonts w:ascii="Times New Roman" w:hAnsi="Times New Roman"/>
        </w:rPr>
        <w:t>Kurtessis</w:t>
      </w:r>
      <w:proofErr w:type="spellEnd"/>
      <w:r w:rsidRPr="00251A9F">
        <w:rPr>
          <w:rFonts w:ascii="Times New Roman" w:hAnsi="Times New Roman"/>
        </w:rPr>
        <w:t xml:space="preserve"> et al. (2017), in a meta-analytic evaluation of 558 studies, found that perceived organisational support consistently predicts employee performance and work-related outcomes directly, operating through employees' sense that the organisation </w:t>
      </w:r>
      <w:r w:rsidRPr="00251A9F">
        <w:rPr>
          <w:rFonts w:ascii="Times New Roman" w:hAnsi="Times New Roman"/>
        </w:rPr>
        <w:lastRenderedPageBreak/>
        <w:t xml:space="preserve">values their input and is willing to invest in their wellbeing, </w:t>
      </w:r>
      <w:proofErr w:type="gramStart"/>
      <w:r w:rsidRPr="00251A9F">
        <w:rPr>
          <w:rFonts w:ascii="Times New Roman" w:hAnsi="Times New Roman"/>
        </w:rPr>
        <w:t>than</w:t>
      </w:r>
      <w:proofErr w:type="gramEnd"/>
      <w:r w:rsidRPr="00251A9F">
        <w:rPr>
          <w:rFonts w:ascii="Times New Roman" w:hAnsi="Times New Roman"/>
        </w:rPr>
        <w:t xml:space="preserve"> solely through a moderating, reciprocity-based mechanism that depends on the level of an employee's existing individual capability. Applied to the present findings, this suggests that when a Pakistani accountant's organisation is perceived to understand the benefits of sustainability reporting, provide a named point of a contact or support unit, and keep staff informed of relevant tools and developments, that accountant tends to feel more ready for sustainability reporting responsibilities regardless of their personal level of regulatory awareness, technical competence, or confidence, rather than the effect of those individual capabilities being specifically amplified by organisational support. This is a theoretically meaningful finding on its own right: it implies that, in the Pakistani context of this study, organisational investment in sustainability infrastructure may be a precondition for readiness in a general sense, rather than a multiplier of individual capability. However, with N=54 and several interaction terms, moderation tests are likely to have relatively limited statistical power. This distinction has practical implications, discussed further in Chapter Six.</w:t>
      </w:r>
    </w:p>
    <w:p w14:paraId="3FF65D23" w14:textId="77777777" w:rsidR="00251A9F" w:rsidRPr="00251A9F" w:rsidRDefault="00251A9F" w:rsidP="00251A9F">
      <w:pPr>
        <w:spacing w:line="360" w:lineRule="auto"/>
        <w:rPr>
          <w:rFonts w:ascii="Times New Roman" w:hAnsi="Times New Roman"/>
        </w:rPr>
      </w:pPr>
    </w:p>
    <w:p w14:paraId="695FCC92"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5.6 Sustainability-Specific Training: An Unsupported Moderator (H5)</w:t>
      </w:r>
    </w:p>
    <w:p w14:paraId="1B37FA79"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Hypothesis Five proposed that sustainability-specific training would moderate the relationships between the three individual-level predictors and Overall Readiness, drawing on human capital theory (Becker, 1964, as cited in Al </w:t>
      </w:r>
      <w:proofErr w:type="spellStart"/>
      <w:r w:rsidRPr="00251A9F">
        <w:rPr>
          <w:rFonts w:ascii="Times New Roman" w:hAnsi="Times New Roman"/>
        </w:rPr>
        <w:t>Frijat</w:t>
      </w:r>
      <w:proofErr w:type="spellEnd"/>
      <w:r w:rsidRPr="00251A9F">
        <w:rPr>
          <w:rFonts w:ascii="Times New Roman" w:hAnsi="Times New Roman"/>
        </w:rPr>
        <w:t xml:space="preserve"> et al., 2025) as it is set out in Chapter Two. Neither the direct effect of training (ΔR2=0.022, p=0.135) nor the interaction terms (ΔR2=0.033, p=0.327) reached statistical significance, meaning H5 was not supported.</w:t>
      </w:r>
    </w:p>
    <w:p w14:paraId="4D90A9F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result stands in contrast to a substantial body of literature reviewed in Chapter Two. Al Frijat et al. (2025) reported a strong positive path coefficient of 0.772 between professional development and sustainability reporting quality, and </w:t>
      </w:r>
      <w:proofErr w:type="spellStart"/>
      <w:r w:rsidRPr="00251A9F">
        <w:rPr>
          <w:rFonts w:ascii="Times New Roman" w:hAnsi="Times New Roman"/>
        </w:rPr>
        <w:t>Garefalakis</w:t>
      </w:r>
      <w:proofErr w:type="spellEnd"/>
      <w:r w:rsidRPr="00251A9F">
        <w:rPr>
          <w:rFonts w:ascii="Times New Roman" w:hAnsi="Times New Roman"/>
        </w:rPr>
        <w:t xml:space="preserve"> et al. (2026) found that formally trained chartered accountants applied significantly broader range of ESG criteria than untrained accountants. Several factors may account for the contrast between these prior findings and present results. First, and most importantly, training was measured in this study as a single categorical item, later recoded into the binary variable (trained versus not trained) for the purposes of the regression analysis, whereas Al </w:t>
      </w:r>
      <w:proofErr w:type="spellStart"/>
      <w:r w:rsidRPr="00251A9F">
        <w:rPr>
          <w:rFonts w:ascii="Times New Roman" w:hAnsi="Times New Roman"/>
        </w:rPr>
        <w:t>Frijat</w:t>
      </w:r>
      <w:proofErr w:type="spellEnd"/>
      <w:r w:rsidRPr="00251A9F">
        <w:rPr>
          <w:rFonts w:ascii="Times New Roman" w:hAnsi="Times New Roman"/>
        </w:rPr>
        <w:t xml:space="preserve"> et al. (2025) and </w:t>
      </w:r>
      <w:proofErr w:type="spellStart"/>
      <w:r w:rsidRPr="00251A9F">
        <w:rPr>
          <w:rFonts w:ascii="Times New Roman" w:hAnsi="Times New Roman"/>
        </w:rPr>
        <w:t>Garefalakis</w:t>
      </w:r>
      <w:proofErr w:type="spellEnd"/>
      <w:r w:rsidRPr="00251A9F">
        <w:rPr>
          <w:rFonts w:ascii="Times New Roman" w:hAnsi="Times New Roman"/>
        </w:rPr>
        <w:t xml:space="preserve"> et al. (2026) both use richer, multi-item measures of training intensity or quality. A binary measure cannot distinguish between a single introductory webinar and a sustained professional certification, and this loss of nuance may have suppressed a true relationship between training and readiness. Second, Friedman (2023) argues that the moderating effect of professional development depends on how formally structured, monitored, and institutionally </w:t>
      </w:r>
      <w:r w:rsidRPr="00251A9F">
        <w:rPr>
          <w:rFonts w:ascii="Times New Roman" w:hAnsi="Times New Roman"/>
        </w:rPr>
        <w:lastRenderedPageBreak/>
        <w:t xml:space="preserve">recognised that training is; if a meaningful proportion of the training reported by respondents in this study was informal or self-directed (for example, through the “other online training platforms” category recorded in Table 4.3), its effect on readiness may plausibly be weaker </w:t>
      </w:r>
      <w:proofErr w:type="spellStart"/>
      <w:r w:rsidRPr="00251A9F">
        <w:rPr>
          <w:rFonts w:ascii="Times New Roman" w:hAnsi="Times New Roman"/>
        </w:rPr>
        <w:t>then</w:t>
      </w:r>
      <w:proofErr w:type="spellEnd"/>
      <w:r w:rsidRPr="00251A9F">
        <w:rPr>
          <w:rFonts w:ascii="Times New Roman" w:hAnsi="Times New Roman"/>
        </w:rPr>
        <w:t xml:space="preserve"> the effect of the more formally accredited training examined in the Greek and cross-national samples used by </w:t>
      </w:r>
      <w:proofErr w:type="spellStart"/>
      <w:r w:rsidRPr="00251A9F">
        <w:rPr>
          <w:rFonts w:ascii="Times New Roman" w:hAnsi="Times New Roman"/>
        </w:rPr>
        <w:t>Garefalakis</w:t>
      </w:r>
      <w:proofErr w:type="spellEnd"/>
      <w:r w:rsidRPr="00251A9F">
        <w:rPr>
          <w:rFonts w:ascii="Times New Roman" w:hAnsi="Times New Roman"/>
        </w:rPr>
        <w:t xml:space="preserve"> et al. (2026) and Al </w:t>
      </w:r>
      <w:proofErr w:type="spellStart"/>
      <w:r w:rsidRPr="00251A9F">
        <w:rPr>
          <w:rFonts w:ascii="Times New Roman" w:hAnsi="Times New Roman"/>
        </w:rPr>
        <w:t>Frijat</w:t>
      </w:r>
      <w:proofErr w:type="spellEnd"/>
      <w:r w:rsidRPr="00251A9F">
        <w:rPr>
          <w:rFonts w:ascii="Times New Roman" w:hAnsi="Times New Roman"/>
        </w:rPr>
        <w:t xml:space="preserve"> et al. (2025). Third, the relatively modest sample size of 54, and the resulting imbalance between trained (n=41) and untrained (n=13) respondents, reduced the statistical power available to detect a moderating interaction even if a smaller true effect existed. This is discussed further as a limitation in Chapter Six.</w:t>
      </w:r>
    </w:p>
    <w:p w14:paraId="41D5DA99" w14:textId="77777777" w:rsidR="00251A9F" w:rsidRPr="00251A9F" w:rsidRDefault="00251A9F" w:rsidP="00251A9F">
      <w:pPr>
        <w:spacing w:line="360" w:lineRule="auto"/>
        <w:rPr>
          <w:rFonts w:ascii="Times New Roman" w:hAnsi="Times New Roman"/>
        </w:rPr>
      </w:pPr>
    </w:p>
    <w:p w14:paraId="4430064F"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5.7 Demographic Characteristics and Readiness</w:t>
      </w:r>
    </w:p>
    <w:p w14:paraId="016EDFA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No statistically significant differences in Overall Readiness, or in any of its four component variables, were found across gender, age band, years of professional experience, or highest qualification (Table 4.11). This is the notable finding in its own right. It suggests that, within this sample, sustainability reporting readiness is not simply a function of who an accountant is in demographic terms, but of what they know, what they can do, how confident they feel, and, most strongly, the support their organisation provides. This is broadly consistent with </w:t>
      </w:r>
      <w:proofErr w:type="spellStart"/>
      <w:r w:rsidRPr="00251A9F">
        <w:rPr>
          <w:rFonts w:ascii="Times New Roman" w:hAnsi="Times New Roman"/>
        </w:rPr>
        <w:t>Hońko</w:t>
      </w:r>
      <w:proofErr w:type="spellEnd"/>
      <w:r w:rsidRPr="00251A9F">
        <w:rPr>
          <w:rFonts w:ascii="Times New Roman" w:hAnsi="Times New Roman"/>
        </w:rPr>
        <w:t xml:space="preserve">, Strojek-Filus and </w:t>
      </w:r>
      <w:proofErr w:type="spellStart"/>
      <w:r w:rsidRPr="00251A9F">
        <w:rPr>
          <w:rFonts w:ascii="Times New Roman" w:hAnsi="Times New Roman"/>
        </w:rPr>
        <w:t>Świetla</w:t>
      </w:r>
      <w:proofErr w:type="spellEnd"/>
      <w:r w:rsidRPr="00251A9F">
        <w:rPr>
          <w:rFonts w:ascii="Times New Roman" w:hAnsi="Times New Roman"/>
        </w:rPr>
        <w:t xml:space="preserve"> (2025) and </w:t>
      </w:r>
      <w:proofErr w:type="spellStart"/>
      <w:r w:rsidRPr="00251A9F">
        <w:rPr>
          <w:rFonts w:ascii="Times New Roman" w:hAnsi="Times New Roman"/>
        </w:rPr>
        <w:t>Krasodomska</w:t>
      </w:r>
      <w:proofErr w:type="spellEnd"/>
      <w:r w:rsidRPr="00251A9F">
        <w:rPr>
          <w:rFonts w:ascii="Times New Roman" w:hAnsi="Times New Roman"/>
        </w:rPr>
        <w:t xml:space="preserve">, Michalak and </w:t>
      </w:r>
      <w:proofErr w:type="spellStart"/>
      <w:r w:rsidRPr="00251A9F">
        <w:rPr>
          <w:rFonts w:ascii="Times New Roman" w:hAnsi="Times New Roman"/>
        </w:rPr>
        <w:t>Świetla</w:t>
      </w:r>
      <w:proofErr w:type="spellEnd"/>
      <w:r w:rsidRPr="00251A9F">
        <w:rPr>
          <w:rFonts w:ascii="Times New Roman" w:hAnsi="Times New Roman"/>
        </w:rPr>
        <w:t xml:space="preserve"> (2020), both of whom found that professional longevity did not substitute for targeted competence development, implying that experience alone does not resolve sustainability reporting readiness gaps. The absence of a significant age effect is a partial departure from </w:t>
      </w:r>
      <w:proofErr w:type="spellStart"/>
      <w:r w:rsidRPr="00251A9F">
        <w:rPr>
          <w:rFonts w:ascii="Times New Roman" w:hAnsi="Times New Roman"/>
        </w:rPr>
        <w:t>Garefalakis</w:t>
      </w:r>
      <w:proofErr w:type="spellEnd"/>
      <w:r w:rsidRPr="00251A9F">
        <w:rPr>
          <w:rFonts w:ascii="Times New Roman" w:hAnsi="Times New Roman"/>
        </w:rPr>
        <w:t xml:space="preserve"> et al. (2026), who found a pronounced generational divide </w:t>
      </w:r>
      <w:proofErr w:type="spellStart"/>
      <w:r w:rsidRPr="00251A9F">
        <w:rPr>
          <w:rFonts w:ascii="Times New Roman" w:hAnsi="Times New Roman"/>
        </w:rPr>
        <w:t>betwwen</w:t>
      </w:r>
      <w:proofErr w:type="spellEnd"/>
      <w:r w:rsidRPr="00251A9F">
        <w:rPr>
          <w:rFonts w:ascii="Times New Roman" w:hAnsi="Times New Roman"/>
        </w:rPr>
        <w:t xml:space="preserve"> Greek accountants, with younger professionals reporting stronger ESG engagement. A plausible explanation is contextual: the generational gap observed by </w:t>
      </w:r>
      <w:proofErr w:type="spellStart"/>
      <w:r w:rsidRPr="00251A9F">
        <w:rPr>
          <w:rFonts w:ascii="Times New Roman" w:hAnsi="Times New Roman"/>
        </w:rPr>
        <w:t>Garefalakis</w:t>
      </w:r>
      <w:proofErr w:type="spellEnd"/>
      <w:r w:rsidRPr="00251A9F">
        <w:rPr>
          <w:rFonts w:ascii="Times New Roman" w:hAnsi="Times New Roman"/>
        </w:rPr>
        <w:t xml:space="preserve"> et al. (2026) was closely tied to recent exposure to ESG content in Greek university curricula, a channel that may be considerably less developed within Pakistani accounting education and professional body curricula at present, meaning younger Pakistani accountants may not yet hold the same curriculum-driven advantage as there Greek counterparts.</w:t>
      </w:r>
    </w:p>
    <w:p w14:paraId="158743DE" w14:textId="77777777" w:rsidR="00251A9F" w:rsidRPr="00251A9F" w:rsidRDefault="00251A9F" w:rsidP="00251A9F">
      <w:pPr>
        <w:spacing w:line="360" w:lineRule="auto"/>
        <w:rPr>
          <w:rFonts w:ascii="Times New Roman" w:hAnsi="Times New Roman"/>
        </w:rPr>
      </w:pPr>
    </w:p>
    <w:p w14:paraId="01435D97"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5.8 Connecting the Findings to the Research Objectives</w:t>
      </w:r>
    </w:p>
    <w:p w14:paraId="106A22D7"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findings of this study directly address the six research objectives set out in Chapter One. RO1, to assess accountants' regulatory awareness, is addressed by descriptive results in section 4.4, which found regulatory awareness to be the lowest-scoring variable in the study (M=2.70), indicating only moderate-to-low familiarity with specific sustainability reporting </w:t>
      </w:r>
      <w:r w:rsidRPr="00251A9F">
        <w:rPr>
          <w:rFonts w:ascii="Times New Roman" w:hAnsi="Times New Roman"/>
        </w:rPr>
        <w:lastRenderedPageBreak/>
        <w:t xml:space="preserve">frameworks among Pakistani accountants. RO2, to evaluate accountants' technical competence, is addressed by comparatively higher average score (M=3.79) and by technical competence's significant, independent contribution to readiness. RO3, to examine accountants' perceived confidence, is addressed by the highest average score recorded in the study (M=3.92), </w:t>
      </w:r>
      <w:proofErr w:type="spellStart"/>
      <w:r w:rsidRPr="00251A9F">
        <w:rPr>
          <w:rFonts w:ascii="Times New Roman" w:hAnsi="Times New Roman"/>
        </w:rPr>
        <w:t>alongsidefinding</w:t>
      </w:r>
      <w:proofErr w:type="spellEnd"/>
      <w:r w:rsidRPr="00251A9F">
        <w:rPr>
          <w:rFonts w:ascii="Times New Roman" w:hAnsi="Times New Roman"/>
        </w:rPr>
        <w:t xml:space="preserve"> that this confidence did not act as an independent driver of readiness once technical competence was accounted for. RO4, to determine accountants' overall readiness, is addressed by an average readiness score of 3.37, positioned toward the mid-point of the scale, indicating that Pakistani accountants in this sample are moderately, but not fully, prepared for sustainability reporting responsibilities.</w:t>
      </w:r>
    </w:p>
    <w:p w14:paraId="52C75E0C" w14:textId="77777777" w:rsidR="00251A9F" w:rsidRPr="00251A9F" w:rsidRDefault="00251A9F" w:rsidP="00251A9F">
      <w:pPr>
        <w:spacing w:line="360" w:lineRule="auto"/>
        <w:rPr>
          <w:rFonts w:ascii="Times New Roman" w:hAnsi="Times New Roman"/>
        </w:rPr>
      </w:pPr>
      <w:r w:rsidRPr="00251A9F">
        <w:rPr>
          <w:rFonts w:ascii="Times New Roman" w:hAnsi="Times New Roman"/>
        </w:rPr>
        <w:t>RO5 and RO6, concerning the moderating roles of organisational support and sustainability-specific training respectively, were both formally not supported in their moderating form. However, the findings relating to RO5 carry an important qualification: while organisational support did not moderate the relationships tested in H1 to H3, it emerged as strongest direct predictor of readiness identified anywhere in the analysis, indicating that organisational support remains highly relevant to accountants' readiness, albeit through a different statistical pathway than originally hypothesised. RO6 was not supported in either its direct or moderating form, suggesting that, as measured in this study, sustainability-specific training was not that significant driver of readiness among this sample of Pakistani accountants.</w:t>
      </w:r>
    </w:p>
    <w:p w14:paraId="456FC814" w14:textId="77777777" w:rsidR="00251A9F" w:rsidRPr="00251A9F" w:rsidRDefault="00251A9F" w:rsidP="00251A9F">
      <w:pPr>
        <w:spacing w:line="360" w:lineRule="auto"/>
        <w:rPr>
          <w:rFonts w:ascii="Times New Roman" w:hAnsi="Times New Roman"/>
        </w:rPr>
      </w:pPr>
    </w:p>
    <w:p w14:paraId="6C5B794F"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5.9 Chapter Summary</w:t>
      </w:r>
    </w:p>
    <w:p w14:paraId="0C49C7E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chapter interpreted the Chapter Four findings against the literature reviewed in Chapter Two. The predictive strength of Regulatory Awareness and Technical Competence aligns with human capital theory and prior evidence for competence gaps in sustainability reporting. Perceived Confidence's loss of significance once Technical Competence was controlled for reflects an unresolved debate over if self-efficacy predicts readiness independently or merely proxies underlying competence. Organisational Support's role as a direct predictor rather than a moderator is better explained by organisational support theory than by the social exchange framing originally proposed, suggesting employees respond to support as a resource rather than reciprocating it conditionally. Training's null result contrasts with prior literature and was attributed to its </w:t>
      </w:r>
      <w:proofErr w:type="gramStart"/>
      <w:r w:rsidRPr="00251A9F">
        <w:rPr>
          <w:rFonts w:ascii="Times New Roman" w:hAnsi="Times New Roman"/>
        </w:rPr>
        <w:t>coarse</w:t>
      </w:r>
      <w:proofErr w:type="gramEnd"/>
      <w:r w:rsidRPr="00251A9F">
        <w:rPr>
          <w:rFonts w:ascii="Times New Roman" w:hAnsi="Times New Roman"/>
        </w:rPr>
        <w:t>, single-item measurement rather than a genuine absence of effect. The absence of demographic differences suggests readiness is shaped more bye professional and organisational factors than by individual background. Collectively, the chapter linked these interpretations back to the study's six research objectives, setting up the conclusions, contributions, and limitations addressed in Chapter Six.</w:t>
      </w:r>
    </w:p>
    <w:p w14:paraId="0587D599" w14:textId="77777777" w:rsidR="00251A9F" w:rsidRPr="00251A9F" w:rsidRDefault="00251A9F" w:rsidP="00251A9F">
      <w:pPr>
        <w:spacing w:line="360" w:lineRule="auto"/>
        <w:jc w:val="center"/>
        <w:rPr>
          <w:rFonts w:ascii="Times New Roman" w:hAnsi="Times New Roman"/>
          <w:b/>
          <w:bCs/>
        </w:rPr>
      </w:pPr>
      <w:r w:rsidRPr="00251A9F">
        <w:rPr>
          <w:rFonts w:ascii="Times New Roman" w:hAnsi="Times New Roman"/>
          <w:b/>
          <w:bCs/>
        </w:rPr>
        <w:lastRenderedPageBreak/>
        <w:t>CHAPTER 6: CONCLUSION</w:t>
      </w:r>
    </w:p>
    <w:p w14:paraId="471A03C8"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6.1 Conclusion</w:t>
      </w:r>
    </w:p>
    <w:p w14:paraId="4C0FE825" w14:textId="1A182ED3" w:rsidR="00251A9F" w:rsidRPr="00251A9F" w:rsidRDefault="00251A9F" w:rsidP="00251A9F">
      <w:pPr>
        <w:spacing w:line="360" w:lineRule="auto"/>
        <w:rPr>
          <w:rFonts w:ascii="Times New Roman" w:hAnsi="Times New Roman"/>
        </w:rPr>
      </w:pPr>
      <w:r w:rsidRPr="00251A9F">
        <w:rPr>
          <w:rFonts w:ascii="Times New Roman" w:hAnsi="Times New Roman"/>
        </w:rPr>
        <w:t>This study set out to examine the readiness of accountants in Pakistan to undertake sustainability reporting responsibilities, and to explore whether this readiness could be explained by the f</w:t>
      </w:r>
      <w:r w:rsidR="008D37A2">
        <w:rPr>
          <w:rFonts w:ascii="Times New Roman" w:hAnsi="Times New Roman"/>
        </w:rPr>
        <w:t>ive</w:t>
      </w:r>
      <w:r w:rsidRPr="00251A9F">
        <w:rPr>
          <w:rFonts w:ascii="Times New Roman" w:hAnsi="Times New Roman"/>
        </w:rPr>
        <w:t xml:space="preserve"> individual and organisational factors: regulatory awareness, technical competence, perceived confidence, organisational support, and sustainability-specific training. This topic was chosen because sustainability reporting is becoming an increasingly important part of the accounting profession, </w:t>
      </w:r>
      <w:proofErr w:type="gramStart"/>
      <w:r w:rsidRPr="00251A9F">
        <w:rPr>
          <w:rFonts w:ascii="Times New Roman" w:hAnsi="Times New Roman"/>
        </w:rPr>
        <w:t>yet,</w:t>
      </w:r>
      <w:proofErr w:type="gramEnd"/>
      <w:r w:rsidRPr="00251A9F">
        <w:rPr>
          <w:rFonts w:ascii="Times New Roman" w:hAnsi="Times New Roman"/>
        </w:rPr>
        <w:t xml:space="preserve"> as discussed in Chapter One, there appeared to be relatively little research looking specifically at how ready accountants in a developing economy such as Pakistan actually feel to take on this responsibility. A quantitative, cross-sectional survey was used to collect 54 usable responses from professional and trainee accountants, and the resulting data was analysed using the tests set out in Chapter Three.</w:t>
      </w:r>
    </w:p>
    <w:p w14:paraId="1949C124"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The findings </w:t>
      </w:r>
      <w:proofErr w:type="gramStart"/>
      <w:r w:rsidRPr="00251A9F">
        <w:rPr>
          <w:rFonts w:ascii="Times New Roman" w:hAnsi="Times New Roman"/>
        </w:rPr>
        <w:t>shows</w:t>
      </w:r>
      <w:proofErr w:type="gramEnd"/>
      <w:r w:rsidRPr="00251A9F">
        <w:rPr>
          <w:rFonts w:ascii="Times New Roman" w:hAnsi="Times New Roman"/>
        </w:rPr>
        <w:t xml:space="preserve"> a mixed but coherent picture. Regulatory Awareness and Technical Competence were both confirmed as significant, independent predictors of Overall Readiness, and together with Perceived Confidence explained just over half of the variance in readiness scores. Perceived Confidence was positively related to readiness in its own, but did not remain significant once Technical Competence was accounted for, most likely because the two were very closely related in how respondents answered. Organisational Support did not moderate the relationships </w:t>
      </w:r>
      <w:proofErr w:type="gramStart"/>
      <w:r w:rsidRPr="00251A9F">
        <w:rPr>
          <w:rFonts w:ascii="Times New Roman" w:hAnsi="Times New Roman"/>
        </w:rPr>
        <w:t>tested, but</w:t>
      </w:r>
      <w:proofErr w:type="gramEnd"/>
      <w:r w:rsidRPr="00251A9F">
        <w:rPr>
          <w:rFonts w:ascii="Times New Roman" w:hAnsi="Times New Roman"/>
        </w:rPr>
        <w:t xml:space="preserve"> turned out to be a single strongest direct predictor of readiness in the whole study, which was not what was originally expected but is, in its own way, an interesting and useful finding. Sustainability-specific training showed no significant relationship with readiness at all, whether as a direct effect or as the moderator.</w:t>
      </w:r>
    </w:p>
    <w:p w14:paraId="3D83328F" w14:textId="77777777" w:rsidR="00251A9F" w:rsidRPr="00251A9F" w:rsidRDefault="00251A9F" w:rsidP="00251A9F">
      <w:pPr>
        <w:spacing w:line="360" w:lineRule="auto"/>
        <w:rPr>
          <w:rFonts w:ascii="Times New Roman" w:hAnsi="Times New Roman"/>
        </w:rPr>
      </w:pPr>
      <w:r w:rsidRPr="00251A9F">
        <w:rPr>
          <w:rFonts w:ascii="Times New Roman" w:hAnsi="Times New Roman"/>
        </w:rPr>
        <w:t>Taken together, these results suggest that Pakistani accountants' readiness for sustainability reporting is shaped mainly by what they personally know and can do, and by the level of support their organisation provide, rather than by demographic characteristics such as age, gender, experience, or qualification, none of which showed a significant relationship with readiness in this sample. This broadly answers the research questions set out in Chapter One: accountants in this sample were found to have only moderate regulatory awareness, reasonably strong technical competence and confidence, and an overall readiness level that sit around the middle of the scale, meaning there is meaningful room for improvement rather than either a crisis or a fully solved problem.</w:t>
      </w:r>
    </w:p>
    <w:p w14:paraId="6D375F6E"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It is also worth reflecting briefly on what it means for a hypothesis to be “not supported” in a study of this kind. When this dissertation began, five clear hypotheses were proposed, largely because the literature reviewed in Chapter Two gave good reason to expect all five </w:t>
      </w:r>
      <w:r w:rsidRPr="00251A9F">
        <w:rPr>
          <w:rFonts w:ascii="Times New Roman" w:hAnsi="Times New Roman"/>
        </w:rPr>
        <w:lastRenderedPageBreak/>
        <w:t>relationships to hold. Only two of those five hypotheses (H1 and H2) were supported in full. Rather than viewing this as a weakness of the research, it is better stating clearly that a result is not made less valid simply because it was not the one expected at the outset; the purpose of empirical research is to find out what the data actually show, not to confirm what was assumed in advance. Where a hypothesis was not supported, or supported only partially, this conclusion returns to that result and considers, as honestly as possible, both what it might mean about the population being studied and what it might mean about the limits of this particular study, before treating it as a settled fact about Pakistani accountants in general.</w:t>
      </w:r>
    </w:p>
    <w:p w14:paraId="0054E3BE" w14:textId="77777777" w:rsidR="00251A9F" w:rsidRPr="00251A9F" w:rsidRDefault="00251A9F" w:rsidP="00251A9F">
      <w:pPr>
        <w:spacing w:line="360" w:lineRule="auto"/>
        <w:rPr>
          <w:rFonts w:ascii="Times New Roman" w:hAnsi="Times New Roman"/>
        </w:rPr>
      </w:pPr>
    </w:p>
    <w:p w14:paraId="53B1AF56"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6.2 Contribution to the Literature and Practical Implications</w:t>
      </w:r>
    </w:p>
    <w:p w14:paraId="62A062BD"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study contributes to the existing literature in a small but genuine way. Most of the studies reviewed in Chapter Two were carried out in Europe or other more developed reporting environments, so this study adds evidence from Pakistan, a context where sustainability reporting is still comparatively new and where very little prior survey-based research of this kind appears to exist. In this sense, the study responds to calls made by authors such as </w:t>
      </w:r>
      <w:proofErr w:type="spellStart"/>
      <w:r w:rsidRPr="00251A9F">
        <w:rPr>
          <w:rFonts w:ascii="Times New Roman" w:hAnsi="Times New Roman"/>
        </w:rPr>
        <w:t>Tauringana</w:t>
      </w:r>
      <w:proofErr w:type="spellEnd"/>
      <w:r w:rsidRPr="00251A9F">
        <w:rPr>
          <w:rFonts w:ascii="Times New Roman" w:hAnsi="Times New Roman"/>
        </w:rPr>
        <w:t xml:space="preserve"> (2020) and Farisyi et al. (2022) for more empirical evidence from developing economies.</w:t>
      </w:r>
    </w:p>
    <w:p w14:paraId="3DF8D57C"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study also contributes a more specific finding to the literature on organisational support. Rather than confirming organisational support as a moderator, as social exchange theory would suggest, the results were more consistent with organisational support theory (</w:t>
      </w:r>
      <w:proofErr w:type="spellStart"/>
      <w:r w:rsidRPr="00251A9F">
        <w:rPr>
          <w:rFonts w:ascii="Times New Roman" w:hAnsi="Times New Roman"/>
        </w:rPr>
        <w:t>Kurtessis</w:t>
      </w:r>
      <w:proofErr w:type="spellEnd"/>
      <w:r w:rsidRPr="00251A9F">
        <w:rPr>
          <w:rFonts w:ascii="Times New Roman" w:hAnsi="Times New Roman"/>
        </w:rPr>
        <w:t xml:space="preserve"> et al., 2017), where organisational support acts as direct driver of readiness rather than an amplifier of individual ability. This is a modest but reasonably interesting addition to debate, and it is offered here as a genuine empirical finding from this particular sample, not as a claim that this is how the relationship works everywhere.</w:t>
      </w:r>
    </w:p>
    <w:p w14:paraId="0E22D44F" w14:textId="77777777" w:rsidR="00251A9F" w:rsidRPr="00251A9F" w:rsidRDefault="00251A9F" w:rsidP="00251A9F">
      <w:pPr>
        <w:spacing w:line="360" w:lineRule="auto"/>
        <w:rPr>
          <w:rFonts w:ascii="Times New Roman" w:hAnsi="Times New Roman"/>
        </w:rPr>
      </w:pPr>
      <w:r w:rsidRPr="00251A9F">
        <w:rPr>
          <w:rFonts w:ascii="Times New Roman" w:hAnsi="Times New Roman"/>
        </w:rPr>
        <w:t>There is also a smaller theoretical contribution worth noting in relation to Perceived Confidence. Chapter Two drew on Bandura's (1986) self-efficacy theory to justify including confidence as distinct predictor of readiness, and much of the literature reviewed treated confidence as if it were clearly separable from competence. The finding that Perceived Confidence lost its explanatory power once Technical Competence was included on the same model does not disprove self-efficacy theory, but it does suggest, at least in this sample, that confidence and competence may be difficult to meaningfully separate using self-report Likert items alone, since accountants who felt competent also, almost without exception, felt confident. This is a small but a genuine observation that future studies measuring both constructs together may wish to take into account.</w:t>
      </w:r>
    </w:p>
    <w:p w14:paraId="6937A181"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 xml:space="preserve">In practical terms, the findings point toward a few sensible, low-cost recommendations rather than sweeping changes. First, because Organisational Support were the strongest single predictor of readiness, employers of accountants may benefit more from practical, everyday forms of support, such as having a clearly named contact person for sustainability queries, or keeping staff regularly informed about relevant developments, then from one-off training sessions alone. Second, because Regulatory Awareness was both the most important predictor and the weakest-scoring variable in the study, professional accounting bodies in Pakistan (such as ICAP and ICMAP) may wish to consider whether their continuing professional development content adequately covers specific frameworks such as the\ ISSB standards, TCFD, IIRC and SASB, rather than sustainability reporting in only general terms. Third, given that Perceived Confidence did not add much once Technical Competence was accounted for, interventions aimed at building genuine technical skill are likely to be more valuable than interventions aimed only at building confidence, which may follow from competence rather than needing to be built separately. Finally, because sustainability-specific training showed no significant relationship with readiness in this study, organisations should probably not assume that simply requiring staff to complete a training course, of whatever kind, will automatically translate into greater readiness; how that training is structured and reinforced afterwards may matter more than </w:t>
      </w:r>
      <w:proofErr w:type="gramStart"/>
      <w:r w:rsidRPr="00251A9F">
        <w:rPr>
          <w:rFonts w:ascii="Times New Roman" w:hAnsi="Times New Roman"/>
        </w:rPr>
        <w:t>the whether</w:t>
      </w:r>
      <w:proofErr w:type="gramEnd"/>
      <w:r w:rsidRPr="00251A9F">
        <w:rPr>
          <w:rFonts w:ascii="Times New Roman" w:hAnsi="Times New Roman"/>
        </w:rPr>
        <w:t xml:space="preserve"> it happened at all.</w:t>
      </w:r>
    </w:p>
    <w:p w14:paraId="163BC4A8" w14:textId="77777777" w:rsidR="00251A9F" w:rsidRPr="00251A9F" w:rsidRDefault="00251A9F" w:rsidP="00251A9F">
      <w:pPr>
        <w:spacing w:line="360" w:lineRule="auto"/>
        <w:rPr>
          <w:rFonts w:ascii="Times New Roman" w:hAnsi="Times New Roman"/>
        </w:rPr>
      </w:pPr>
    </w:p>
    <w:p w14:paraId="0DF41F00"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6.3 Limitations and Delimitations</w:t>
      </w:r>
    </w:p>
    <w:p w14:paraId="6955FECA" w14:textId="77777777" w:rsidR="00251A9F" w:rsidRPr="00251A9F" w:rsidRDefault="00251A9F" w:rsidP="00251A9F">
      <w:pPr>
        <w:spacing w:line="360" w:lineRule="auto"/>
        <w:rPr>
          <w:rFonts w:ascii="Times New Roman" w:hAnsi="Times New Roman"/>
        </w:rPr>
      </w:pPr>
      <w:r w:rsidRPr="00251A9F">
        <w:rPr>
          <w:rFonts w:ascii="Times New Roman" w:hAnsi="Times New Roman"/>
        </w:rPr>
        <w:t>As with any dissertation of this scale, and particularly one carried out by a first-time researcher, this study has a number of limitations that should be kept in mind when interpreting its findings.</w:t>
      </w:r>
    </w:p>
    <w:p w14:paraId="231C89A4" w14:textId="77777777" w:rsidR="00251A9F" w:rsidRPr="00251A9F" w:rsidRDefault="00251A9F" w:rsidP="00251A9F">
      <w:pPr>
        <w:spacing w:line="360" w:lineRule="auto"/>
        <w:rPr>
          <w:rFonts w:ascii="Times New Roman" w:hAnsi="Times New Roman"/>
        </w:rPr>
      </w:pPr>
      <w:r w:rsidRPr="00251A9F">
        <w:rPr>
          <w:rFonts w:ascii="Times New Roman" w:hAnsi="Times New Roman"/>
        </w:rPr>
        <w:t>The most significant limitation is sample size and sampling method. With only 54 usable responses, collected through a non-probability convenience sample drawn from the researcher's own professional network, the results cannot be assumed to represent all accountants in Pakistan, and the statistical power available to detect smaller effects, particularly the moderation effects tested in H4 and H5, were limited. The final sample of 54 respondents was modest, particularly for regression models involving several predictors and multiple interaction terms. A larger, more randomly picked sample would likely produce more precise and more generalisable results.</w:t>
      </w:r>
    </w:p>
    <w:p w14:paraId="18D90E87"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 second limitation concerns the questionnaire itself. As noted in Chapter Three, reliability testing (Cronbach's Alpha) was conducted on the full sample rather than through a separate pilot study prior to data collection. As the questionnaire items were adapted from prior </w:t>
      </w:r>
      <w:r w:rsidRPr="00251A9F">
        <w:rPr>
          <w:rFonts w:ascii="Times New Roman" w:hAnsi="Times New Roman"/>
        </w:rPr>
        <w:lastRenderedPageBreak/>
        <w:t xml:space="preserve">studies, this is a minor limitation rather </w:t>
      </w:r>
      <w:proofErr w:type="spellStart"/>
      <w:r w:rsidRPr="00251A9F">
        <w:rPr>
          <w:rFonts w:ascii="Times New Roman" w:hAnsi="Times New Roman"/>
        </w:rPr>
        <w:t>thansignificant</w:t>
      </w:r>
      <w:proofErr w:type="spellEnd"/>
      <w:r w:rsidRPr="00251A9F">
        <w:rPr>
          <w:rFonts w:ascii="Times New Roman" w:hAnsi="Times New Roman"/>
        </w:rPr>
        <w:t xml:space="preserve"> concern, and the high alpha values obtained (0.887 to 0.947) confirm that the scales performed reliably. Relatedly, sustainability-specific training was measured through a single categorical item rather than the multi-item scale, which meant it had to be recoded into a simple trained/not-trained variable for the regression analysis in section 4.9. This is a much less detailed measure than the training scales used in some of the studies discussed in Chapter Five, and it may partly explain why H5 was not supported here, even </w:t>
      </w:r>
      <w:proofErr w:type="spellStart"/>
      <w:r w:rsidRPr="00251A9F">
        <w:rPr>
          <w:rFonts w:ascii="Times New Roman" w:hAnsi="Times New Roman"/>
        </w:rPr>
        <w:t>through</w:t>
      </w:r>
      <w:proofErr w:type="spellEnd"/>
      <w:r w:rsidRPr="00251A9F">
        <w:rPr>
          <w:rFonts w:ascii="Times New Roman" w:hAnsi="Times New Roman"/>
        </w:rPr>
        <w:t xml:space="preserve"> the equivalent relationship has been found to be significant elsewhere.</w:t>
      </w:r>
    </w:p>
    <w:p w14:paraId="5A0F227D" w14:textId="77777777" w:rsidR="00251A9F" w:rsidRPr="00251A9F" w:rsidRDefault="00251A9F" w:rsidP="00251A9F">
      <w:pPr>
        <w:spacing w:line="360" w:lineRule="auto"/>
        <w:rPr>
          <w:rFonts w:ascii="Times New Roman" w:hAnsi="Times New Roman"/>
        </w:rPr>
      </w:pPr>
      <w:r w:rsidRPr="00251A9F">
        <w:rPr>
          <w:rFonts w:ascii="Times New Roman" w:hAnsi="Times New Roman"/>
        </w:rPr>
        <w:t>A third limitation relates to the cross-sectional, self-report nature of the study. All variables, including technical competence and confidence were based on how respondents rated themselves, rather than on any independent or objective assessment. It is possible that some respondents over- or under-estimated their own knowledge, competence or confidence, and because the data were collected at a single point in time, no conclusions can be drawn about how these relationships might change over the time.</w:t>
      </w:r>
    </w:p>
    <w:p w14:paraId="11AB0043" w14:textId="77777777" w:rsidR="00251A9F" w:rsidRPr="00251A9F" w:rsidRDefault="00251A9F" w:rsidP="00251A9F">
      <w:pPr>
        <w:spacing w:line="360" w:lineRule="auto"/>
        <w:rPr>
          <w:rFonts w:ascii="Times New Roman" w:hAnsi="Times New Roman"/>
        </w:rPr>
      </w:pPr>
      <w:r w:rsidRPr="00251A9F">
        <w:rPr>
          <w:rFonts w:ascii="Times New Roman" w:hAnsi="Times New Roman"/>
        </w:rPr>
        <w:t>Finally, and speaking honestly as a first-time researcher, it is worth acknowledging that some of the hypotheses not being supported, or being supported only partially or differently than expected, particularly H3, H4 and H5, may not only reflect genuine features of the population being studied, but could also, at least in a part, reflect gaps in my own experience with survey design, statistical modelling, and the interpretation of moderation analysis specifically. For example, the decision to mean-centre variables and to recode training into a binary variable was reasonable choices given the data available, but a more experienced researcher may have approached the measurement of these variables differently from the outset, which could have produced different results as current measure do not capture training duration, quality, recency, intensity or content. This is offered not as a way of dismissing the findings, which were calculated correctly and are reported honestly, but as an honest acknowledgement that methodological choices made by a novice researcher are a part of the context within which these results should be read.</w:t>
      </w:r>
    </w:p>
    <w:p w14:paraId="6835BE90" w14:textId="77777777" w:rsidR="00251A9F" w:rsidRPr="00251A9F" w:rsidRDefault="00251A9F" w:rsidP="00251A9F">
      <w:pPr>
        <w:spacing w:line="360" w:lineRule="auto"/>
        <w:rPr>
          <w:rFonts w:ascii="Times New Roman" w:hAnsi="Times New Roman"/>
        </w:rPr>
      </w:pPr>
      <w:r w:rsidRPr="00251A9F">
        <w:rPr>
          <w:rFonts w:ascii="Times New Roman" w:hAnsi="Times New Roman"/>
        </w:rPr>
        <w:t>A further limitation concerns generalisability beyond Pakistan. Because the sample was drawn entirely from one country and recruited through one researcher's professional network, the findings should not be assumed to apply to the accountants in other developing economies, even where those economies share broadly similar regulatory or educational characteristics. The findings are best understood as evidence about this particular sample, at this particular point in time, rather than as a definitive statement about Pakistani accountants as a whole.</w:t>
      </w:r>
    </w:p>
    <w:p w14:paraId="70DC8B4D" w14:textId="77777777" w:rsidR="00251A9F" w:rsidRPr="00251A9F" w:rsidRDefault="00251A9F" w:rsidP="00251A9F">
      <w:pPr>
        <w:spacing w:line="360" w:lineRule="auto"/>
        <w:rPr>
          <w:rFonts w:ascii="Times New Roman" w:hAnsi="Times New Roman"/>
        </w:rPr>
      </w:pPr>
    </w:p>
    <w:p w14:paraId="57D905E1" w14:textId="77777777" w:rsidR="00251A9F" w:rsidRPr="00251A9F" w:rsidRDefault="00251A9F" w:rsidP="00251A9F">
      <w:pPr>
        <w:spacing w:line="360" w:lineRule="auto"/>
        <w:rPr>
          <w:rFonts w:ascii="Times New Roman" w:hAnsi="Times New Roman"/>
        </w:rPr>
      </w:pPr>
      <w:r w:rsidRPr="00251A9F">
        <w:rPr>
          <w:rFonts w:ascii="Times New Roman" w:hAnsi="Times New Roman"/>
        </w:rPr>
        <w:t>In terms of delimitations, the study was deliberately scoped to focus on individual and organisational-level predictors of readiness among practising and trainee accountants in Pakistan, and do not attempt to cover other potentially relevant factors, such as firm size, industry sector, or regulatory enforcement intensity, which were considered outside the scope of this dissertation and may be worth exploring in future research. Similarly, the study was delimited to accountants' own perceptions of their readiness, rather than any of external or independent assessment of their actual reporting performance; this was a deliberate choice given the practical constraints of a Master's dissertation, but it does mean that perceived readiness and actual reporting capability, while likely related, are not the same thing, and future research with access to actual performance data could usefully build on the findings presented here.</w:t>
      </w:r>
    </w:p>
    <w:p w14:paraId="3BC35AC9" w14:textId="77777777" w:rsidR="00251A9F" w:rsidRPr="00251A9F" w:rsidRDefault="00251A9F" w:rsidP="00251A9F">
      <w:pPr>
        <w:spacing w:line="360" w:lineRule="auto"/>
        <w:rPr>
          <w:rFonts w:ascii="Times New Roman" w:hAnsi="Times New Roman"/>
        </w:rPr>
      </w:pPr>
    </w:p>
    <w:p w14:paraId="507EA6E3"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6.4 Chapter Summary</w:t>
      </w:r>
    </w:p>
    <w:p w14:paraId="25D53273"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This final chapter has drawn together the conclusions of the study, its contribution to the literature, its practical implications, and its limitations. Overall, the study found that Pakistani accountants' readiness for sustainability reporting </w:t>
      </w:r>
      <w:proofErr w:type="gramStart"/>
      <w:r w:rsidRPr="00251A9F">
        <w:rPr>
          <w:rFonts w:ascii="Times New Roman" w:hAnsi="Times New Roman"/>
        </w:rPr>
        <w:t>are</w:t>
      </w:r>
      <w:proofErr w:type="gramEnd"/>
      <w:r w:rsidRPr="00251A9F">
        <w:rPr>
          <w:rFonts w:ascii="Times New Roman" w:hAnsi="Times New Roman"/>
        </w:rPr>
        <w:t xml:space="preserve"> most strongly explained by their regulatory awareness, technical competence, and the support their organisation provides, while confidence, training, and demographic characteristics played a smaller or non-significant role. The study contributes context-specific evidence from Pakistan to a literature that has so far focused mainly on more developed reporting environments and offers a small number of practical suggestions for employers and professional bodies. At the same time, the study's small convenience sample, its reliance on self-reported data, and the researcher's own limited prior experience with statistical analysis are all acknowledged as genuine limitations that should be taken into account when interpreting all these findings, and that point toward useful directions for future research on this topic.</w:t>
      </w:r>
    </w:p>
    <w:p w14:paraId="7EFD3366" w14:textId="77777777" w:rsidR="00251A9F" w:rsidRPr="00251A9F" w:rsidRDefault="00251A9F" w:rsidP="00251A9F">
      <w:pPr>
        <w:spacing w:line="360" w:lineRule="auto"/>
        <w:rPr>
          <w:rFonts w:ascii="Times New Roman" w:hAnsi="Times New Roman"/>
        </w:rPr>
      </w:pPr>
      <w:r w:rsidRPr="00251A9F">
        <w:rPr>
          <w:rFonts w:ascii="Times New Roman" w:hAnsi="Times New Roman"/>
        </w:rPr>
        <w:t>Future research building on this study could usefully draw on a larger, randomly selected sample across multiple organisations, employ multi-item measures for sustainability-specific training, and, where possible, pair self-reported readiness with some form of the independent assessment of accountants' actual sustainability reporting performance. Despite its limitations, this dissertation has provided an initial, evidence-based picture of where Pakistani accountants currently stand in relation to sustainability reporting readiness, and it is hoped that this picture will be of some use to future researchers, professional bodies, and employers seeking to strengthen the profession's capacity in this developing area.</w:t>
      </w:r>
    </w:p>
    <w:p w14:paraId="52A9D726" w14:textId="77777777" w:rsidR="00251A9F" w:rsidRPr="00251A9F" w:rsidRDefault="00251A9F" w:rsidP="00251A9F">
      <w:pPr>
        <w:spacing w:line="360" w:lineRule="auto"/>
        <w:rPr>
          <w:rFonts w:ascii="Times New Roman" w:hAnsi="Times New Roman"/>
        </w:rPr>
      </w:pPr>
    </w:p>
    <w:p w14:paraId="58AFB9D3" w14:textId="77777777" w:rsidR="00251A9F" w:rsidRPr="00251A9F" w:rsidRDefault="00251A9F" w:rsidP="00251A9F">
      <w:pPr>
        <w:spacing w:line="360" w:lineRule="auto"/>
        <w:rPr>
          <w:rFonts w:ascii="Times New Roman" w:hAnsi="Times New Roman"/>
          <w:b/>
          <w:bCs/>
        </w:rPr>
      </w:pPr>
      <w:r w:rsidRPr="00251A9F">
        <w:rPr>
          <w:rFonts w:ascii="Times New Roman" w:hAnsi="Times New Roman"/>
          <w:b/>
          <w:bCs/>
        </w:rPr>
        <w:t>REFERENCES</w:t>
      </w:r>
    </w:p>
    <w:p w14:paraId="6878B881"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Al Frijat, Y.S., </w:t>
      </w:r>
      <w:proofErr w:type="spellStart"/>
      <w:r w:rsidRPr="00251A9F">
        <w:rPr>
          <w:rFonts w:ascii="Times New Roman" w:hAnsi="Times New Roman"/>
        </w:rPr>
        <w:t>Elamer</w:t>
      </w:r>
      <w:proofErr w:type="spellEnd"/>
      <w:r w:rsidRPr="00251A9F">
        <w:rPr>
          <w:rFonts w:ascii="Times New Roman" w:hAnsi="Times New Roman"/>
        </w:rPr>
        <w:t xml:space="preserve">, A.A., </w:t>
      </w:r>
      <w:proofErr w:type="spellStart"/>
      <w:r w:rsidRPr="00251A9F">
        <w:rPr>
          <w:rFonts w:ascii="Times New Roman" w:hAnsi="Times New Roman"/>
        </w:rPr>
        <w:t>Altawalbeh</w:t>
      </w:r>
      <w:proofErr w:type="spellEnd"/>
      <w:r w:rsidRPr="00251A9F">
        <w:rPr>
          <w:rFonts w:ascii="Times New Roman" w:hAnsi="Times New Roman"/>
        </w:rPr>
        <w:t xml:space="preserve">, M.A. and Moustafa, M.W. (2025) ‘Beyond technical skills: the strategic importance of accountants’ professional development in enhancing corporate investment efficiency through sustainability reporting’, </w:t>
      </w:r>
      <w:r w:rsidRPr="00251A9F">
        <w:rPr>
          <w:rFonts w:ascii="Times New Roman" w:hAnsi="Times New Roman"/>
          <w:i/>
          <w:iCs/>
        </w:rPr>
        <w:t>Corporate Social Responsibility and Environmental Management</w:t>
      </w:r>
      <w:r w:rsidRPr="00251A9F">
        <w:rPr>
          <w:rFonts w:ascii="Times New Roman" w:hAnsi="Times New Roman"/>
        </w:rPr>
        <w:t xml:space="preserve"> [Preprint]. </w:t>
      </w:r>
      <w:hyperlink r:id="rId11" w:history="1">
        <w:r w:rsidRPr="00251A9F">
          <w:rPr>
            <w:rStyle w:val="Hyperlink"/>
            <w:rFonts w:ascii="Times New Roman" w:hAnsi="Times New Roman"/>
          </w:rPr>
          <w:t>https://doi.org/10.1002/csr.70110</w:t>
        </w:r>
      </w:hyperlink>
    </w:p>
    <w:p w14:paraId="7A4B196E" w14:textId="77777777" w:rsidR="00251A9F" w:rsidRPr="00251A9F" w:rsidRDefault="00251A9F" w:rsidP="00251A9F">
      <w:pPr>
        <w:spacing w:line="360" w:lineRule="auto"/>
        <w:rPr>
          <w:rFonts w:ascii="Times New Roman" w:hAnsi="Times New Roman"/>
        </w:rPr>
      </w:pPr>
    </w:p>
    <w:p w14:paraId="2E1B98BB"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Alsyouf</w:t>
      </w:r>
      <w:proofErr w:type="spellEnd"/>
      <w:r w:rsidRPr="00251A9F">
        <w:rPr>
          <w:rFonts w:ascii="Times New Roman" w:hAnsi="Times New Roman"/>
        </w:rPr>
        <w:t xml:space="preserve">, A. and Ku Ishak, A. (2018) ‘Understanding EHRs continuance intention to use from the perspectives of UTAUT: practice environment moderating effect and top management support as predictor variables’, </w:t>
      </w:r>
      <w:r w:rsidRPr="00251A9F">
        <w:rPr>
          <w:rFonts w:ascii="Times New Roman" w:hAnsi="Times New Roman"/>
          <w:i/>
          <w:iCs/>
        </w:rPr>
        <w:t>International Journal of Electronic Healthcare</w:t>
      </w:r>
      <w:r w:rsidRPr="00251A9F">
        <w:rPr>
          <w:rFonts w:ascii="Times New Roman" w:hAnsi="Times New Roman"/>
        </w:rPr>
        <w:t xml:space="preserve">, 10(1/2), pp. 24–59. Available at: </w:t>
      </w:r>
      <w:hyperlink r:id="rId12" w:history="1">
        <w:r w:rsidRPr="00251A9F">
          <w:rPr>
            <w:rStyle w:val="Hyperlink"/>
            <w:rFonts w:ascii="Times New Roman" w:hAnsi="Times New Roman"/>
          </w:rPr>
          <w:t>https://doi.org/10.1504/IJEH.2018.092175</w:t>
        </w:r>
      </w:hyperlink>
    </w:p>
    <w:p w14:paraId="73BF1CDD" w14:textId="77777777" w:rsidR="00251A9F" w:rsidRPr="00251A9F" w:rsidRDefault="00251A9F" w:rsidP="00251A9F">
      <w:pPr>
        <w:spacing w:line="360" w:lineRule="auto"/>
        <w:rPr>
          <w:rFonts w:ascii="Times New Roman" w:hAnsi="Times New Roman"/>
        </w:rPr>
      </w:pPr>
    </w:p>
    <w:p w14:paraId="05C34FD0"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Aquilina, E. and Limbu, S. (2024) </w:t>
      </w:r>
      <w:r w:rsidRPr="00251A9F">
        <w:rPr>
          <w:rFonts w:ascii="Times New Roman" w:hAnsi="Times New Roman"/>
          <w:i/>
          <w:iCs/>
        </w:rPr>
        <w:t>The role of accountants in sustainability</w:t>
      </w:r>
      <w:r w:rsidRPr="00251A9F">
        <w:rPr>
          <w:rFonts w:ascii="Times New Roman" w:hAnsi="Times New Roman"/>
        </w:rPr>
        <w:t xml:space="preserve">. Available at: </w:t>
      </w:r>
      <w:hyperlink r:id="rId13" w:history="1">
        <w:r w:rsidRPr="00251A9F">
          <w:rPr>
            <w:rStyle w:val="Hyperlink"/>
            <w:rFonts w:ascii="Times New Roman" w:hAnsi="Times New Roman"/>
          </w:rPr>
          <w:t>https://www.icaew.com/technical/practice-resources/practice-news/role-of-accountants-in-sustainability</w:t>
        </w:r>
      </w:hyperlink>
      <w:r w:rsidRPr="00251A9F">
        <w:rPr>
          <w:rFonts w:ascii="Times New Roman" w:hAnsi="Times New Roman"/>
        </w:rPr>
        <w:t xml:space="preserve">  (Accessed: 14 April 2026).</w:t>
      </w:r>
    </w:p>
    <w:p w14:paraId="30D9860D" w14:textId="77777777" w:rsidR="00251A9F" w:rsidRPr="00251A9F" w:rsidRDefault="00251A9F" w:rsidP="00251A9F">
      <w:pPr>
        <w:spacing w:line="360" w:lineRule="auto"/>
        <w:rPr>
          <w:rFonts w:ascii="Times New Roman" w:hAnsi="Times New Roman"/>
        </w:rPr>
      </w:pPr>
    </w:p>
    <w:p w14:paraId="23F87000"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Arora, M.P., Lodhia, S. and Stone, G.W. (2023) ‘Accountants’ institutional work: a global study of the role of accountants in integrated reporting’, </w:t>
      </w:r>
      <w:r w:rsidRPr="00251A9F">
        <w:rPr>
          <w:rFonts w:ascii="Times New Roman" w:hAnsi="Times New Roman"/>
          <w:i/>
          <w:iCs/>
        </w:rPr>
        <w:t>Qualitative Research in Accounting and Management</w:t>
      </w:r>
      <w:r w:rsidRPr="00251A9F">
        <w:rPr>
          <w:rFonts w:ascii="Times New Roman" w:hAnsi="Times New Roman"/>
        </w:rPr>
        <w:t xml:space="preserve">, 20(5), pp. 647–674. </w:t>
      </w:r>
      <w:hyperlink r:id="rId14" w:history="1">
        <w:r w:rsidRPr="00251A9F">
          <w:rPr>
            <w:rStyle w:val="Hyperlink"/>
            <w:rFonts w:ascii="Times New Roman" w:hAnsi="Times New Roman"/>
          </w:rPr>
          <w:t>https://doi.org/10.1108/QRAM-06-2022-0108</w:t>
        </w:r>
      </w:hyperlink>
      <w:r w:rsidRPr="00251A9F">
        <w:rPr>
          <w:rFonts w:ascii="Times New Roman" w:hAnsi="Times New Roman"/>
        </w:rPr>
        <w:t xml:space="preserve"> </w:t>
      </w:r>
    </w:p>
    <w:p w14:paraId="0CED6A39" w14:textId="77777777" w:rsidR="00251A9F" w:rsidRPr="00251A9F" w:rsidRDefault="00251A9F" w:rsidP="00251A9F">
      <w:pPr>
        <w:spacing w:line="360" w:lineRule="auto"/>
        <w:rPr>
          <w:rFonts w:ascii="Times New Roman" w:hAnsi="Times New Roman"/>
        </w:rPr>
      </w:pPr>
    </w:p>
    <w:p w14:paraId="0B10C55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Ascani, I., </w:t>
      </w:r>
      <w:proofErr w:type="spellStart"/>
      <w:r w:rsidRPr="00251A9F">
        <w:rPr>
          <w:rFonts w:ascii="Times New Roman" w:hAnsi="Times New Roman"/>
        </w:rPr>
        <w:t>Ciccola</w:t>
      </w:r>
      <w:proofErr w:type="spellEnd"/>
      <w:r w:rsidRPr="00251A9F">
        <w:rPr>
          <w:rFonts w:ascii="Times New Roman" w:hAnsi="Times New Roman"/>
        </w:rPr>
        <w:t xml:space="preserve">, R. and </w:t>
      </w:r>
      <w:proofErr w:type="spellStart"/>
      <w:r w:rsidRPr="00251A9F">
        <w:rPr>
          <w:rFonts w:ascii="Times New Roman" w:hAnsi="Times New Roman"/>
        </w:rPr>
        <w:t>Chiucchi</w:t>
      </w:r>
      <w:proofErr w:type="spellEnd"/>
      <w:r w:rsidRPr="00251A9F">
        <w:rPr>
          <w:rFonts w:ascii="Times New Roman" w:hAnsi="Times New Roman"/>
        </w:rPr>
        <w:t xml:space="preserve">, M.S. (2021) ‘A structured literature review about the role of management accountants in sustainability accounting and reporting’, </w:t>
      </w:r>
      <w:r w:rsidRPr="00251A9F">
        <w:rPr>
          <w:rFonts w:ascii="Times New Roman" w:hAnsi="Times New Roman"/>
          <w:i/>
          <w:iCs/>
        </w:rPr>
        <w:t>Sustainability</w:t>
      </w:r>
      <w:r w:rsidRPr="00251A9F">
        <w:rPr>
          <w:rFonts w:ascii="Times New Roman" w:hAnsi="Times New Roman"/>
        </w:rPr>
        <w:t xml:space="preserve">, 13(4). </w:t>
      </w:r>
      <w:hyperlink r:id="rId15" w:history="1">
        <w:r w:rsidRPr="00251A9F">
          <w:rPr>
            <w:rStyle w:val="Hyperlink"/>
            <w:rFonts w:ascii="Times New Roman" w:hAnsi="Times New Roman"/>
          </w:rPr>
          <w:t>https://doi.org/10.3390/su13042357</w:t>
        </w:r>
      </w:hyperlink>
      <w:r w:rsidRPr="00251A9F">
        <w:rPr>
          <w:rFonts w:ascii="Times New Roman" w:hAnsi="Times New Roman"/>
        </w:rPr>
        <w:t xml:space="preserve"> </w:t>
      </w:r>
    </w:p>
    <w:p w14:paraId="1D6FF3D3" w14:textId="77777777" w:rsidR="00251A9F" w:rsidRPr="00251A9F" w:rsidRDefault="00251A9F" w:rsidP="00251A9F">
      <w:pPr>
        <w:spacing w:line="360" w:lineRule="auto"/>
        <w:rPr>
          <w:rFonts w:ascii="Times New Roman" w:hAnsi="Times New Roman"/>
        </w:rPr>
      </w:pPr>
    </w:p>
    <w:p w14:paraId="6AE9AF3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Association of Chartered Certified Accountants (ACCA) (2023) </w:t>
      </w:r>
      <w:r w:rsidRPr="00251A9F">
        <w:rPr>
          <w:rFonts w:ascii="Times New Roman" w:hAnsi="Times New Roman"/>
          <w:i/>
          <w:iCs/>
        </w:rPr>
        <w:t>Sustainability reporting: the guide to preparation</w:t>
      </w:r>
      <w:r w:rsidRPr="00251A9F">
        <w:rPr>
          <w:rFonts w:ascii="Times New Roman" w:hAnsi="Times New Roman"/>
        </w:rPr>
        <w:t xml:space="preserve">. Available at: </w:t>
      </w:r>
      <w:hyperlink r:id="rId16" w:history="1">
        <w:r w:rsidRPr="00251A9F">
          <w:rPr>
            <w:rStyle w:val="Hyperlink"/>
            <w:rFonts w:ascii="Times New Roman" w:hAnsi="Times New Roman"/>
          </w:rPr>
          <w:t>https://www.accaglobal.com/content/dam/ACCA_Global/professional-insights/sustainability-reporting/PI-SUSTAINABILITY-REPORTING-THE-GUIDE-TO-PREPARATION.pdf</w:t>
        </w:r>
      </w:hyperlink>
      <w:r w:rsidRPr="00251A9F">
        <w:rPr>
          <w:rFonts w:ascii="Times New Roman" w:hAnsi="Times New Roman"/>
        </w:rPr>
        <w:t xml:space="preserve">  (Accessed: 19 July 2026).</w:t>
      </w:r>
    </w:p>
    <w:p w14:paraId="21F45283" w14:textId="77777777" w:rsidR="00251A9F" w:rsidRPr="00251A9F" w:rsidRDefault="00251A9F" w:rsidP="00251A9F">
      <w:pPr>
        <w:spacing w:line="360" w:lineRule="auto"/>
        <w:rPr>
          <w:rFonts w:ascii="Times New Roman" w:hAnsi="Times New Roman"/>
        </w:rPr>
      </w:pPr>
    </w:p>
    <w:p w14:paraId="350E2A9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Badr, R. and Abdelhakim, A. (2021) ‘Adopted research designs by tourism and hospitality postgraduates in the light of research onion’, </w:t>
      </w:r>
      <w:r w:rsidRPr="00251A9F">
        <w:rPr>
          <w:rFonts w:ascii="Times New Roman" w:hAnsi="Times New Roman"/>
          <w:i/>
          <w:iCs/>
        </w:rPr>
        <w:t>International Journal of Tourism and Hospitality Management</w:t>
      </w:r>
      <w:r w:rsidRPr="00251A9F">
        <w:rPr>
          <w:rFonts w:ascii="Times New Roman" w:hAnsi="Times New Roman"/>
        </w:rPr>
        <w:t>, 4(2), pp. 98–124.</w:t>
      </w:r>
    </w:p>
    <w:p w14:paraId="7B854CEE" w14:textId="77777777" w:rsidR="00251A9F" w:rsidRPr="00251A9F" w:rsidRDefault="00251A9F" w:rsidP="00251A9F">
      <w:pPr>
        <w:spacing w:line="360" w:lineRule="auto"/>
        <w:rPr>
          <w:rFonts w:ascii="Times New Roman" w:hAnsi="Times New Roman"/>
        </w:rPr>
      </w:pPr>
    </w:p>
    <w:p w14:paraId="43E53162" w14:textId="77777777" w:rsidR="00251A9F" w:rsidRPr="00251A9F" w:rsidRDefault="00251A9F" w:rsidP="00251A9F">
      <w:pPr>
        <w:spacing w:line="360" w:lineRule="auto"/>
        <w:rPr>
          <w:rFonts w:ascii="Times New Roman" w:hAnsi="Times New Roman"/>
        </w:rPr>
      </w:pPr>
      <w:r w:rsidRPr="00251A9F">
        <w:rPr>
          <w:rFonts w:ascii="Times New Roman" w:hAnsi="Times New Roman"/>
        </w:rPr>
        <w:t>Bakarich, K.M., Hoffmann, M., Marcy, A.S. and O'Brien, P</w:t>
      </w:r>
      <w:r w:rsidRPr="00251A9F">
        <w:rPr>
          <w:rFonts w:ascii="Times New Roman" w:hAnsi="Times New Roman"/>
          <w:i/>
          <w:iCs/>
        </w:rPr>
        <w:t>.</w:t>
      </w:r>
      <w:r w:rsidRPr="00251A9F">
        <w:rPr>
          <w:rFonts w:ascii="Times New Roman" w:hAnsi="Times New Roman"/>
        </w:rPr>
        <w:t xml:space="preserve"> (2023) ‘Accountants’ Views on Sustainability Reporting: A Generational Divide’, </w:t>
      </w:r>
      <w:r w:rsidRPr="00251A9F">
        <w:rPr>
          <w:rFonts w:ascii="Times New Roman" w:hAnsi="Times New Roman"/>
          <w:i/>
          <w:iCs/>
        </w:rPr>
        <w:t>Current Issues in Auditing</w:t>
      </w:r>
      <w:r w:rsidRPr="00251A9F">
        <w:rPr>
          <w:rFonts w:ascii="Times New Roman" w:hAnsi="Times New Roman"/>
        </w:rPr>
        <w:t xml:space="preserve">, 17(1), pp. A22–A35. </w:t>
      </w:r>
      <w:hyperlink r:id="rId17" w:history="1">
        <w:r w:rsidRPr="00251A9F">
          <w:rPr>
            <w:rStyle w:val="Hyperlink"/>
            <w:rFonts w:ascii="Times New Roman" w:hAnsi="Times New Roman"/>
          </w:rPr>
          <w:t>https://doi.org/10.2308/CIIA-2022-003</w:t>
        </w:r>
      </w:hyperlink>
      <w:r w:rsidRPr="00251A9F">
        <w:rPr>
          <w:rFonts w:ascii="Times New Roman" w:hAnsi="Times New Roman"/>
        </w:rPr>
        <w:t xml:space="preserve"> </w:t>
      </w:r>
    </w:p>
    <w:p w14:paraId="4AA45E3C" w14:textId="77777777" w:rsidR="00251A9F" w:rsidRPr="00251A9F" w:rsidRDefault="00251A9F" w:rsidP="00251A9F">
      <w:pPr>
        <w:spacing w:line="360" w:lineRule="auto"/>
        <w:rPr>
          <w:rFonts w:ascii="Times New Roman" w:hAnsi="Times New Roman"/>
        </w:rPr>
      </w:pPr>
    </w:p>
    <w:p w14:paraId="1EBFF146"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Bandura, A. (1986) </w:t>
      </w:r>
      <w:r w:rsidRPr="00251A9F">
        <w:rPr>
          <w:rFonts w:ascii="Times New Roman" w:hAnsi="Times New Roman"/>
          <w:i/>
          <w:iCs/>
        </w:rPr>
        <w:t>Social Foundations of Thought and Action: A Social Cognitive Theory</w:t>
      </w:r>
      <w:r w:rsidRPr="00251A9F">
        <w:rPr>
          <w:rFonts w:ascii="Times New Roman" w:hAnsi="Times New Roman"/>
        </w:rPr>
        <w:t>. Englewood Cliffs, NJ: Prentice-Hall.</w:t>
      </w:r>
    </w:p>
    <w:p w14:paraId="4497DD3A" w14:textId="77777777" w:rsidR="00251A9F" w:rsidRPr="00251A9F" w:rsidRDefault="00251A9F" w:rsidP="00251A9F">
      <w:pPr>
        <w:spacing w:line="360" w:lineRule="auto"/>
        <w:rPr>
          <w:rFonts w:ascii="Times New Roman" w:hAnsi="Times New Roman"/>
        </w:rPr>
      </w:pPr>
    </w:p>
    <w:p w14:paraId="110EC8E6"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Baumüller, J. and Sopp, K. (2021) ‘Double materiality and the shift from non-financial to European sustainability reporting: review, outlook and implications’, </w:t>
      </w:r>
      <w:r w:rsidRPr="00251A9F">
        <w:rPr>
          <w:rFonts w:ascii="Times New Roman" w:hAnsi="Times New Roman"/>
          <w:i/>
          <w:iCs/>
        </w:rPr>
        <w:t>Journal of Applied Accounting Research</w:t>
      </w:r>
      <w:r w:rsidRPr="00251A9F">
        <w:rPr>
          <w:rFonts w:ascii="Times New Roman" w:hAnsi="Times New Roman"/>
        </w:rPr>
        <w:t xml:space="preserve">, 23(1), pp. 8–28. Available at: </w:t>
      </w:r>
      <w:hyperlink r:id="rId18" w:history="1">
        <w:r w:rsidRPr="00251A9F">
          <w:rPr>
            <w:rStyle w:val="Hyperlink"/>
            <w:rFonts w:ascii="Times New Roman" w:hAnsi="Times New Roman"/>
          </w:rPr>
          <w:t>https://research.ebsco.com/plink/5b530925-a5cd-3c07-a1bd-5b1777a97d76</w:t>
        </w:r>
      </w:hyperlink>
      <w:r w:rsidRPr="00251A9F">
        <w:rPr>
          <w:rFonts w:ascii="Times New Roman" w:hAnsi="Times New Roman"/>
        </w:rPr>
        <w:t xml:space="preserve">  (Accessed: 13 June 2026).</w:t>
      </w:r>
    </w:p>
    <w:p w14:paraId="7F3DD653" w14:textId="77777777" w:rsidR="00251A9F" w:rsidRPr="00251A9F" w:rsidRDefault="00251A9F" w:rsidP="00251A9F">
      <w:pPr>
        <w:spacing w:line="360" w:lineRule="auto"/>
        <w:rPr>
          <w:rFonts w:ascii="Times New Roman" w:hAnsi="Times New Roman"/>
        </w:rPr>
      </w:pPr>
    </w:p>
    <w:p w14:paraId="025425E4"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Cropanzano</w:t>
      </w:r>
      <w:proofErr w:type="spellEnd"/>
      <w:r w:rsidRPr="00251A9F">
        <w:rPr>
          <w:rFonts w:ascii="Times New Roman" w:hAnsi="Times New Roman"/>
        </w:rPr>
        <w:t xml:space="preserve">, R. and Mitchell, M.S. (2005) ‘Social exchange theory: an interdisciplinary review’, </w:t>
      </w:r>
      <w:r w:rsidRPr="00251A9F">
        <w:rPr>
          <w:rFonts w:ascii="Times New Roman" w:hAnsi="Times New Roman"/>
          <w:i/>
          <w:iCs/>
        </w:rPr>
        <w:t>Journal of Management</w:t>
      </w:r>
      <w:r w:rsidRPr="00251A9F">
        <w:rPr>
          <w:rFonts w:ascii="Times New Roman" w:hAnsi="Times New Roman"/>
        </w:rPr>
        <w:t xml:space="preserve">, 31(6), pp. 874–900. </w:t>
      </w:r>
      <w:hyperlink r:id="rId19" w:history="1">
        <w:r w:rsidRPr="00251A9F">
          <w:rPr>
            <w:rStyle w:val="Hyperlink"/>
            <w:rFonts w:ascii="Times New Roman" w:hAnsi="Times New Roman"/>
          </w:rPr>
          <w:t>https://doi.org/10.1177/0149206305279602</w:t>
        </w:r>
      </w:hyperlink>
      <w:r w:rsidRPr="00251A9F">
        <w:rPr>
          <w:rFonts w:ascii="Times New Roman" w:hAnsi="Times New Roman"/>
        </w:rPr>
        <w:t xml:space="preserve"> </w:t>
      </w:r>
    </w:p>
    <w:p w14:paraId="713E597E" w14:textId="77777777" w:rsidR="00251A9F" w:rsidRPr="00251A9F" w:rsidRDefault="00251A9F" w:rsidP="00251A9F">
      <w:pPr>
        <w:spacing w:line="360" w:lineRule="auto"/>
        <w:rPr>
          <w:rFonts w:ascii="Times New Roman" w:hAnsi="Times New Roman"/>
        </w:rPr>
      </w:pPr>
    </w:p>
    <w:p w14:paraId="7FFC236B"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De Bianchi, S. and Giovannetti, L. (2023) ‘Introduction: exploring the dynamics between ontology and epistemology’, </w:t>
      </w:r>
      <w:proofErr w:type="spellStart"/>
      <w:r w:rsidRPr="00251A9F">
        <w:rPr>
          <w:rFonts w:ascii="Times New Roman" w:hAnsi="Times New Roman"/>
          <w:i/>
          <w:iCs/>
        </w:rPr>
        <w:t>Thaumàzein</w:t>
      </w:r>
      <w:proofErr w:type="spellEnd"/>
      <w:r w:rsidRPr="00251A9F">
        <w:rPr>
          <w:rFonts w:ascii="Times New Roman" w:hAnsi="Times New Roman"/>
        </w:rPr>
        <w:t>, 11(1), pp. 1–27.</w:t>
      </w:r>
    </w:p>
    <w:p w14:paraId="06E7BF54" w14:textId="77777777" w:rsidR="00251A9F" w:rsidRPr="00251A9F" w:rsidRDefault="00251A9F" w:rsidP="00251A9F">
      <w:pPr>
        <w:spacing w:line="360" w:lineRule="auto"/>
        <w:rPr>
          <w:rFonts w:ascii="Times New Roman" w:hAnsi="Times New Roman"/>
        </w:rPr>
      </w:pPr>
    </w:p>
    <w:p w14:paraId="03A3ABF2"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DiMaggio, P.J. and Powell, W.W. (1983) ‘The iron cage revisited: institutional isomorphism and collective rationality in organizational fields’, </w:t>
      </w:r>
      <w:r w:rsidRPr="00251A9F">
        <w:rPr>
          <w:rFonts w:ascii="Times New Roman" w:hAnsi="Times New Roman"/>
          <w:i/>
          <w:iCs/>
        </w:rPr>
        <w:t>American Sociological Review</w:t>
      </w:r>
      <w:r w:rsidRPr="00251A9F">
        <w:rPr>
          <w:rFonts w:ascii="Times New Roman" w:hAnsi="Times New Roman"/>
        </w:rPr>
        <w:t xml:space="preserve">, 48(2), pp. 147–160. Available at: </w:t>
      </w:r>
      <w:hyperlink r:id="rId20" w:history="1">
        <w:r w:rsidRPr="00251A9F">
          <w:rPr>
            <w:rStyle w:val="Hyperlink"/>
            <w:rFonts w:ascii="Times New Roman" w:hAnsi="Times New Roman"/>
          </w:rPr>
          <w:t>https://research.ebsco.com/plink/ccd88d67-1f24-3a29-8957-53f22cb90966</w:t>
        </w:r>
      </w:hyperlink>
      <w:r w:rsidRPr="00251A9F">
        <w:rPr>
          <w:rFonts w:ascii="Times New Roman" w:hAnsi="Times New Roman"/>
        </w:rPr>
        <w:t xml:space="preserve">  (Accessed: 13 June 2026).</w:t>
      </w:r>
    </w:p>
    <w:p w14:paraId="39081FC2" w14:textId="77777777" w:rsidR="00251A9F" w:rsidRPr="00251A9F" w:rsidRDefault="00251A9F" w:rsidP="00251A9F">
      <w:pPr>
        <w:spacing w:line="360" w:lineRule="auto"/>
        <w:rPr>
          <w:rFonts w:ascii="Times New Roman" w:hAnsi="Times New Roman"/>
        </w:rPr>
      </w:pPr>
    </w:p>
    <w:p w14:paraId="07B71BD7"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Farisyi, S., Al </w:t>
      </w:r>
      <w:proofErr w:type="spellStart"/>
      <w:r w:rsidRPr="00251A9F">
        <w:rPr>
          <w:rFonts w:ascii="Times New Roman" w:hAnsi="Times New Roman"/>
        </w:rPr>
        <w:t>Musadieq</w:t>
      </w:r>
      <w:proofErr w:type="spellEnd"/>
      <w:r w:rsidRPr="00251A9F">
        <w:rPr>
          <w:rFonts w:ascii="Times New Roman" w:hAnsi="Times New Roman"/>
        </w:rPr>
        <w:t xml:space="preserve">, M., Utami, H.N. and Damayanti, C.R. (2022) ‘A systematic literature review: determinants of sustainability reporting in developing countries’, </w:t>
      </w:r>
      <w:r w:rsidRPr="00251A9F">
        <w:rPr>
          <w:rFonts w:ascii="Times New Roman" w:hAnsi="Times New Roman"/>
          <w:i/>
          <w:iCs/>
        </w:rPr>
        <w:t>Sustainability</w:t>
      </w:r>
      <w:r w:rsidRPr="00251A9F">
        <w:rPr>
          <w:rFonts w:ascii="Times New Roman" w:hAnsi="Times New Roman"/>
        </w:rPr>
        <w:t xml:space="preserve">, 14(16), 10222. </w:t>
      </w:r>
      <w:hyperlink r:id="rId21" w:history="1">
        <w:r w:rsidRPr="00251A9F">
          <w:rPr>
            <w:rStyle w:val="Hyperlink"/>
            <w:rFonts w:ascii="Times New Roman" w:hAnsi="Times New Roman"/>
          </w:rPr>
          <w:t>https://doi.org/10.3390/su141610222</w:t>
        </w:r>
      </w:hyperlink>
      <w:r w:rsidRPr="00251A9F">
        <w:rPr>
          <w:rFonts w:ascii="Times New Roman" w:hAnsi="Times New Roman"/>
        </w:rPr>
        <w:t xml:space="preserve"> </w:t>
      </w:r>
    </w:p>
    <w:p w14:paraId="16B3A9BA" w14:textId="77777777" w:rsidR="00251A9F" w:rsidRPr="00251A9F" w:rsidRDefault="00251A9F" w:rsidP="00251A9F">
      <w:pPr>
        <w:spacing w:line="360" w:lineRule="auto"/>
        <w:rPr>
          <w:rFonts w:ascii="Times New Roman" w:hAnsi="Times New Roman"/>
        </w:rPr>
      </w:pPr>
    </w:p>
    <w:p w14:paraId="0582F4E7"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Fota</w:t>
      </w:r>
      <w:proofErr w:type="spellEnd"/>
      <w:r w:rsidRPr="00251A9F">
        <w:rPr>
          <w:rFonts w:ascii="Times New Roman" w:hAnsi="Times New Roman"/>
        </w:rPr>
        <w:t xml:space="preserve">, M.-S., Cristea, N.-E., Ureche, A. and Albu, N. (2024) ‘Accountants’ competencies for sustainability reporting: an exploratory study’, </w:t>
      </w:r>
      <w:proofErr w:type="spellStart"/>
      <w:r w:rsidRPr="00251A9F">
        <w:rPr>
          <w:rFonts w:ascii="Times New Roman" w:hAnsi="Times New Roman"/>
          <w:i/>
          <w:iCs/>
        </w:rPr>
        <w:t>Contabilitate</w:t>
      </w:r>
      <w:proofErr w:type="spellEnd"/>
      <w:r w:rsidRPr="00251A9F">
        <w:rPr>
          <w:rFonts w:ascii="Times New Roman" w:hAnsi="Times New Roman"/>
          <w:i/>
          <w:iCs/>
        </w:rPr>
        <w:t xml:space="preserve"> </w:t>
      </w:r>
      <w:proofErr w:type="spellStart"/>
      <w:r w:rsidRPr="00251A9F">
        <w:rPr>
          <w:rFonts w:ascii="Times New Roman" w:hAnsi="Times New Roman"/>
          <w:i/>
          <w:iCs/>
        </w:rPr>
        <w:t>şi</w:t>
      </w:r>
      <w:proofErr w:type="spellEnd"/>
      <w:r w:rsidRPr="00251A9F">
        <w:rPr>
          <w:rFonts w:ascii="Times New Roman" w:hAnsi="Times New Roman"/>
          <w:i/>
          <w:iCs/>
        </w:rPr>
        <w:t xml:space="preserve"> </w:t>
      </w:r>
      <w:proofErr w:type="spellStart"/>
      <w:r w:rsidRPr="00251A9F">
        <w:rPr>
          <w:rFonts w:ascii="Times New Roman" w:hAnsi="Times New Roman"/>
          <w:i/>
          <w:iCs/>
        </w:rPr>
        <w:t>Informatică</w:t>
      </w:r>
      <w:proofErr w:type="spellEnd"/>
      <w:r w:rsidRPr="00251A9F">
        <w:rPr>
          <w:rFonts w:ascii="Times New Roman" w:hAnsi="Times New Roman"/>
          <w:i/>
          <w:iCs/>
        </w:rPr>
        <w:t xml:space="preserve"> de </w:t>
      </w:r>
      <w:proofErr w:type="spellStart"/>
      <w:r w:rsidRPr="00251A9F">
        <w:rPr>
          <w:rFonts w:ascii="Times New Roman" w:hAnsi="Times New Roman"/>
          <w:i/>
          <w:iCs/>
        </w:rPr>
        <w:t>Gestiune</w:t>
      </w:r>
      <w:proofErr w:type="spellEnd"/>
      <w:r w:rsidRPr="00251A9F">
        <w:rPr>
          <w:rFonts w:ascii="Times New Roman" w:hAnsi="Times New Roman"/>
        </w:rPr>
        <w:t xml:space="preserve">, 23(2), pp. 446–460. </w:t>
      </w:r>
      <w:hyperlink r:id="rId22" w:history="1">
        <w:r w:rsidRPr="00251A9F">
          <w:rPr>
            <w:rStyle w:val="Hyperlink"/>
            <w:rFonts w:ascii="Times New Roman" w:hAnsi="Times New Roman"/>
          </w:rPr>
          <w:t>https://doi.org/10.24818/jamis.2024.02007</w:t>
        </w:r>
      </w:hyperlink>
      <w:r w:rsidRPr="00251A9F">
        <w:rPr>
          <w:rFonts w:ascii="Times New Roman" w:hAnsi="Times New Roman"/>
        </w:rPr>
        <w:t xml:space="preserve"> </w:t>
      </w:r>
    </w:p>
    <w:p w14:paraId="0BF9FB77" w14:textId="77777777" w:rsidR="00251A9F" w:rsidRPr="00251A9F" w:rsidRDefault="00251A9F" w:rsidP="00251A9F">
      <w:pPr>
        <w:spacing w:line="360" w:lineRule="auto"/>
        <w:rPr>
          <w:rFonts w:ascii="Times New Roman" w:hAnsi="Times New Roman"/>
        </w:rPr>
      </w:pPr>
    </w:p>
    <w:p w14:paraId="1030CAE4"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 xml:space="preserve">Fried, A., Rasmussen, J., Ottosson, M. and </w:t>
      </w:r>
      <w:proofErr w:type="spellStart"/>
      <w:r w:rsidRPr="00251A9F">
        <w:rPr>
          <w:rFonts w:ascii="Times New Roman" w:hAnsi="Times New Roman"/>
        </w:rPr>
        <w:t>Nehler</w:t>
      </w:r>
      <w:proofErr w:type="spellEnd"/>
      <w:r w:rsidRPr="00251A9F">
        <w:rPr>
          <w:rFonts w:ascii="Times New Roman" w:hAnsi="Times New Roman"/>
        </w:rPr>
        <w:t xml:space="preserve">, H. (2026) ‘Professional hybridization among management accountants: navigating paradoxical tensions in environmental sustainability’, </w:t>
      </w:r>
      <w:r w:rsidRPr="00251A9F">
        <w:rPr>
          <w:rFonts w:ascii="Times New Roman" w:hAnsi="Times New Roman"/>
          <w:i/>
          <w:iCs/>
        </w:rPr>
        <w:t>Management Accounting Research</w:t>
      </w:r>
      <w:r w:rsidRPr="00251A9F">
        <w:rPr>
          <w:rFonts w:ascii="Times New Roman" w:hAnsi="Times New Roman"/>
        </w:rPr>
        <w:t xml:space="preserve">, 68, 100958. </w:t>
      </w:r>
      <w:hyperlink r:id="rId23" w:history="1">
        <w:r w:rsidRPr="00251A9F">
          <w:rPr>
            <w:rStyle w:val="Hyperlink"/>
            <w:rFonts w:ascii="Times New Roman" w:hAnsi="Times New Roman"/>
          </w:rPr>
          <w:t>https://doi.org/10.1016/j.mar.2025.100958</w:t>
        </w:r>
      </w:hyperlink>
      <w:r w:rsidRPr="00251A9F">
        <w:rPr>
          <w:rFonts w:ascii="Times New Roman" w:hAnsi="Times New Roman"/>
        </w:rPr>
        <w:t xml:space="preserve"> </w:t>
      </w:r>
    </w:p>
    <w:p w14:paraId="3AE44B52" w14:textId="77777777" w:rsidR="00251A9F" w:rsidRPr="00251A9F" w:rsidRDefault="00251A9F" w:rsidP="00251A9F">
      <w:pPr>
        <w:spacing w:line="360" w:lineRule="auto"/>
        <w:rPr>
          <w:rFonts w:ascii="Times New Roman" w:hAnsi="Times New Roman"/>
        </w:rPr>
      </w:pPr>
    </w:p>
    <w:p w14:paraId="632A4EF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Friedman, A.L. (2023) ‘Continuing professional development as lifelong learning and education’, </w:t>
      </w:r>
      <w:r w:rsidRPr="00251A9F">
        <w:rPr>
          <w:rFonts w:ascii="Times New Roman" w:hAnsi="Times New Roman"/>
          <w:i/>
          <w:iCs/>
        </w:rPr>
        <w:t>International Journal of Lifelong Education</w:t>
      </w:r>
      <w:r w:rsidRPr="00251A9F">
        <w:rPr>
          <w:rFonts w:ascii="Times New Roman" w:hAnsi="Times New Roman"/>
        </w:rPr>
        <w:t xml:space="preserve">, 42(6), pp. 588–602. </w:t>
      </w:r>
      <w:hyperlink r:id="rId24" w:history="1">
        <w:r w:rsidRPr="00251A9F">
          <w:rPr>
            <w:rStyle w:val="Hyperlink"/>
            <w:rFonts w:ascii="Times New Roman" w:hAnsi="Times New Roman"/>
          </w:rPr>
          <w:t>https://doi.org/10.1080/02601370.2023.2267770</w:t>
        </w:r>
      </w:hyperlink>
      <w:r w:rsidRPr="00251A9F">
        <w:rPr>
          <w:rFonts w:ascii="Times New Roman" w:hAnsi="Times New Roman"/>
        </w:rPr>
        <w:t xml:space="preserve"> </w:t>
      </w:r>
    </w:p>
    <w:p w14:paraId="69256E0B" w14:textId="77777777" w:rsidR="00251A9F" w:rsidRPr="00251A9F" w:rsidRDefault="00251A9F" w:rsidP="00251A9F">
      <w:pPr>
        <w:spacing w:line="360" w:lineRule="auto"/>
        <w:rPr>
          <w:rFonts w:ascii="Times New Roman" w:hAnsi="Times New Roman"/>
        </w:rPr>
      </w:pPr>
    </w:p>
    <w:p w14:paraId="5BFB7AEE"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Garefalakis, A., Despoina, K., Angelaki, E., Papademetriou, C. and Passas, I. (2026) ‘Navigating ESG challenges: the role of chartered accountants in corporate sustainability’, </w:t>
      </w:r>
      <w:r w:rsidRPr="00251A9F">
        <w:rPr>
          <w:rFonts w:ascii="Times New Roman" w:hAnsi="Times New Roman"/>
          <w:i/>
          <w:iCs/>
        </w:rPr>
        <w:t>Risks</w:t>
      </w:r>
      <w:r w:rsidRPr="00251A9F">
        <w:rPr>
          <w:rFonts w:ascii="Times New Roman" w:hAnsi="Times New Roman"/>
        </w:rPr>
        <w:t xml:space="preserve">, 14(3), 47. </w:t>
      </w:r>
      <w:hyperlink r:id="rId25" w:history="1">
        <w:r w:rsidRPr="00251A9F">
          <w:rPr>
            <w:rStyle w:val="Hyperlink"/>
            <w:rFonts w:ascii="Times New Roman" w:hAnsi="Times New Roman"/>
          </w:rPr>
          <w:t>https://doi.org/10.3390/risks14030047</w:t>
        </w:r>
      </w:hyperlink>
      <w:r w:rsidRPr="00251A9F">
        <w:rPr>
          <w:rFonts w:ascii="Times New Roman" w:hAnsi="Times New Roman"/>
        </w:rPr>
        <w:t xml:space="preserve"> </w:t>
      </w:r>
    </w:p>
    <w:p w14:paraId="59A7DB9E" w14:textId="77777777" w:rsidR="00251A9F" w:rsidRPr="00251A9F" w:rsidRDefault="00251A9F" w:rsidP="00251A9F">
      <w:pPr>
        <w:spacing w:line="360" w:lineRule="auto"/>
        <w:rPr>
          <w:rFonts w:ascii="Times New Roman" w:hAnsi="Times New Roman"/>
        </w:rPr>
      </w:pPr>
    </w:p>
    <w:p w14:paraId="17A13077"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Global Reporting Initiative (2023) </w:t>
      </w:r>
      <w:r w:rsidRPr="00251A9F">
        <w:rPr>
          <w:rFonts w:ascii="Times New Roman" w:hAnsi="Times New Roman"/>
          <w:i/>
          <w:iCs/>
        </w:rPr>
        <w:t>GRI Standards</w:t>
      </w:r>
      <w:r w:rsidRPr="00251A9F">
        <w:rPr>
          <w:rFonts w:ascii="Times New Roman" w:hAnsi="Times New Roman"/>
        </w:rPr>
        <w:t xml:space="preserve">. Amsterdam: GRI. Available at: </w:t>
      </w:r>
      <w:hyperlink r:id="rId26" w:history="1">
        <w:r w:rsidRPr="00251A9F">
          <w:rPr>
            <w:rStyle w:val="Hyperlink"/>
            <w:rFonts w:ascii="Times New Roman" w:hAnsi="Times New Roman"/>
          </w:rPr>
          <w:t>https://www.globalreporting.org</w:t>
        </w:r>
      </w:hyperlink>
      <w:r w:rsidRPr="00251A9F">
        <w:rPr>
          <w:rFonts w:ascii="Times New Roman" w:hAnsi="Times New Roman"/>
        </w:rPr>
        <w:t xml:space="preserve">  (Accessed: 13 June 2026).</w:t>
      </w:r>
    </w:p>
    <w:p w14:paraId="1DCD0692" w14:textId="77777777" w:rsidR="00251A9F" w:rsidRPr="00251A9F" w:rsidRDefault="00251A9F" w:rsidP="00251A9F">
      <w:pPr>
        <w:spacing w:line="360" w:lineRule="auto"/>
        <w:rPr>
          <w:rFonts w:ascii="Times New Roman" w:hAnsi="Times New Roman"/>
        </w:rPr>
      </w:pPr>
    </w:p>
    <w:p w14:paraId="5D81D180"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Hońko</w:t>
      </w:r>
      <w:proofErr w:type="spellEnd"/>
      <w:r w:rsidRPr="00251A9F">
        <w:rPr>
          <w:rFonts w:ascii="Times New Roman" w:hAnsi="Times New Roman"/>
        </w:rPr>
        <w:t xml:space="preserve">, S., Strojek-Filus, M. and </w:t>
      </w:r>
      <w:proofErr w:type="spellStart"/>
      <w:r w:rsidRPr="00251A9F">
        <w:rPr>
          <w:rFonts w:ascii="Times New Roman" w:hAnsi="Times New Roman"/>
        </w:rPr>
        <w:t>Świetla</w:t>
      </w:r>
      <w:proofErr w:type="spellEnd"/>
      <w:r w:rsidRPr="00251A9F">
        <w:rPr>
          <w:rFonts w:ascii="Times New Roman" w:hAnsi="Times New Roman"/>
        </w:rPr>
        <w:t xml:space="preserve">, K. (2025) ‘Polish accountants’ readiness for sustainability reporting’, </w:t>
      </w:r>
      <w:r w:rsidRPr="00251A9F">
        <w:rPr>
          <w:rFonts w:ascii="Times New Roman" w:hAnsi="Times New Roman"/>
          <w:i/>
          <w:iCs/>
        </w:rPr>
        <w:t>International Entrepreneurship Review</w:t>
      </w:r>
      <w:r w:rsidRPr="00251A9F">
        <w:rPr>
          <w:rFonts w:ascii="Times New Roman" w:hAnsi="Times New Roman"/>
        </w:rPr>
        <w:t xml:space="preserve">, 11(4), pp. 87–102. </w:t>
      </w:r>
      <w:hyperlink r:id="rId27" w:history="1">
        <w:r w:rsidRPr="00251A9F">
          <w:rPr>
            <w:rStyle w:val="Hyperlink"/>
            <w:rFonts w:ascii="Times New Roman" w:hAnsi="Times New Roman"/>
          </w:rPr>
          <w:t>https://doi.org/10.15678/IER.2025.1104.06</w:t>
        </w:r>
      </w:hyperlink>
      <w:r w:rsidRPr="00251A9F">
        <w:rPr>
          <w:rFonts w:ascii="Times New Roman" w:hAnsi="Times New Roman"/>
        </w:rPr>
        <w:t xml:space="preserve"> </w:t>
      </w:r>
    </w:p>
    <w:p w14:paraId="584EF9C2" w14:textId="77777777" w:rsidR="00251A9F" w:rsidRPr="00251A9F" w:rsidRDefault="00251A9F" w:rsidP="00251A9F">
      <w:pPr>
        <w:spacing w:line="360" w:lineRule="auto"/>
        <w:rPr>
          <w:rFonts w:ascii="Times New Roman" w:hAnsi="Times New Roman"/>
        </w:rPr>
      </w:pPr>
    </w:p>
    <w:p w14:paraId="68D074A5"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Hossain, M.M., Alam, M., Islam, M.A. and Hecimovic, A. (2015) ‘Do stakeholders or social obligations drive corporate social and environmental responsibility reporting? Managerial views from a developing country’, </w:t>
      </w:r>
      <w:r w:rsidRPr="00251A9F">
        <w:rPr>
          <w:rFonts w:ascii="Times New Roman" w:hAnsi="Times New Roman"/>
          <w:i/>
          <w:iCs/>
        </w:rPr>
        <w:t>Qualitative Research in Accounting &amp; Management</w:t>
      </w:r>
      <w:r w:rsidRPr="00251A9F">
        <w:rPr>
          <w:rFonts w:ascii="Times New Roman" w:hAnsi="Times New Roman"/>
        </w:rPr>
        <w:t xml:space="preserve">, 12(3), pp. 287–314. </w:t>
      </w:r>
      <w:hyperlink r:id="rId28" w:history="1">
        <w:r w:rsidRPr="00251A9F">
          <w:rPr>
            <w:rStyle w:val="Hyperlink"/>
            <w:rFonts w:ascii="Times New Roman" w:hAnsi="Times New Roman"/>
          </w:rPr>
          <w:t>https://doi.org/10.1108/QRAM-10-2014-0061</w:t>
        </w:r>
      </w:hyperlink>
      <w:r w:rsidRPr="00251A9F">
        <w:rPr>
          <w:rFonts w:ascii="Times New Roman" w:hAnsi="Times New Roman"/>
        </w:rPr>
        <w:t xml:space="preserve"> </w:t>
      </w:r>
    </w:p>
    <w:p w14:paraId="2017D0BC" w14:textId="77777777" w:rsidR="00251A9F" w:rsidRPr="00251A9F" w:rsidRDefault="00251A9F" w:rsidP="00251A9F">
      <w:pPr>
        <w:spacing w:line="360" w:lineRule="auto"/>
        <w:rPr>
          <w:rFonts w:ascii="Times New Roman" w:hAnsi="Times New Roman"/>
        </w:rPr>
      </w:pPr>
    </w:p>
    <w:p w14:paraId="4CAF7A43"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Knight, G., Chidlow, A. and </w:t>
      </w:r>
      <w:proofErr w:type="spellStart"/>
      <w:r w:rsidRPr="00251A9F">
        <w:rPr>
          <w:rFonts w:ascii="Times New Roman" w:hAnsi="Times New Roman"/>
        </w:rPr>
        <w:t>Minbaeva</w:t>
      </w:r>
      <w:proofErr w:type="spellEnd"/>
      <w:r w:rsidRPr="00251A9F">
        <w:rPr>
          <w:rFonts w:ascii="Times New Roman" w:hAnsi="Times New Roman"/>
        </w:rPr>
        <w:t xml:space="preserve">, D. (2022) ‘Methodological fit for empirical research in international business: a contingency framework’, </w:t>
      </w:r>
      <w:r w:rsidRPr="00251A9F">
        <w:rPr>
          <w:rFonts w:ascii="Times New Roman" w:hAnsi="Times New Roman"/>
          <w:i/>
          <w:iCs/>
        </w:rPr>
        <w:t>Journal of International Business Studies</w:t>
      </w:r>
      <w:r w:rsidRPr="00251A9F">
        <w:rPr>
          <w:rFonts w:ascii="Times New Roman" w:hAnsi="Times New Roman"/>
        </w:rPr>
        <w:t xml:space="preserve">, 53(1), pp. 39–52. Available at: </w:t>
      </w:r>
      <w:hyperlink r:id="rId29" w:history="1">
        <w:r w:rsidRPr="00251A9F">
          <w:rPr>
            <w:rStyle w:val="Hyperlink"/>
            <w:rFonts w:ascii="Times New Roman" w:hAnsi="Times New Roman"/>
          </w:rPr>
          <w:t>https://www.jstor.org/stable/48686854</w:t>
        </w:r>
      </w:hyperlink>
      <w:r w:rsidRPr="00251A9F">
        <w:rPr>
          <w:rFonts w:ascii="Times New Roman" w:hAnsi="Times New Roman"/>
        </w:rPr>
        <w:t xml:space="preserve"> </w:t>
      </w:r>
    </w:p>
    <w:p w14:paraId="02F23E80" w14:textId="77777777" w:rsidR="00251A9F" w:rsidRPr="00251A9F" w:rsidRDefault="00251A9F" w:rsidP="00251A9F">
      <w:pPr>
        <w:spacing w:line="360" w:lineRule="auto"/>
        <w:rPr>
          <w:rFonts w:ascii="Times New Roman" w:hAnsi="Times New Roman"/>
        </w:rPr>
      </w:pPr>
    </w:p>
    <w:p w14:paraId="22546608"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Krasodomska</w:t>
      </w:r>
      <w:proofErr w:type="spellEnd"/>
      <w:r w:rsidRPr="00251A9F">
        <w:rPr>
          <w:rFonts w:ascii="Times New Roman" w:hAnsi="Times New Roman"/>
        </w:rPr>
        <w:t xml:space="preserve">, J., Michalak, J. and </w:t>
      </w:r>
      <w:proofErr w:type="spellStart"/>
      <w:r w:rsidRPr="00251A9F">
        <w:rPr>
          <w:rFonts w:ascii="Times New Roman" w:hAnsi="Times New Roman"/>
        </w:rPr>
        <w:t>Świetla</w:t>
      </w:r>
      <w:proofErr w:type="spellEnd"/>
      <w:r w:rsidRPr="00251A9F">
        <w:rPr>
          <w:rFonts w:ascii="Times New Roman" w:hAnsi="Times New Roman"/>
        </w:rPr>
        <w:t xml:space="preserve">, K. (2020) ‘Directive 2014/95/EU: accountants’ understanding and attitude towards mandatory non-financial disclosures in corporate reporting’, </w:t>
      </w:r>
      <w:proofErr w:type="spellStart"/>
      <w:r w:rsidRPr="00251A9F">
        <w:rPr>
          <w:rFonts w:ascii="Times New Roman" w:hAnsi="Times New Roman"/>
          <w:i/>
          <w:iCs/>
        </w:rPr>
        <w:t>Meditari</w:t>
      </w:r>
      <w:proofErr w:type="spellEnd"/>
      <w:r w:rsidRPr="00251A9F">
        <w:rPr>
          <w:rFonts w:ascii="Times New Roman" w:hAnsi="Times New Roman"/>
          <w:i/>
          <w:iCs/>
        </w:rPr>
        <w:t xml:space="preserve"> Accountancy Research</w:t>
      </w:r>
      <w:r w:rsidRPr="00251A9F">
        <w:rPr>
          <w:rFonts w:ascii="Times New Roman" w:hAnsi="Times New Roman"/>
        </w:rPr>
        <w:t xml:space="preserve">, 28(5), pp. 751–779. </w:t>
      </w:r>
      <w:hyperlink r:id="rId30" w:history="1">
        <w:r w:rsidRPr="00251A9F">
          <w:rPr>
            <w:rStyle w:val="Hyperlink"/>
            <w:rFonts w:ascii="Times New Roman" w:hAnsi="Times New Roman"/>
          </w:rPr>
          <w:t>https://doi.org/10.1108/MEDAR-06-2019-0504</w:t>
        </w:r>
      </w:hyperlink>
      <w:r w:rsidRPr="00251A9F">
        <w:rPr>
          <w:rFonts w:ascii="Times New Roman" w:hAnsi="Times New Roman"/>
        </w:rPr>
        <w:t xml:space="preserve"> </w:t>
      </w:r>
    </w:p>
    <w:p w14:paraId="1ADAF6DC" w14:textId="77777777" w:rsidR="00251A9F" w:rsidRPr="00251A9F" w:rsidRDefault="00251A9F" w:rsidP="00251A9F">
      <w:pPr>
        <w:spacing w:line="360" w:lineRule="auto"/>
        <w:rPr>
          <w:rFonts w:ascii="Times New Roman" w:hAnsi="Times New Roman"/>
        </w:rPr>
      </w:pPr>
    </w:p>
    <w:p w14:paraId="5D3D1802"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lastRenderedPageBreak/>
        <w:t>Kurtessis</w:t>
      </w:r>
      <w:proofErr w:type="spellEnd"/>
      <w:r w:rsidRPr="00251A9F">
        <w:rPr>
          <w:rFonts w:ascii="Times New Roman" w:hAnsi="Times New Roman"/>
        </w:rPr>
        <w:t xml:space="preserve">, J.N., Eisenberger, R., Ford, M.T., Buffardi, L.C., Stewart, K.A. and Adis, C.S. (2017) ‘Perceived organizational support: a meta-analytic evaluation of organizational support theory’, </w:t>
      </w:r>
      <w:r w:rsidRPr="00251A9F">
        <w:rPr>
          <w:rFonts w:ascii="Times New Roman" w:hAnsi="Times New Roman"/>
          <w:i/>
          <w:iCs/>
        </w:rPr>
        <w:t>Journal of Management</w:t>
      </w:r>
      <w:r w:rsidRPr="00251A9F">
        <w:rPr>
          <w:rFonts w:ascii="Times New Roman" w:hAnsi="Times New Roman"/>
        </w:rPr>
        <w:t xml:space="preserve">, 43(6), pp. 1854–1884. </w:t>
      </w:r>
      <w:hyperlink r:id="rId31" w:history="1">
        <w:r w:rsidRPr="00251A9F">
          <w:rPr>
            <w:rStyle w:val="Hyperlink"/>
            <w:rFonts w:ascii="Times New Roman" w:hAnsi="Times New Roman"/>
          </w:rPr>
          <w:t>https://doi.org/10.1177/0149206315575554</w:t>
        </w:r>
      </w:hyperlink>
      <w:r w:rsidRPr="00251A9F">
        <w:rPr>
          <w:rFonts w:ascii="Times New Roman" w:hAnsi="Times New Roman"/>
        </w:rPr>
        <w:t xml:space="preserve"> </w:t>
      </w:r>
    </w:p>
    <w:p w14:paraId="0BCEE683" w14:textId="77777777" w:rsidR="00251A9F" w:rsidRPr="00251A9F" w:rsidRDefault="00251A9F" w:rsidP="00251A9F">
      <w:pPr>
        <w:spacing w:line="360" w:lineRule="auto"/>
        <w:rPr>
          <w:rFonts w:ascii="Times New Roman" w:hAnsi="Times New Roman"/>
        </w:rPr>
      </w:pPr>
    </w:p>
    <w:p w14:paraId="1B6DE4A4"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Lawless, K. (2022) </w:t>
      </w:r>
      <w:r w:rsidRPr="00251A9F">
        <w:rPr>
          <w:rFonts w:ascii="Times New Roman" w:hAnsi="Times New Roman"/>
          <w:i/>
          <w:iCs/>
        </w:rPr>
        <w:t>Five priorities to build trust in ESG</w:t>
      </w:r>
      <w:r w:rsidRPr="00251A9F">
        <w:rPr>
          <w:rFonts w:ascii="Times New Roman" w:hAnsi="Times New Roman"/>
        </w:rPr>
        <w:t xml:space="preserve">. Available at: </w:t>
      </w:r>
      <w:hyperlink r:id="rId32" w:history="1">
        <w:r w:rsidRPr="00251A9F">
          <w:rPr>
            <w:rStyle w:val="Hyperlink"/>
            <w:rFonts w:ascii="Times New Roman" w:hAnsi="Times New Roman"/>
          </w:rPr>
          <w:t>https://www.ey.com/en_gl/insights/public-policy/five-priorities-to-build-trust-in-esg</w:t>
        </w:r>
      </w:hyperlink>
      <w:r w:rsidRPr="00251A9F">
        <w:rPr>
          <w:rFonts w:ascii="Times New Roman" w:hAnsi="Times New Roman"/>
        </w:rPr>
        <w:t xml:space="preserve"> (Accessed: 19 July 2026).</w:t>
      </w:r>
    </w:p>
    <w:p w14:paraId="61E93221" w14:textId="77777777" w:rsidR="00251A9F" w:rsidRPr="00251A9F" w:rsidRDefault="00251A9F" w:rsidP="00251A9F">
      <w:pPr>
        <w:spacing w:line="360" w:lineRule="auto"/>
        <w:rPr>
          <w:rFonts w:ascii="Times New Roman" w:hAnsi="Times New Roman"/>
        </w:rPr>
      </w:pPr>
    </w:p>
    <w:p w14:paraId="4A3511ED"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Matac</w:t>
      </w:r>
      <w:proofErr w:type="spellEnd"/>
      <w:r w:rsidRPr="00251A9F">
        <w:rPr>
          <w:rFonts w:ascii="Times New Roman" w:hAnsi="Times New Roman"/>
        </w:rPr>
        <w:t xml:space="preserve">, L.M., Pantazi, F., Coman, P.-T. and </w:t>
      </w:r>
      <w:proofErr w:type="spellStart"/>
      <w:r w:rsidRPr="00251A9F">
        <w:rPr>
          <w:rFonts w:ascii="Times New Roman" w:hAnsi="Times New Roman"/>
        </w:rPr>
        <w:t>Bolboceanu</w:t>
      </w:r>
      <w:proofErr w:type="spellEnd"/>
      <w:r w:rsidRPr="00251A9F">
        <w:rPr>
          <w:rFonts w:ascii="Times New Roman" w:hAnsi="Times New Roman"/>
        </w:rPr>
        <w:t xml:space="preserve">, M. (2024) ‘The role of expert accountants in ensuring regulatory compliance with corporate sustainability reporting in the European Union’, </w:t>
      </w:r>
      <w:r w:rsidRPr="00251A9F">
        <w:rPr>
          <w:rFonts w:ascii="Times New Roman" w:hAnsi="Times New Roman"/>
          <w:i/>
          <w:iCs/>
        </w:rPr>
        <w:t>CECCAR Business Review</w:t>
      </w:r>
      <w:r w:rsidRPr="00251A9F">
        <w:rPr>
          <w:rFonts w:ascii="Times New Roman" w:hAnsi="Times New Roman"/>
        </w:rPr>
        <w:t xml:space="preserve">, 5(10), pp. 2–6. Available at: </w:t>
      </w:r>
      <w:hyperlink r:id="rId33" w:history="1">
        <w:r w:rsidRPr="00251A9F">
          <w:rPr>
            <w:rStyle w:val="Hyperlink"/>
            <w:rFonts w:ascii="Times New Roman" w:hAnsi="Times New Roman"/>
          </w:rPr>
          <w:t>https://research.ebsco.com/linkprocessor/plink?id=5c040a3f-b10e-3963-8bce-679188a2848f</w:t>
        </w:r>
      </w:hyperlink>
      <w:r w:rsidRPr="00251A9F">
        <w:rPr>
          <w:rFonts w:ascii="Times New Roman" w:hAnsi="Times New Roman"/>
        </w:rPr>
        <w:t xml:space="preserve">  (Accessed: 16 April 2026).</w:t>
      </w:r>
    </w:p>
    <w:p w14:paraId="70FD8730" w14:textId="77777777" w:rsidR="00251A9F" w:rsidRPr="00251A9F" w:rsidRDefault="00251A9F" w:rsidP="00251A9F">
      <w:pPr>
        <w:spacing w:line="360" w:lineRule="auto"/>
        <w:rPr>
          <w:rFonts w:ascii="Times New Roman" w:hAnsi="Times New Roman"/>
        </w:rPr>
      </w:pPr>
    </w:p>
    <w:p w14:paraId="49383153"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Milne, M.J. and Gray, R. (2013) ‘W(h)ither ecology? The triple bottom line, the Global Reporting Initiative, and corporate sustainability reporting’, </w:t>
      </w:r>
      <w:r w:rsidRPr="00251A9F">
        <w:rPr>
          <w:rFonts w:ascii="Times New Roman" w:hAnsi="Times New Roman"/>
          <w:i/>
          <w:iCs/>
        </w:rPr>
        <w:t>Journal of Business Ethics</w:t>
      </w:r>
      <w:r w:rsidRPr="00251A9F">
        <w:rPr>
          <w:rFonts w:ascii="Times New Roman" w:hAnsi="Times New Roman"/>
        </w:rPr>
        <w:t xml:space="preserve">, 118(1), pp. 13–29. </w:t>
      </w:r>
      <w:hyperlink r:id="rId34" w:history="1">
        <w:r w:rsidRPr="00251A9F">
          <w:rPr>
            <w:rStyle w:val="Hyperlink"/>
            <w:rFonts w:ascii="Times New Roman" w:hAnsi="Times New Roman"/>
          </w:rPr>
          <w:t>https://doi.org/10.1007/s10551-012-1543-8</w:t>
        </w:r>
      </w:hyperlink>
      <w:r w:rsidRPr="00251A9F">
        <w:rPr>
          <w:rFonts w:ascii="Times New Roman" w:hAnsi="Times New Roman"/>
        </w:rPr>
        <w:t xml:space="preserve"> </w:t>
      </w:r>
    </w:p>
    <w:p w14:paraId="0BC924C8" w14:textId="77777777" w:rsidR="00251A9F" w:rsidRPr="00251A9F" w:rsidRDefault="00251A9F" w:rsidP="00251A9F">
      <w:pPr>
        <w:spacing w:line="360" w:lineRule="auto"/>
        <w:rPr>
          <w:rFonts w:ascii="Times New Roman" w:hAnsi="Times New Roman"/>
        </w:rPr>
      </w:pPr>
    </w:p>
    <w:p w14:paraId="3E94C826"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Mishra, P., Pandey, C.M., Singh, U., Gupta, A., Sahu, C. and </w:t>
      </w:r>
      <w:proofErr w:type="spellStart"/>
      <w:r w:rsidRPr="00251A9F">
        <w:rPr>
          <w:rFonts w:ascii="Times New Roman" w:hAnsi="Times New Roman"/>
        </w:rPr>
        <w:t>Keshri</w:t>
      </w:r>
      <w:proofErr w:type="spellEnd"/>
      <w:r w:rsidRPr="00251A9F">
        <w:rPr>
          <w:rFonts w:ascii="Times New Roman" w:hAnsi="Times New Roman"/>
        </w:rPr>
        <w:t xml:space="preserve">, A. (2019) ‘Descriptive statistics and normality tests for statistical data’, </w:t>
      </w:r>
      <w:r w:rsidRPr="00251A9F">
        <w:rPr>
          <w:rFonts w:ascii="Times New Roman" w:hAnsi="Times New Roman"/>
          <w:i/>
          <w:iCs/>
        </w:rPr>
        <w:t>Annals of Cardiac Anaesthesia</w:t>
      </w:r>
      <w:r w:rsidRPr="00251A9F">
        <w:rPr>
          <w:rFonts w:ascii="Times New Roman" w:hAnsi="Times New Roman"/>
        </w:rPr>
        <w:t xml:space="preserve">, 22(1), pp. 67–72. </w:t>
      </w:r>
      <w:hyperlink r:id="rId35" w:history="1">
        <w:r w:rsidRPr="00251A9F">
          <w:rPr>
            <w:rStyle w:val="Hyperlink"/>
            <w:rFonts w:ascii="Times New Roman" w:hAnsi="Times New Roman"/>
          </w:rPr>
          <w:t>https://doi.org/10.4103/aca.ACA_157_18</w:t>
        </w:r>
      </w:hyperlink>
    </w:p>
    <w:p w14:paraId="6CCF3C2F" w14:textId="77777777" w:rsidR="00251A9F" w:rsidRPr="00251A9F" w:rsidRDefault="00251A9F" w:rsidP="00251A9F">
      <w:pPr>
        <w:spacing w:line="360" w:lineRule="auto"/>
        <w:rPr>
          <w:rFonts w:ascii="Times New Roman" w:hAnsi="Times New Roman"/>
        </w:rPr>
      </w:pPr>
    </w:p>
    <w:p w14:paraId="6544C3DE"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Mohammed, S.S. (2024) ‘Deductive and inductive research’, in </w:t>
      </w:r>
      <w:r w:rsidRPr="00251A9F">
        <w:rPr>
          <w:rFonts w:ascii="Times New Roman" w:hAnsi="Times New Roman"/>
          <w:i/>
          <w:iCs/>
        </w:rPr>
        <w:t>Introduction to Research Methods</w:t>
      </w:r>
      <w:r w:rsidRPr="00251A9F">
        <w:rPr>
          <w:rFonts w:ascii="Times New Roman" w:hAnsi="Times New Roman"/>
        </w:rPr>
        <w:t xml:space="preserve">, p. 203. Available at: </w:t>
      </w:r>
      <w:hyperlink r:id="rId36" w:history="1">
        <w:r w:rsidRPr="00251A9F">
          <w:rPr>
            <w:rStyle w:val="Hyperlink"/>
            <w:rFonts w:ascii="Times New Roman" w:hAnsi="Times New Roman"/>
          </w:rPr>
          <w:t>https://www.researchgate.net/publication/384971734_deductive_and_inductive_research</w:t>
        </w:r>
      </w:hyperlink>
      <w:r w:rsidRPr="00251A9F">
        <w:rPr>
          <w:rFonts w:ascii="Times New Roman" w:hAnsi="Times New Roman"/>
        </w:rPr>
        <w:t xml:space="preserve"> (Accessed: 19 July 2026).</w:t>
      </w:r>
    </w:p>
    <w:p w14:paraId="1A1B11F6" w14:textId="77777777" w:rsidR="00251A9F" w:rsidRPr="00251A9F" w:rsidRDefault="00251A9F" w:rsidP="00251A9F">
      <w:pPr>
        <w:spacing w:line="360" w:lineRule="auto"/>
        <w:rPr>
          <w:rFonts w:ascii="Times New Roman" w:hAnsi="Times New Roman"/>
        </w:rPr>
      </w:pPr>
    </w:p>
    <w:p w14:paraId="1B8CDCF1"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Nwobu</w:t>
      </w:r>
      <w:proofErr w:type="spellEnd"/>
      <w:r w:rsidRPr="00251A9F">
        <w:rPr>
          <w:rFonts w:ascii="Times New Roman" w:hAnsi="Times New Roman"/>
        </w:rPr>
        <w:t xml:space="preserve">, O.A., </w:t>
      </w:r>
      <w:proofErr w:type="spellStart"/>
      <w:r w:rsidRPr="00251A9F">
        <w:rPr>
          <w:rFonts w:ascii="Times New Roman" w:hAnsi="Times New Roman"/>
        </w:rPr>
        <w:t>Iyoha</w:t>
      </w:r>
      <w:proofErr w:type="spellEnd"/>
      <w:r w:rsidRPr="00251A9F">
        <w:rPr>
          <w:rFonts w:ascii="Times New Roman" w:hAnsi="Times New Roman"/>
        </w:rPr>
        <w:t xml:space="preserve">, F. and Owolabi, A. (2018) ‘Managerial perceptions of corporate sustainability reporting determinants in Nigeria’, </w:t>
      </w:r>
      <w:r w:rsidRPr="00251A9F">
        <w:rPr>
          <w:rFonts w:ascii="Times New Roman" w:hAnsi="Times New Roman"/>
          <w:i/>
          <w:iCs/>
        </w:rPr>
        <w:t>Journal of Business and Retail Management Research</w:t>
      </w:r>
      <w:r w:rsidRPr="00251A9F">
        <w:rPr>
          <w:rFonts w:ascii="Times New Roman" w:hAnsi="Times New Roman"/>
        </w:rPr>
        <w:t>, 12(2), pp. 72–82.</w:t>
      </w:r>
    </w:p>
    <w:p w14:paraId="0604C379" w14:textId="77777777" w:rsidR="00251A9F" w:rsidRPr="00251A9F" w:rsidRDefault="00251A9F" w:rsidP="00251A9F">
      <w:pPr>
        <w:spacing w:line="360" w:lineRule="auto"/>
        <w:rPr>
          <w:rFonts w:ascii="Times New Roman" w:hAnsi="Times New Roman"/>
        </w:rPr>
      </w:pPr>
    </w:p>
    <w:p w14:paraId="7FCBBC17" w14:textId="77777777" w:rsidR="00251A9F" w:rsidRPr="00251A9F" w:rsidRDefault="00251A9F" w:rsidP="00251A9F">
      <w:pPr>
        <w:spacing w:line="360" w:lineRule="auto"/>
        <w:rPr>
          <w:rFonts w:ascii="Times New Roman" w:hAnsi="Times New Roman"/>
        </w:rPr>
      </w:pPr>
      <w:r w:rsidRPr="00251A9F">
        <w:rPr>
          <w:rFonts w:ascii="Times New Roman" w:hAnsi="Times New Roman"/>
        </w:rPr>
        <w:lastRenderedPageBreak/>
        <w:t xml:space="preserve">Pyatt, G. (1966) ‘Human capital: a theoretical and empirical analysis, with special reference to education. G. S. Becker’, </w:t>
      </w:r>
      <w:r w:rsidRPr="00251A9F">
        <w:rPr>
          <w:rFonts w:ascii="Times New Roman" w:hAnsi="Times New Roman"/>
          <w:i/>
          <w:iCs/>
        </w:rPr>
        <w:t>The Economic Journal</w:t>
      </w:r>
      <w:r w:rsidRPr="00251A9F">
        <w:rPr>
          <w:rFonts w:ascii="Times New Roman" w:hAnsi="Times New Roman"/>
        </w:rPr>
        <w:t xml:space="preserve">, 76(303), pp. 635–638. </w:t>
      </w:r>
      <w:hyperlink r:id="rId37" w:history="1">
        <w:r w:rsidRPr="00251A9F">
          <w:rPr>
            <w:rStyle w:val="Hyperlink"/>
            <w:rFonts w:ascii="Times New Roman" w:hAnsi="Times New Roman"/>
          </w:rPr>
          <w:t>https://doi.org/10.2307/2229541</w:t>
        </w:r>
      </w:hyperlink>
      <w:r w:rsidRPr="00251A9F">
        <w:rPr>
          <w:rFonts w:ascii="Times New Roman" w:hAnsi="Times New Roman"/>
        </w:rPr>
        <w:t xml:space="preserve">  </w:t>
      </w:r>
    </w:p>
    <w:p w14:paraId="45FBB4F8" w14:textId="77777777" w:rsidR="00251A9F" w:rsidRPr="00251A9F" w:rsidRDefault="00251A9F" w:rsidP="00251A9F">
      <w:pPr>
        <w:spacing w:line="360" w:lineRule="auto"/>
        <w:rPr>
          <w:rFonts w:ascii="Times New Roman" w:hAnsi="Times New Roman"/>
        </w:rPr>
      </w:pPr>
    </w:p>
    <w:p w14:paraId="645A563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Sahay, A. (2016) </w:t>
      </w:r>
      <w:r w:rsidRPr="00251A9F">
        <w:rPr>
          <w:rFonts w:ascii="Times New Roman" w:hAnsi="Times New Roman"/>
          <w:i/>
          <w:iCs/>
        </w:rPr>
        <w:t>Peeling Saunders’ Research Onion</w:t>
      </w:r>
      <w:r w:rsidRPr="00251A9F">
        <w:rPr>
          <w:rFonts w:ascii="Times New Roman" w:hAnsi="Times New Roman"/>
        </w:rPr>
        <w:t>. ResearchGate.</w:t>
      </w:r>
    </w:p>
    <w:p w14:paraId="78ABAC04" w14:textId="77777777" w:rsidR="00251A9F" w:rsidRPr="00251A9F" w:rsidRDefault="00251A9F" w:rsidP="00251A9F">
      <w:pPr>
        <w:spacing w:line="360" w:lineRule="auto"/>
        <w:rPr>
          <w:rFonts w:ascii="Times New Roman" w:hAnsi="Times New Roman"/>
        </w:rPr>
      </w:pPr>
    </w:p>
    <w:p w14:paraId="6CF2FC54"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Saunders, M.N.K., Lewis, P. and Thornhill, A. (2019) </w:t>
      </w:r>
      <w:r w:rsidRPr="00251A9F">
        <w:rPr>
          <w:rFonts w:ascii="Times New Roman" w:hAnsi="Times New Roman"/>
          <w:i/>
          <w:iCs/>
        </w:rPr>
        <w:t>Research Methods for Business Students</w:t>
      </w:r>
      <w:r w:rsidRPr="00251A9F">
        <w:rPr>
          <w:rFonts w:ascii="Times New Roman" w:hAnsi="Times New Roman"/>
        </w:rPr>
        <w:t xml:space="preserve">. 8th </w:t>
      </w:r>
      <w:proofErr w:type="spellStart"/>
      <w:r w:rsidRPr="00251A9F">
        <w:rPr>
          <w:rFonts w:ascii="Times New Roman" w:hAnsi="Times New Roman"/>
        </w:rPr>
        <w:t>edn</w:t>
      </w:r>
      <w:proofErr w:type="spellEnd"/>
      <w:r w:rsidRPr="00251A9F">
        <w:rPr>
          <w:rFonts w:ascii="Times New Roman" w:hAnsi="Times New Roman"/>
        </w:rPr>
        <w:t xml:space="preserve">. Harlow: Pearson. Available at: </w:t>
      </w:r>
      <w:hyperlink r:id="rId38" w:history="1">
        <w:r w:rsidRPr="00251A9F">
          <w:rPr>
            <w:rStyle w:val="Hyperlink"/>
            <w:rFonts w:ascii="Times New Roman" w:hAnsi="Times New Roman"/>
          </w:rPr>
          <w:t>https://research.ebsco.com/plink/b0787f00-eef4-380d-b80b-fe41ef9152ed</w:t>
        </w:r>
      </w:hyperlink>
      <w:r w:rsidRPr="00251A9F">
        <w:rPr>
          <w:rFonts w:ascii="Times New Roman" w:hAnsi="Times New Roman"/>
        </w:rPr>
        <w:t xml:space="preserve"> (Accessed: 19 July 2026).</w:t>
      </w:r>
    </w:p>
    <w:p w14:paraId="40C70B7E" w14:textId="77777777" w:rsidR="00251A9F" w:rsidRPr="00251A9F" w:rsidRDefault="00251A9F" w:rsidP="00251A9F">
      <w:pPr>
        <w:spacing w:line="360" w:lineRule="auto"/>
        <w:rPr>
          <w:rFonts w:ascii="Times New Roman" w:hAnsi="Times New Roman"/>
        </w:rPr>
      </w:pPr>
    </w:p>
    <w:p w14:paraId="2F10A6A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Smith, D. (2024) </w:t>
      </w:r>
      <w:r w:rsidRPr="00251A9F">
        <w:rPr>
          <w:rFonts w:ascii="Times New Roman" w:hAnsi="Times New Roman"/>
          <w:i/>
          <w:iCs/>
        </w:rPr>
        <w:t>Empowering growth: the crucial role of accountants in economic development</w:t>
      </w:r>
      <w:r w:rsidRPr="00251A9F">
        <w:rPr>
          <w:rFonts w:ascii="Times New Roman" w:hAnsi="Times New Roman"/>
        </w:rPr>
        <w:t xml:space="preserve">. Available at: </w:t>
      </w:r>
      <w:hyperlink r:id="rId39" w:history="1">
        <w:r w:rsidRPr="00251A9F">
          <w:rPr>
            <w:rStyle w:val="Hyperlink"/>
            <w:rFonts w:ascii="Times New Roman" w:hAnsi="Times New Roman"/>
          </w:rPr>
          <w:t>https://accountingforeveryone.com/empowering-growth-crucial-role-accountants-economic-development/</w:t>
        </w:r>
      </w:hyperlink>
      <w:r w:rsidRPr="00251A9F">
        <w:rPr>
          <w:rFonts w:ascii="Times New Roman" w:hAnsi="Times New Roman"/>
        </w:rPr>
        <w:t xml:space="preserve"> (Accessed: 19 July 2026).</w:t>
      </w:r>
    </w:p>
    <w:p w14:paraId="2CD74D1C" w14:textId="77777777" w:rsidR="00251A9F" w:rsidRPr="00251A9F" w:rsidRDefault="00251A9F" w:rsidP="00251A9F">
      <w:pPr>
        <w:spacing w:line="360" w:lineRule="auto"/>
        <w:rPr>
          <w:rFonts w:ascii="Times New Roman" w:hAnsi="Times New Roman"/>
        </w:rPr>
      </w:pPr>
    </w:p>
    <w:p w14:paraId="5AB5F43A"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Taherdoost</w:t>
      </w:r>
      <w:proofErr w:type="spellEnd"/>
      <w:r w:rsidRPr="00251A9F">
        <w:rPr>
          <w:rFonts w:ascii="Times New Roman" w:hAnsi="Times New Roman"/>
        </w:rPr>
        <w:t xml:space="preserve">, H. (2019) </w:t>
      </w:r>
      <w:r w:rsidRPr="00251A9F">
        <w:rPr>
          <w:rFonts w:ascii="Times New Roman" w:hAnsi="Times New Roman"/>
          <w:i/>
          <w:iCs/>
        </w:rPr>
        <w:t>What is the best response scale for survey and questionnaire design; review of different lengths of rating scale/attitude scale/Likert scale</w:t>
      </w:r>
      <w:r w:rsidRPr="00251A9F">
        <w:rPr>
          <w:rFonts w:ascii="Times New Roman" w:hAnsi="Times New Roman"/>
        </w:rPr>
        <w:t>. ResearchGate.</w:t>
      </w:r>
    </w:p>
    <w:p w14:paraId="116732BC" w14:textId="77777777" w:rsidR="00251A9F" w:rsidRPr="00251A9F" w:rsidRDefault="00251A9F" w:rsidP="00251A9F">
      <w:pPr>
        <w:spacing w:line="360" w:lineRule="auto"/>
        <w:rPr>
          <w:rFonts w:ascii="Times New Roman" w:hAnsi="Times New Roman"/>
        </w:rPr>
      </w:pPr>
    </w:p>
    <w:p w14:paraId="3F120BB9"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Tauringana</w:t>
      </w:r>
      <w:proofErr w:type="spellEnd"/>
      <w:r w:rsidRPr="00251A9F">
        <w:rPr>
          <w:rFonts w:ascii="Times New Roman" w:hAnsi="Times New Roman"/>
        </w:rPr>
        <w:t xml:space="preserve">, V. (2020) ‘Sustainability reporting challenges in developing countries: towards management perceptions research evidence-based practices’, </w:t>
      </w:r>
      <w:r w:rsidRPr="00251A9F">
        <w:rPr>
          <w:rFonts w:ascii="Times New Roman" w:hAnsi="Times New Roman"/>
          <w:i/>
          <w:iCs/>
        </w:rPr>
        <w:t>Journal of Accounting in Emerging Economies</w:t>
      </w:r>
      <w:r w:rsidRPr="00251A9F">
        <w:rPr>
          <w:rFonts w:ascii="Times New Roman" w:hAnsi="Times New Roman"/>
        </w:rPr>
        <w:t xml:space="preserve">, 11(2), pp. 194–215. Available at: </w:t>
      </w:r>
      <w:hyperlink r:id="rId40" w:history="1">
        <w:r w:rsidRPr="00251A9F">
          <w:rPr>
            <w:rStyle w:val="Hyperlink"/>
            <w:rFonts w:ascii="Times New Roman" w:hAnsi="Times New Roman"/>
          </w:rPr>
          <w:t>https://research.ebsco.com/plink/5d2a1970-f17e-3ca5-a217-12e894c2f83a</w:t>
        </w:r>
      </w:hyperlink>
      <w:r w:rsidRPr="00251A9F">
        <w:rPr>
          <w:rFonts w:ascii="Times New Roman" w:hAnsi="Times New Roman"/>
        </w:rPr>
        <w:t xml:space="preserve">  (Accessed: 13 June 2026).</w:t>
      </w:r>
    </w:p>
    <w:p w14:paraId="32587F3D" w14:textId="77777777" w:rsidR="00251A9F" w:rsidRPr="00251A9F" w:rsidRDefault="00251A9F" w:rsidP="00251A9F">
      <w:pPr>
        <w:spacing w:line="360" w:lineRule="auto"/>
        <w:rPr>
          <w:rFonts w:ascii="Times New Roman" w:hAnsi="Times New Roman"/>
        </w:rPr>
      </w:pPr>
    </w:p>
    <w:p w14:paraId="0816287F" w14:textId="77777777" w:rsidR="00251A9F" w:rsidRPr="00251A9F" w:rsidRDefault="00251A9F" w:rsidP="00251A9F">
      <w:pPr>
        <w:spacing w:line="360" w:lineRule="auto"/>
        <w:rPr>
          <w:rFonts w:ascii="Times New Roman" w:hAnsi="Times New Roman"/>
        </w:rPr>
      </w:pPr>
      <w:r w:rsidRPr="00251A9F">
        <w:rPr>
          <w:rFonts w:ascii="Times New Roman" w:hAnsi="Times New Roman"/>
        </w:rPr>
        <w:t xml:space="preserve">Wagenhofer, A. (2024) ‘Sustainability reporting: a financial reporting perspective’, </w:t>
      </w:r>
      <w:r w:rsidRPr="00251A9F">
        <w:rPr>
          <w:rFonts w:ascii="Times New Roman" w:hAnsi="Times New Roman"/>
          <w:i/>
          <w:iCs/>
        </w:rPr>
        <w:t>Accounting in Europe</w:t>
      </w:r>
      <w:r w:rsidRPr="00251A9F">
        <w:rPr>
          <w:rFonts w:ascii="Times New Roman" w:hAnsi="Times New Roman"/>
        </w:rPr>
        <w:t xml:space="preserve">, 21(1), pp. 1–13. </w:t>
      </w:r>
      <w:hyperlink r:id="rId41" w:history="1">
        <w:r w:rsidRPr="00251A9F">
          <w:rPr>
            <w:rStyle w:val="Hyperlink"/>
            <w:rFonts w:ascii="Times New Roman" w:hAnsi="Times New Roman"/>
          </w:rPr>
          <w:t>https://doi.org/10.1080/17449480.2023.2218398</w:t>
        </w:r>
      </w:hyperlink>
      <w:r w:rsidRPr="00251A9F">
        <w:rPr>
          <w:rFonts w:ascii="Times New Roman" w:hAnsi="Times New Roman"/>
        </w:rPr>
        <w:t xml:space="preserve"> </w:t>
      </w:r>
    </w:p>
    <w:p w14:paraId="551C41BD" w14:textId="77777777" w:rsidR="00251A9F" w:rsidRPr="00251A9F" w:rsidRDefault="00251A9F" w:rsidP="00251A9F">
      <w:pPr>
        <w:spacing w:line="360" w:lineRule="auto"/>
        <w:rPr>
          <w:rFonts w:ascii="Times New Roman" w:hAnsi="Times New Roman"/>
        </w:rPr>
      </w:pPr>
    </w:p>
    <w:p w14:paraId="3812D2F1" w14:textId="77777777" w:rsidR="00251A9F" w:rsidRPr="00251A9F" w:rsidRDefault="00251A9F" w:rsidP="00251A9F">
      <w:pPr>
        <w:spacing w:line="360" w:lineRule="auto"/>
        <w:rPr>
          <w:rFonts w:ascii="Times New Roman" w:hAnsi="Times New Roman"/>
        </w:rPr>
      </w:pPr>
      <w:proofErr w:type="spellStart"/>
      <w:r w:rsidRPr="00251A9F">
        <w:rPr>
          <w:rFonts w:ascii="Times New Roman" w:hAnsi="Times New Roman"/>
        </w:rPr>
        <w:t>Wenzig</w:t>
      </w:r>
      <w:proofErr w:type="spellEnd"/>
      <w:r w:rsidRPr="00251A9F">
        <w:rPr>
          <w:rFonts w:ascii="Times New Roman" w:hAnsi="Times New Roman"/>
        </w:rPr>
        <w:t xml:space="preserve">, J., Nuzum, A. and </w:t>
      </w:r>
      <w:proofErr w:type="spellStart"/>
      <w:r w:rsidRPr="00251A9F">
        <w:rPr>
          <w:rFonts w:ascii="Times New Roman" w:hAnsi="Times New Roman"/>
        </w:rPr>
        <w:t>Schaltegger</w:t>
      </w:r>
      <w:proofErr w:type="spellEnd"/>
      <w:r w:rsidRPr="00251A9F">
        <w:rPr>
          <w:rFonts w:ascii="Times New Roman" w:hAnsi="Times New Roman"/>
        </w:rPr>
        <w:t xml:space="preserve">, S. (2023) ‘Path dependence of accountants: why are they not involved in corporate sustainability?’, </w:t>
      </w:r>
      <w:r w:rsidRPr="00251A9F">
        <w:rPr>
          <w:rFonts w:ascii="Times New Roman" w:hAnsi="Times New Roman"/>
          <w:i/>
          <w:iCs/>
        </w:rPr>
        <w:t>Business Strategy and the Environment</w:t>
      </w:r>
      <w:r w:rsidRPr="00251A9F">
        <w:rPr>
          <w:rFonts w:ascii="Times New Roman" w:hAnsi="Times New Roman"/>
        </w:rPr>
        <w:t xml:space="preserve">, 32(6), pp. 2662–2683. Available at: </w:t>
      </w:r>
      <w:hyperlink r:id="rId42" w:history="1">
        <w:r w:rsidRPr="00251A9F">
          <w:rPr>
            <w:rStyle w:val="Hyperlink"/>
            <w:rFonts w:ascii="Times New Roman" w:hAnsi="Times New Roman"/>
          </w:rPr>
          <w:t>https://research.ebsco.com/plink/635022e3-08eb-3457-bca3-839d18df0d41</w:t>
        </w:r>
      </w:hyperlink>
      <w:r w:rsidRPr="00251A9F">
        <w:rPr>
          <w:rFonts w:ascii="Times New Roman" w:hAnsi="Times New Roman"/>
        </w:rPr>
        <w:t xml:space="preserve">  (Accessed: 17 June 2026).</w:t>
      </w:r>
    </w:p>
    <w:p w14:paraId="453334E0" w14:textId="77777777" w:rsidR="00251A9F" w:rsidRPr="00251A9F" w:rsidRDefault="00251A9F" w:rsidP="00251A9F">
      <w:pPr>
        <w:spacing w:line="360" w:lineRule="auto"/>
        <w:rPr>
          <w:rFonts w:ascii="Times New Roman" w:hAnsi="Times New Roman"/>
        </w:rPr>
      </w:pPr>
    </w:p>
    <w:p w14:paraId="1CF8E92D" w14:textId="77777777" w:rsidR="00251A9F" w:rsidRPr="00251A9F" w:rsidRDefault="00251A9F" w:rsidP="00251A9F">
      <w:pPr>
        <w:spacing w:line="360" w:lineRule="auto"/>
        <w:rPr>
          <w:rFonts w:ascii="Times New Roman" w:hAnsi="Times New Roman"/>
        </w:rPr>
      </w:pPr>
    </w:p>
    <w:sectPr w:rsidR="00251A9F" w:rsidRPr="00251A9F">
      <w:head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4937E" w14:textId="77777777" w:rsidR="009F04C1" w:rsidRDefault="009F04C1" w:rsidP="00FD4548">
      <w:r>
        <w:separator/>
      </w:r>
    </w:p>
  </w:endnote>
  <w:endnote w:type="continuationSeparator" w:id="0">
    <w:p w14:paraId="494D0CE3" w14:textId="77777777" w:rsidR="009F04C1" w:rsidRDefault="009F04C1" w:rsidP="00FD4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CF264" w14:textId="77777777" w:rsidR="009F04C1" w:rsidRDefault="009F04C1" w:rsidP="00FD4548">
      <w:r>
        <w:separator/>
      </w:r>
    </w:p>
  </w:footnote>
  <w:footnote w:type="continuationSeparator" w:id="0">
    <w:p w14:paraId="5ADF4D0D" w14:textId="77777777" w:rsidR="009F04C1" w:rsidRDefault="009F04C1" w:rsidP="00FD4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A186" w14:textId="2C1E6064" w:rsidR="00FD4548" w:rsidRDefault="4641C846">
    <w:pPr>
      <w:pStyle w:val="Header"/>
    </w:pPr>
    <w:r>
      <w:rPr>
        <w:noProof/>
      </w:rPr>
      <w:drawing>
        <wp:inline distT="0" distB="0" distL="0" distR="0" wp14:anchorId="2464AB9B" wp14:editId="22B39517">
          <wp:extent cx="851300" cy="450000"/>
          <wp:effectExtent l="0" t="0" r="0" b="0"/>
          <wp:docPr id="88460365" name="Picture 88460365" descr="York St John University. Est 1841" title="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60365"/>
                  <pic:cNvPicPr/>
                </pic:nvPicPr>
                <pic:blipFill>
                  <a:blip r:embed="rId1">
                    <a:extLst>
                      <a:ext uri="{28A0092B-C50C-407E-A947-70E740481C1C}">
                        <a14:useLocalDpi xmlns:a14="http://schemas.microsoft.com/office/drawing/2010/main" val="0"/>
                      </a:ext>
                    </a:extLst>
                  </a:blip>
                  <a:stretch>
                    <a:fillRect/>
                  </a:stretch>
                </pic:blipFill>
                <pic:spPr>
                  <a:xfrm>
                    <a:off x="0" y="0"/>
                    <a:ext cx="851300" cy="45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A572E"/>
    <w:multiLevelType w:val="multilevel"/>
    <w:tmpl w:val="0792B2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7F45EA"/>
    <w:multiLevelType w:val="multilevel"/>
    <w:tmpl w:val="BBCE5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5634349">
    <w:abstractNumId w:val="0"/>
  </w:num>
  <w:num w:numId="2" w16cid:durableId="1040939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668"/>
    <w:rsid w:val="00047D45"/>
    <w:rsid w:val="000657C3"/>
    <w:rsid w:val="0008168D"/>
    <w:rsid w:val="000A49FB"/>
    <w:rsid w:val="000A514F"/>
    <w:rsid w:val="000A73B0"/>
    <w:rsid w:val="000D1F3E"/>
    <w:rsid w:val="000F5620"/>
    <w:rsid w:val="00135991"/>
    <w:rsid w:val="001369BC"/>
    <w:rsid w:val="00150B7D"/>
    <w:rsid w:val="001B7473"/>
    <w:rsid w:val="002002EA"/>
    <w:rsid w:val="002033F7"/>
    <w:rsid w:val="00214C78"/>
    <w:rsid w:val="00251A9F"/>
    <w:rsid w:val="00274394"/>
    <w:rsid w:val="002A4F55"/>
    <w:rsid w:val="002C46E0"/>
    <w:rsid w:val="002F7350"/>
    <w:rsid w:val="003111C9"/>
    <w:rsid w:val="0033030D"/>
    <w:rsid w:val="00355B6E"/>
    <w:rsid w:val="00377CAF"/>
    <w:rsid w:val="003903BB"/>
    <w:rsid w:val="003B0DB7"/>
    <w:rsid w:val="003B7FC6"/>
    <w:rsid w:val="00413F5F"/>
    <w:rsid w:val="00417449"/>
    <w:rsid w:val="004273A2"/>
    <w:rsid w:val="00433C89"/>
    <w:rsid w:val="004509E8"/>
    <w:rsid w:val="004A1FDA"/>
    <w:rsid w:val="004F4901"/>
    <w:rsid w:val="004F617F"/>
    <w:rsid w:val="00505ADA"/>
    <w:rsid w:val="00524D61"/>
    <w:rsid w:val="005F3241"/>
    <w:rsid w:val="006062B8"/>
    <w:rsid w:val="00634668"/>
    <w:rsid w:val="00644441"/>
    <w:rsid w:val="006513FD"/>
    <w:rsid w:val="0069000C"/>
    <w:rsid w:val="00691D26"/>
    <w:rsid w:val="006A51B1"/>
    <w:rsid w:val="006B6D1C"/>
    <w:rsid w:val="006C138E"/>
    <w:rsid w:val="006D139B"/>
    <w:rsid w:val="006F12BB"/>
    <w:rsid w:val="007206D8"/>
    <w:rsid w:val="00732D47"/>
    <w:rsid w:val="00744B48"/>
    <w:rsid w:val="007541C3"/>
    <w:rsid w:val="00761BEE"/>
    <w:rsid w:val="00787EF7"/>
    <w:rsid w:val="007A5449"/>
    <w:rsid w:val="007B76D4"/>
    <w:rsid w:val="007C411E"/>
    <w:rsid w:val="00825162"/>
    <w:rsid w:val="008A61C0"/>
    <w:rsid w:val="008B27BF"/>
    <w:rsid w:val="008C4A02"/>
    <w:rsid w:val="008D37A2"/>
    <w:rsid w:val="008F3A89"/>
    <w:rsid w:val="00901D48"/>
    <w:rsid w:val="009067E6"/>
    <w:rsid w:val="009331DF"/>
    <w:rsid w:val="0099186D"/>
    <w:rsid w:val="009B716A"/>
    <w:rsid w:val="009D0858"/>
    <w:rsid w:val="009D5184"/>
    <w:rsid w:val="009F04C1"/>
    <w:rsid w:val="00A101EE"/>
    <w:rsid w:val="00A459C5"/>
    <w:rsid w:val="00A74E42"/>
    <w:rsid w:val="00A83E58"/>
    <w:rsid w:val="00B0530D"/>
    <w:rsid w:val="00B41B30"/>
    <w:rsid w:val="00B707CE"/>
    <w:rsid w:val="00BA271F"/>
    <w:rsid w:val="00BB629C"/>
    <w:rsid w:val="00BC3563"/>
    <w:rsid w:val="00BE55F2"/>
    <w:rsid w:val="00C3730C"/>
    <w:rsid w:val="00C577D9"/>
    <w:rsid w:val="00C93B99"/>
    <w:rsid w:val="00CA6668"/>
    <w:rsid w:val="00CD0EE4"/>
    <w:rsid w:val="00CE4F09"/>
    <w:rsid w:val="00D163BD"/>
    <w:rsid w:val="00D610F9"/>
    <w:rsid w:val="00DA53CB"/>
    <w:rsid w:val="00DD5134"/>
    <w:rsid w:val="00E13009"/>
    <w:rsid w:val="00E236C5"/>
    <w:rsid w:val="00E6796B"/>
    <w:rsid w:val="00E9604D"/>
    <w:rsid w:val="00EB06E2"/>
    <w:rsid w:val="00EB36D8"/>
    <w:rsid w:val="00EF5DDD"/>
    <w:rsid w:val="00F767DA"/>
    <w:rsid w:val="00FC1F0A"/>
    <w:rsid w:val="00FC39AC"/>
    <w:rsid w:val="00FD4548"/>
    <w:rsid w:val="00FD641E"/>
    <w:rsid w:val="00FF007C"/>
    <w:rsid w:val="00FF0F9C"/>
    <w:rsid w:val="38D8B7BC"/>
    <w:rsid w:val="3BCF5100"/>
    <w:rsid w:val="4641C846"/>
    <w:rsid w:val="4E3F69CF"/>
    <w:rsid w:val="505236F0"/>
    <w:rsid w:val="52D88B15"/>
    <w:rsid w:val="6B8DD6D1"/>
    <w:rsid w:val="6D4999BB"/>
    <w:rsid w:val="7336E7BD"/>
    <w:rsid w:val="757FF2A1"/>
    <w:rsid w:val="7DFC8E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FF28E"/>
  <w15:chartTrackingRefBased/>
  <w15:docId w15:val="{62CBB873-F924-4C12-9556-C4FAC5E4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641C846"/>
    <w:pPr>
      <w:spacing w:after="0"/>
    </w:pPr>
    <w:rPr>
      <w:rFonts w:ascii="Helvetica" w:eastAsia="Times New Roman" w:hAnsi="Helvetica" w:cs="Times New Roman"/>
      <w:sz w:val="24"/>
      <w:szCs w:val="24"/>
      <w:lang w:eastAsia="ja-JP"/>
    </w:rPr>
  </w:style>
  <w:style w:type="paragraph" w:styleId="Heading1">
    <w:name w:val="heading 1"/>
    <w:basedOn w:val="Normal"/>
    <w:next w:val="Normal"/>
    <w:link w:val="Heading1Char"/>
    <w:uiPriority w:val="9"/>
    <w:qFormat/>
    <w:rsid w:val="4641C846"/>
    <w:pPr>
      <w:keepNext/>
      <w:keepLines/>
      <w:spacing w:before="240"/>
      <w:outlineLvl w:val="0"/>
    </w:pPr>
    <w:rPr>
      <w:rFonts w:ascii="Arial" w:eastAsiaTheme="majorEastAsia" w:hAnsi="Arial" w:cstheme="majorBidi"/>
      <w:b/>
      <w:bCs/>
      <w:color w:val="FFFFFF" w:themeColor="background1"/>
    </w:rPr>
  </w:style>
  <w:style w:type="paragraph" w:styleId="Heading2">
    <w:name w:val="heading 2"/>
    <w:basedOn w:val="Normal"/>
    <w:next w:val="Normal"/>
    <w:link w:val="Heading2Char"/>
    <w:uiPriority w:val="9"/>
    <w:unhideWhenUsed/>
    <w:qFormat/>
    <w:rsid w:val="4641C8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641C846"/>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rsid w:val="4641C84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641C84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641C846"/>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641C846"/>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641C846"/>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641C846"/>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668"/>
    <w:rPr>
      <w:rFonts w:ascii="Arial" w:eastAsiaTheme="majorEastAsia" w:hAnsi="Arial" w:cstheme="majorBidi"/>
      <w:b/>
      <w:color w:val="FFFFFF" w:themeColor="background1"/>
      <w:sz w:val="24"/>
      <w:szCs w:val="32"/>
      <w:lang w:val="en-US" w:eastAsia="ja-JP"/>
    </w:rPr>
  </w:style>
  <w:style w:type="character" w:customStyle="1" w:styleId="normaltextrun">
    <w:name w:val="normaltextrun"/>
    <w:basedOn w:val="DefaultParagraphFont"/>
    <w:rsid w:val="00CA6668"/>
  </w:style>
  <w:style w:type="character" w:customStyle="1" w:styleId="eop">
    <w:name w:val="eop"/>
    <w:basedOn w:val="DefaultParagraphFont"/>
    <w:rsid w:val="00CA6668"/>
  </w:style>
  <w:style w:type="paragraph" w:customStyle="1" w:styleId="paragraph">
    <w:name w:val="paragraph"/>
    <w:basedOn w:val="Normal"/>
    <w:uiPriority w:val="1"/>
    <w:rsid w:val="4641C846"/>
    <w:pPr>
      <w:spacing w:beforeAutospacing="1" w:afterAutospacing="1"/>
    </w:pPr>
    <w:rPr>
      <w:rFonts w:ascii="Times New Roman" w:hAnsi="Times New Roman"/>
      <w:lang w:eastAsia="en-GB"/>
    </w:rPr>
  </w:style>
  <w:style w:type="character" w:customStyle="1" w:styleId="tabchar">
    <w:name w:val="tabchar"/>
    <w:basedOn w:val="DefaultParagraphFont"/>
    <w:rsid w:val="00CA6668"/>
  </w:style>
  <w:style w:type="character" w:customStyle="1" w:styleId="contentcontrolboundarysink">
    <w:name w:val="contentcontrolboundarysink"/>
    <w:basedOn w:val="DefaultParagraphFont"/>
    <w:rsid w:val="00CA6668"/>
  </w:style>
  <w:style w:type="character" w:styleId="Hyperlink">
    <w:name w:val="Hyperlink"/>
    <w:basedOn w:val="DefaultParagraphFont"/>
    <w:uiPriority w:val="99"/>
    <w:unhideWhenUsed/>
    <w:rsid w:val="001369BC"/>
    <w:rPr>
      <w:color w:val="0563C1" w:themeColor="hyperlink"/>
      <w:u w:val="single"/>
    </w:rPr>
  </w:style>
  <w:style w:type="character" w:styleId="UnresolvedMention">
    <w:name w:val="Unresolved Mention"/>
    <w:basedOn w:val="DefaultParagraphFont"/>
    <w:uiPriority w:val="99"/>
    <w:semiHidden/>
    <w:unhideWhenUsed/>
    <w:rsid w:val="001369BC"/>
    <w:rPr>
      <w:color w:val="605E5C"/>
      <w:shd w:val="clear" w:color="auto" w:fill="E1DFDD"/>
    </w:rPr>
  </w:style>
  <w:style w:type="table" w:styleId="TableGrid">
    <w:name w:val="Table Grid"/>
    <w:basedOn w:val="TableNormal"/>
    <w:uiPriority w:val="39"/>
    <w:rsid w:val="00F76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4641C846"/>
    <w:pPr>
      <w:tabs>
        <w:tab w:val="center" w:pos="4513"/>
        <w:tab w:val="right" w:pos="9026"/>
      </w:tabs>
    </w:pPr>
  </w:style>
  <w:style w:type="character" w:customStyle="1" w:styleId="HeaderChar">
    <w:name w:val="Header Char"/>
    <w:basedOn w:val="DefaultParagraphFont"/>
    <w:link w:val="Header"/>
    <w:uiPriority w:val="99"/>
    <w:rsid w:val="00FD4548"/>
    <w:rPr>
      <w:rFonts w:ascii="Helvetica" w:eastAsia="Times New Roman" w:hAnsi="Helvetica" w:cs="Times New Roman"/>
      <w:sz w:val="24"/>
      <w:szCs w:val="20"/>
      <w:lang w:val="en-US" w:eastAsia="ja-JP"/>
    </w:rPr>
  </w:style>
  <w:style w:type="paragraph" w:styleId="Footer">
    <w:name w:val="footer"/>
    <w:basedOn w:val="Normal"/>
    <w:link w:val="FooterChar"/>
    <w:uiPriority w:val="99"/>
    <w:unhideWhenUsed/>
    <w:rsid w:val="4641C846"/>
    <w:pPr>
      <w:tabs>
        <w:tab w:val="center" w:pos="4513"/>
        <w:tab w:val="right" w:pos="9026"/>
      </w:tabs>
    </w:pPr>
  </w:style>
  <w:style w:type="character" w:customStyle="1" w:styleId="FooterChar">
    <w:name w:val="Footer Char"/>
    <w:basedOn w:val="DefaultParagraphFont"/>
    <w:link w:val="Footer"/>
    <w:uiPriority w:val="99"/>
    <w:rsid w:val="00FD4548"/>
    <w:rPr>
      <w:rFonts w:ascii="Helvetica" w:eastAsia="Times New Roman" w:hAnsi="Helvetica" w:cs="Times New Roman"/>
      <w:sz w:val="24"/>
      <w:szCs w:val="20"/>
      <w:lang w:val="en-US" w:eastAsia="ja-JP"/>
    </w:rPr>
  </w:style>
  <w:style w:type="paragraph" w:styleId="Title">
    <w:name w:val="Title"/>
    <w:basedOn w:val="Normal"/>
    <w:next w:val="Normal"/>
    <w:link w:val="TitleChar"/>
    <w:uiPriority w:val="10"/>
    <w:qFormat/>
    <w:rsid w:val="4641C846"/>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641C846"/>
    <w:rPr>
      <w:rFonts w:eastAsiaTheme="minorEastAsia"/>
      <w:color w:val="5A5A5A"/>
    </w:rPr>
  </w:style>
  <w:style w:type="paragraph" w:styleId="Quote">
    <w:name w:val="Quote"/>
    <w:basedOn w:val="Normal"/>
    <w:next w:val="Normal"/>
    <w:link w:val="QuoteChar"/>
    <w:uiPriority w:val="29"/>
    <w:qFormat/>
    <w:rsid w:val="4641C846"/>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641C846"/>
    <w:pPr>
      <w:spacing w:before="360" w:after="360"/>
      <w:ind w:left="864" w:right="864"/>
      <w:jc w:val="center"/>
    </w:pPr>
    <w:rPr>
      <w:i/>
      <w:iCs/>
      <w:color w:val="4472C4" w:themeColor="accent1"/>
    </w:rPr>
  </w:style>
  <w:style w:type="paragraph" w:styleId="ListParagraph">
    <w:name w:val="List Paragraph"/>
    <w:basedOn w:val="Normal"/>
    <w:uiPriority w:val="34"/>
    <w:qFormat/>
    <w:rsid w:val="4641C846"/>
    <w:pPr>
      <w:ind w:left="720"/>
      <w:contextualSpacing/>
    </w:pPr>
  </w:style>
  <w:style w:type="paragraph" w:styleId="TOC1">
    <w:name w:val="toc 1"/>
    <w:basedOn w:val="Normal"/>
    <w:next w:val="Normal"/>
    <w:uiPriority w:val="39"/>
    <w:unhideWhenUsed/>
    <w:rsid w:val="4641C846"/>
    <w:pPr>
      <w:spacing w:after="100"/>
    </w:pPr>
  </w:style>
  <w:style w:type="paragraph" w:styleId="TOC2">
    <w:name w:val="toc 2"/>
    <w:basedOn w:val="Normal"/>
    <w:next w:val="Normal"/>
    <w:uiPriority w:val="39"/>
    <w:unhideWhenUsed/>
    <w:rsid w:val="4641C846"/>
    <w:pPr>
      <w:spacing w:after="100"/>
      <w:ind w:left="220"/>
    </w:pPr>
  </w:style>
  <w:style w:type="paragraph" w:styleId="TOC3">
    <w:name w:val="toc 3"/>
    <w:basedOn w:val="Normal"/>
    <w:next w:val="Normal"/>
    <w:uiPriority w:val="39"/>
    <w:unhideWhenUsed/>
    <w:rsid w:val="4641C846"/>
    <w:pPr>
      <w:spacing w:after="100"/>
      <w:ind w:left="440"/>
    </w:pPr>
  </w:style>
  <w:style w:type="paragraph" w:styleId="TOC4">
    <w:name w:val="toc 4"/>
    <w:basedOn w:val="Normal"/>
    <w:next w:val="Normal"/>
    <w:uiPriority w:val="39"/>
    <w:unhideWhenUsed/>
    <w:rsid w:val="4641C846"/>
    <w:pPr>
      <w:spacing w:after="100"/>
      <w:ind w:left="660"/>
    </w:pPr>
  </w:style>
  <w:style w:type="paragraph" w:styleId="TOC5">
    <w:name w:val="toc 5"/>
    <w:basedOn w:val="Normal"/>
    <w:next w:val="Normal"/>
    <w:uiPriority w:val="39"/>
    <w:unhideWhenUsed/>
    <w:rsid w:val="4641C846"/>
    <w:pPr>
      <w:spacing w:after="100"/>
      <w:ind w:left="880"/>
    </w:pPr>
  </w:style>
  <w:style w:type="paragraph" w:styleId="TOC6">
    <w:name w:val="toc 6"/>
    <w:basedOn w:val="Normal"/>
    <w:next w:val="Normal"/>
    <w:uiPriority w:val="39"/>
    <w:unhideWhenUsed/>
    <w:rsid w:val="4641C846"/>
    <w:pPr>
      <w:spacing w:after="100"/>
      <w:ind w:left="1100"/>
    </w:pPr>
  </w:style>
  <w:style w:type="paragraph" w:styleId="TOC7">
    <w:name w:val="toc 7"/>
    <w:basedOn w:val="Normal"/>
    <w:next w:val="Normal"/>
    <w:uiPriority w:val="39"/>
    <w:unhideWhenUsed/>
    <w:rsid w:val="4641C846"/>
    <w:pPr>
      <w:spacing w:after="100"/>
      <w:ind w:left="1320"/>
    </w:pPr>
  </w:style>
  <w:style w:type="paragraph" w:styleId="TOC8">
    <w:name w:val="toc 8"/>
    <w:basedOn w:val="Normal"/>
    <w:next w:val="Normal"/>
    <w:uiPriority w:val="39"/>
    <w:unhideWhenUsed/>
    <w:rsid w:val="4641C846"/>
    <w:pPr>
      <w:spacing w:after="100"/>
      <w:ind w:left="1540"/>
    </w:pPr>
  </w:style>
  <w:style w:type="paragraph" w:styleId="TOC9">
    <w:name w:val="toc 9"/>
    <w:basedOn w:val="Normal"/>
    <w:next w:val="Normal"/>
    <w:uiPriority w:val="39"/>
    <w:unhideWhenUsed/>
    <w:rsid w:val="4641C846"/>
    <w:pPr>
      <w:spacing w:after="100"/>
      <w:ind w:left="1760"/>
    </w:pPr>
  </w:style>
  <w:style w:type="paragraph" w:styleId="EndnoteText">
    <w:name w:val="endnote text"/>
    <w:basedOn w:val="Normal"/>
    <w:uiPriority w:val="99"/>
    <w:semiHidden/>
    <w:unhideWhenUsed/>
    <w:rsid w:val="4641C846"/>
    <w:rPr>
      <w:sz w:val="20"/>
      <w:szCs w:val="20"/>
    </w:rPr>
  </w:style>
  <w:style w:type="paragraph" w:styleId="FootnoteText">
    <w:name w:val="footnote text"/>
    <w:basedOn w:val="Normal"/>
    <w:uiPriority w:val="99"/>
    <w:semiHidden/>
    <w:unhideWhenUsed/>
    <w:rsid w:val="4641C846"/>
    <w:rPr>
      <w:sz w:val="20"/>
      <w:szCs w:val="20"/>
    </w:rPr>
  </w:style>
  <w:style w:type="character" w:styleId="FollowedHyperlink">
    <w:name w:val="FollowedHyperlink"/>
    <w:basedOn w:val="DefaultParagraphFont"/>
    <w:uiPriority w:val="99"/>
    <w:semiHidden/>
    <w:unhideWhenUsed/>
    <w:rsid w:val="00251A9F"/>
    <w:rPr>
      <w:color w:val="954F72" w:themeColor="followedHyperlink"/>
      <w:u w:val="single"/>
    </w:rPr>
  </w:style>
  <w:style w:type="character" w:customStyle="1" w:styleId="Heading2Char">
    <w:name w:val="Heading 2 Char"/>
    <w:basedOn w:val="DefaultParagraphFont"/>
    <w:link w:val="Heading2"/>
    <w:uiPriority w:val="9"/>
    <w:rsid w:val="00251A9F"/>
    <w:rPr>
      <w:rFonts w:asciiTheme="majorHAnsi" w:eastAsiaTheme="majorEastAsia" w:hAnsiTheme="majorHAnsi" w:cstheme="majorBidi"/>
      <w:color w:val="2F5496" w:themeColor="accent1" w:themeShade="BF"/>
      <w:sz w:val="26"/>
      <w:szCs w:val="26"/>
      <w:lang w:eastAsia="ja-JP"/>
    </w:rPr>
  </w:style>
  <w:style w:type="character" w:customStyle="1" w:styleId="Heading3Char">
    <w:name w:val="Heading 3 Char"/>
    <w:basedOn w:val="DefaultParagraphFont"/>
    <w:link w:val="Heading3"/>
    <w:uiPriority w:val="9"/>
    <w:rsid w:val="00251A9F"/>
    <w:rPr>
      <w:rFonts w:asciiTheme="majorHAnsi" w:eastAsiaTheme="majorEastAsia" w:hAnsiTheme="majorHAnsi" w:cstheme="majorBidi"/>
      <w:color w:val="1F3763"/>
      <w:sz w:val="24"/>
      <w:szCs w:val="24"/>
      <w:lang w:eastAsia="ja-JP"/>
    </w:rPr>
  </w:style>
  <w:style w:type="character" w:customStyle="1" w:styleId="Heading4Char">
    <w:name w:val="Heading 4 Char"/>
    <w:basedOn w:val="DefaultParagraphFont"/>
    <w:link w:val="Heading4"/>
    <w:uiPriority w:val="9"/>
    <w:rsid w:val="00251A9F"/>
    <w:rPr>
      <w:rFonts w:asciiTheme="majorHAnsi" w:eastAsiaTheme="majorEastAsia" w:hAnsiTheme="majorHAnsi" w:cstheme="majorBidi"/>
      <w:i/>
      <w:iCs/>
      <w:color w:val="2F5496" w:themeColor="accent1" w:themeShade="BF"/>
      <w:sz w:val="24"/>
      <w:szCs w:val="24"/>
      <w:lang w:eastAsia="ja-JP"/>
    </w:rPr>
  </w:style>
  <w:style w:type="character" w:customStyle="1" w:styleId="Heading5Char">
    <w:name w:val="Heading 5 Char"/>
    <w:basedOn w:val="DefaultParagraphFont"/>
    <w:link w:val="Heading5"/>
    <w:uiPriority w:val="9"/>
    <w:rsid w:val="00251A9F"/>
    <w:rPr>
      <w:rFonts w:asciiTheme="majorHAnsi" w:eastAsiaTheme="majorEastAsia" w:hAnsiTheme="majorHAnsi" w:cstheme="majorBidi"/>
      <w:color w:val="2F5496" w:themeColor="accent1" w:themeShade="BF"/>
      <w:sz w:val="24"/>
      <w:szCs w:val="24"/>
      <w:lang w:eastAsia="ja-JP"/>
    </w:rPr>
  </w:style>
  <w:style w:type="character" w:customStyle="1" w:styleId="Heading6Char">
    <w:name w:val="Heading 6 Char"/>
    <w:basedOn w:val="DefaultParagraphFont"/>
    <w:link w:val="Heading6"/>
    <w:uiPriority w:val="9"/>
    <w:rsid w:val="00251A9F"/>
    <w:rPr>
      <w:rFonts w:asciiTheme="majorHAnsi" w:eastAsiaTheme="majorEastAsia" w:hAnsiTheme="majorHAnsi" w:cstheme="majorBidi"/>
      <w:color w:val="1F3763"/>
      <w:sz w:val="24"/>
      <w:szCs w:val="24"/>
      <w:lang w:eastAsia="ja-JP"/>
    </w:rPr>
  </w:style>
  <w:style w:type="character" w:customStyle="1" w:styleId="Heading7Char">
    <w:name w:val="Heading 7 Char"/>
    <w:basedOn w:val="DefaultParagraphFont"/>
    <w:link w:val="Heading7"/>
    <w:uiPriority w:val="9"/>
    <w:rsid w:val="00251A9F"/>
    <w:rPr>
      <w:rFonts w:asciiTheme="majorHAnsi" w:eastAsiaTheme="majorEastAsia" w:hAnsiTheme="majorHAnsi" w:cstheme="majorBidi"/>
      <w:i/>
      <w:iCs/>
      <w:color w:val="1F3763"/>
      <w:sz w:val="24"/>
      <w:szCs w:val="24"/>
      <w:lang w:eastAsia="ja-JP"/>
    </w:rPr>
  </w:style>
  <w:style w:type="character" w:customStyle="1" w:styleId="Heading8Char">
    <w:name w:val="Heading 8 Char"/>
    <w:basedOn w:val="DefaultParagraphFont"/>
    <w:link w:val="Heading8"/>
    <w:uiPriority w:val="9"/>
    <w:rsid w:val="00251A9F"/>
    <w:rPr>
      <w:rFonts w:asciiTheme="majorHAnsi" w:eastAsiaTheme="majorEastAsia" w:hAnsiTheme="majorHAnsi" w:cstheme="majorBidi"/>
      <w:color w:val="272727"/>
      <w:sz w:val="21"/>
      <w:szCs w:val="21"/>
      <w:lang w:eastAsia="ja-JP"/>
    </w:rPr>
  </w:style>
  <w:style w:type="character" w:customStyle="1" w:styleId="Heading9Char">
    <w:name w:val="Heading 9 Char"/>
    <w:basedOn w:val="DefaultParagraphFont"/>
    <w:link w:val="Heading9"/>
    <w:uiPriority w:val="9"/>
    <w:rsid w:val="00251A9F"/>
    <w:rPr>
      <w:rFonts w:asciiTheme="majorHAnsi" w:eastAsiaTheme="majorEastAsia" w:hAnsiTheme="majorHAnsi" w:cstheme="majorBidi"/>
      <w:i/>
      <w:iCs/>
      <w:color w:val="272727"/>
      <w:sz w:val="21"/>
      <w:szCs w:val="21"/>
      <w:lang w:eastAsia="ja-JP"/>
    </w:rPr>
  </w:style>
  <w:style w:type="character" w:customStyle="1" w:styleId="TitleChar">
    <w:name w:val="Title Char"/>
    <w:basedOn w:val="DefaultParagraphFont"/>
    <w:link w:val="Title"/>
    <w:uiPriority w:val="10"/>
    <w:rsid w:val="00251A9F"/>
    <w:rPr>
      <w:rFonts w:asciiTheme="majorHAnsi" w:eastAsiaTheme="majorEastAsia" w:hAnsiTheme="majorHAnsi" w:cstheme="majorBidi"/>
      <w:sz w:val="56"/>
      <w:szCs w:val="56"/>
      <w:lang w:eastAsia="ja-JP"/>
    </w:rPr>
  </w:style>
  <w:style w:type="character" w:customStyle="1" w:styleId="SubtitleChar">
    <w:name w:val="Subtitle Char"/>
    <w:basedOn w:val="DefaultParagraphFont"/>
    <w:link w:val="Subtitle"/>
    <w:uiPriority w:val="11"/>
    <w:rsid w:val="00251A9F"/>
    <w:rPr>
      <w:rFonts w:ascii="Helvetica" w:eastAsiaTheme="minorEastAsia" w:hAnsi="Helvetica" w:cs="Times New Roman"/>
      <w:color w:val="5A5A5A"/>
      <w:sz w:val="24"/>
      <w:szCs w:val="24"/>
      <w:lang w:eastAsia="ja-JP"/>
    </w:rPr>
  </w:style>
  <w:style w:type="character" w:customStyle="1" w:styleId="QuoteChar">
    <w:name w:val="Quote Char"/>
    <w:basedOn w:val="DefaultParagraphFont"/>
    <w:link w:val="Quote"/>
    <w:uiPriority w:val="29"/>
    <w:rsid w:val="00251A9F"/>
    <w:rPr>
      <w:rFonts w:ascii="Helvetica" w:eastAsia="Times New Roman" w:hAnsi="Helvetica" w:cs="Times New Roman"/>
      <w:i/>
      <w:iCs/>
      <w:color w:val="404040" w:themeColor="text1" w:themeTint="BF"/>
      <w:sz w:val="24"/>
      <w:szCs w:val="24"/>
      <w:lang w:eastAsia="ja-JP"/>
    </w:rPr>
  </w:style>
  <w:style w:type="character" w:styleId="IntenseEmphasis">
    <w:name w:val="Intense Emphasis"/>
    <w:basedOn w:val="DefaultParagraphFont"/>
    <w:uiPriority w:val="21"/>
    <w:qFormat/>
    <w:rsid w:val="00251A9F"/>
    <w:rPr>
      <w:i/>
      <w:iCs/>
      <w:color w:val="2F5496" w:themeColor="accent1" w:themeShade="BF"/>
    </w:rPr>
  </w:style>
  <w:style w:type="character" w:customStyle="1" w:styleId="IntenseQuoteChar">
    <w:name w:val="Intense Quote Char"/>
    <w:basedOn w:val="DefaultParagraphFont"/>
    <w:link w:val="IntenseQuote"/>
    <w:uiPriority w:val="30"/>
    <w:rsid w:val="00251A9F"/>
    <w:rPr>
      <w:rFonts w:ascii="Helvetica" w:eastAsia="Times New Roman" w:hAnsi="Helvetica" w:cs="Times New Roman"/>
      <w:i/>
      <w:iCs/>
      <w:color w:val="4472C4" w:themeColor="accent1"/>
      <w:sz w:val="24"/>
      <w:szCs w:val="24"/>
      <w:lang w:eastAsia="ja-JP"/>
    </w:rPr>
  </w:style>
  <w:style w:type="character" w:styleId="IntenseReference">
    <w:name w:val="Intense Reference"/>
    <w:basedOn w:val="DefaultParagraphFont"/>
    <w:uiPriority w:val="32"/>
    <w:qFormat/>
    <w:rsid w:val="00251A9F"/>
    <w:rPr>
      <w:b/>
      <w:bCs/>
      <w:smallCaps/>
      <w:color w:val="2F5496" w:themeColor="accent1" w:themeShade="BF"/>
      <w:spacing w:val="5"/>
    </w:rPr>
  </w:style>
  <w:style w:type="paragraph" w:customStyle="1" w:styleId="Default">
    <w:name w:val="Default"/>
    <w:rsid w:val="00251A9F"/>
    <w:pPr>
      <w:autoSpaceDE w:val="0"/>
      <w:autoSpaceDN w:val="0"/>
      <w:adjustRightInd w:val="0"/>
      <w:spacing w:after="0" w:line="240" w:lineRule="auto"/>
    </w:pPr>
    <w:rPr>
      <w:rFonts w:ascii="Times New Roman" w:hAnsi="Times New Roman" w:cs="Times New Roman"/>
      <w:color w:val="000000"/>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aew.com/technical/practice-resources/practice-news/role-of-accountants-in-sustainability" TargetMode="External"/><Relationship Id="rId18" Type="http://schemas.openxmlformats.org/officeDocument/2006/relationships/hyperlink" Target="https://research.ebsco.com/plink/5b530925-a5cd-3c07-a1bd-5b1777a97d76" TargetMode="External"/><Relationship Id="rId26" Type="http://schemas.openxmlformats.org/officeDocument/2006/relationships/hyperlink" Target="https://www.globalreporting.org" TargetMode="External"/><Relationship Id="rId39" Type="http://schemas.openxmlformats.org/officeDocument/2006/relationships/hyperlink" Target="https://accountingforeveryone.com/empowering-growth-crucial-role-accountants-economic-development/" TargetMode="External"/><Relationship Id="rId21" Type="http://schemas.openxmlformats.org/officeDocument/2006/relationships/hyperlink" Target="https://doi:10.3390/su141610222" TargetMode="External"/><Relationship Id="rId34" Type="http://schemas.openxmlformats.org/officeDocument/2006/relationships/hyperlink" Target="https://doi:10.1007/s10551-012-1543-8" TargetMode="External"/><Relationship Id="rId42" Type="http://schemas.openxmlformats.org/officeDocument/2006/relationships/hyperlink" Target="https://research.ebsco.com/plink/635022e3-08eb-3457-bca3-839d18df0d41"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accaglobal.com/content/dam/ACCA_Global/professional-insights/sustainability-reporting/PI-SUSTAINABILITY-REPORTING-THE-GUIDE-TO-PREPARATION.pdf" TargetMode="External"/><Relationship Id="rId29" Type="http://schemas.openxmlformats.org/officeDocument/2006/relationships/hyperlink" Target="https://www.jstor.org/stable/4868685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10.1002/csr.70110" TargetMode="External"/><Relationship Id="rId24" Type="http://schemas.openxmlformats.org/officeDocument/2006/relationships/hyperlink" Target="https://doi:10.1080/02601370.2023.2267770" TargetMode="External"/><Relationship Id="rId32" Type="http://schemas.openxmlformats.org/officeDocument/2006/relationships/hyperlink" Target="https://www.ey.com/en_gl/insights/public-policy/five-priorities-to-build-trust-in-esg" TargetMode="External"/><Relationship Id="rId37" Type="http://schemas.openxmlformats.org/officeDocument/2006/relationships/hyperlink" Target="https://doi:10.2307/2229541" TargetMode="External"/><Relationship Id="rId40" Type="http://schemas.openxmlformats.org/officeDocument/2006/relationships/hyperlink" Target="https://research.ebsco.com/plink/5d2a1970-f17e-3ca5-a217-12e894c2f83a"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oi:10.3390/su13042357" TargetMode="External"/><Relationship Id="rId23" Type="http://schemas.openxmlformats.org/officeDocument/2006/relationships/hyperlink" Target="https://doi:10.1016/j.mar.2025.100958" TargetMode="External"/><Relationship Id="rId28" Type="http://schemas.openxmlformats.org/officeDocument/2006/relationships/hyperlink" Target="https://doi:10.1108/QRAM-10-2014-0061" TargetMode="External"/><Relationship Id="rId36" Type="http://schemas.openxmlformats.org/officeDocument/2006/relationships/hyperlink" Target="https://www.researchgate.net/publication/384971734_deductive_and_inductive_research" TargetMode="External"/><Relationship Id="rId10" Type="http://schemas.openxmlformats.org/officeDocument/2006/relationships/image" Target="media/image1.png"/><Relationship Id="rId19" Type="http://schemas.openxmlformats.org/officeDocument/2006/relationships/hyperlink" Target="https://doi:10.1177/0149206305279602" TargetMode="External"/><Relationship Id="rId31" Type="http://schemas.openxmlformats.org/officeDocument/2006/relationships/hyperlink" Target="https://doi:10.1177/0149206315575554"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10.1108/QRAM-06-2022-0108" TargetMode="External"/><Relationship Id="rId22" Type="http://schemas.openxmlformats.org/officeDocument/2006/relationships/hyperlink" Target="https://doi:10.24818/jamis.2024.02007" TargetMode="External"/><Relationship Id="rId27" Type="http://schemas.openxmlformats.org/officeDocument/2006/relationships/hyperlink" Target="https://doi:10.15678/IER.2025.1104.06" TargetMode="External"/><Relationship Id="rId30" Type="http://schemas.openxmlformats.org/officeDocument/2006/relationships/hyperlink" Target="https://doi:10.1108/MEDAR-06-2019-0504" TargetMode="External"/><Relationship Id="rId35" Type="http://schemas.openxmlformats.org/officeDocument/2006/relationships/hyperlink" Target="https://doi:10.4103/aca.ACA_157_18" TargetMode="External"/><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doi.org/10.1504/IJEH.2018.092175" TargetMode="External"/><Relationship Id="rId17" Type="http://schemas.openxmlformats.org/officeDocument/2006/relationships/hyperlink" Target="https://doi:10.2308/CIIA-2022-003" TargetMode="External"/><Relationship Id="rId25" Type="http://schemas.openxmlformats.org/officeDocument/2006/relationships/hyperlink" Target="https://doi:10.3390/risks14030047" TargetMode="External"/><Relationship Id="rId33" Type="http://schemas.openxmlformats.org/officeDocument/2006/relationships/hyperlink" Target="https://research.ebsco.com/linkprocessor/plink?id=5c040a3f-b10e-3963-8bce-679188a2848f" TargetMode="External"/><Relationship Id="rId38" Type="http://schemas.openxmlformats.org/officeDocument/2006/relationships/hyperlink" Target="https://research.ebsco.com/plink/b0787f00-eef4-380d-b80b-fe41ef9152ed" TargetMode="External"/><Relationship Id="rId20" Type="http://schemas.openxmlformats.org/officeDocument/2006/relationships/hyperlink" Target="https://research.ebsco.com/plink/ccd88d67-1f24-3a29-8957-53f22cb90966" TargetMode="External"/><Relationship Id="rId41" Type="http://schemas.openxmlformats.org/officeDocument/2006/relationships/hyperlink" Target="https://doi:10.1080/17449480.2023.221839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551c6a-94d5-43f8-89bd-8ae1076ef560" xsi:nil="true"/>
    <lcf76f155ced4ddcb4097134ff3c332f xmlns="44f545ed-fcef-44a8-a36e-31b0b94ceb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707E57FFDC9D47BC848F9422EE99E7" ma:contentTypeVersion="18" ma:contentTypeDescription="Create a new document." ma:contentTypeScope="" ma:versionID="f70968cfc3c77de13bd8c1e1c6ac8019">
  <xsd:schema xmlns:xsd="http://www.w3.org/2001/XMLSchema" xmlns:xs="http://www.w3.org/2001/XMLSchema" xmlns:p="http://schemas.microsoft.com/office/2006/metadata/properties" xmlns:ns2="44f545ed-fcef-44a8-a36e-31b0b94cebd9" xmlns:ns3="87551c6a-94d5-43f8-89bd-8ae1076ef560" targetNamespace="http://schemas.microsoft.com/office/2006/metadata/properties" ma:root="true" ma:fieldsID="0cc8cd03994b806dcdcb3292b776f2e9" ns2:_="" ns3:_="">
    <xsd:import namespace="44f545ed-fcef-44a8-a36e-31b0b94cebd9"/>
    <xsd:import namespace="87551c6a-94d5-43f8-89bd-8ae1076ef5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f545ed-fcef-44a8-a36e-31b0b94ce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551c6a-94d5-43f8-89bd-8ae1076ef5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e444e03-16a7-4ef9-ab71-b4cfc9d1adc4}" ma:internalName="TaxCatchAll" ma:showField="CatchAllData" ma:web="87551c6a-94d5-43f8-89bd-8ae1076ef5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4EC05-B895-4E54-A8E6-2DDB3AB82AD5}">
  <ds:schemaRefs>
    <ds:schemaRef ds:uri="http://schemas.microsoft.com/office/2006/metadata/properties"/>
    <ds:schemaRef ds:uri="http://schemas.microsoft.com/office/infopath/2007/PartnerControls"/>
    <ds:schemaRef ds:uri="87551c6a-94d5-43f8-89bd-8ae1076ef560"/>
    <ds:schemaRef ds:uri="44f545ed-fcef-44a8-a36e-31b0b94cebd9"/>
  </ds:schemaRefs>
</ds:datastoreItem>
</file>

<file path=customXml/itemProps2.xml><?xml version="1.0" encoding="utf-8"?>
<ds:datastoreItem xmlns:ds="http://schemas.openxmlformats.org/officeDocument/2006/customXml" ds:itemID="{5E99AAC0-E91F-4BBF-BCA6-E65FF5EE66B1}">
  <ds:schemaRefs>
    <ds:schemaRef ds:uri="http://schemas.microsoft.com/sharepoint/v3/contenttype/forms"/>
  </ds:schemaRefs>
</ds:datastoreItem>
</file>

<file path=customXml/itemProps3.xml><?xml version="1.0" encoding="utf-8"?>
<ds:datastoreItem xmlns:ds="http://schemas.openxmlformats.org/officeDocument/2006/customXml" ds:itemID="{4047CCA9-AD2A-42FF-9444-BB110C52E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f545ed-fcef-44a8-a36e-31b0b94cebd9"/>
    <ds:schemaRef ds:uri="87551c6a-94d5-43f8-89bd-8ae1076ef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74</Pages>
  <Words>26527</Words>
  <Characters>151208</Characters>
  <Application>Microsoft Office Word</Application>
  <DocSecurity>0</DocSecurity>
  <Lines>1260</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sidra.nasir@yorksj.ac.uk</dc:creator>
  <cp:keywords/>
  <dc:description/>
  <cp:lastModifiedBy>SIDRA NASIR</cp:lastModifiedBy>
  <cp:revision>13</cp:revision>
  <dcterms:created xsi:type="dcterms:W3CDTF">2026-09-05T13:51:00Z</dcterms:created>
  <dcterms:modified xsi:type="dcterms:W3CDTF">2026-10-28T21:47:00Z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0x0101005F707E57FFDC9D47BC848F9422EE99E7</vt:lpwstr>
  </property>
  <property fmtid="{D5CDD505-2E9C-101B-9397-08002B2CF9AE}" pid="3" name="MediaServiceImageTags">
    <vt:lpwstr/>
  </property>
</Properties>
</file>